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1.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B48B16F" w14:textId="017AF299" w:rsidR="004505FF" w:rsidRPr="00040BEC" w:rsidRDefault="004505FF" w:rsidP="00F90F75">
      <w:pPr>
        <w:pStyle w:val="Caption"/>
        <w:rPr>
          <w:lang w:val="en-GB"/>
        </w:rPr>
      </w:pPr>
      <w:r w:rsidRPr="00040BEC">
        <w:rPr>
          <w:b w:val="0"/>
          <w:bCs w:val="0"/>
          <w:noProof/>
          <w:lang w:val="da-DK" w:eastAsia="da-DK"/>
        </w:rPr>
        <w:drawing>
          <wp:anchor distT="0" distB="0" distL="114300" distR="114300" simplePos="0" relativeHeight="251701248" behindDoc="0" locked="0" layoutInCell="1" allowOverlap="1" wp14:anchorId="11C0992F" wp14:editId="64B98E5A">
            <wp:simplePos x="0" y="0"/>
            <wp:positionH relativeFrom="page">
              <wp:posOffset>725170</wp:posOffset>
            </wp:positionH>
            <wp:positionV relativeFrom="page">
              <wp:posOffset>609600</wp:posOffset>
            </wp:positionV>
            <wp:extent cx="889000" cy="889000"/>
            <wp:effectExtent l="25400" t="0" r="0" b="0"/>
            <wp:wrapNone/>
            <wp:docPr id="262" name="Picture 262" descr="cep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ept logo"/>
                    <pic:cNvPicPr>
                      <a:picLocks noChangeAspect="1" noChangeArrowheads="1"/>
                    </pic:cNvPicPr>
                  </pic:nvPicPr>
                  <pic:blipFill>
                    <a:blip r:embed="rId10"/>
                    <a:srcRect/>
                    <a:stretch>
                      <a:fillRect/>
                    </a:stretch>
                  </pic:blipFill>
                  <pic:spPr bwMode="auto">
                    <a:xfrm>
                      <a:off x="0" y="0"/>
                      <a:ext cx="889000" cy="889000"/>
                    </a:xfrm>
                    <a:prstGeom prst="rect">
                      <a:avLst/>
                    </a:prstGeom>
                    <a:noFill/>
                  </pic:spPr>
                </pic:pic>
              </a:graphicData>
            </a:graphic>
          </wp:anchor>
        </w:drawing>
      </w:r>
    </w:p>
    <w:p w14:paraId="3ECBC711" w14:textId="77777777" w:rsidR="008A54FC" w:rsidRPr="00040BEC" w:rsidRDefault="008A54FC" w:rsidP="008B56EB">
      <w:pPr>
        <w:jc w:val="right"/>
        <w:rPr>
          <w:lang w:val="en-GB"/>
        </w:rPr>
      </w:pPr>
    </w:p>
    <w:p w14:paraId="2AA0A58D" w14:textId="14B8C5E5" w:rsidR="008A54FC" w:rsidRPr="00040BEC" w:rsidRDefault="008A54FC" w:rsidP="008A54FC">
      <w:pPr>
        <w:rPr>
          <w:lang w:val="en-GB"/>
        </w:rPr>
      </w:pPr>
    </w:p>
    <w:p w14:paraId="6FFBEBE9" w14:textId="0F8C90F3" w:rsidR="008A54FC" w:rsidRPr="00040BEC" w:rsidRDefault="004F12A1" w:rsidP="008A54FC">
      <w:pPr>
        <w:rPr>
          <w:lang w:val="en-GB"/>
        </w:rPr>
      </w:pPr>
      <w:r w:rsidRPr="00040BEC">
        <w:rPr>
          <w:b/>
          <w:noProof/>
          <w:sz w:val="24"/>
          <w:szCs w:val="20"/>
          <w:lang w:val="da-DK" w:eastAsia="da-DK"/>
        </w:rPr>
        <mc:AlternateContent>
          <mc:Choice Requires="wpg">
            <w:drawing>
              <wp:anchor distT="0" distB="0" distL="114300" distR="114300" simplePos="0" relativeHeight="251657216" behindDoc="0" locked="0" layoutInCell="1" allowOverlap="1" wp14:anchorId="472624FC" wp14:editId="105BC543">
                <wp:simplePos x="0" y="0"/>
                <wp:positionH relativeFrom="page">
                  <wp:posOffset>775970</wp:posOffset>
                </wp:positionH>
                <wp:positionV relativeFrom="paragraph">
                  <wp:posOffset>75261</wp:posOffset>
                </wp:positionV>
                <wp:extent cx="1703705" cy="1573530"/>
                <wp:effectExtent l="0" t="19050" r="0" b="0"/>
                <wp:wrapNone/>
                <wp:docPr id="124" name="Group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03705" cy="1573530"/>
                          <a:chOff x="431" y="2744"/>
                          <a:chExt cx="2683" cy="2464"/>
                        </a:xfrm>
                      </wpg:grpSpPr>
                      <wps:wsp>
                        <wps:cNvPr id="125" name="Line 11"/>
                        <wps:cNvCnPr/>
                        <wps:spPr bwMode="auto">
                          <a:xfrm rot="2700000">
                            <a:off x="1265" y="2646"/>
                            <a:ext cx="14" cy="1682"/>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26" name="Line 12"/>
                        <wps:cNvCnPr/>
                        <wps:spPr bwMode="auto">
                          <a:xfrm rot="2700000" flipH="1">
                            <a:off x="574" y="4478"/>
                            <a:ext cx="1431" cy="0"/>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288" name="Line 13"/>
                        <wps:cNvCnPr/>
                        <wps:spPr bwMode="auto">
                          <a:xfrm rot="2700000" flipH="1">
                            <a:off x="2352" y="3653"/>
                            <a:ext cx="1" cy="1555"/>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289" name="Line 14"/>
                        <wps:cNvCnPr/>
                        <wps:spPr bwMode="auto">
                          <a:xfrm rot="2700000" flipH="1">
                            <a:off x="1566" y="3520"/>
                            <a:ext cx="1548" cy="1"/>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290" name="Line 15"/>
                        <wps:cNvCnPr/>
                        <wps:spPr bwMode="auto">
                          <a:xfrm>
                            <a:off x="1797" y="2744"/>
                            <a:ext cx="1" cy="2340"/>
                          </a:xfrm>
                          <a:prstGeom prst="line">
                            <a:avLst/>
                          </a:prstGeom>
                          <a:noFill/>
                          <a:ln w="196850">
                            <a:solidFill>
                              <a:srgbClr val="887E6E"/>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5110BB3B" id="Group 18" o:spid="_x0000_s1026" style="position:absolute;margin-left:61.1pt;margin-top:5.95pt;width:134.15pt;height:123.9pt;z-index:251657216;mso-position-horizontal-relative:page" coordorigin="431,2744" coordsize="2683,24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">
                <v:line id="Line 11" o:spid="_x0000_s1027" style="position:absolute;rotation:45;visibility:visible;mso-wrap-style:square" from="1265,2646" to="1279,43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e5x38MAAADcAAAADwAAAGRycy9kb3ducmV2LnhtbERPTWvCQBC9C/0Pywje6kbFEKOrlFJp&#10;FS+1itchOybB7GzYXTX9912h4G0e73MWq8404kbO15YVjIYJCOLC6ppLBYef9WsGwgdkjY1lUvBL&#10;HlbLl94Cc23v/E23fShFDGGfo4IqhDaX0hcVGfRD2xJH7mydwRChK6V2eI/hppHjJEmlwZpjQ4Ut&#10;vVdUXPZXo+Az232kp2JWb9Gl2XF93Zy2k6lSg373NgcRqAtP8b/7S8f54yk8nokXyOU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nucd/DAAAA3AAAAA8AAAAAAAAAAAAA&#10;AAAAoQIAAGRycy9kb3ducmV2LnhtbFBLBQYAAAAABAAEAPkAAACRAwAAAAA=&#10;" strokecolor="#d2232a" strokeweight="15pt"/>
                <v:line id="Line 12" o:spid="_x0000_s1028" style="position:absolute;rotation:-45;flip:x;visibility:visible;mso-wrap-style:square" from="574,4478" to="2005,44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t5Z5sIAAADcAAAADwAAAGRycy9kb3ducmV2LnhtbERPS2vCQBC+F/oflin01mwaMJSYTSiF&#10;QD1VrT30NmYnD83Ohuyq8d+7QqG3+fiek5ezGcSZJtdbVvAaxSCIa6t7bhXsvquXNxDOI2scLJOC&#10;Kzkoi8eHHDNtL7yh89a3IoSwy1BB5/2YSenqjgy6yI7EgWvsZNAHOLVST3gJ4WaQSRyn0mDPoaHD&#10;kT46qo/bk1FAe/o5NES4XqS/C9Ne5apyX0o9P83vSxCeZv8v/nN/6jA/SeH+TLhAFj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ot5Z5sIAAADcAAAADwAAAAAAAAAAAAAA&#10;AAChAgAAZHJzL2Rvd25yZXYueG1sUEsFBgAAAAAEAAQA+QAAAJADAAAAAA==&#10;" strokecolor="#d2232a" strokeweight="15pt"/>
                <v:line id="Line 13" o:spid="_x0000_s1029" style="position:absolute;rotation:-45;flip:x;visibility:visible;mso-wrap-style:square" from="2352,3653" to="2353,52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LE7m8MAAADcAAAADwAAAGRycy9kb3ducmV2LnhtbERPz2vCMBS+C/sfwht4kTWdgpTaKG6w&#10;oYeB1SEeH81bW9a8dEms3X+/HAYeP77fxWY0nRjI+dayguckBUFcWd1yreDz9PaUgfABWWNnmRT8&#10;kofN+mFSYK7tjUsajqEWMYR9jgqaEPpcSl81ZNAntieO3Jd1BkOErpba4S2Gm07O03QpDbYcGxrs&#10;6bWh6vt4NQqu7gfd++wFz4fzNnSXRbkfPkqlpo/jdgUi0Bju4n/3TiuYZ3FtPBOPgFz/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ixO5vDAAAA3AAAAA8AAAAAAAAAAAAA&#10;AAAAoQIAAGRycy9kb3ducmV2LnhtbFBLBQYAAAAABAAEAPkAAACRAwAAAAA=&#10;" strokecolor="white" strokeweight="15pt"/>
                <v:line id="Line 14" o:spid="_x0000_s1030" style="position:absolute;rotation:-45;flip:x;visibility:visible;mso-wrap-style:square" from="1566,3520" to="3114,35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2eAMYAAADcAAAADwAAAGRycy9kb3ducmV2LnhtbESPQWvCQBSE74L/YXlCL6KbWhCNrmIL&#10;Le1BaFTE4yP7TILZt+nuGtN/3xWEHoeZ+YZZrjtTi5acrywreB4nIIhzqysuFBz276MZCB+QNdaW&#10;ScEveViv+r0lptreOKN2FwoRIexTVFCG0KRS+rwkg35sG+Lona0zGKJ0hdQObxFuajlJkqk0WHFc&#10;KLGht5Lyy+5qFFzdD7qP4Ssev4+bUJ9esq92myn1NOg2CxCBuvAffrQ/tYLJbA73M/EIyNU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f9ngDGAAAA3AAAAA8AAAAAAAAA&#10;AAAAAAAAoQIAAGRycy9kb3ducmV2LnhtbFBLBQYAAAAABAAEAPkAAACUAwAAAAA=&#10;" strokecolor="white" strokeweight="15pt"/>
                <v:line id="Line 15" o:spid="_x0000_s1031" style="position:absolute;visibility:visible;mso-wrap-style:square" from="1797,2744" to="1798,50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bDgHsEAAADcAAAADwAAAGRycy9kb3ducmV2LnhtbERPz2uDMBS+D/Y/hFfYbcZ6KK1rWqRU&#10;2G1bp+z6MK9Gal6cSdX998thsOPH93t/XGwvJhp951jBOklBEDdOd9wqqD7L5y0IH5A19o5JwQ95&#10;OB4eH/aYazfzB02X0IoYwj5HBSaEIZfSN4Ys+sQNxJG7utFiiHBspR5xjuG2l1mabqTFjmODwYFO&#10;hprb5W4VFEX61Z+qunzLtDm/19+4m7cbpZ5WS/ECItAS/sV/7letINvF+fFMPALy8As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tsOAewQAAANwAAAAPAAAAAAAAAAAAAAAA&#10;AKECAABkcnMvZG93bnJldi54bWxQSwUGAAAAAAQABAD5AAAAjwMAAAAA&#10;" strokecolor="#887e6e" strokeweight="15.5pt"/>
                <w10:wrap anchorx="page"/>
              </v:group>
            </w:pict>
          </mc:Fallback>
        </mc:AlternateContent>
      </w:r>
    </w:p>
    <w:p w14:paraId="2E9633BF" w14:textId="77777777" w:rsidR="008A54FC" w:rsidRPr="00040BEC" w:rsidRDefault="00531617" w:rsidP="008A54FC">
      <w:pPr>
        <w:jc w:val="center"/>
        <w:rPr>
          <w:b/>
          <w:sz w:val="24"/>
          <w:lang w:val="en-GB"/>
        </w:rPr>
      </w:pPr>
      <w:r w:rsidRPr="00040BEC">
        <w:rPr>
          <w:b/>
          <w:noProof/>
          <w:sz w:val="24"/>
          <w:szCs w:val="20"/>
          <w:lang w:val="da-DK" w:eastAsia="da-DK"/>
        </w:rPr>
        <mc:AlternateContent>
          <mc:Choice Requires="wps">
            <w:drawing>
              <wp:anchor distT="0" distB="0" distL="114300" distR="114300" simplePos="0" relativeHeight="251656192" behindDoc="0" locked="0" layoutInCell="1" allowOverlap="1" wp14:anchorId="5EDA9116" wp14:editId="01FCEAAA">
                <wp:simplePos x="0" y="0"/>
                <wp:positionH relativeFrom="page">
                  <wp:posOffset>0</wp:posOffset>
                </wp:positionH>
                <wp:positionV relativeFrom="page">
                  <wp:posOffset>1714500</wp:posOffset>
                </wp:positionV>
                <wp:extent cx="7560310" cy="1628140"/>
                <wp:effectExtent l="0" t="0" r="2540" b="0"/>
                <wp:wrapNone/>
                <wp:docPr id="127"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60310" cy="1628140"/>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AE68D94" w14:textId="4A38AA11" w:rsidR="00DA7779" w:rsidRPr="003E5940" w:rsidRDefault="00DA7779" w:rsidP="008A54FC">
                            <w:pPr>
                              <w:rPr>
                                <w:color w:val="FFFFFF"/>
                                <w:sz w:val="68"/>
                              </w:rPr>
                            </w:pPr>
                            <w:r>
                              <w:rPr>
                                <w:color w:val="FFFFFF"/>
                                <w:sz w:val="68"/>
                              </w:rPr>
                              <w:t xml:space="preserve">CEPT Report </w:t>
                            </w:r>
                            <w:r w:rsidRPr="00A56349">
                              <w:rPr>
                                <w:color w:val="FF0000"/>
                                <w:sz w:val="68"/>
                              </w:rPr>
                              <w:t>52</w:t>
                            </w:r>
                          </w:p>
                        </w:txbxContent>
                      </wps:txbx>
                      <wps:bodyPr rot="0" vert="horz" wrap="square" lIns="2880000" tIns="54000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9" o:spid="_x0000_s1026" type="#_x0000_t202" style="position:absolute;left:0;text-align:left;margin-left:0;margin-top:135pt;width:595.3pt;height:128.2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" fillcolor="#887e6e" stroked="f">
                <v:textbox inset="80mm,15mm">
                  <w:txbxContent>
                    <w:p w14:paraId="3AE68D94" w14:textId="4A38AA11" w:rsidR="00DA7779" w:rsidRPr="003E5940" w:rsidRDefault="00DA7779" w:rsidP="008A54FC">
                      <w:pPr>
                        <w:rPr>
                          <w:color w:val="FFFFFF"/>
                          <w:sz w:val="68"/>
                        </w:rPr>
                      </w:pPr>
                      <w:r>
                        <w:rPr>
                          <w:color w:val="FFFFFF"/>
                          <w:sz w:val="68"/>
                        </w:rPr>
                        <w:t xml:space="preserve">CEPT Report </w:t>
                      </w:r>
                      <w:r w:rsidRPr="00A56349">
                        <w:rPr>
                          <w:color w:val="FF0000"/>
                          <w:sz w:val="68"/>
                        </w:rPr>
                        <w:t>52</w:t>
                      </w:r>
                    </w:p>
                  </w:txbxContent>
                </v:textbox>
                <w10:wrap anchorx="page" anchory="page"/>
              </v:shape>
            </w:pict>
          </mc:Fallback>
        </mc:AlternateContent>
      </w:r>
    </w:p>
    <w:p w14:paraId="534BE1A7" w14:textId="77777777" w:rsidR="008A54FC" w:rsidRPr="00040BEC" w:rsidRDefault="008A54FC" w:rsidP="008A54FC">
      <w:pPr>
        <w:jc w:val="center"/>
        <w:rPr>
          <w:b/>
          <w:sz w:val="24"/>
          <w:lang w:val="en-GB"/>
        </w:rPr>
      </w:pPr>
    </w:p>
    <w:p w14:paraId="211CB782" w14:textId="77777777" w:rsidR="008A54FC" w:rsidRPr="00040BEC" w:rsidRDefault="008A54FC" w:rsidP="008A54FC">
      <w:pPr>
        <w:jc w:val="center"/>
        <w:rPr>
          <w:b/>
          <w:sz w:val="24"/>
          <w:lang w:val="en-GB"/>
        </w:rPr>
      </w:pPr>
    </w:p>
    <w:p w14:paraId="65B8C905" w14:textId="77777777" w:rsidR="008A54FC" w:rsidRPr="00040BEC" w:rsidRDefault="008A54FC" w:rsidP="008A54FC">
      <w:pPr>
        <w:jc w:val="center"/>
        <w:rPr>
          <w:b/>
          <w:sz w:val="24"/>
          <w:lang w:val="en-GB"/>
        </w:rPr>
      </w:pPr>
    </w:p>
    <w:p w14:paraId="7D04BA00" w14:textId="77777777" w:rsidR="008A54FC" w:rsidRPr="00040BEC" w:rsidRDefault="008A54FC" w:rsidP="008A54FC">
      <w:pPr>
        <w:jc w:val="center"/>
        <w:rPr>
          <w:b/>
          <w:sz w:val="24"/>
          <w:lang w:val="en-GB"/>
        </w:rPr>
      </w:pPr>
    </w:p>
    <w:p w14:paraId="39609580" w14:textId="77777777" w:rsidR="008A54FC" w:rsidRPr="00040BEC" w:rsidRDefault="008A54FC" w:rsidP="008A54FC">
      <w:pPr>
        <w:jc w:val="center"/>
        <w:rPr>
          <w:b/>
          <w:sz w:val="24"/>
          <w:lang w:val="en-GB"/>
        </w:rPr>
      </w:pPr>
    </w:p>
    <w:p w14:paraId="495420F2" w14:textId="77777777" w:rsidR="008A54FC" w:rsidRPr="00040BEC" w:rsidRDefault="008A54FC" w:rsidP="008A54FC">
      <w:pPr>
        <w:jc w:val="center"/>
        <w:rPr>
          <w:b/>
          <w:sz w:val="24"/>
          <w:lang w:val="en-GB"/>
        </w:rPr>
      </w:pPr>
    </w:p>
    <w:p w14:paraId="3B80CEC3" w14:textId="77777777" w:rsidR="008A54FC" w:rsidRPr="00040BEC" w:rsidRDefault="008A54FC" w:rsidP="008A54FC">
      <w:pPr>
        <w:jc w:val="center"/>
        <w:rPr>
          <w:b/>
          <w:sz w:val="24"/>
          <w:lang w:val="en-GB"/>
        </w:rPr>
      </w:pPr>
    </w:p>
    <w:p w14:paraId="5788E96D" w14:textId="77777777" w:rsidR="008A54FC" w:rsidRPr="00040BEC" w:rsidRDefault="008A54FC" w:rsidP="008A54FC">
      <w:pPr>
        <w:jc w:val="center"/>
        <w:rPr>
          <w:b/>
          <w:sz w:val="24"/>
          <w:lang w:val="en-GB"/>
        </w:rPr>
      </w:pPr>
    </w:p>
    <w:p w14:paraId="3A6FEB97" w14:textId="77777777" w:rsidR="008A54FC" w:rsidRPr="00040BEC" w:rsidRDefault="008A54FC" w:rsidP="008A54FC">
      <w:pPr>
        <w:rPr>
          <w:b/>
          <w:sz w:val="24"/>
          <w:lang w:val="en-GB"/>
        </w:rPr>
      </w:pPr>
    </w:p>
    <w:p w14:paraId="72ADD665" w14:textId="77777777" w:rsidR="008A54FC" w:rsidRPr="00040BEC" w:rsidRDefault="008A54FC" w:rsidP="008A54FC">
      <w:pPr>
        <w:jc w:val="center"/>
        <w:rPr>
          <w:b/>
          <w:sz w:val="24"/>
          <w:lang w:val="en-GB"/>
        </w:rPr>
      </w:pPr>
    </w:p>
    <w:p w14:paraId="1206D908" w14:textId="77777777" w:rsidR="00342520" w:rsidRPr="00040BEC" w:rsidRDefault="005A430C" w:rsidP="004505FF">
      <w:pPr>
        <w:pStyle w:val="Reporttitledescription"/>
        <w:jc w:val="both"/>
        <w:rPr>
          <w:lang w:val="en-GB"/>
        </w:rPr>
      </w:pPr>
      <w:r w:rsidRPr="00040BEC">
        <w:rPr>
          <w:szCs w:val="20"/>
          <w:lang w:val="en-GB"/>
        </w:rPr>
        <w:t xml:space="preserve">Report from </w:t>
      </w:r>
      <w:r w:rsidR="004612DF" w:rsidRPr="00040BEC">
        <w:rPr>
          <w:szCs w:val="20"/>
          <w:lang w:val="en-GB"/>
        </w:rPr>
        <w:t>C</w:t>
      </w:r>
      <w:r w:rsidRPr="00040BEC">
        <w:rPr>
          <w:szCs w:val="20"/>
          <w:lang w:val="en-GB"/>
        </w:rPr>
        <w:t xml:space="preserve">EPT </w:t>
      </w:r>
      <w:r w:rsidR="00342520" w:rsidRPr="00040BEC">
        <w:rPr>
          <w:lang w:val="en-GB"/>
        </w:rPr>
        <w:t xml:space="preserve">to the </w:t>
      </w:r>
      <w:r w:rsidR="00F37901" w:rsidRPr="00040BEC">
        <w:rPr>
          <w:lang w:val="en-GB"/>
        </w:rPr>
        <w:t>E</w:t>
      </w:r>
      <w:r w:rsidRPr="00040BEC">
        <w:rPr>
          <w:lang w:val="en-GB"/>
        </w:rPr>
        <w:t xml:space="preserve">uropean </w:t>
      </w:r>
      <w:r w:rsidR="00F37901" w:rsidRPr="00040BEC">
        <w:rPr>
          <w:lang w:val="en-GB"/>
        </w:rPr>
        <w:t>C</w:t>
      </w:r>
      <w:r w:rsidRPr="00040BEC">
        <w:rPr>
          <w:lang w:val="en-GB"/>
        </w:rPr>
        <w:t>ommission in response</w:t>
      </w:r>
      <w:r w:rsidR="00F37901" w:rsidRPr="00040BEC">
        <w:rPr>
          <w:lang w:val="en-GB"/>
        </w:rPr>
        <w:t xml:space="preserve"> </w:t>
      </w:r>
      <w:r w:rsidRPr="00040BEC">
        <w:rPr>
          <w:lang w:val="en-GB"/>
        </w:rPr>
        <w:t xml:space="preserve">to the </w:t>
      </w:r>
      <w:r w:rsidR="00342520" w:rsidRPr="00040BEC">
        <w:rPr>
          <w:lang w:val="en-GB"/>
        </w:rPr>
        <w:t>Mandate “To undertake studies on the harmoni</w:t>
      </w:r>
      <w:r w:rsidR="00AC1BED" w:rsidRPr="00040BEC">
        <w:rPr>
          <w:lang w:val="en-GB"/>
        </w:rPr>
        <w:t>s</w:t>
      </w:r>
      <w:r w:rsidR="00342520" w:rsidRPr="00040BEC">
        <w:rPr>
          <w:lang w:val="en-GB"/>
        </w:rPr>
        <w:t>ed technical conditions for the 1900-1920 MHz and 2010-2025 MHz frequency bands (“Unpaired terrestrial 2 GHz band</w:t>
      </w:r>
      <w:r w:rsidR="00495E5C" w:rsidRPr="00040BEC">
        <w:rPr>
          <w:lang w:val="en-GB"/>
        </w:rPr>
        <w:t>s</w:t>
      </w:r>
      <w:r w:rsidR="00342520" w:rsidRPr="00040BEC">
        <w:rPr>
          <w:lang w:val="en-GB"/>
        </w:rPr>
        <w:t>”) in the EU</w:t>
      </w:r>
      <w:r w:rsidR="00600BC9" w:rsidRPr="00040BEC">
        <w:rPr>
          <w:lang w:val="en-GB"/>
        </w:rPr>
        <w:t>”</w:t>
      </w:r>
    </w:p>
    <w:p w14:paraId="18EE2F6A" w14:textId="77777777" w:rsidR="00BB6BFD" w:rsidRPr="00040BEC" w:rsidRDefault="00BB6BFD" w:rsidP="00BB6BFD">
      <w:pPr>
        <w:pStyle w:val="Lastupdated"/>
        <w:rPr>
          <w:lang w:val="en-GB"/>
        </w:rPr>
      </w:pPr>
    </w:p>
    <w:p w14:paraId="049DBD71" w14:textId="77777777" w:rsidR="00BB6BFD" w:rsidRPr="00040BEC" w:rsidRDefault="00BB6BFD" w:rsidP="00BB6BFD">
      <w:pPr>
        <w:pStyle w:val="Lastupdated"/>
        <w:rPr>
          <w:lang w:val="en-GB"/>
        </w:rPr>
      </w:pPr>
    </w:p>
    <w:p w14:paraId="408DF075" w14:textId="77777777" w:rsidR="00BB6BFD" w:rsidRDefault="00BB6BFD" w:rsidP="00BB6BFD">
      <w:pPr>
        <w:pStyle w:val="Lastupdated"/>
        <w:rPr>
          <w:b/>
          <w:lang w:val="en-GB"/>
        </w:rPr>
      </w:pPr>
      <w:r w:rsidRPr="00040BEC">
        <w:rPr>
          <w:b/>
          <w:bCs w:val="0"/>
          <w:noProof/>
          <w:szCs w:val="20"/>
          <w:lang w:val="da-DK" w:eastAsia="da-DK"/>
        </w:rPr>
        <mc:AlternateContent>
          <mc:Choice Requires="wps">
            <w:drawing>
              <wp:anchor distT="0" distB="0" distL="114300" distR="114300" simplePos="0" relativeHeight="251760640" behindDoc="0" locked="0" layoutInCell="1" allowOverlap="1" wp14:anchorId="204EA06F" wp14:editId="036D7355">
                <wp:simplePos x="0" y="0"/>
                <wp:positionH relativeFrom="page">
                  <wp:posOffset>3810</wp:posOffset>
                </wp:positionH>
                <wp:positionV relativeFrom="page">
                  <wp:posOffset>9803765</wp:posOffset>
                </wp:positionV>
                <wp:extent cx="7560310" cy="179705"/>
                <wp:effectExtent l="0" t="0" r="2540" b="0"/>
                <wp:wrapNone/>
                <wp:docPr id="123"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179705"/>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54000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 o:spid="_x0000_s1026" style="position:absolute;margin-left:.3pt;margin-top:771.95pt;width:595.3pt;height:14.15pt;z-index:251760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" fillcolor="#887e6e" stroked="f">
                <v:textbox inset=",15mm"/>
                <w10:wrap anchorx="page" anchory="page"/>
              </v:rect>
            </w:pict>
          </mc:Fallback>
        </mc:AlternateContent>
      </w:r>
      <w:r w:rsidRPr="00040BEC">
        <w:rPr>
          <w:b/>
          <w:lang w:val="en-GB"/>
        </w:rPr>
        <w:t>Report approved on 6 March 2015 by the ECC</w:t>
      </w:r>
    </w:p>
    <w:p w14:paraId="35BCCAD7" w14:textId="77777777" w:rsidR="00EE699F" w:rsidRDefault="00EE699F" w:rsidP="00BB6BFD">
      <w:pPr>
        <w:pStyle w:val="Lastupdated"/>
        <w:rPr>
          <w:b/>
          <w:lang w:val="en-GB"/>
        </w:rPr>
      </w:pPr>
    </w:p>
    <w:p w14:paraId="26BE5F31" w14:textId="5E792450" w:rsidR="00EE699F" w:rsidRPr="00040BEC" w:rsidRDefault="00EE699F" w:rsidP="00BB6BFD">
      <w:pPr>
        <w:pStyle w:val="Lastupdated"/>
        <w:rPr>
          <w:b/>
          <w:lang w:val="en-GB"/>
        </w:rPr>
      </w:pPr>
      <w:r>
        <w:rPr>
          <w:b/>
          <w:lang w:val="en-GB"/>
        </w:rPr>
        <w:t>Last updated: 4 March 2016</w:t>
      </w:r>
    </w:p>
    <w:p w14:paraId="2BC0B098" w14:textId="7543AE98" w:rsidR="008A54FC" w:rsidRPr="00040BEC" w:rsidRDefault="008A54FC" w:rsidP="008A54FC">
      <w:pPr>
        <w:pStyle w:val="Reporttitledescription"/>
        <w:rPr>
          <w:b/>
          <w:sz w:val="18"/>
          <w:lang w:val="en-GB"/>
        </w:rPr>
      </w:pPr>
    </w:p>
    <w:p w14:paraId="2B017691" w14:textId="77777777" w:rsidR="00247FA2" w:rsidRPr="00040BEC" w:rsidRDefault="00247FA2">
      <w:pPr>
        <w:rPr>
          <w:b/>
          <w:szCs w:val="20"/>
          <w:lang w:val="en-GB"/>
        </w:rPr>
      </w:pPr>
    </w:p>
    <w:p w14:paraId="722E5750" w14:textId="77777777" w:rsidR="008A54FC" w:rsidRPr="00040BEC" w:rsidRDefault="008A54FC" w:rsidP="00176CF0">
      <w:pPr>
        <w:pStyle w:val="Heading1"/>
      </w:pPr>
      <w:bookmarkStart w:id="0" w:name="_Toc396903987"/>
      <w:bookmarkStart w:id="1" w:name="_Toc445129304"/>
      <w:r w:rsidRPr="00040BEC">
        <w:lastRenderedPageBreak/>
        <w:t>Executive summary</w:t>
      </w:r>
      <w:bookmarkEnd w:id="0"/>
      <w:bookmarkEnd w:id="1"/>
    </w:p>
    <w:p w14:paraId="76D89291" w14:textId="77777777" w:rsidR="000B7474" w:rsidRPr="00040BEC" w:rsidRDefault="00231240" w:rsidP="000B7474">
      <w:pPr>
        <w:pStyle w:val="ECCParagraph"/>
      </w:pPr>
      <w:proofErr w:type="gramStart"/>
      <w:r w:rsidRPr="00040BEC">
        <w:t>Th</w:t>
      </w:r>
      <w:r w:rsidR="005A430C" w:rsidRPr="00040BEC">
        <w:t xml:space="preserve">is CEPT Report </w:t>
      </w:r>
      <w:r w:rsidR="00AF0215" w:rsidRPr="00040BEC">
        <w:t>has been</w:t>
      </w:r>
      <w:r w:rsidR="007330AF" w:rsidRPr="00040BEC">
        <w:t xml:space="preserve"> </w:t>
      </w:r>
      <w:r w:rsidR="00B31F24" w:rsidRPr="00040BEC">
        <w:t xml:space="preserve">developed within European </w:t>
      </w:r>
      <w:r w:rsidR="003E47F3" w:rsidRPr="00040BEC">
        <w:t xml:space="preserve">Conference </w:t>
      </w:r>
      <w:r w:rsidR="00B31F24" w:rsidRPr="00040BEC">
        <w:t xml:space="preserve">of Postal and Telecommunications Administrations (CEPT) in the framework of the EC mandate </w:t>
      </w:r>
      <w:r w:rsidR="000B7474" w:rsidRPr="00040BEC">
        <w:t>to assess and identify alternative uses of the unpaired terrestrial 2 GHz frequency bands (1900-1920 MHz and 2010-2025 MHz) other than for the provision of mobile electronic communications services</w:t>
      </w:r>
      <w:r w:rsidR="00E34237" w:rsidRPr="00040BEC">
        <w:t xml:space="preserve"> through terrestrial cellular networks </w:t>
      </w:r>
      <w:r w:rsidR="000B7474" w:rsidRPr="00040BEC">
        <w:t>(as introduced by the UMTS Decision</w:t>
      </w:r>
      <w:r w:rsidR="00FB2845" w:rsidRPr="00040BEC">
        <w:t xml:space="preserve"> of 1999</w:t>
      </w:r>
      <w:r w:rsidR="00FB2845" w:rsidRPr="00040BEC">
        <w:rPr>
          <w:rStyle w:val="FootnoteReference"/>
        </w:rPr>
        <w:footnoteReference w:id="2"/>
      </w:r>
      <w:r w:rsidR="000B7474" w:rsidRPr="00040BEC">
        <w:t>) as well as develop relevant least restrictive technical conditions for spectrum use.</w:t>
      </w:r>
      <w:proofErr w:type="gramEnd"/>
      <w:r w:rsidR="000B7474" w:rsidRPr="00040BEC">
        <w:t xml:space="preserve"> </w:t>
      </w:r>
    </w:p>
    <w:p w14:paraId="6D7BC447" w14:textId="77777777" w:rsidR="002851E0" w:rsidRPr="00040BEC" w:rsidRDefault="002851E0" w:rsidP="006D2490">
      <w:pPr>
        <w:pStyle w:val="ECCParagraph"/>
        <w:rPr>
          <w:b/>
          <w:u w:val="single"/>
        </w:rPr>
      </w:pPr>
      <w:r w:rsidRPr="00040BEC">
        <w:rPr>
          <w:b/>
          <w:u w:val="single"/>
        </w:rPr>
        <w:t>Background</w:t>
      </w:r>
    </w:p>
    <w:p w14:paraId="4025BE85" w14:textId="77777777" w:rsidR="006D2490" w:rsidRPr="00040BEC" w:rsidRDefault="006D2490" w:rsidP="006D2490">
      <w:pPr>
        <w:pStyle w:val="ECCParagraph"/>
      </w:pPr>
      <w:r w:rsidRPr="00040BEC">
        <w:t xml:space="preserve">The </w:t>
      </w:r>
      <w:r w:rsidR="00DE630C" w:rsidRPr="00040BEC">
        <w:t xml:space="preserve">European </w:t>
      </w:r>
      <w:r w:rsidRPr="00040BEC">
        <w:t xml:space="preserve">Commission considered that there is no viable harmonisation option </w:t>
      </w:r>
      <w:r w:rsidR="00AB6E56" w:rsidRPr="00040BEC">
        <w:t>for</w:t>
      </w:r>
      <w:r w:rsidR="002851E0" w:rsidRPr="00040BEC">
        <w:t xml:space="preserve"> </w:t>
      </w:r>
      <w:r w:rsidRPr="00040BEC">
        <w:t xml:space="preserve">mobile broadband </w:t>
      </w:r>
      <w:r w:rsidR="00AB6E56" w:rsidRPr="00040BEC">
        <w:t xml:space="preserve">services using </w:t>
      </w:r>
      <w:r w:rsidRPr="00040BEC">
        <w:t xml:space="preserve">the </w:t>
      </w:r>
      <w:r w:rsidR="00695A17" w:rsidRPr="00040BEC">
        <w:t xml:space="preserve">unpaired terrestrial 2 GHz spectrum </w:t>
      </w:r>
      <w:r w:rsidR="00E72FF9" w:rsidRPr="00040BEC">
        <w:t>that</w:t>
      </w:r>
      <w:r w:rsidRPr="00040BEC">
        <w:t xml:space="preserve"> would </w:t>
      </w:r>
      <w:r w:rsidR="00AB6E56" w:rsidRPr="00040BEC">
        <w:t xml:space="preserve">avoid an unacceptable </w:t>
      </w:r>
      <w:r w:rsidRPr="00040BEC">
        <w:t>impact on current licen</w:t>
      </w:r>
      <w:r w:rsidR="0056016E" w:rsidRPr="00040BEC">
        <w:t>c</w:t>
      </w:r>
      <w:r w:rsidRPr="00040BEC">
        <w:t>es. An alternative harmonisation option outside the current framework of licen</w:t>
      </w:r>
      <w:r w:rsidR="0056016E" w:rsidRPr="00040BEC">
        <w:t>c</w:t>
      </w:r>
      <w:r w:rsidRPr="00040BEC">
        <w:t xml:space="preserve">e conditions would have to </w:t>
      </w:r>
      <w:proofErr w:type="gramStart"/>
      <w:r w:rsidRPr="00040BEC">
        <w:t>be pursued</w:t>
      </w:r>
      <w:proofErr w:type="gramEnd"/>
      <w:r w:rsidRPr="00040BEC">
        <w:t>, which would</w:t>
      </w:r>
      <w:r w:rsidR="00AB6E56" w:rsidRPr="00040BEC">
        <w:t xml:space="preserve"> be</w:t>
      </w:r>
      <w:r w:rsidRPr="00040BEC">
        <w:t xml:space="preserve"> likely to imply change or revocation of existing authorisations.</w:t>
      </w:r>
    </w:p>
    <w:p w14:paraId="030ACF5C" w14:textId="77777777" w:rsidR="00813E7C" w:rsidRPr="00040BEC" w:rsidRDefault="00695A17" w:rsidP="00813E7C">
      <w:pPr>
        <w:pStyle w:val="ECCParagraph"/>
      </w:pPr>
      <w:r w:rsidRPr="00040BEC">
        <w:t xml:space="preserve">Therefore, </w:t>
      </w:r>
      <w:r w:rsidR="00454F1F" w:rsidRPr="00040BEC">
        <w:t xml:space="preserve">CEPT </w:t>
      </w:r>
      <w:proofErr w:type="gramStart"/>
      <w:r w:rsidR="00454F1F" w:rsidRPr="00040BEC">
        <w:t>was mandated</w:t>
      </w:r>
      <w:proofErr w:type="gramEnd"/>
      <w:r w:rsidR="00454F1F" w:rsidRPr="00040BEC">
        <w:t xml:space="preserve"> to </w:t>
      </w:r>
      <w:r w:rsidR="00813E7C" w:rsidRPr="00040BEC">
        <w:t>undertake</w:t>
      </w:r>
      <w:r w:rsidR="00454F1F" w:rsidRPr="00040BEC">
        <w:t xml:space="preserve"> the following tasks</w:t>
      </w:r>
      <w:r w:rsidR="00813E7C" w:rsidRPr="00040BEC">
        <w:t>:</w:t>
      </w:r>
    </w:p>
    <w:p w14:paraId="50C1A422" w14:textId="77777777" w:rsidR="00813E7C" w:rsidRPr="00040BEC" w:rsidRDefault="00813E7C" w:rsidP="00BE115C">
      <w:pPr>
        <w:pStyle w:val="ECCParagraph"/>
        <w:numPr>
          <w:ilvl w:val="0"/>
          <w:numId w:val="30"/>
        </w:numPr>
      </w:pPr>
      <w:r w:rsidRPr="00040BEC">
        <w:t xml:space="preserve">Assess and identify </w:t>
      </w:r>
      <w:r w:rsidR="00AB6E56" w:rsidRPr="00040BEC">
        <w:t>suitable</w:t>
      </w:r>
      <w:r w:rsidR="002851E0" w:rsidRPr="00040BEC">
        <w:t xml:space="preserve"> </w:t>
      </w:r>
      <w:r w:rsidRPr="00040BEC">
        <w:t>uses other than mobile electronic communications services delivered through terrestrial cellular networks and define the common minimal (least restrictive) technical conditions</w:t>
      </w:r>
      <w:r w:rsidR="002851E0" w:rsidRPr="00040BEC">
        <w:t xml:space="preserve"> </w:t>
      </w:r>
      <w:r w:rsidR="00AB6E56" w:rsidRPr="00040BEC">
        <w:t>that would apply to them in these bands</w:t>
      </w:r>
      <w:r w:rsidRPr="00040BEC">
        <w:t>. These conditions should be sufficient to avoid interference with services or radio applications in adjacent bands, ensure coexistence with other services or radio applications in the same band, and facilitate cross-border coordinatio</w:t>
      </w:r>
      <w:r w:rsidR="006D2490" w:rsidRPr="00040BEC">
        <w:t>n, also at the EU outer borders;</w:t>
      </w:r>
    </w:p>
    <w:p w14:paraId="2FC29089" w14:textId="77777777" w:rsidR="00813E7C" w:rsidRPr="00040BEC" w:rsidRDefault="00813E7C" w:rsidP="00BE115C">
      <w:pPr>
        <w:pStyle w:val="ECCParagraph"/>
        <w:numPr>
          <w:ilvl w:val="0"/>
          <w:numId w:val="30"/>
        </w:numPr>
      </w:pPr>
      <w:r w:rsidRPr="00040BEC">
        <w:t xml:space="preserve">In performing task (1), consider the following non-ECS uses in line with the priorities of the </w:t>
      </w:r>
      <w:proofErr w:type="gramStart"/>
      <w:r w:rsidRPr="00040BEC">
        <w:t>RSPP:</w:t>
      </w:r>
      <w:proofErr w:type="gramEnd"/>
      <w:r w:rsidRPr="00040BEC">
        <w:t xml:space="preserve"> broadband PPDR, PMSE, short-range devices and DECT. This is without prejudice to the consideration of alternative uses for electronic communications services in line with EU spectrum policy objectives, such as Broadband Dire</w:t>
      </w:r>
      <w:r w:rsidR="006D2490" w:rsidRPr="00040BEC">
        <w:t>ct-Air-To-Ground Communications;</w:t>
      </w:r>
    </w:p>
    <w:p w14:paraId="562F9CA1" w14:textId="77777777" w:rsidR="00813E7C" w:rsidRPr="00040BEC" w:rsidRDefault="00813E7C" w:rsidP="00BE115C">
      <w:pPr>
        <w:pStyle w:val="ECCParagraph"/>
        <w:numPr>
          <w:ilvl w:val="0"/>
          <w:numId w:val="30"/>
        </w:numPr>
      </w:pPr>
      <w:proofErr w:type="gramStart"/>
      <w:r w:rsidRPr="00040BEC">
        <w:t>In performing task (1) as specified by task (2) and given the limited temporal or geographical scope of one or more of the radio application</w:t>
      </w:r>
      <w:r w:rsidR="002851E0" w:rsidRPr="00040BEC">
        <w:t>s</w:t>
      </w:r>
      <w:r w:rsidRPr="00040BEC">
        <w:t xml:space="preserve"> under consideration, assess and justify the possibility of spectrum sharing amongst the radio applications under consideration and, if necessary, develop common technical sharing conditions which may include inter alia spectrum access rules, channelling arrangements or power emission limits that are sufficiently precise for the development of EU-wide equipment.</w:t>
      </w:r>
      <w:proofErr w:type="gramEnd"/>
    </w:p>
    <w:p w14:paraId="7B98A38D" w14:textId="77777777" w:rsidR="0037312B" w:rsidRPr="00040BEC" w:rsidRDefault="00FB335B" w:rsidP="0037312B">
      <w:pPr>
        <w:pStyle w:val="ECCParagraph"/>
      </w:pPr>
      <w:r w:rsidRPr="00040BEC">
        <w:t xml:space="preserve">As presented in section </w:t>
      </w:r>
      <w:r w:rsidR="00531617" w:rsidRPr="00040BEC">
        <w:fldChar w:fldCharType="begin"/>
      </w:r>
      <w:r w:rsidR="00531617" w:rsidRPr="00040BEC">
        <w:instrText xml:space="preserve"> REF _Ref355881055 \r \h  \* MERGEFORMAT </w:instrText>
      </w:r>
      <w:r w:rsidR="00531617" w:rsidRPr="00040BEC">
        <w:fldChar w:fldCharType="separate"/>
      </w:r>
      <w:r w:rsidR="002327BB">
        <w:t>2.2</w:t>
      </w:r>
      <w:r w:rsidR="00531617" w:rsidRPr="00040BEC">
        <w:fldChar w:fldCharType="end"/>
      </w:r>
      <w:r w:rsidRPr="00040BEC">
        <w:t xml:space="preserve"> (</w:t>
      </w:r>
      <w:r w:rsidR="00531617" w:rsidRPr="00040BEC">
        <w:fldChar w:fldCharType="begin"/>
      </w:r>
      <w:r w:rsidR="00531617" w:rsidRPr="00040BEC">
        <w:instrText xml:space="preserve"> REF _Ref355881055 \h  \* MERGEFORMAT </w:instrText>
      </w:r>
      <w:r w:rsidR="00531617" w:rsidRPr="00040BEC">
        <w:fldChar w:fldCharType="separate"/>
      </w:r>
      <w:r w:rsidR="002327BB" w:rsidRPr="00040BEC">
        <w:t>Current authorisations and uses of the unpaired 2 GH</w:t>
      </w:r>
      <w:r w:rsidR="002327BB" w:rsidRPr="002327BB">
        <w:t>z</w:t>
      </w:r>
      <w:r w:rsidR="002327BB" w:rsidRPr="00040BEC">
        <w:t xml:space="preserve"> bands</w:t>
      </w:r>
      <w:r w:rsidR="00531617" w:rsidRPr="00040BEC">
        <w:fldChar w:fldCharType="end"/>
      </w:r>
      <w:r w:rsidRPr="00040BEC">
        <w:t>), there are licen</w:t>
      </w:r>
      <w:r w:rsidR="0056016E" w:rsidRPr="00040BEC">
        <w:t>c</w:t>
      </w:r>
      <w:r w:rsidRPr="00040BEC">
        <w:t>es in force in Europe in both</w:t>
      </w:r>
      <w:r w:rsidR="0037312B" w:rsidRPr="00040BEC">
        <w:t xml:space="preserve"> unpaired 2 GHz bands. Some of the licen</w:t>
      </w:r>
      <w:r w:rsidR="0056016E" w:rsidRPr="00040BEC">
        <w:t>c</w:t>
      </w:r>
      <w:r w:rsidR="0037312B" w:rsidRPr="00040BEC">
        <w:t xml:space="preserve">es </w:t>
      </w:r>
      <w:proofErr w:type="gramStart"/>
      <w:r w:rsidR="0037312B" w:rsidRPr="00040BEC">
        <w:t>were awarded</w:t>
      </w:r>
      <w:proofErr w:type="gramEnd"/>
      <w:r w:rsidR="0037312B" w:rsidRPr="00040BEC">
        <w:t xml:space="preserve"> after spectrum auction processes and, as a result, considerable auction prices were achieved. </w:t>
      </w:r>
      <w:proofErr w:type="gramStart"/>
      <w:r w:rsidR="0037312B" w:rsidRPr="00040BEC">
        <w:t>In some countries, a licen</w:t>
      </w:r>
      <w:r w:rsidR="0056016E" w:rsidRPr="00040BEC">
        <w:t>c</w:t>
      </w:r>
      <w:r w:rsidR="0037312B" w:rsidRPr="00040BEC">
        <w:t>e repeal process might be possible in case of continued non-implementation, whereas in other countries this will not be possible due to specific conditions and obligations which are part of the licen</w:t>
      </w:r>
      <w:r w:rsidR="0056016E" w:rsidRPr="00040BEC">
        <w:t>c</w:t>
      </w:r>
      <w:r w:rsidR="0037312B" w:rsidRPr="00040BEC">
        <w:t>e (e.g. coverage obligations are interpreted in some cases as fulfilled when providing services via other spectrum where the same licensee has also a licen</w:t>
      </w:r>
      <w:r w:rsidR="0056016E" w:rsidRPr="00040BEC">
        <w:t>c</w:t>
      </w:r>
      <w:r w:rsidR="0037312B" w:rsidRPr="00040BEC">
        <w:t>e and for which the network is implemented).</w:t>
      </w:r>
      <w:proofErr w:type="gramEnd"/>
      <w:r w:rsidR="0037312B" w:rsidRPr="00040BEC">
        <w:t xml:space="preserve"> Other options for making the spectrum available for new usage need to </w:t>
      </w:r>
      <w:proofErr w:type="gramStart"/>
      <w:r w:rsidR="0037312B" w:rsidRPr="00040BEC">
        <w:t>be considered</w:t>
      </w:r>
      <w:proofErr w:type="gramEnd"/>
      <w:r w:rsidR="0037312B" w:rsidRPr="00040BEC">
        <w:t xml:space="preserve"> (e.g. liberalisation, transfer).</w:t>
      </w:r>
    </w:p>
    <w:p w14:paraId="29C75AF9" w14:textId="77777777" w:rsidR="002851E0" w:rsidRPr="00040BEC" w:rsidRDefault="002851E0" w:rsidP="0037312B">
      <w:pPr>
        <w:pStyle w:val="ECCParagraph"/>
        <w:rPr>
          <w:b/>
          <w:u w:val="single"/>
        </w:rPr>
      </w:pPr>
      <w:r w:rsidRPr="00040BEC">
        <w:rPr>
          <w:b/>
          <w:u w:val="single"/>
        </w:rPr>
        <w:t>Harmonisation possibilities</w:t>
      </w:r>
    </w:p>
    <w:p w14:paraId="5FF9DAF2" w14:textId="77777777" w:rsidR="00AB6E56" w:rsidRPr="00040BEC" w:rsidRDefault="00AB6E56" w:rsidP="0037312B">
      <w:pPr>
        <w:pStyle w:val="ECCParagraph"/>
      </w:pPr>
      <w:r w:rsidRPr="00040BEC">
        <w:t xml:space="preserve">After performing the analysis described in this CEPT Report, the following harmonisation possibilities </w:t>
      </w:r>
      <w:proofErr w:type="gramStart"/>
      <w:r w:rsidRPr="00040BEC">
        <w:t>were obtained</w:t>
      </w:r>
      <w:proofErr w:type="gramEnd"/>
      <w:r w:rsidRPr="00040BEC">
        <w:t>:</w:t>
      </w:r>
    </w:p>
    <w:p w14:paraId="0F51639D" w14:textId="77777777" w:rsidR="0037312B" w:rsidRPr="00040BEC" w:rsidRDefault="00AB6E56" w:rsidP="0037312B">
      <w:pPr>
        <w:pStyle w:val="ECCParagraph"/>
      </w:pPr>
      <w:r w:rsidRPr="00040BEC">
        <w:rPr>
          <w:b/>
        </w:rPr>
        <w:t xml:space="preserve">Broadband DA2GC: </w:t>
      </w:r>
      <w:r w:rsidR="0037312B" w:rsidRPr="00040BEC">
        <w:t xml:space="preserve">A Broadband DA2GC system constitutes </w:t>
      </w:r>
      <w:r w:rsidRPr="00040BEC">
        <w:t xml:space="preserve">what is effectively a backhaul </w:t>
      </w:r>
      <w:r w:rsidR="0037312B" w:rsidRPr="00040BEC">
        <w:t xml:space="preserve">application </w:t>
      </w:r>
      <w:r w:rsidRPr="00040BEC">
        <w:t xml:space="preserve">to support </w:t>
      </w:r>
      <w:r w:rsidR="0037312B" w:rsidRPr="00040BEC">
        <w:t>various types of telecommunications services</w:t>
      </w:r>
      <w:r w:rsidR="006B6417" w:rsidRPr="00040BEC">
        <w:t xml:space="preserve"> </w:t>
      </w:r>
      <w:r w:rsidRPr="00040BEC">
        <w:t>on board aircraft</w:t>
      </w:r>
      <w:r w:rsidR="0037312B" w:rsidRPr="00040BEC">
        <w:t>, such as internet access and mobile multimedia services</w:t>
      </w:r>
      <w:r w:rsidR="00ED3A60" w:rsidRPr="00040BEC">
        <w:t xml:space="preserve"> (descri</w:t>
      </w:r>
      <w:r w:rsidR="0023507B" w:rsidRPr="00040BEC">
        <w:t>b</w:t>
      </w:r>
      <w:r w:rsidR="00ED3A60" w:rsidRPr="00040BEC">
        <w:t xml:space="preserve">ed in section </w:t>
      </w:r>
      <w:r w:rsidR="00C14173" w:rsidRPr="00040BEC">
        <w:t>3.1</w:t>
      </w:r>
      <w:r w:rsidR="00ED3A60" w:rsidRPr="00040BEC">
        <w:t>)</w:t>
      </w:r>
      <w:r w:rsidR="0037312B" w:rsidRPr="00040BEC">
        <w:t xml:space="preserve">. It aims to provide access to broadband communication services during continental flights on a Europe-wide basis. Currently, there is no spectrum designated for Broadband DA2GC in Europe. To allow European citizens and airlines to profit from the social and economic </w:t>
      </w:r>
      <w:r w:rsidR="0037312B" w:rsidRPr="00040BEC">
        <w:lastRenderedPageBreak/>
        <w:t xml:space="preserve">benefits of the implementation of such a radio application (intended to provide broadband connectivity between the aircraft and a terrestrial based network), a harmonised spectrum designation within CEPT would be necessary. In order for the system to be commercially </w:t>
      </w:r>
      <w:r w:rsidRPr="00040BEC">
        <w:t>viable,</w:t>
      </w:r>
      <w:r w:rsidR="0037312B" w:rsidRPr="00040BEC">
        <w:t xml:space="preserve"> it would need to have the potential to provide a solution</w:t>
      </w:r>
      <w:r w:rsidR="00BD2117" w:rsidRPr="00040BEC">
        <w:t xml:space="preserve"> across Europe</w:t>
      </w:r>
      <w:r w:rsidR="0037312B" w:rsidRPr="00040BEC">
        <w:t>.</w:t>
      </w:r>
    </w:p>
    <w:p w14:paraId="40672E84" w14:textId="77777777" w:rsidR="0037312B" w:rsidRPr="00040BEC" w:rsidRDefault="002851E0" w:rsidP="0037312B">
      <w:pPr>
        <w:pStyle w:val="ECCParagraph"/>
      </w:pPr>
      <w:r w:rsidRPr="00040BEC">
        <w:rPr>
          <w:b/>
        </w:rPr>
        <w:t xml:space="preserve">PMSE: </w:t>
      </w:r>
      <w:r w:rsidR="0037312B" w:rsidRPr="00040BEC">
        <w:t xml:space="preserve">With respect to </w:t>
      </w:r>
      <w:r w:rsidR="00FD6E98" w:rsidRPr="00040BEC">
        <w:t xml:space="preserve">video </w:t>
      </w:r>
      <w:r w:rsidR="0037312B" w:rsidRPr="00040BEC">
        <w:t>PMSE</w:t>
      </w:r>
      <w:r w:rsidR="007E37F7" w:rsidRPr="00040BEC">
        <w:t xml:space="preserve"> (section </w:t>
      </w:r>
      <w:r w:rsidR="000A5980" w:rsidRPr="00040BEC">
        <w:fldChar w:fldCharType="begin"/>
      </w:r>
      <w:r w:rsidR="007E37F7" w:rsidRPr="00040BEC">
        <w:instrText xml:space="preserve"> REF _Ref355888126 \r \h </w:instrText>
      </w:r>
      <w:r w:rsidR="000A5980" w:rsidRPr="00040BEC">
        <w:fldChar w:fldCharType="separate"/>
      </w:r>
      <w:r w:rsidR="002327BB">
        <w:t>3.2</w:t>
      </w:r>
      <w:r w:rsidR="000A5980" w:rsidRPr="00040BEC">
        <w:fldChar w:fldCharType="end"/>
      </w:r>
      <w:r w:rsidR="007E37F7" w:rsidRPr="00040BEC">
        <w:t>)</w:t>
      </w:r>
      <w:r w:rsidR="0037312B" w:rsidRPr="00040BEC">
        <w:t xml:space="preserve">, it is considered that there is a need for these services to be coordinated to avoid harmful interference and therefore an individual authorisation regime </w:t>
      </w:r>
      <w:r w:rsidR="00FD6E98" w:rsidRPr="00040BEC">
        <w:t xml:space="preserve">is </w:t>
      </w:r>
      <w:r w:rsidR="0037312B" w:rsidRPr="00040BEC">
        <w:t xml:space="preserve">appropriate </w:t>
      </w:r>
      <w:r w:rsidR="000863D0" w:rsidRPr="00040BEC">
        <w:t>for implementation by national a</w:t>
      </w:r>
      <w:r w:rsidR="0037312B" w:rsidRPr="00040BEC">
        <w:t>dministrations</w:t>
      </w:r>
      <w:r w:rsidR="00FD6E98" w:rsidRPr="00040BEC">
        <w:t>. In particular, it has to be noted that the use of each channel is decided for an event by the regulatory authority and according to assumptions taken into account during compatibility studies (see ECC Report 220)</w:t>
      </w:r>
      <w:proofErr w:type="gramStart"/>
      <w:r w:rsidR="00FD6E98" w:rsidRPr="00040BEC">
        <w:t>,</w:t>
      </w:r>
      <w:proofErr w:type="gramEnd"/>
      <w:r w:rsidR="00FD6E98" w:rsidRPr="00040BEC">
        <w:t xml:space="preserve"> each channel is considered to be used by only one video link in a </w:t>
      </w:r>
      <w:r w:rsidR="00B13C1A" w:rsidRPr="00040BEC">
        <w:t>given</w:t>
      </w:r>
      <w:r w:rsidR="00FD6E98" w:rsidRPr="00040BEC">
        <w:t xml:space="preserve"> area to avoid interference between PMSE users</w:t>
      </w:r>
      <w:r w:rsidR="0037312B" w:rsidRPr="00040BEC">
        <w:t>.</w:t>
      </w:r>
    </w:p>
    <w:p w14:paraId="5170456F" w14:textId="77777777" w:rsidR="0037312B" w:rsidRPr="00040BEC" w:rsidRDefault="002851E0" w:rsidP="0037312B">
      <w:pPr>
        <w:pStyle w:val="ECCParagraph"/>
      </w:pPr>
      <w:r w:rsidRPr="00040BEC">
        <w:rPr>
          <w:b/>
        </w:rPr>
        <w:t xml:space="preserve">SRD: </w:t>
      </w:r>
      <w:r w:rsidR="0037312B" w:rsidRPr="00040BEC">
        <w:t>Concerning SRD applications</w:t>
      </w:r>
      <w:r w:rsidR="007E37F7" w:rsidRPr="00040BEC">
        <w:t xml:space="preserve"> (section </w:t>
      </w:r>
      <w:r w:rsidR="000A5980" w:rsidRPr="00040BEC">
        <w:fldChar w:fldCharType="begin"/>
      </w:r>
      <w:r w:rsidR="007E37F7" w:rsidRPr="00040BEC">
        <w:instrText xml:space="preserve"> REF _Ref368352336 \r \h </w:instrText>
      </w:r>
      <w:r w:rsidR="000A5980" w:rsidRPr="00040BEC">
        <w:fldChar w:fldCharType="separate"/>
      </w:r>
      <w:r w:rsidR="002327BB">
        <w:t>3.3</w:t>
      </w:r>
      <w:r w:rsidR="000A5980" w:rsidRPr="00040BEC">
        <w:fldChar w:fldCharType="end"/>
      </w:r>
      <w:r w:rsidR="007E37F7" w:rsidRPr="00040BEC">
        <w:t>)</w:t>
      </w:r>
      <w:r w:rsidR="0037312B" w:rsidRPr="00040BEC">
        <w:t>, no allocations are required for SRD to operate in a specific frequency band (SRD typically operate on a non-interference and non-protection basis). A</w:t>
      </w:r>
      <w:r w:rsidR="00DE6C37" w:rsidRPr="00040BEC">
        <w:t>ny upcoming</w:t>
      </w:r>
      <w:r w:rsidR="0037312B" w:rsidRPr="00040BEC">
        <w:t xml:space="preserve"> request from industry </w:t>
      </w:r>
      <w:proofErr w:type="gramStart"/>
      <w:r w:rsidR="0037312B" w:rsidRPr="00040BEC">
        <w:t>would be taken</w:t>
      </w:r>
      <w:proofErr w:type="gramEnd"/>
      <w:r w:rsidR="0037312B" w:rsidRPr="00040BEC">
        <w:t xml:space="preserve"> into account at any time but preferably</w:t>
      </w:r>
      <w:r w:rsidR="00E72FF9" w:rsidRPr="00040BEC">
        <w:t>,</w:t>
      </w:r>
      <w:r w:rsidR="00AB6E56" w:rsidRPr="00040BEC">
        <w:t xml:space="preserve"> after</w:t>
      </w:r>
      <w:r w:rsidR="0037312B" w:rsidRPr="00040BEC">
        <w:t xml:space="preserve"> a primary usage is identified.</w:t>
      </w:r>
    </w:p>
    <w:p w14:paraId="5B24981A" w14:textId="77777777" w:rsidR="004F4292" w:rsidRPr="00040BEC" w:rsidRDefault="002851E0" w:rsidP="0037312B">
      <w:pPr>
        <w:pStyle w:val="ECCParagraph"/>
      </w:pPr>
      <w:proofErr w:type="gramStart"/>
      <w:r w:rsidRPr="00040BEC">
        <w:rPr>
          <w:b/>
        </w:rPr>
        <w:t xml:space="preserve">DECT: </w:t>
      </w:r>
      <w:r w:rsidR="0037312B" w:rsidRPr="00040BEC">
        <w:t xml:space="preserve">Regarding the proposal for DECT as set out in section </w:t>
      </w:r>
      <w:r w:rsidR="000A5980" w:rsidRPr="00040BEC">
        <w:fldChar w:fldCharType="begin"/>
      </w:r>
      <w:r w:rsidR="00C55F4D" w:rsidRPr="00040BEC">
        <w:instrText xml:space="preserve"> REF _Ref355899063 \r \h </w:instrText>
      </w:r>
      <w:r w:rsidR="000A5980" w:rsidRPr="00040BEC">
        <w:fldChar w:fldCharType="separate"/>
      </w:r>
      <w:r w:rsidR="002327BB">
        <w:t>3.4</w:t>
      </w:r>
      <w:r w:rsidR="000A5980" w:rsidRPr="00040BEC">
        <w:fldChar w:fldCharType="end"/>
      </w:r>
      <w:r w:rsidR="0037312B" w:rsidRPr="00040BEC">
        <w:t>, if realised under application</w:t>
      </w:r>
      <w:r w:rsidR="0056016E" w:rsidRPr="00040BEC">
        <w:t>-</w:t>
      </w:r>
      <w:r w:rsidR="0037312B" w:rsidRPr="00040BEC">
        <w:t>neutral and technology</w:t>
      </w:r>
      <w:r w:rsidR="0056016E" w:rsidRPr="00040BEC">
        <w:t>-</w:t>
      </w:r>
      <w:r w:rsidR="0037312B" w:rsidRPr="00040BEC">
        <w:t xml:space="preserve">neutral principles (see CEPT Report </w:t>
      </w:r>
      <w:r w:rsidR="00E72505" w:rsidRPr="00040BEC">
        <w:t>0</w:t>
      </w:r>
      <w:r w:rsidR="0037312B" w:rsidRPr="00040BEC">
        <w:t>14</w:t>
      </w:r>
      <w:r w:rsidR="003752B5" w:rsidRPr="00040BEC">
        <w:t xml:space="preserve"> </w:t>
      </w:r>
      <w:r w:rsidR="000A5980" w:rsidRPr="00040BEC">
        <w:fldChar w:fldCharType="begin"/>
      </w:r>
      <w:r w:rsidR="003752B5" w:rsidRPr="00040BEC">
        <w:instrText xml:space="preserve"> REF _Ref356388320 \n \h </w:instrText>
      </w:r>
      <w:r w:rsidR="000A5980" w:rsidRPr="00040BEC">
        <w:fldChar w:fldCharType="separate"/>
      </w:r>
      <w:r w:rsidR="002327BB">
        <w:t>[1]</w:t>
      </w:r>
      <w:r w:rsidR="000A5980" w:rsidRPr="00040BEC">
        <w:fldChar w:fldCharType="end"/>
      </w:r>
      <w:r w:rsidR="0037312B" w:rsidRPr="00040BEC">
        <w:t xml:space="preserve"> and </w:t>
      </w:r>
      <w:r w:rsidR="003752B5" w:rsidRPr="00040BEC">
        <w:t xml:space="preserve">CEPT Report </w:t>
      </w:r>
      <w:r w:rsidR="00E72505" w:rsidRPr="00040BEC">
        <w:t>0</w:t>
      </w:r>
      <w:r w:rsidR="0037312B" w:rsidRPr="00040BEC">
        <w:t>44</w:t>
      </w:r>
      <w:r w:rsidR="003752B5" w:rsidRPr="00040BEC">
        <w:t xml:space="preserve"> </w:t>
      </w:r>
      <w:r w:rsidR="000A5980" w:rsidRPr="00040BEC">
        <w:fldChar w:fldCharType="begin"/>
      </w:r>
      <w:r w:rsidR="003752B5" w:rsidRPr="00040BEC">
        <w:instrText xml:space="preserve"> REF _Ref356388337 \n \h </w:instrText>
      </w:r>
      <w:r w:rsidR="000A5980" w:rsidRPr="00040BEC">
        <w:fldChar w:fldCharType="separate"/>
      </w:r>
      <w:r w:rsidR="002327BB">
        <w:t>[2]</w:t>
      </w:r>
      <w:r w:rsidR="000A5980" w:rsidRPr="00040BEC">
        <w:fldChar w:fldCharType="end"/>
      </w:r>
      <w:r w:rsidR="0037312B" w:rsidRPr="00040BEC">
        <w:t xml:space="preserve">) using general authorisation (exemption from individual </w:t>
      </w:r>
      <w:r w:rsidR="0056016E" w:rsidRPr="00040BEC">
        <w:t>licence), this</w:t>
      </w:r>
      <w:r w:rsidR="0037312B" w:rsidRPr="00040BEC">
        <w:t xml:space="preserve"> can also be regarded as a new spectrum opportunity for SRD usage</w:t>
      </w:r>
      <w:r w:rsidR="00AB6E56" w:rsidRPr="00040BEC">
        <w:t xml:space="preserve"> (meaning DECT authorised as SRD in these frequencies)</w:t>
      </w:r>
      <w:r w:rsidR="0037312B" w:rsidRPr="00040BEC">
        <w:t>, provided that suitable spectrum access rules are followed.</w:t>
      </w:r>
      <w:proofErr w:type="gramEnd"/>
    </w:p>
    <w:p w14:paraId="25EC030D" w14:textId="77777777" w:rsidR="0006398D" w:rsidRPr="00040BEC" w:rsidRDefault="0006398D" w:rsidP="0037312B">
      <w:pPr>
        <w:pStyle w:val="ECCParagraph"/>
      </w:pPr>
      <w:r w:rsidRPr="00040BEC">
        <w:t xml:space="preserve">Taking into account that no allocation is required for the two previous type of application, SRD/DECT are subject to a soft harmonisation </w:t>
      </w:r>
      <w:r w:rsidR="00986938" w:rsidRPr="00040BEC">
        <w:t xml:space="preserve">in the ERC/REC 70-03 </w:t>
      </w:r>
      <w:r w:rsidRPr="00040BEC">
        <w:t xml:space="preserve">and therefore, it </w:t>
      </w:r>
      <w:proofErr w:type="gramStart"/>
      <w:r w:rsidRPr="00040BEC">
        <w:t>is not proposed</w:t>
      </w:r>
      <w:proofErr w:type="gramEnd"/>
      <w:r w:rsidRPr="00040BEC">
        <w:t xml:space="preserve"> to introduce a </w:t>
      </w:r>
      <w:r w:rsidR="00986938" w:rsidRPr="00040BEC">
        <w:t>Commission implementing decision</w:t>
      </w:r>
      <w:r w:rsidR="0031267D" w:rsidRPr="00040BEC">
        <w:t xml:space="preserve"> </w:t>
      </w:r>
      <w:r w:rsidRPr="00040BEC">
        <w:t>in this part of the spectrum</w:t>
      </w:r>
      <w:r w:rsidR="00986938" w:rsidRPr="00040BEC">
        <w:t xml:space="preserve"> for DECT/SRD</w:t>
      </w:r>
      <w:r w:rsidRPr="00040BEC">
        <w:t xml:space="preserve">. In addition, further </w:t>
      </w:r>
      <w:r w:rsidR="00986938" w:rsidRPr="00040BEC">
        <w:t xml:space="preserve">complementary </w:t>
      </w:r>
      <w:r w:rsidRPr="00040BEC">
        <w:t xml:space="preserve">studies may be required in the future when the primary applications </w:t>
      </w:r>
      <w:proofErr w:type="gramStart"/>
      <w:r w:rsidRPr="00040BEC">
        <w:t>will be</w:t>
      </w:r>
      <w:r w:rsidR="0031267D" w:rsidRPr="00040BEC">
        <w:t xml:space="preserve"> </w:t>
      </w:r>
      <w:r w:rsidR="00F705E7" w:rsidRPr="00040BEC">
        <w:t>identified</w:t>
      </w:r>
      <w:proofErr w:type="gramEnd"/>
      <w:r w:rsidRPr="00040BEC">
        <w:t>.</w:t>
      </w:r>
    </w:p>
    <w:p w14:paraId="6A3DC8E3" w14:textId="77777777" w:rsidR="0037312B" w:rsidRPr="00040BEC" w:rsidRDefault="002851E0" w:rsidP="0037312B">
      <w:pPr>
        <w:pStyle w:val="ECCParagraph"/>
      </w:pPr>
      <w:r w:rsidRPr="00040BEC">
        <w:rPr>
          <w:b/>
        </w:rPr>
        <w:t xml:space="preserve">Ad hoc PPDR: </w:t>
      </w:r>
      <w:r w:rsidR="0037312B" w:rsidRPr="00040BEC">
        <w:t>A harmonised solution for ad-hoc PPDR network uses above 1 GHz is under consideration, which includes, for some countries, PPDR broadband air-to-ground applications</w:t>
      </w:r>
      <w:r w:rsidR="007E37F7" w:rsidRPr="00040BEC">
        <w:t xml:space="preserve"> (section </w:t>
      </w:r>
      <w:r w:rsidR="000A5980" w:rsidRPr="00040BEC">
        <w:fldChar w:fldCharType="begin"/>
      </w:r>
      <w:r w:rsidR="007E37F7" w:rsidRPr="00040BEC">
        <w:instrText xml:space="preserve"> REF _Ref355901226 \r \h </w:instrText>
      </w:r>
      <w:r w:rsidR="000A5980" w:rsidRPr="00040BEC">
        <w:fldChar w:fldCharType="separate"/>
      </w:r>
      <w:r w:rsidR="002327BB">
        <w:t>3.5</w:t>
      </w:r>
      <w:r w:rsidR="000A5980" w:rsidRPr="00040BEC">
        <w:fldChar w:fldCharType="end"/>
      </w:r>
      <w:r w:rsidR="007E37F7" w:rsidRPr="00040BEC">
        <w:t>)</w:t>
      </w:r>
      <w:r w:rsidR="0037312B" w:rsidRPr="00040BEC">
        <w:t xml:space="preserve">. Cross-border coordination </w:t>
      </w:r>
      <w:proofErr w:type="gramStart"/>
      <w:r w:rsidR="0037312B" w:rsidRPr="00040BEC">
        <w:t>is needed</w:t>
      </w:r>
      <w:proofErr w:type="gramEnd"/>
      <w:r w:rsidR="0037312B" w:rsidRPr="00040BEC">
        <w:t xml:space="preserve"> for PPDR broadband air-to-ground applications. Broadband PPDR temporary additional capacity (also known as “hot-spot” or “local area” networks) </w:t>
      </w:r>
      <w:r w:rsidR="00AB6E56" w:rsidRPr="00040BEC">
        <w:t xml:space="preserve">could </w:t>
      </w:r>
      <w:r w:rsidR="0037312B" w:rsidRPr="00040BEC">
        <w:t xml:space="preserve"> provide additional local coverage at the scene of the incident in order to provide the necessary communication facilities to PPDR users in addition to those provided through the Wide Area network (WAN) or where the WAN </w:t>
      </w:r>
      <w:proofErr w:type="spellStart"/>
      <w:r w:rsidR="0037312B" w:rsidRPr="00040BEC">
        <w:t>radiocommunications</w:t>
      </w:r>
      <w:proofErr w:type="spellEnd"/>
      <w:r w:rsidR="0037312B" w:rsidRPr="00040BEC">
        <w:t xml:space="preserve"> are limited or not available. This additional capacity </w:t>
      </w:r>
      <w:proofErr w:type="gramStart"/>
      <w:r w:rsidR="0037312B" w:rsidRPr="00040BEC">
        <w:t>may be provided</w:t>
      </w:r>
      <w:proofErr w:type="gramEnd"/>
      <w:r w:rsidR="0037312B" w:rsidRPr="00040BEC">
        <w:t xml:space="preserve"> by </w:t>
      </w:r>
      <w:r w:rsidR="008712B6" w:rsidRPr="00040BEC">
        <w:t>a</w:t>
      </w:r>
      <w:r w:rsidR="0037312B" w:rsidRPr="00040BEC">
        <w:t>d-hoc networks or other means (such as additional temporary base stations of the WAN) and are supposed to have high capacity and support PPDR users with low mobility. Ad-hoc networks may operate in the same (i.e. in a form of an ad-hoc micro-cell deployed at the event’s scene) as well as in a different frequency band.</w:t>
      </w:r>
    </w:p>
    <w:p w14:paraId="5F508B06" w14:textId="77777777" w:rsidR="00C55F4D" w:rsidRPr="00040BEC" w:rsidRDefault="00B365F3" w:rsidP="00B365F3">
      <w:pPr>
        <w:pStyle w:val="ECCParagraph"/>
        <w:rPr>
          <w:rFonts w:cs="Arial"/>
          <w:lang w:eastAsia="de-DE"/>
        </w:rPr>
      </w:pPr>
      <w:r w:rsidRPr="00040BEC">
        <w:rPr>
          <w:rFonts w:cs="Arial"/>
          <w:lang w:eastAsia="de-DE"/>
        </w:rPr>
        <w:t xml:space="preserve">PMSE use described in section </w:t>
      </w:r>
      <w:r w:rsidR="000A5980" w:rsidRPr="00040BEC">
        <w:rPr>
          <w:rFonts w:cs="Arial"/>
          <w:lang w:eastAsia="de-DE"/>
        </w:rPr>
        <w:fldChar w:fldCharType="begin"/>
      </w:r>
      <w:r w:rsidRPr="00040BEC">
        <w:rPr>
          <w:rFonts w:cs="Arial"/>
          <w:lang w:eastAsia="de-DE"/>
        </w:rPr>
        <w:instrText xml:space="preserve"> REF _Ref355888126 \r \h </w:instrText>
      </w:r>
      <w:r w:rsidR="000A5980" w:rsidRPr="00040BEC">
        <w:rPr>
          <w:rFonts w:cs="Arial"/>
          <w:lang w:eastAsia="de-DE"/>
        </w:rPr>
      </w:r>
      <w:r w:rsidR="000A5980" w:rsidRPr="00040BEC">
        <w:rPr>
          <w:rFonts w:cs="Arial"/>
          <w:lang w:eastAsia="de-DE"/>
        </w:rPr>
        <w:fldChar w:fldCharType="separate"/>
      </w:r>
      <w:r w:rsidR="002327BB">
        <w:rPr>
          <w:rFonts w:cs="Arial"/>
          <w:lang w:eastAsia="de-DE"/>
        </w:rPr>
        <w:t>3.2</w:t>
      </w:r>
      <w:r w:rsidR="000A5980" w:rsidRPr="00040BEC">
        <w:rPr>
          <w:rFonts w:cs="Arial"/>
          <w:lang w:eastAsia="de-DE"/>
        </w:rPr>
        <w:fldChar w:fldCharType="end"/>
      </w:r>
      <w:r w:rsidRPr="00040BEC">
        <w:rPr>
          <w:rFonts w:cs="Arial"/>
          <w:lang w:eastAsia="de-DE"/>
        </w:rPr>
        <w:t xml:space="preserve"> (</w:t>
      </w:r>
      <w:r w:rsidR="000A5980" w:rsidRPr="00040BEC">
        <w:rPr>
          <w:rFonts w:cs="Arial"/>
          <w:lang w:eastAsia="de-DE"/>
        </w:rPr>
        <w:fldChar w:fldCharType="begin"/>
      </w:r>
      <w:r w:rsidR="00C55F4D" w:rsidRPr="00040BEC">
        <w:rPr>
          <w:rFonts w:cs="Arial"/>
          <w:lang w:eastAsia="de-DE"/>
        </w:rPr>
        <w:instrText xml:space="preserve"> REF _Ref355888126 \h </w:instrText>
      </w:r>
      <w:r w:rsidR="000A5980" w:rsidRPr="00040BEC">
        <w:rPr>
          <w:rFonts w:cs="Arial"/>
          <w:lang w:eastAsia="de-DE"/>
        </w:rPr>
      </w:r>
      <w:r w:rsidR="000A5980" w:rsidRPr="00040BEC">
        <w:rPr>
          <w:rFonts w:cs="Arial"/>
          <w:lang w:eastAsia="de-DE"/>
        </w:rPr>
        <w:fldChar w:fldCharType="separate"/>
      </w:r>
      <w:r w:rsidR="002327BB" w:rsidRPr="00040BEC">
        <w:t>Programme Making and Special Events</w:t>
      </w:r>
      <w:r w:rsidR="000A5980" w:rsidRPr="00040BEC">
        <w:rPr>
          <w:rFonts w:cs="Arial"/>
          <w:lang w:eastAsia="de-DE"/>
        </w:rPr>
        <w:fldChar w:fldCharType="end"/>
      </w:r>
      <w:r w:rsidRPr="00040BEC">
        <w:rPr>
          <w:rFonts w:cs="Arial"/>
          <w:lang w:eastAsia="de-DE"/>
        </w:rPr>
        <w:t xml:space="preserve">) and ad-hoc PPDR use identified in section </w:t>
      </w:r>
      <w:r w:rsidR="000A5980" w:rsidRPr="00040BEC">
        <w:rPr>
          <w:rFonts w:cs="Arial"/>
          <w:lang w:eastAsia="de-DE"/>
        </w:rPr>
        <w:fldChar w:fldCharType="begin"/>
      </w:r>
      <w:r w:rsidRPr="00040BEC">
        <w:rPr>
          <w:rFonts w:cs="Arial"/>
          <w:lang w:eastAsia="de-DE"/>
        </w:rPr>
        <w:instrText xml:space="preserve"> REF _Ref355901226 \r \h </w:instrText>
      </w:r>
      <w:r w:rsidR="000A5980" w:rsidRPr="00040BEC">
        <w:rPr>
          <w:rFonts w:cs="Arial"/>
          <w:lang w:eastAsia="de-DE"/>
        </w:rPr>
      </w:r>
      <w:r w:rsidR="000A5980" w:rsidRPr="00040BEC">
        <w:rPr>
          <w:rFonts w:cs="Arial"/>
          <w:lang w:eastAsia="de-DE"/>
        </w:rPr>
        <w:fldChar w:fldCharType="separate"/>
      </w:r>
      <w:r w:rsidR="002327BB">
        <w:rPr>
          <w:rFonts w:cs="Arial"/>
          <w:lang w:eastAsia="de-DE"/>
        </w:rPr>
        <w:t>3.5</w:t>
      </w:r>
      <w:r w:rsidR="000A5980" w:rsidRPr="00040BEC">
        <w:rPr>
          <w:rFonts w:cs="Arial"/>
          <w:lang w:eastAsia="de-DE"/>
        </w:rPr>
        <w:fldChar w:fldCharType="end"/>
      </w:r>
      <w:r w:rsidRPr="00040BEC">
        <w:rPr>
          <w:rFonts w:cs="Arial"/>
          <w:lang w:eastAsia="de-DE"/>
        </w:rPr>
        <w:t xml:space="preserve"> </w:t>
      </w:r>
      <w:r w:rsidR="00C55F4D" w:rsidRPr="00040BEC">
        <w:rPr>
          <w:rFonts w:cs="Arial"/>
          <w:lang w:eastAsia="de-DE"/>
        </w:rPr>
        <w:t>(</w:t>
      </w:r>
      <w:r w:rsidR="00531617" w:rsidRPr="00040BEC">
        <w:fldChar w:fldCharType="begin"/>
      </w:r>
      <w:r w:rsidR="00531617" w:rsidRPr="00040BEC">
        <w:instrText xml:space="preserve"> REF _Ref355901226 \h  \* MERGEFORMAT </w:instrText>
      </w:r>
      <w:r w:rsidR="00531617" w:rsidRPr="00040BEC">
        <w:fldChar w:fldCharType="separate"/>
      </w:r>
      <w:r w:rsidR="002327BB" w:rsidRPr="00040BEC">
        <w:t>Public Protection and Disaster Relief</w:t>
      </w:r>
      <w:r w:rsidR="00531617" w:rsidRPr="00040BEC">
        <w:fldChar w:fldCharType="end"/>
      </w:r>
      <w:r w:rsidR="00C55F4D" w:rsidRPr="00040BEC">
        <w:rPr>
          <w:rFonts w:cs="Arial"/>
          <w:lang w:eastAsia="de-DE"/>
        </w:rPr>
        <w:t xml:space="preserve">) </w:t>
      </w:r>
      <w:r w:rsidR="00BB0FD6" w:rsidRPr="00040BEC">
        <w:rPr>
          <w:rFonts w:cs="Arial"/>
          <w:lang w:eastAsia="de-DE"/>
        </w:rPr>
        <w:t xml:space="preserve">are </w:t>
      </w:r>
      <w:r w:rsidRPr="00040BEC">
        <w:rPr>
          <w:rFonts w:cs="Arial"/>
          <w:lang w:eastAsia="de-DE"/>
        </w:rPr>
        <w:t>further</w:t>
      </w:r>
      <w:r w:rsidR="0081337F" w:rsidRPr="00040BEC">
        <w:rPr>
          <w:rFonts w:cs="Arial"/>
          <w:lang w:eastAsia="de-DE"/>
        </w:rPr>
        <w:t xml:space="preserve"> </w:t>
      </w:r>
      <w:r w:rsidRPr="00040BEC">
        <w:rPr>
          <w:rFonts w:cs="Arial"/>
          <w:lang w:eastAsia="de-DE"/>
        </w:rPr>
        <w:t>explored</w:t>
      </w:r>
      <w:r w:rsidR="002851E0" w:rsidRPr="00040BEC">
        <w:rPr>
          <w:rFonts w:cs="Arial"/>
          <w:lang w:eastAsia="de-DE"/>
        </w:rPr>
        <w:t xml:space="preserve"> with the view of band sharing</w:t>
      </w:r>
      <w:r w:rsidR="006C17E7" w:rsidRPr="00040BEC">
        <w:rPr>
          <w:rFonts w:cs="Arial"/>
          <w:lang w:eastAsia="de-DE"/>
        </w:rPr>
        <w:t>,</w:t>
      </w:r>
      <w:r w:rsidRPr="00040BEC">
        <w:rPr>
          <w:rFonts w:cs="Arial"/>
          <w:lang w:eastAsia="de-DE"/>
        </w:rPr>
        <w:t xml:space="preserve"> since the same technologies </w:t>
      </w:r>
      <w:r w:rsidR="00BB0FD6" w:rsidRPr="00040BEC">
        <w:rPr>
          <w:rFonts w:cs="Arial"/>
          <w:lang w:eastAsia="de-DE"/>
        </w:rPr>
        <w:t xml:space="preserve">/ equipment </w:t>
      </w:r>
      <w:r w:rsidRPr="00040BEC">
        <w:rPr>
          <w:rFonts w:cs="Arial"/>
          <w:lang w:eastAsia="de-DE"/>
        </w:rPr>
        <w:t>may be used</w:t>
      </w:r>
      <w:r w:rsidR="00BB0FD6" w:rsidRPr="00040BEC">
        <w:rPr>
          <w:rFonts w:cs="Arial"/>
          <w:lang w:eastAsia="de-DE"/>
        </w:rPr>
        <w:t xml:space="preserve"> and the same technical framework might ap</w:t>
      </w:r>
      <w:r w:rsidR="009E183B" w:rsidRPr="00040BEC">
        <w:rPr>
          <w:rFonts w:cs="Arial"/>
          <w:lang w:eastAsia="de-DE"/>
        </w:rPr>
        <w:t>p</w:t>
      </w:r>
      <w:r w:rsidR="00BB0FD6" w:rsidRPr="00040BEC">
        <w:rPr>
          <w:rFonts w:cs="Arial"/>
          <w:lang w:eastAsia="de-DE"/>
        </w:rPr>
        <w:t>ly</w:t>
      </w:r>
      <w:r w:rsidR="002851E0" w:rsidRPr="00040BEC">
        <w:rPr>
          <w:rFonts w:cs="Arial"/>
          <w:lang w:eastAsia="de-DE"/>
        </w:rPr>
        <w:t xml:space="preserve"> to both applications</w:t>
      </w:r>
      <w:r w:rsidRPr="00040BEC">
        <w:rPr>
          <w:rFonts w:cs="Arial"/>
          <w:lang w:eastAsia="de-DE"/>
        </w:rPr>
        <w:t>.</w:t>
      </w:r>
    </w:p>
    <w:p w14:paraId="2FF247DD" w14:textId="77777777" w:rsidR="002851E0" w:rsidRPr="00040BEC" w:rsidRDefault="002851E0" w:rsidP="00C55F4D">
      <w:pPr>
        <w:pStyle w:val="ECCParagraph"/>
        <w:rPr>
          <w:b/>
          <w:u w:val="single"/>
        </w:rPr>
      </w:pPr>
      <w:r w:rsidRPr="00040BEC">
        <w:rPr>
          <w:b/>
          <w:u w:val="single"/>
        </w:rPr>
        <w:t xml:space="preserve">Consolidation of options </w:t>
      </w:r>
    </w:p>
    <w:p w14:paraId="7CBBA539" w14:textId="77777777" w:rsidR="00C55F4D" w:rsidRPr="00040BEC" w:rsidRDefault="00B06A25" w:rsidP="00C55F4D">
      <w:pPr>
        <w:pStyle w:val="ECCParagraph"/>
      </w:pPr>
      <w:r w:rsidRPr="00040BEC">
        <w:t>I</w:t>
      </w:r>
      <w:r w:rsidR="00C55F4D" w:rsidRPr="00040BEC">
        <w:t xml:space="preserve">t is suggested placing the shortlist of potential harmonised uses of the 1900-1920 MHz and 2010-2025 MHz frequency bands proposed for further study in the EC Mandate </w:t>
      </w:r>
      <w:r w:rsidR="00C55F4D" w:rsidRPr="00040BEC">
        <w:rPr>
          <w:szCs w:val="20"/>
        </w:rPr>
        <w:t xml:space="preserve">(as detailed in </w:t>
      </w:r>
      <w:r w:rsidR="000A5980" w:rsidRPr="00040BEC">
        <w:rPr>
          <w:szCs w:val="20"/>
        </w:rPr>
        <w:fldChar w:fldCharType="begin"/>
      </w:r>
      <w:r w:rsidR="00C03693" w:rsidRPr="00040BEC">
        <w:rPr>
          <w:szCs w:val="20"/>
        </w:rPr>
        <w:instrText xml:space="preserve"> REF _Ref380049480 \r \h </w:instrText>
      </w:r>
      <w:r w:rsidR="000A5980" w:rsidRPr="00040BEC">
        <w:rPr>
          <w:szCs w:val="20"/>
        </w:rPr>
      </w:r>
      <w:r w:rsidR="000A5980" w:rsidRPr="00040BEC">
        <w:rPr>
          <w:szCs w:val="20"/>
        </w:rPr>
        <w:fldChar w:fldCharType="separate"/>
      </w:r>
      <w:r w:rsidR="002327BB">
        <w:rPr>
          <w:szCs w:val="20"/>
        </w:rPr>
        <w:t>ANNEX 1:</w:t>
      </w:r>
      <w:r w:rsidR="000A5980" w:rsidRPr="00040BEC">
        <w:rPr>
          <w:szCs w:val="20"/>
        </w:rPr>
        <w:fldChar w:fldCharType="end"/>
      </w:r>
      <w:r w:rsidR="00C55F4D" w:rsidRPr="00040BEC">
        <w:rPr>
          <w:szCs w:val="20"/>
        </w:rPr>
        <w:t>)</w:t>
      </w:r>
      <w:r w:rsidR="00C55F4D" w:rsidRPr="00040BEC">
        <w:t xml:space="preserve"> into 3 defined categories:</w:t>
      </w:r>
    </w:p>
    <w:p w14:paraId="45BE87E6" w14:textId="77777777" w:rsidR="00C55F4D" w:rsidRPr="00040BEC" w:rsidRDefault="00C55F4D" w:rsidP="00BE115C">
      <w:pPr>
        <w:pStyle w:val="ECCParagraph"/>
        <w:numPr>
          <w:ilvl w:val="0"/>
          <w:numId w:val="31"/>
        </w:numPr>
      </w:pPr>
      <w:r w:rsidRPr="00040BEC">
        <w:t>Direct air to ground communications</w:t>
      </w:r>
      <w:r w:rsidR="004204C5" w:rsidRPr="00040BEC">
        <w:t>;</w:t>
      </w:r>
    </w:p>
    <w:p w14:paraId="397056B3" w14:textId="77777777" w:rsidR="00C55F4D" w:rsidRPr="00040BEC" w:rsidRDefault="00C55F4D" w:rsidP="00BE115C">
      <w:pPr>
        <w:pStyle w:val="ECCParagraph"/>
        <w:numPr>
          <w:ilvl w:val="0"/>
          <w:numId w:val="31"/>
        </w:numPr>
      </w:pPr>
      <w:r w:rsidRPr="00040BEC">
        <w:t>Video links and cordless cameras (</w:t>
      </w:r>
      <w:r w:rsidRPr="00040BEC">
        <w:rPr>
          <w:rFonts w:cs="Arial"/>
          <w:lang w:eastAsia="de-DE"/>
        </w:rPr>
        <w:t>PMSE / ad-hoc PPDR</w:t>
      </w:r>
      <w:r w:rsidRPr="00040BEC">
        <w:t>)</w:t>
      </w:r>
      <w:r w:rsidR="004204C5" w:rsidRPr="00040BEC">
        <w:t>;</w:t>
      </w:r>
    </w:p>
    <w:p w14:paraId="25BAEA32" w14:textId="77777777" w:rsidR="00C55F4D" w:rsidRPr="00040BEC" w:rsidRDefault="00C55F4D" w:rsidP="00BE115C">
      <w:pPr>
        <w:pStyle w:val="ECCParagraph"/>
        <w:numPr>
          <w:ilvl w:val="0"/>
          <w:numId w:val="31"/>
        </w:numPr>
      </w:pPr>
      <w:proofErr w:type="gramStart"/>
      <w:r w:rsidRPr="00040BEC">
        <w:t>Applications under general authori</w:t>
      </w:r>
      <w:r w:rsidR="00E24C09" w:rsidRPr="00040BEC">
        <w:t>s</w:t>
      </w:r>
      <w:r w:rsidRPr="00040BEC">
        <w:t>ation (</w:t>
      </w:r>
      <w:r w:rsidRPr="00040BEC">
        <w:rPr>
          <w:rFonts w:cs="Arial"/>
          <w:lang w:eastAsia="de-DE"/>
        </w:rPr>
        <w:t>DECT / SRD</w:t>
      </w:r>
      <w:r w:rsidRPr="00040BEC">
        <w:t>)</w:t>
      </w:r>
      <w:r w:rsidR="000A0505" w:rsidRPr="00040BEC">
        <w:t>.</w:t>
      </w:r>
      <w:proofErr w:type="gramEnd"/>
    </w:p>
    <w:p w14:paraId="0EB7397D" w14:textId="19849B3F" w:rsidR="00C55F4D" w:rsidRPr="00040BEC" w:rsidRDefault="00C55F4D" w:rsidP="009A38EE">
      <w:pPr>
        <w:pStyle w:val="ECCParagraph"/>
      </w:pPr>
      <w:r w:rsidRPr="00040BEC">
        <w:t xml:space="preserve">The objective of </w:t>
      </w:r>
      <w:r w:rsidR="00C55E58" w:rsidRPr="00040BEC">
        <w:t xml:space="preserve">proceeding with these </w:t>
      </w:r>
      <w:proofErr w:type="gramStart"/>
      <w:r w:rsidRPr="00040BEC">
        <w:t>3</w:t>
      </w:r>
      <w:proofErr w:type="gramEnd"/>
      <w:r w:rsidRPr="00040BEC">
        <w:t xml:space="preserve"> categories is to take advantage of the synergies between the above identified uses by sharing the same technical framework to foster a more efficient use of spectrum and future</w:t>
      </w:r>
      <w:r w:rsidR="00040BEC">
        <w:t xml:space="preserve"> </w:t>
      </w:r>
      <w:r w:rsidRPr="00040BEC">
        <w:t>innovation.</w:t>
      </w:r>
    </w:p>
    <w:p w14:paraId="2625222A" w14:textId="77777777" w:rsidR="00991A1A" w:rsidRPr="00040BEC" w:rsidRDefault="00985D44" w:rsidP="004F12A1">
      <w:pPr>
        <w:pStyle w:val="ECCParagraph"/>
        <w:keepNext/>
        <w:rPr>
          <w:b/>
          <w:u w:val="single"/>
        </w:rPr>
      </w:pPr>
      <w:r w:rsidRPr="00040BEC">
        <w:rPr>
          <w:b/>
          <w:u w:val="single"/>
        </w:rPr>
        <w:lastRenderedPageBreak/>
        <w:t>St</w:t>
      </w:r>
      <w:r w:rsidR="00991A1A" w:rsidRPr="00040BEC">
        <w:rPr>
          <w:b/>
          <w:u w:val="single"/>
        </w:rPr>
        <w:t>a</w:t>
      </w:r>
      <w:r w:rsidRPr="00040BEC">
        <w:rPr>
          <w:b/>
          <w:u w:val="single"/>
        </w:rPr>
        <w:t>k</w:t>
      </w:r>
      <w:r w:rsidR="00991A1A" w:rsidRPr="00040BEC">
        <w:rPr>
          <w:b/>
          <w:u w:val="single"/>
        </w:rPr>
        <w:t>eholder</w:t>
      </w:r>
      <w:r w:rsidRPr="00040BEC">
        <w:rPr>
          <w:b/>
          <w:u w:val="single"/>
        </w:rPr>
        <w:t>s’</w:t>
      </w:r>
      <w:r w:rsidR="00991A1A" w:rsidRPr="00040BEC">
        <w:rPr>
          <w:b/>
          <w:u w:val="single"/>
        </w:rPr>
        <w:t xml:space="preserve"> views and support </w:t>
      </w:r>
    </w:p>
    <w:p w14:paraId="799C701C" w14:textId="7FE8D3CC" w:rsidR="008B7BB6" w:rsidRPr="00040BEC" w:rsidRDefault="008B7BB6" w:rsidP="004505FF">
      <w:pPr>
        <w:pStyle w:val="ECCParagraph"/>
      </w:pPr>
      <w:proofErr w:type="gramStart"/>
      <w:r w:rsidRPr="00040BEC">
        <w:t xml:space="preserve">Stakeholders’ views </w:t>
      </w:r>
      <w:r w:rsidR="002851E0" w:rsidRPr="00040BEC">
        <w:t xml:space="preserve">were sought </w:t>
      </w:r>
      <w:r w:rsidRPr="00040BEC">
        <w:t xml:space="preserve">on the </w:t>
      </w:r>
      <w:r w:rsidRPr="00040BEC">
        <w:rPr>
          <w:rFonts w:cs="Arial"/>
        </w:rPr>
        <w:t xml:space="preserve">shortlist of potential harmonised uses of the 1900-1920 MHz and 2010-2025 MHz frequency bands in accordance with </w:t>
      </w:r>
      <w:r w:rsidRPr="00040BEC">
        <w:t xml:space="preserve">the EC Mandate to CEPT “To undertake studies on the harmonised technical conditions for the 1900-1920 MHz and 2010-2025 MHz frequency bands (“Unpaired terrestrial 2 GHz bands”) in the EU”, as well as on the above </w:t>
      </w:r>
      <w:r w:rsidR="00273FC9" w:rsidRPr="00040BEC">
        <w:t>3 categories</w:t>
      </w:r>
      <w:r w:rsidR="002851E0" w:rsidRPr="00040BEC">
        <w:t>.</w:t>
      </w:r>
      <w:proofErr w:type="gramEnd"/>
      <w:r w:rsidR="002851E0" w:rsidRPr="00040BEC">
        <w:t xml:space="preserve"> This </w:t>
      </w:r>
      <w:proofErr w:type="gramStart"/>
      <w:r w:rsidR="002851E0" w:rsidRPr="00040BEC">
        <w:t>was done</w:t>
      </w:r>
      <w:proofErr w:type="gramEnd"/>
      <w:r w:rsidR="000A0505" w:rsidRPr="00040BEC">
        <w:t xml:space="preserve"> </w:t>
      </w:r>
      <w:r w:rsidR="00273FC9" w:rsidRPr="00040BEC">
        <w:t>through a Call for Inputs carried out at the end of 2013</w:t>
      </w:r>
      <w:r w:rsidRPr="00040BEC">
        <w:t>.</w:t>
      </w:r>
      <w:r w:rsidR="002A58D7" w:rsidRPr="00040BEC">
        <w:t xml:space="preserve"> </w:t>
      </w:r>
      <w:r w:rsidRPr="00040BEC">
        <w:t xml:space="preserve">A summary of the responses to the Call for Inputs, as well as the responses received during the consultation period, </w:t>
      </w:r>
      <w:r w:rsidRPr="00040BEC">
        <w:rPr>
          <w:rFonts w:cs="Arial"/>
        </w:rPr>
        <w:t xml:space="preserve">are presented in </w:t>
      </w:r>
      <w:r w:rsidR="009E212A" w:rsidRPr="00040BEC">
        <w:rPr>
          <w:rFonts w:cs="Arial"/>
        </w:rPr>
        <w:fldChar w:fldCharType="begin"/>
      </w:r>
      <w:r w:rsidR="009E212A" w:rsidRPr="00040BEC">
        <w:rPr>
          <w:rFonts w:cs="Arial"/>
        </w:rPr>
        <w:instrText xml:space="preserve"> REF _Ref380595956 \r \h </w:instrText>
      </w:r>
      <w:r w:rsidR="009E212A" w:rsidRPr="00040BEC">
        <w:rPr>
          <w:rFonts w:cs="Arial"/>
        </w:rPr>
      </w:r>
      <w:r w:rsidR="009E212A" w:rsidRPr="00040BEC">
        <w:rPr>
          <w:rFonts w:cs="Arial"/>
        </w:rPr>
        <w:fldChar w:fldCharType="separate"/>
      </w:r>
      <w:r w:rsidR="002327BB">
        <w:rPr>
          <w:rFonts w:cs="Arial"/>
        </w:rPr>
        <w:t>ANNEX 2</w:t>
      </w:r>
      <w:proofErr w:type="gramStart"/>
      <w:r w:rsidR="002327BB">
        <w:rPr>
          <w:rFonts w:cs="Arial"/>
        </w:rPr>
        <w:t>:</w:t>
      </w:r>
      <w:r w:rsidR="009E212A" w:rsidRPr="00040BEC">
        <w:rPr>
          <w:rFonts w:cs="Arial"/>
        </w:rPr>
        <w:fldChar w:fldCharType="end"/>
      </w:r>
      <w:r w:rsidRPr="00040BEC">
        <w:rPr>
          <w:rFonts w:cs="Arial"/>
        </w:rPr>
        <w:t>.</w:t>
      </w:r>
      <w:proofErr w:type="gramEnd"/>
      <w:r w:rsidRPr="00040BEC">
        <w:rPr>
          <w:rFonts w:cs="Arial"/>
        </w:rPr>
        <w:t xml:space="preserve"> </w:t>
      </w:r>
    </w:p>
    <w:p w14:paraId="0185CDA0" w14:textId="77777777" w:rsidR="00AC272C" w:rsidRPr="00040BEC" w:rsidRDefault="00AC272C" w:rsidP="00C55F4D">
      <w:pPr>
        <w:pStyle w:val="ECCParagraph"/>
      </w:pPr>
      <w:proofErr w:type="gramStart"/>
      <w:r w:rsidRPr="00040BEC">
        <w:t xml:space="preserve">A high level of support </w:t>
      </w:r>
      <w:r w:rsidR="003F6A96" w:rsidRPr="00040BEC">
        <w:t xml:space="preserve">was expressed in the responses to the Call for Inputs </w:t>
      </w:r>
      <w:r w:rsidRPr="00040BEC">
        <w:t xml:space="preserve">for placing the shortlist of potential harmonised uses of the 1900-1920 MHz and 2010-2025 MHz frequency bands </w:t>
      </w:r>
      <w:r w:rsidR="00B12BAF" w:rsidRPr="00040BEC">
        <w:t xml:space="preserve">(as </w:t>
      </w:r>
      <w:r w:rsidRPr="00040BEC">
        <w:t>proposed for further study in the EC Mandate</w:t>
      </w:r>
      <w:r w:rsidR="00B12BAF" w:rsidRPr="00040BEC">
        <w:t>)</w:t>
      </w:r>
      <w:r w:rsidRPr="00040BEC">
        <w:t xml:space="preserve"> into </w:t>
      </w:r>
      <w:r w:rsidR="00C825A5" w:rsidRPr="00040BEC">
        <w:t xml:space="preserve">the above </w:t>
      </w:r>
      <w:r w:rsidR="00E411D5" w:rsidRPr="00040BEC">
        <w:t>three</w:t>
      </w:r>
      <w:r w:rsidRPr="00040BEC">
        <w:t xml:space="preserve"> categories</w:t>
      </w:r>
      <w:r w:rsidR="00C825A5" w:rsidRPr="00040BEC">
        <w:t xml:space="preserve">, although it became visible from the contributions that it was desirable to further investigate </w:t>
      </w:r>
      <w:r w:rsidR="00A6189F" w:rsidRPr="00040BEC">
        <w:t xml:space="preserve">and clarify </w:t>
      </w:r>
      <w:r w:rsidR="00C825A5" w:rsidRPr="00040BEC">
        <w:t xml:space="preserve">the </w:t>
      </w:r>
      <w:r w:rsidR="008F0861" w:rsidRPr="00040BEC">
        <w:t>technical c</w:t>
      </w:r>
      <w:r w:rsidR="009E183B" w:rsidRPr="00040BEC">
        <w:t>h</w:t>
      </w:r>
      <w:r w:rsidR="008F0861" w:rsidRPr="00040BEC">
        <w:t xml:space="preserve">aracteristics </w:t>
      </w:r>
      <w:r w:rsidR="00A6189F" w:rsidRPr="00040BEC">
        <w:t xml:space="preserve">and usage conditions </w:t>
      </w:r>
      <w:r w:rsidR="00635E7B" w:rsidRPr="00040BEC">
        <w:t xml:space="preserve">for specific candidate applications </w:t>
      </w:r>
      <w:r w:rsidR="008F0861" w:rsidRPr="00040BEC">
        <w:t>during the development of the final CEPT Report</w:t>
      </w:r>
      <w:r w:rsidRPr="00040BEC">
        <w:t>.</w:t>
      </w:r>
      <w:proofErr w:type="gramEnd"/>
      <w:r w:rsidRPr="00040BEC">
        <w:t xml:space="preserve"> </w:t>
      </w:r>
    </w:p>
    <w:p w14:paraId="052E1286" w14:textId="77777777" w:rsidR="00991A1A" w:rsidRPr="00040BEC" w:rsidRDefault="00991A1A" w:rsidP="00E411D5">
      <w:pPr>
        <w:pStyle w:val="ECCParagraph"/>
        <w:rPr>
          <w:b/>
          <w:u w:val="single"/>
        </w:rPr>
      </w:pPr>
      <w:r w:rsidRPr="00040BEC">
        <w:rPr>
          <w:b/>
          <w:u w:val="single"/>
        </w:rPr>
        <w:t>Compatibility</w:t>
      </w:r>
    </w:p>
    <w:p w14:paraId="53895647" w14:textId="384A6800" w:rsidR="00E411D5" w:rsidRPr="00040BEC" w:rsidRDefault="00E411D5" w:rsidP="00E411D5">
      <w:pPr>
        <w:pStyle w:val="ECCParagraph"/>
      </w:pPr>
      <w:r w:rsidRPr="00040BEC">
        <w:t xml:space="preserve">Compatibility for the three usage </w:t>
      </w:r>
      <w:r w:rsidR="00F72E57" w:rsidRPr="00040BEC">
        <w:t>categories</w:t>
      </w:r>
      <w:r w:rsidRPr="00040BEC">
        <w:t xml:space="preserve">, DA2GC, VLCC and DECT/SRD, with existing services/applications in the bands adjacent to the unpaired 2 GHz bands, as well as the sharing possibilities between the three usage </w:t>
      </w:r>
      <w:r w:rsidR="00F72E57" w:rsidRPr="00040BEC">
        <w:t>categories</w:t>
      </w:r>
      <w:r w:rsidRPr="00040BEC">
        <w:t>, were studied. The least restrictive technical conditions for the three usage categories</w:t>
      </w:r>
      <w:r w:rsidR="00040BEC">
        <w:t>,</w:t>
      </w:r>
      <w:r w:rsidRPr="00040BEC">
        <w:t xml:space="preserve"> which </w:t>
      </w:r>
      <w:proofErr w:type="gramStart"/>
      <w:r w:rsidRPr="00040BEC">
        <w:t>have been used</w:t>
      </w:r>
      <w:proofErr w:type="gramEnd"/>
      <w:r w:rsidRPr="00040BEC">
        <w:t xml:space="preserve"> as a basis for the technical studies, by taking into account sharing possibilities as far as possible, were considered.</w:t>
      </w:r>
    </w:p>
    <w:p w14:paraId="56BFBE96" w14:textId="77777777" w:rsidR="00915909" w:rsidRPr="00040BEC" w:rsidRDefault="00991A1A" w:rsidP="00915909">
      <w:pPr>
        <w:pStyle w:val="ECCParagraph"/>
        <w:rPr>
          <w:b/>
          <w:u w:val="single"/>
        </w:rPr>
      </w:pPr>
      <w:r w:rsidRPr="00040BEC">
        <w:rPr>
          <w:b/>
          <w:u w:val="single"/>
        </w:rPr>
        <w:t>Further consolidation of options</w:t>
      </w:r>
      <w:r w:rsidRPr="00040BEC">
        <w:rPr>
          <w:rFonts w:cs="Arial"/>
          <w:shd w:val="clear" w:color="auto" w:fill="FFFF00"/>
        </w:rPr>
        <w:t xml:space="preserve"> </w:t>
      </w:r>
    </w:p>
    <w:p w14:paraId="24BD4F18" w14:textId="48D2C473" w:rsidR="008A0753" w:rsidRPr="00040BEC" w:rsidRDefault="008A0753" w:rsidP="00D47F59">
      <w:pPr>
        <w:pStyle w:val="ECCParagraph"/>
      </w:pPr>
      <w:r w:rsidRPr="00040BEC">
        <w:t xml:space="preserve">Studies </w:t>
      </w:r>
      <w:proofErr w:type="gramStart"/>
      <w:r w:rsidRPr="00040BEC">
        <w:t>have been carried out</w:t>
      </w:r>
      <w:proofErr w:type="gramEnd"/>
      <w:r w:rsidRPr="00040BEC">
        <w:t xml:space="preserve"> with regard to the candidate applications as described in the EC Mandate by considering various scenarios. The results of all these studies </w:t>
      </w:r>
      <w:proofErr w:type="gramStart"/>
      <w:r w:rsidRPr="00040BEC">
        <w:t>are provided</w:t>
      </w:r>
      <w:proofErr w:type="gramEnd"/>
      <w:r w:rsidRPr="00040BEC">
        <w:t xml:space="preserve"> in detail in othe</w:t>
      </w:r>
      <w:r w:rsidR="00D47F59" w:rsidRPr="00040BEC">
        <w:t xml:space="preserve">r CEPT deliverables (ECC Report 209 </w:t>
      </w:r>
      <w:r w:rsidR="000A5980" w:rsidRPr="00040BEC">
        <w:fldChar w:fldCharType="begin"/>
      </w:r>
      <w:r w:rsidR="0077609E" w:rsidRPr="00040BEC">
        <w:instrText xml:space="preserve"> REF _Ref365920775 \r \h </w:instrText>
      </w:r>
      <w:r w:rsidR="003D1281" w:rsidRPr="00040BEC">
        <w:instrText xml:space="preserve"> \* MERGEFORMAT </w:instrText>
      </w:r>
      <w:r w:rsidR="000A5980" w:rsidRPr="00040BEC">
        <w:fldChar w:fldCharType="separate"/>
      </w:r>
      <w:r w:rsidR="002327BB">
        <w:t>[27]</w:t>
      </w:r>
      <w:r w:rsidR="000A5980" w:rsidRPr="00040BEC">
        <w:fldChar w:fldCharType="end"/>
      </w:r>
      <w:r w:rsidR="00E95205" w:rsidRPr="00040BEC">
        <w:t xml:space="preserve"> </w:t>
      </w:r>
      <w:r w:rsidR="00D47F59" w:rsidRPr="00040BEC">
        <w:t>and ECC Report 220</w:t>
      </w:r>
      <w:r w:rsidR="0034030E" w:rsidRPr="00040BEC">
        <w:t xml:space="preserve"> </w:t>
      </w:r>
      <w:r w:rsidR="000A5980" w:rsidRPr="00040BEC">
        <w:fldChar w:fldCharType="begin"/>
      </w:r>
      <w:r w:rsidR="0077609E" w:rsidRPr="00040BEC">
        <w:instrText xml:space="preserve"> REF _Ref388514212 \r \h </w:instrText>
      </w:r>
      <w:r w:rsidR="003D1281" w:rsidRPr="00040BEC">
        <w:instrText xml:space="preserve"> \* MERGEFORMAT </w:instrText>
      </w:r>
      <w:r w:rsidR="000A5980" w:rsidRPr="00040BEC">
        <w:fldChar w:fldCharType="separate"/>
      </w:r>
      <w:r w:rsidR="002327BB">
        <w:t>[29]</w:t>
      </w:r>
      <w:r w:rsidR="000A5980" w:rsidRPr="00040BEC">
        <w:fldChar w:fldCharType="end"/>
      </w:r>
      <w:r w:rsidRPr="00040BEC">
        <w:t xml:space="preserve">). </w:t>
      </w:r>
      <w:r w:rsidR="0075359E" w:rsidRPr="00040BEC">
        <w:t xml:space="preserve">The potential harmonised uses of the 1900-1920 MHz and 2010-2025 MHz </w:t>
      </w:r>
      <w:proofErr w:type="gramStart"/>
      <w:r w:rsidR="0075359E" w:rsidRPr="00040BEC">
        <w:t>could in theory be combined</w:t>
      </w:r>
      <w:proofErr w:type="gramEnd"/>
      <w:r w:rsidR="0075359E" w:rsidRPr="00040BEC">
        <w:t xml:space="preserve"> in various ways, either in one or in both unpaired bands, resulting in a considerable number of options. Due to the high level of complexity, and even the infeasibility of some of those options, the investigations proceeded on the basis of two scenarios, as shown </w:t>
      </w:r>
      <w:r w:rsidR="00190B71" w:rsidRPr="00040BEC">
        <w:t>i</w:t>
      </w:r>
      <w:r w:rsidR="0075359E" w:rsidRPr="00040BEC">
        <w:t xml:space="preserve">n </w:t>
      </w:r>
      <w:r w:rsidR="00190B71" w:rsidRPr="00040BEC">
        <w:t>F</w:t>
      </w:r>
      <w:r w:rsidR="0075359E" w:rsidRPr="00040BEC">
        <w:t>igure</w:t>
      </w:r>
      <w:r w:rsidR="00190B71" w:rsidRPr="00040BEC">
        <w:t>s</w:t>
      </w:r>
      <w:r w:rsidR="0075359E" w:rsidRPr="00040BEC">
        <w:t xml:space="preserve"> 1</w:t>
      </w:r>
      <w:r w:rsidR="00190B71" w:rsidRPr="00040BEC">
        <w:t xml:space="preserve"> to 4</w:t>
      </w:r>
      <w:r w:rsidR="0075359E" w:rsidRPr="00040BEC">
        <w:t xml:space="preserve"> and described in section 5, </w:t>
      </w:r>
      <w:r w:rsidRPr="00040BEC">
        <w:t xml:space="preserve">This is also a result of the responses to the ‘Call for Inputs’. </w:t>
      </w:r>
      <w:r w:rsidR="00D47F59" w:rsidRPr="00040BEC">
        <w:t>R</w:t>
      </w:r>
      <w:r w:rsidRPr="00040BEC">
        <w:t xml:space="preserve">elevant compatibility and sharing aspects </w:t>
      </w:r>
      <w:proofErr w:type="gramStart"/>
      <w:r w:rsidRPr="00040BEC">
        <w:t>have been taken</w:t>
      </w:r>
      <w:proofErr w:type="gramEnd"/>
      <w:r w:rsidRPr="00040BEC">
        <w:t xml:space="preserve"> into account with regard to these two scenarios, which provide the possibility of spectrum sharing amongst radio applications as required in Task 3 of the Mandate. </w:t>
      </w:r>
      <w:proofErr w:type="gramStart"/>
      <w:r w:rsidRPr="00040BEC">
        <w:t>Therefore</w:t>
      </w:r>
      <w:proofErr w:type="gramEnd"/>
      <w:r w:rsidRPr="00040BEC">
        <w:t xml:space="preserve"> there was no need to complete a</w:t>
      </w:r>
      <w:r w:rsidR="00D47F59" w:rsidRPr="00040BEC">
        <w:t>ll other studies which are not i</w:t>
      </w:r>
      <w:r w:rsidRPr="00040BEC">
        <w:t>n line with the two selected scenarios.</w:t>
      </w:r>
    </w:p>
    <w:p w14:paraId="0D9011DB" w14:textId="77777777" w:rsidR="00915909" w:rsidRPr="00040BEC" w:rsidRDefault="00991A1A" w:rsidP="00915909">
      <w:pPr>
        <w:pStyle w:val="ECCParagraph"/>
        <w:rPr>
          <w:b/>
          <w:u w:val="single"/>
        </w:rPr>
      </w:pPr>
      <w:r w:rsidRPr="00040BEC">
        <w:rPr>
          <w:b/>
          <w:u w:val="single"/>
        </w:rPr>
        <w:t>Harmonisation possibilities</w:t>
      </w:r>
      <w:r w:rsidR="00DA6F98" w:rsidRPr="00040BEC">
        <w:rPr>
          <w:b/>
          <w:u w:val="single"/>
        </w:rPr>
        <w:t xml:space="preserve"> and conclusions</w:t>
      </w:r>
    </w:p>
    <w:p w14:paraId="6B09B2A2" w14:textId="77777777" w:rsidR="00DA6F98" w:rsidRPr="00040BEC" w:rsidRDefault="00E411D5" w:rsidP="00E411D5">
      <w:pPr>
        <w:pStyle w:val="ECCParagraph"/>
      </w:pPr>
      <w:r w:rsidRPr="00040BEC">
        <w:t xml:space="preserve">Harmonisation possibilities </w:t>
      </w:r>
      <w:proofErr w:type="gramStart"/>
      <w:r w:rsidRPr="00040BEC">
        <w:t>were considered</w:t>
      </w:r>
      <w:proofErr w:type="gramEnd"/>
      <w:r w:rsidRPr="00040BEC">
        <w:t xml:space="preserve">. </w:t>
      </w:r>
    </w:p>
    <w:p w14:paraId="6E16D3E7" w14:textId="0B51B8FA" w:rsidR="004034FC" w:rsidRPr="00040BEC" w:rsidRDefault="00E411D5" w:rsidP="00E411D5">
      <w:pPr>
        <w:pStyle w:val="ECCParagraph"/>
      </w:pPr>
      <w:r w:rsidRPr="00040BEC">
        <w:t xml:space="preserve">The conclusions from the analysis that </w:t>
      </w:r>
      <w:proofErr w:type="gramStart"/>
      <w:r w:rsidRPr="00040BEC">
        <w:t>was carried out</w:t>
      </w:r>
      <w:proofErr w:type="gramEnd"/>
      <w:r w:rsidRPr="00040BEC">
        <w:t xml:space="preserve"> reflect the conditions and restrictions that are to be observed in order to implement either one or the other scenarios that were studied.</w:t>
      </w:r>
      <w:r w:rsidR="00985D44" w:rsidRPr="00040BEC">
        <w:t xml:space="preserve"> In both scenarios</w:t>
      </w:r>
      <w:r w:rsidR="00A43499" w:rsidRPr="00040BEC">
        <w:t xml:space="preserve">, shown </w:t>
      </w:r>
      <w:r w:rsidR="009E212A" w:rsidRPr="00040BEC">
        <w:t>below</w:t>
      </w:r>
      <w:r w:rsidR="00A43499" w:rsidRPr="00040BEC">
        <w:t>,</w:t>
      </w:r>
      <w:r w:rsidR="00985D44" w:rsidRPr="00040BEC">
        <w:t xml:space="preserve"> </w:t>
      </w:r>
      <w:r w:rsidR="001262A8" w:rsidRPr="00040BEC">
        <w:t>which</w:t>
      </w:r>
      <w:r w:rsidR="00985D44" w:rsidRPr="00040BEC">
        <w:t xml:space="preserve"> were considered within the aim of this CEPT Report, </w:t>
      </w:r>
      <w:r w:rsidR="00E169EA" w:rsidRPr="00040BEC">
        <w:t xml:space="preserve">the three usage </w:t>
      </w:r>
      <w:r w:rsidR="00F72E57" w:rsidRPr="00040BEC">
        <w:t>categories</w:t>
      </w:r>
      <w:r w:rsidR="00E169EA" w:rsidRPr="00040BEC">
        <w:t xml:space="preserve"> </w:t>
      </w:r>
      <w:r w:rsidR="00985D44" w:rsidRPr="00040BEC">
        <w:t>DA2GC, VLCC and DECT/SRD can be accommodated, although there are effectively different outcomes for each scenario.</w:t>
      </w:r>
    </w:p>
    <w:p w14:paraId="2BF30FB7" w14:textId="77777777" w:rsidR="004034FC" w:rsidRPr="00040BEC" w:rsidRDefault="004034FC">
      <w:pPr>
        <w:rPr>
          <w:lang w:val="en-GB"/>
        </w:rPr>
      </w:pPr>
      <w:r w:rsidRPr="00040BEC">
        <w:rPr>
          <w:lang w:val="en-GB"/>
        </w:rPr>
        <w:br w:type="page"/>
      </w:r>
    </w:p>
    <w:p w14:paraId="22203DFD" w14:textId="77777777" w:rsidR="004034FC" w:rsidRPr="00040BEC" w:rsidRDefault="004034FC" w:rsidP="004034FC">
      <w:pPr>
        <w:pStyle w:val="ECCParagraph"/>
        <w:keepNext/>
        <w:jc w:val="left"/>
        <w:rPr>
          <w:b/>
        </w:rPr>
      </w:pPr>
      <w:r w:rsidRPr="00040BEC">
        <w:rPr>
          <w:b/>
        </w:rPr>
        <w:lastRenderedPageBreak/>
        <w:t>Scenario 1</w:t>
      </w:r>
    </w:p>
    <w:p w14:paraId="5EFBDEEE" w14:textId="77777777" w:rsidR="004034FC" w:rsidRPr="00040BEC" w:rsidRDefault="004034FC" w:rsidP="004034FC">
      <w:pPr>
        <w:pStyle w:val="ECCParagraph"/>
        <w:keepNext/>
      </w:pPr>
    </w:p>
    <w:p w14:paraId="7FA4475E" w14:textId="69BE1D78" w:rsidR="004034FC" w:rsidRPr="00040BEC" w:rsidRDefault="0025329B" w:rsidP="004034FC">
      <w:pPr>
        <w:rPr>
          <w:rFonts w:cs="Arial"/>
          <w:noProof/>
          <w:lang w:val="en-GB"/>
        </w:rPr>
      </w:pPr>
      <w:r w:rsidRPr="00040BEC">
        <w:rPr>
          <w:noProof/>
          <w:lang w:val="da-DK" w:eastAsia="da-DK"/>
        </w:rPr>
        <mc:AlternateContent>
          <mc:Choice Requires="wps">
            <w:drawing>
              <wp:anchor distT="0" distB="0" distL="114300" distR="114300" simplePos="0" relativeHeight="251758592" behindDoc="0" locked="0" layoutInCell="1" allowOverlap="1" wp14:anchorId="58CAA3D4" wp14:editId="116B0E28">
                <wp:simplePos x="0" y="0"/>
                <wp:positionH relativeFrom="column">
                  <wp:posOffset>4535170</wp:posOffset>
                </wp:positionH>
                <wp:positionV relativeFrom="paragraph">
                  <wp:posOffset>1870075</wp:posOffset>
                </wp:positionV>
                <wp:extent cx="664845" cy="256540"/>
                <wp:effectExtent l="0" t="0" r="0" b="0"/>
                <wp:wrapNone/>
                <wp:docPr id="65" name="Text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4845" cy="256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6C176E" w14:textId="77777777" w:rsidR="00DA7779" w:rsidRPr="00A02A3A" w:rsidRDefault="00DA7779" w:rsidP="0025329B">
                            <w:pPr>
                              <w:pStyle w:val="NormalWeb"/>
                              <w:spacing w:after="0"/>
                              <w:rPr>
                                <w:sz w:val="16"/>
                                <w:szCs w:val="16"/>
                              </w:rPr>
                            </w:pPr>
                            <w:r>
                              <w:rPr>
                                <w:rFonts w:ascii="Calibri" w:hAnsi="Calibri"/>
                                <w:color w:val="000000"/>
                                <w:kern w:val="24"/>
                                <w:sz w:val="16"/>
                                <w:szCs w:val="16"/>
                              </w:rPr>
                              <w:t>1 920</w:t>
                            </w:r>
                            <w:r w:rsidRPr="00900457">
                              <w:rPr>
                                <w:rFonts w:ascii="Calibri" w:hAnsi="Calibri"/>
                                <w:color w:val="000000"/>
                                <w:kern w:val="24"/>
                                <w:sz w:val="16"/>
                                <w:szCs w:val="16"/>
                              </w:rPr>
                              <w:t xml:space="preserve"> MH</w:t>
                            </w:r>
                            <w:r>
                              <w:rPr>
                                <w:rFonts w:ascii="Calibri" w:hAnsi="Calibri"/>
                                <w:color w:val="000000"/>
                                <w:kern w:val="24"/>
                                <w:sz w:val="16"/>
                                <w:szCs w:val="16"/>
                              </w:rPr>
                              <w:t>z</w:t>
                            </w:r>
                          </w:p>
                        </w:txbxContent>
                      </wps:txbx>
                      <wps:bodyPr rot="0" vert="horz" wrap="square" lIns="91440" tIns="45720" rIns="91440" bIns="45720" anchor="t" anchorCtr="0" upright="1">
                        <a:noAutofit/>
                      </wps:bodyPr>
                    </wps:wsp>
                  </a:graphicData>
                </a:graphic>
              </wp:anchor>
            </w:drawing>
          </mc:Choice>
          <mc:Fallback>
            <w:pict>
              <v:shape id="TextBox 33" o:spid="_x0000_s1027" type="#_x0000_t202" style="position:absolute;margin-left:357.1pt;margin-top:147.25pt;width:52.35pt;height:20.2pt;z-index:2517585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" filled="f" stroked="f">
                <v:textbox>
                  <w:txbxContent>
                    <w:p w14:paraId="7F6C176E" w14:textId="77777777" w:rsidR="00DA7779" w:rsidRPr="00A02A3A" w:rsidRDefault="00DA7779" w:rsidP="0025329B">
                      <w:pPr>
                        <w:pStyle w:val="NormalWeb"/>
                        <w:spacing w:after="0"/>
                        <w:rPr>
                          <w:sz w:val="16"/>
                          <w:szCs w:val="16"/>
                        </w:rPr>
                      </w:pPr>
                      <w:r>
                        <w:rPr>
                          <w:rFonts w:ascii="Calibri" w:hAnsi="Calibri"/>
                          <w:color w:val="000000"/>
                          <w:kern w:val="24"/>
                          <w:sz w:val="16"/>
                          <w:szCs w:val="16"/>
                        </w:rPr>
                        <w:t>1 920</w:t>
                      </w:r>
                      <w:r w:rsidRPr="00900457">
                        <w:rPr>
                          <w:rFonts w:ascii="Calibri" w:hAnsi="Calibri"/>
                          <w:color w:val="000000"/>
                          <w:kern w:val="24"/>
                          <w:sz w:val="16"/>
                          <w:szCs w:val="16"/>
                        </w:rPr>
                        <w:t xml:space="preserve"> MH</w:t>
                      </w:r>
                      <w:r>
                        <w:rPr>
                          <w:rFonts w:ascii="Calibri" w:hAnsi="Calibri"/>
                          <w:color w:val="000000"/>
                          <w:kern w:val="24"/>
                          <w:sz w:val="16"/>
                          <w:szCs w:val="16"/>
                        </w:rPr>
                        <w:t>z</w:t>
                      </w:r>
                    </w:p>
                  </w:txbxContent>
                </v:textbox>
              </v:shape>
            </w:pict>
          </mc:Fallback>
        </mc:AlternateContent>
      </w:r>
      <w:r w:rsidRPr="00040BEC">
        <w:rPr>
          <w:noProof/>
          <w:lang w:val="da-DK" w:eastAsia="da-DK"/>
        </w:rPr>
        <mc:AlternateContent>
          <mc:Choice Requires="wps">
            <w:drawing>
              <wp:anchor distT="0" distB="0" distL="114300" distR="114300" simplePos="0" relativeHeight="251756544" behindDoc="0" locked="0" layoutInCell="1" allowOverlap="1" wp14:anchorId="7634A046" wp14:editId="092CD654">
                <wp:simplePos x="0" y="0"/>
                <wp:positionH relativeFrom="column">
                  <wp:posOffset>2351629</wp:posOffset>
                </wp:positionH>
                <wp:positionV relativeFrom="paragraph">
                  <wp:posOffset>1878965</wp:posOffset>
                </wp:positionV>
                <wp:extent cx="851535" cy="293370"/>
                <wp:effectExtent l="0" t="0" r="0" b="0"/>
                <wp:wrapNone/>
                <wp:docPr id="64" name="Text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51535" cy="293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510BE5" w14:textId="77777777" w:rsidR="00DA7779" w:rsidRPr="00A02A3A" w:rsidRDefault="00DA7779" w:rsidP="0025329B">
                            <w:pPr>
                              <w:pStyle w:val="NormalWeb"/>
                              <w:spacing w:after="0"/>
                              <w:jc w:val="center"/>
                              <w:rPr>
                                <w:sz w:val="16"/>
                                <w:szCs w:val="16"/>
                              </w:rPr>
                            </w:pPr>
                            <w:r>
                              <w:rPr>
                                <w:rFonts w:ascii="Calibri" w:hAnsi="Calibri"/>
                                <w:color w:val="000000"/>
                                <w:kern w:val="24"/>
                                <w:sz w:val="16"/>
                                <w:szCs w:val="16"/>
                              </w:rPr>
                              <w:t xml:space="preserve">1 910 </w:t>
                            </w:r>
                            <w:r w:rsidRPr="00900457">
                              <w:rPr>
                                <w:rFonts w:ascii="Calibri" w:hAnsi="Calibri"/>
                                <w:color w:val="000000"/>
                                <w:kern w:val="24"/>
                                <w:sz w:val="16"/>
                                <w:szCs w:val="16"/>
                              </w:rPr>
                              <w:t>MHz</w:t>
                            </w:r>
                          </w:p>
                        </w:txbxContent>
                      </wps:txbx>
                      <wps:bodyPr rot="0" vert="horz" wrap="square" lIns="91440" tIns="45720" rIns="91440" bIns="45720" anchor="t" anchorCtr="0" upright="1">
                        <a:noAutofit/>
                      </wps:bodyPr>
                    </wps:wsp>
                  </a:graphicData>
                </a:graphic>
              </wp:anchor>
            </w:drawing>
          </mc:Choice>
          <mc:Fallback>
            <w:pict>
              <v:shape id="TextBox 30" o:spid="_x0000_s1028" type="#_x0000_t202" style="position:absolute;margin-left:185.15pt;margin-top:147.95pt;width:67.05pt;height:23.1pt;z-index:2517565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" filled="f" stroked="f">
                <v:textbox>
                  <w:txbxContent>
                    <w:p w14:paraId="56510BE5" w14:textId="77777777" w:rsidR="00DA7779" w:rsidRPr="00A02A3A" w:rsidRDefault="00DA7779" w:rsidP="0025329B">
                      <w:pPr>
                        <w:pStyle w:val="NormalWeb"/>
                        <w:spacing w:after="0"/>
                        <w:jc w:val="center"/>
                        <w:rPr>
                          <w:sz w:val="16"/>
                          <w:szCs w:val="16"/>
                        </w:rPr>
                      </w:pPr>
                      <w:r>
                        <w:rPr>
                          <w:rFonts w:ascii="Calibri" w:hAnsi="Calibri"/>
                          <w:color w:val="000000"/>
                          <w:kern w:val="24"/>
                          <w:sz w:val="16"/>
                          <w:szCs w:val="16"/>
                        </w:rPr>
                        <w:t xml:space="preserve">1 910 </w:t>
                      </w:r>
                      <w:r w:rsidRPr="00900457">
                        <w:rPr>
                          <w:rFonts w:ascii="Calibri" w:hAnsi="Calibri"/>
                          <w:color w:val="000000"/>
                          <w:kern w:val="24"/>
                          <w:sz w:val="16"/>
                          <w:szCs w:val="16"/>
                        </w:rPr>
                        <w:t>MHz</w:t>
                      </w:r>
                    </w:p>
                  </w:txbxContent>
                </v:textbox>
              </v:shape>
            </w:pict>
          </mc:Fallback>
        </mc:AlternateContent>
      </w:r>
      <w:r w:rsidRPr="00040BEC">
        <w:rPr>
          <w:noProof/>
          <w:lang w:val="da-DK" w:eastAsia="da-DK"/>
        </w:rPr>
        <mc:AlternateContent>
          <mc:Choice Requires="wps">
            <w:drawing>
              <wp:anchor distT="0" distB="0" distL="114300" distR="114300" simplePos="0" relativeHeight="251754496" behindDoc="0" locked="0" layoutInCell="1" allowOverlap="1" wp14:anchorId="4F647795" wp14:editId="382D954B">
                <wp:simplePos x="0" y="0"/>
                <wp:positionH relativeFrom="column">
                  <wp:posOffset>294005</wp:posOffset>
                </wp:positionH>
                <wp:positionV relativeFrom="paragraph">
                  <wp:posOffset>1915795</wp:posOffset>
                </wp:positionV>
                <wp:extent cx="654685" cy="276860"/>
                <wp:effectExtent l="0" t="0" r="0" b="8890"/>
                <wp:wrapNone/>
                <wp:docPr id="294" name="Text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4685" cy="2768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1109FA" w14:textId="77777777" w:rsidR="00DA7779" w:rsidRPr="00A02A3A" w:rsidRDefault="00DA7779" w:rsidP="0025329B">
                            <w:pPr>
                              <w:pStyle w:val="NormalWeb"/>
                              <w:spacing w:after="0"/>
                              <w:rPr>
                                <w:sz w:val="16"/>
                                <w:szCs w:val="16"/>
                              </w:rPr>
                            </w:pPr>
                            <w:r>
                              <w:rPr>
                                <w:rFonts w:ascii="Calibri" w:hAnsi="Calibri"/>
                                <w:color w:val="000000"/>
                                <w:kern w:val="24"/>
                                <w:sz w:val="16"/>
                                <w:szCs w:val="16"/>
                              </w:rPr>
                              <w:t xml:space="preserve">1 900 </w:t>
                            </w:r>
                            <w:r w:rsidRPr="00900457">
                              <w:rPr>
                                <w:rFonts w:ascii="Calibri" w:hAnsi="Calibri"/>
                                <w:color w:val="000000"/>
                                <w:kern w:val="24"/>
                                <w:sz w:val="16"/>
                                <w:szCs w:val="16"/>
                              </w:rPr>
                              <w:t>MHz</w:t>
                            </w:r>
                          </w:p>
                        </w:txbxContent>
                      </wps:txbx>
                      <wps:bodyPr rot="0" vert="horz" wrap="square" lIns="91440" tIns="45720" rIns="91440" bIns="45720" anchor="t" anchorCtr="0" upright="1">
                        <a:noAutofit/>
                      </wps:bodyPr>
                    </wps:wsp>
                  </a:graphicData>
                </a:graphic>
              </wp:anchor>
            </w:drawing>
          </mc:Choice>
          <mc:Fallback>
            <w:pict>
              <v:shape id="TextBox 22" o:spid="_x0000_s1029" type="#_x0000_t202" style="position:absolute;margin-left:23.15pt;margin-top:150.85pt;width:51.55pt;height:21.8pt;z-index:25175449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" filled="f" stroked="f">
                <v:textbox>
                  <w:txbxContent>
                    <w:p w14:paraId="681109FA" w14:textId="77777777" w:rsidR="00DA7779" w:rsidRPr="00A02A3A" w:rsidRDefault="00DA7779" w:rsidP="0025329B">
                      <w:pPr>
                        <w:pStyle w:val="NormalWeb"/>
                        <w:spacing w:after="0"/>
                        <w:rPr>
                          <w:sz w:val="16"/>
                          <w:szCs w:val="16"/>
                        </w:rPr>
                      </w:pPr>
                      <w:r>
                        <w:rPr>
                          <w:rFonts w:ascii="Calibri" w:hAnsi="Calibri"/>
                          <w:color w:val="000000"/>
                          <w:kern w:val="24"/>
                          <w:sz w:val="16"/>
                          <w:szCs w:val="16"/>
                        </w:rPr>
                        <w:t xml:space="preserve">1 900 </w:t>
                      </w:r>
                      <w:r w:rsidRPr="00900457">
                        <w:rPr>
                          <w:rFonts w:ascii="Calibri" w:hAnsi="Calibri"/>
                          <w:color w:val="000000"/>
                          <w:kern w:val="24"/>
                          <w:sz w:val="16"/>
                          <w:szCs w:val="16"/>
                        </w:rPr>
                        <w:t>MHz</w:t>
                      </w:r>
                    </w:p>
                  </w:txbxContent>
                </v:textbox>
              </v:shape>
            </w:pict>
          </mc:Fallback>
        </mc:AlternateContent>
      </w:r>
      <w:r w:rsidR="004034FC" w:rsidRPr="00040BEC">
        <w:rPr>
          <w:noProof/>
          <w:lang w:val="da-DK" w:eastAsia="da-DK"/>
        </w:rPr>
        <mc:AlternateContent>
          <mc:Choice Requires="wps">
            <w:drawing>
              <wp:anchor distT="0" distB="0" distL="114300" distR="114300" simplePos="0" relativeHeight="251732992" behindDoc="0" locked="0" layoutInCell="1" allowOverlap="1" wp14:anchorId="5C52EB77" wp14:editId="74201A0E">
                <wp:simplePos x="0" y="0"/>
                <wp:positionH relativeFrom="column">
                  <wp:posOffset>2734945</wp:posOffset>
                </wp:positionH>
                <wp:positionV relativeFrom="paragraph">
                  <wp:posOffset>1593215</wp:posOffset>
                </wp:positionV>
                <wp:extent cx="45085" cy="280035"/>
                <wp:effectExtent l="0" t="0" r="12065" b="62865"/>
                <wp:wrapNone/>
                <wp:docPr id="7" name="Rectangle 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85" cy="280035"/>
                        </a:xfrm>
                        <a:prstGeom prst="rect">
                          <a:avLst/>
                        </a:prstGeom>
                        <a:solidFill>
                          <a:srgbClr val="BFBFBF"/>
                        </a:solidFill>
                        <a:ln w="12700">
                          <a:solidFill>
                            <a:srgbClr val="000000"/>
                          </a:solidFill>
                          <a:miter lim="800000"/>
                          <a:headEnd/>
                          <a:tailEnd/>
                        </a:ln>
                        <a:effectLst>
                          <a:outerShdw dist="23000" dir="5400000" rotWithShape="0">
                            <a:srgbClr val="000000">
                              <a:alpha val="34999"/>
                            </a:srgbClr>
                          </a:outerShdw>
                        </a:effectLst>
                      </wps:spPr>
                      <wps:txbx>
                        <w:txbxContent>
                          <w:p w14:paraId="6C451728" w14:textId="77777777" w:rsidR="00DA7779" w:rsidRPr="00A02A3A" w:rsidRDefault="00DA7779" w:rsidP="004034FC">
                            <w:pPr>
                              <w:rPr>
                                <w:sz w:val="16"/>
                                <w:szCs w:val="16"/>
                              </w:rPr>
                            </w:pP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ect id="Rectangle 50" o:spid="_x0000_s1030" style="position:absolute;margin-left:215.35pt;margin-top:125.45pt;width:3.55pt;height:22.05pt;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" fillcolor="#bfbfbf" strokeweight="1pt">
                <v:shadow on="t" color="black" opacity="22936f" origin=",.5" offset="0,.63889mm"/>
                <v:textbox>
                  <w:txbxContent>
                    <w:p w14:paraId="6C451728" w14:textId="77777777" w:rsidR="00DA7779" w:rsidRPr="00A02A3A" w:rsidRDefault="00DA7779" w:rsidP="004034FC">
                      <w:pPr>
                        <w:rPr>
                          <w:sz w:val="16"/>
                          <w:szCs w:val="16"/>
                        </w:rPr>
                      </w:pPr>
                    </w:p>
                  </w:txbxContent>
                </v:textbox>
              </v:rect>
            </w:pict>
          </mc:Fallback>
        </mc:AlternateContent>
      </w:r>
      <w:r w:rsidR="004034FC" w:rsidRPr="00040BEC">
        <w:rPr>
          <w:noProof/>
          <w:lang w:val="da-DK" w:eastAsia="da-DK"/>
        </w:rPr>
        <mc:AlternateContent>
          <mc:Choice Requires="wps">
            <w:drawing>
              <wp:anchor distT="0" distB="0" distL="114300" distR="114300" simplePos="0" relativeHeight="251729920" behindDoc="0" locked="0" layoutInCell="1" allowOverlap="1" wp14:anchorId="0E948586" wp14:editId="72D311A9">
                <wp:simplePos x="0" y="0"/>
                <wp:positionH relativeFrom="column">
                  <wp:posOffset>629285</wp:posOffset>
                </wp:positionH>
                <wp:positionV relativeFrom="paragraph">
                  <wp:posOffset>983615</wp:posOffset>
                </wp:positionV>
                <wp:extent cx="23495" cy="875665"/>
                <wp:effectExtent l="0" t="0" r="14605" b="57785"/>
                <wp:wrapNone/>
                <wp:docPr id="13" name="Rectangle 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495" cy="875665"/>
                        </a:xfrm>
                        <a:prstGeom prst="rect">
                          <a:avLst/>
                        </a:prstGeom>
                        <a:solidFill>
                          <a:srgbClr val="BFBFBF"/>
                        </a:solidFill>
                        <a:ln w="12700">
                          <a:solidFill>
                            <a:srgbClr val="000000"/>
                          </a:solidFill>
                          <a:miter lim="800000"/>
                          <a:headEnd/>
                          <a:tailEnd/>
                        </a:ln>
                        <a:effectLst>
                          <a:outerShdw dist="23000" dir="5400000" rotWithShape="0">
                            <a:srgbClr val="000000">
                              <a:alpha val="34999"/>
                            </a:srgbClr>
                          </a:outerShdw>
                        </a:effectLst>
                      </wps:spPr>
                      <wps:txbx>
                        <w:txbxContent>
                          <w:p w14:paraId="319654F0" w14:textId="77777777" w:rsidR="00DA7779" w:rsidRPr="00A02A3A" w:rsidRDefault="00DA7779" w:rsidP="004034FC">
                            <w:pPr>
                              <w:rPr>
                                <w:sz w:val="16"/>
                                <w:szCs w:val="16"/>
                              </w:rPr>
                            </w:pPr>
                          </w:p>
                          <w:p w14:paraId="6F455B51" w14:textId="77777777" w:rsidR="00DA7779" w:rsidRPr="00A02A3A" w:rsidRDefault="00DA7779" w:rsidP="004034FC">
                            <w:pPr>
                              <w:rPr>
                                <w:sz w:val="16"/>
                                <w:szCs w:val="16"/>
                              </w:rP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id="_x0000_s1031" style="position:absolute;margin-left:49.55pt;margin-top:77.45pt;width:1.85pt;height:68.95pt;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" fillcolor="#bfbfbf" strokeweight="1pt">
                <v:shadow on="t" color="black" opacity="22936f" origin=",.5" offset="0,.63889mm"/>
                <v:textbox>
                  <w:txbxContent>
                    <w:p w14:paraId="319654F0" w14:textId="77777777" w:rsidR="00DA7779" w:rsidRPr="00A02A3A" w:rsidRDefault="00DA7779" w:rsidP="004034FC">
                      <w:pPr>
                        <w:rPr>
                          <w:sz w:val="16"/>
                          <w:szCs w:val="16"/>
                        </w:rPr>
                      </w:pPr>
                    </w:p>
                    <w:p w14:paraId="6F455B51" w14:textId="77777777" w:rsidR="00DA7779" w:rsidRPr="00A02A3A" w:rsidRDefault="00DA7779" w:rsidP="004034FC">
                      <w:pPr>
                        <w:rPr>
                          <w:sz w:val="16"/>
                          <w:szCs w:val="16"/>
                        </w:rPr>
                      </w:pPr>
                    </w:p>
                  </w:txbxContent>
                </v:textbox>
              </v:rect>
            </w:pict>
          </mc:Fallback>
        </mc:AlternateContent>
      </w:r>
      <w:r w:rsidR="004034FC" w:rsidRPr="00040BEC">
        <w:rPr>
          <w:noProof/>
          <w:lang w:val="da-DK" w:eastAsia="da-DK"/>
        </w:rPr>
        <mc:AlternateContent>
          <mc:Choice Requires="wps">
            <w:drawing>
              <wp:anchor distT="0" distB="0" distL="114300" distR="114300" simplePos="0" relativeHeight="251731968" behindDoc="0" locked="0" layoutInCell="1" allowOverlap="1" wp14:anchorId="26597223" wp14:editId="507C785D">
                <wp:simplePos x="0" y="0"/>
                <wp:positionH relativeFrom="margin">
                  <wp:posOffset>635635</wp:posOffset>
                </wp:positionH>
                <wp:positionV relativeFrom="paragraph">
                  <wp:posOffset>448310</wp:posOffset>
                </wp:positionV>
                <wp:extent cx="4121150" cy="528320"/>
                <wp:effectExtent l="0" t="0" r="12700" b="62230"/>
                <wp:wrapNone/>
                <wp:docPr id="53" name="Rectangle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21150" cy="528320"/>
                        </a:xfrm>
                        <a:prstGeom prst="rect">
                          <a:avLst/>
                        </a:prstGeom>
                        <a:solidFill>
                          <a:srgbClr val="F79646"/>
                        </a:solidFill>
                        <a:ln w="12700">
                          <a:solidFill>
                            <a:srgbClr val="000000"/>
                          </a:solidFill>
                          <a:miter lim="800000"/>
                          <a:headEnd/>
                          <a:tailEnd/>
                        </a:ln>
                        <a:effectLst>
                          <a:outerShdw dist="23000" dir="5400000" rotWithShape="0">
                            <a:srgbClr val="000000">
                              <a:alpha val="34999"/>
                            </a:srgbClr>
                          </a:outerShdw>
                        </a:effectLst>
                      </wps:spPr>
                      <wps:txbx>
                        <w:txbxContent>
                          <w:p w14:paraId="52CD345A" w14:textId="77777777" w:rsidR="00DA7779" w:rsidRPr="00851901" w:rsidRDefault="00DA7779" w:rsidP="004034FC">
                            <w:pPr>
                              <w:pStyle w:val="NormalWeb"/>
                              <w:spacing w:before="0" w:beforeAutospacing="0" w:after="0" w:afterAutospacing="0"/>
                              <w:jc w:val="center"/>
                              <w:rPr>
                                <w:rFonts w:ascii="Calibri" w:hAnsi="Calibri"/>
                                <w:color w:val="000000"/>
                                <w:kern w:val="24"/>
                              </w:rPr>
                            </w:pPr>
                            <w:r w:rsidRPr="00851901">
                              <w:rPr>
                                <w:rFonts w:ascii="Calibri" w:hAnsi="Calibri"/>
                                <w:color w:val="000000"/>
                                <w:kern w:val="24"/>
                              </w:rPr>
                              <w:t>VLCC</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ect id="Rectangle 47" o:spid="_x0000_s1032" style="position:absolute;margin-left:50.05pt;margin-top:35.3pt;width:324.5pt;height:41.6pt;z-index:2517319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" fillcolor="#f79646" strokeweight="1pt">
                <v:shadow on="t" color="black" opacity="22936f" origin=",.5" offset="0,.63889mm"/>
                <v:textbox>
                  <w:txbxContent>
                    <w:p w14:paraId="52CD345A" w14:textId="77777777" w:rsidR="00DA7779" w:rsidRPr="00851901" w:rsidRDefault="00DA7779" w:rsidP="004034FC">
                      <w:pPr>
                        <w:pStyle w:val="NormalWeb"/>
                        <w:spacing w:before="0" w:beforeAutospacing="0" w:after="0" w:afterAutospacing="0"/>
                        <w:jc w:val="center"/>
                        <w:rPr>
                          <w:rFonts w:ascii="Calibri" w:hAnsi="Calibri"/>
                          <w:color w:val="000000"/>
                          <w:kern w:val="24"/>
                        </w:rPr>
                      </w:pPr>
                      <w:r w:rsidRPr="00851901">
                        <w:rPr>
                          <w:rFonts w:ascii="Calibri" w:hAnsi="Calibri"/>
                          <w:color w:val="000000"/>
                          <w:kern w:val="24"/>
                        </w:rPr>
                        <w:t>VLCC</w:t>
                      </w:r>
                    </w:p>
                  </w:txbxContent>
                </v:textbox>
                <w10:wrap anchorx="margin"/>
              </v:rect>
            </w:pict>
          </mc:Fallback>
        </mc:AlternateContent>
      </w:r>
      <w:r w:rsidR="004034FC" w:rsidRPr="00040BEC">
        <w:rPr>
          <w:noProof/>
          <w:lang w:val="da-DK" w:eastAsia="da-DK"/>
        </w:rPr>
        <mc:AlternateContent>
          <mc:Choice Requires="wps">
            <w:drawing>
              <wp:anchor distT="0" distB="0" distL="114300" distR="114300" simplePos="0" relativeHeight="251730944" behindDoc="0" locked="0" layoutInCell="1" allowOverlap="1" wp14:anchorId="522264D8" wp14:editId="4CD619BB">
                <wp:simplePos x="0" y="0"/>
                <wp:positionH relativeFrom="margin">
                  <wp:posOffset>4756150</wp:posOffset>
                </wp:positionH>
                <wp:positionV relativeFrom="paragraph">
                  <wp:posOffset>8255</wp:posOffset>
                </wp:positionV>
                <wp:extent cx="635000" cy="1604645"/>
                <wp:effectExtent l="0" t="0" r="12700" b="52705"/>
                <wp:wrapNone/>
                <wp:docPr id="68" name="Rectangle 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5000" cy="1604645"/>
                        </a:xfrm>
                        <a:prstGeom prst="rect">
                          <a:avLst/>
                        </a:prstGeom>
                        <a:solidFill>
                          <a:schemeClr val="accent1">
                            <a:lumMod val="40000"/>
                            <a:lumOff val="60000"/>
                          </a:schemeClr>
                        </a:solidFill>
                        <a:ln w="9525">
                          <a:solidFill>
                            <a:srgbClr val="000000"/>
                          </a:solidFill>
                          <a:miter lim="800000"/>
                          <a:headEnd/>
                          <a:tailEnd/>
                        </a:ln>
                        <a:effectLst>
                          <a:outerShdw dist="23000" dir="5400000" rotWithShape="0">
                            <a:srgbClr val="000000">
                              <a:alpha val="34999"/>
                            </a:srgbClr>
                          </a:outerShdw>
                        </a:effectLst>
                      </wps:spPr>
                      <wps:txbx>
                        <w:txbxContent>
                          <w:p w14:paraId="255E3956" w14:textId="77777777" w:rsidR="00DA7779" w:rsidRPr="007C0752" w:rsidRDefault="00DA7779" w:rsidP="004034FC">
                            <w:pPr>
                              <w:pStyle w:val="NormalWeb"/>
                              <w:jc w:val="center"/>
                              <w:rPr>
                                <w:lang w:val="pt-PT"/>
                              </w:rPr>
                            </w:pPr>
                            <w:r>
                              <w:rPr>
                                <w:rFonts w:ascii="Calibri" w:hAnsi="Calibri"/>
                                <w:color w:val="000000"/>
                                <w:kern w:val="24"/>
                                <w:lang w:val="pt-PT"/>
                              </w:rPr>
                              <w:t>IMT</w:t>
                            </w:r>
                          </w:p>
                        </w:txbxContent>
                      </wps:txbx>
                      <wps:bodyPr rot="0" vert="horz" wrap="square" lIns="91440" tIns="45720" rIns="91440" bIns="45720" anchor="ctr" anchorCtr="0" upright="1">
                        <a:noAutofit/>
                      </wps:bodyPr>
                    </wps:wsp>
                  </a:graphicData>
                </a:graphic>
                <wp14:sizeRelH relativeFrom="page">
                  <wp14:pctWidth>0</wp14:pctWidth>
                </wp14:sizeRelH>
                <wp14:sizeRelV relativeFrom="margin">
                  <wp14:pctHeight>0</wp14:pctHeight>
                </wp14:sizeRelV>
              </wp:anchor>
            </w:drawing>
          </mc:Choice>
          <mc:Fallback>
            <w:pict>
              <v:rect id="Rectangle 59" o:spid="_x0000_s1033" style="position:absolute;margin-left:374.5pt;margin-top:.65pt;width:50pt;height:126.35pt;z-index:2517309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" fillcolor="#b8cce4 [1300]">
                <v:shadow on="t" color="black" opacity="22936f" origin=",.5" offset="0,.63889mm"/>
                <v:textbox>
                  <w:txbxContent>
                    <w:p w14:paraId="255E3956" w14:textId="77777777" w:rsidR="00DA7779" w:rsidRPr="007C0752" w:rsidRDefault="00DA7779" w:rsidP="004034FC">
                      <w:pPr>
                        <w:pStyle w:val="NormalWeb"/>
                        <w:jc w:val="center"/>
                        <w:rPr>
                          <w:lang w:val="pt-PT"/>
                        </w:rPr>
                      </w:pPr>
                      <w:r>
                        <w:rPr>
                          <w:rFonts w:ascii="Calibri" w:hAnsi="Calibri"/>
                          <w:color w:val="000000"/>
                          <w:kern w:val="24"/>
                          <w:lang w:val="pt-PT"/>
                        </w:rPr>
                        <w:t>IMT</w:t>
                      </w:r>
                    </w:p>
                  </w:txbxContent>
                </v:textbox>
                <w10:wrap anchorx="margin"/>
              </v:rect>
            </w:pict>
          </mc:Fallback>
        </mc:AlternateContent>
      </w:r>
      <w:r w:rsidR="004034FC" w:rsidRPr="00040BEC">
        <w:rPr>
          <w:rFonts w:cs="Arial"/>
          <w:noProof/>
          <w:lang w:val="da-DK" w:eastAsia="da-DK"/>
        </w:rPr>
        <mc:AlternateContent>
          <mc:Choice Requires="wpg">
            <w:drawing>
              <wp:inline distT="0" distB="0" distL="0" distR="0" wp14:anchorId="311A1CCC" wp14:editId="3D7D77D5">
                <wp:extent cx="4787653" cy="2199180"/>
                <wp:effectExtent l="0" t="0" r="13335" b="0"/>
                <wp:docPr id="69" name="Group 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87653" cy="2199180"/>
                          <a:chOff x="4315" y="42943"/>
                          <a:chExt cx="73332" cy="15633"/>
                        </a:xfrm>
                      </wpg:grpSpPr>
                      <wps:wsp>
                        <wps:cNvPr id="70" name="Rectangle 91"/>
                        <wps:cNvSpPr>
                          <a:spLocks noChangeArrowheads="1"/>
                        </wps:cNvSpPr>
                        <wps:spPr bwMode="auto">
                          <a:xfrm>
                            <a:off x="14208" y="54485"/>
                            <a:ext cx="63340" cy="530"/>
                          </a:xfrm>
                          <a:prstGeom prst="rect">
                            <a:avLst/>
                          </a:prstGeom>
                          <a:solidFill>
                            <a:srgbClr val="BFBFBF"/>
                          </a:solidFill>
                          <a:ln w="12700">
                            <a:solidFill>
                              <a:srgbClr val="000000"/>
                            </a:solidFill>
                            <a:miter lim="800000"/>
                            <a:headEnd/>
                            <a:tailEnd/>
                          </a:ln>
                          <a:effectLst>
                            <a:outerShdw dist="23000" dir="5400000" rotWithShape="0">
                              <a:srgbClr val="000000">
                                <a:alpha val="34998"/>
                              </a:srgbClr>
                            </a:outerShdw>
                          </a:effectLst>
                        </wps:spPr>
                        <wps:txbx>
                          <w:txbxContent>
                            <w:p w14:paraId="2ACA6D83" w14:textId="77777777" w:rsidR="00DA7779" w:rsidRPr="00A02A3A" w:rsidRDefault="00DA7779" w:rsidP="004034FC">
                              <w:pPr>
                                <w:rPr>
                                  <w:sz w:val="16"/>
                                  <w:szCs w:val="16"/>
                                </w:rPr>
                              </w:pPr>
                            </w:p>
                          </w:txbxContent>
                        </wps:txbx>
                        <wps:bodyPr rot="0" vert="horz" wrap="square" lIns="91440" tIns="45720" rIns="91440" bIns="45720" anchor="ctr" anchorCtr="0" upright="1">
                          <a:noAutofit/>
                        </wps:bodyPr>
                      </wps:wsp>
                      <wps:wsp>
                        <wps:cNvPr id="71" name="Rectangle 24"/>
                        <wps:cNvSpPr>
                          <a:spLocks noChangeArrowheads="1"/>
                        </wps:cNvSpPr>
                        <wps:spPr bwMode="auto">
                          <a:xfrm>
                            <a:off x="14208" y="49843"/>
                            <a:ext cx="62911" cy="4558"/>
                          </a:xfrm>
                          <a:prstGeom prst="rect">
                            <a:avLst/>
                          </a:prstGeom>
                          <a:solidFill>
                            <a:schemeClr val="accent4">
                              <a:lumMod val="60000"/>
                              <a:lumOff val="40000"/>
                            </a:schemeClr>
                          </a:solidFill>
                          <a:ln w="12700">
                            <a:solidFill>
                              <a:srgbClr val="000000"/>
                            </a:solidFill>
                            <a:miter lim="800000"/>
                            <a:headEnd/>
                            <a:tailEnd/>
                          </a:ln>
                          <a:effectLst>
                            <a:outerShdw dist="23000" dir="5400000" rotWithShape="0">
                              <a:srgbClr val="000000">
                                <a:alpha val="34998"/>
                              </a:srgbClr>
                            </a:outerShdw>
                          </a:effectLst>
                        </wps:spPr>
                        <wps:txbx>
                          <w:txbxContent>
                            <w:p w14:paraId="32D80931" w14:textId="77777777" w:rsidR="00DA7779" w:rsidRDefault="00DA7779" w:rsidP="004034FC">
                              <w:pPr>
                                <w:pStyle w:val="NormalWeb"/>
                                <w:spacing w:before="0" w:beforeAutospacing="0" w:after="0" w:afterAutospacing="0"/>
                                <w:jc w:val="center"/>
                                <w:rPr>
                                  <w:rFonts w:ascii="Calibri" w:hAnsi="Calibri"/>
                                  <w:color w:val="000000"/>
                                  <w:kern w:val="24"/>
                                  <w:sz w:val="16"/>
                                  <w:szCs w:val="16"/>
                                </w:rPr>
                              </w:pPr>
                              <w:r>
                                <w:rPr>
                                  <w:rFonts w:ascii="Calibri" w:hAnsi="Calibri"/>
                                  <w:color w:val="000000"/>
                                  <w:kern w:val="24"/>
                                  <w:sz w:val="16"/>
                                  <w:szCs w:val="16"/>
                                </w:rPr>
                                <w:t xml:space="preserve">Applications under general </w:t>
                              </w:r>
                              <w:proofErr w:type="spellStart"/>
                              <w:r>
                                <w:rPr>
                                  <w:rFonts w:ascii="Calibri" w:hAnsi="Calibri"/>
                                  <w:color w:val="000000"/>
                                  <w:kern w:val="24"/>
                                  <w:sz w:val="16"/>
                                  <w:szCs w:val="16"/>
                                </w:rPr>
                                <w:t>authorisation</w:t>
                              </w:r>
                              <w:proofErr w:type="spellEnd"/>
                              <w:r>
                                <w:rPr>
                                  <w:rFonts w:ascii="Calibri" w:hAnsi="Calibri"/>
                                  <w:color w:val="000000"/>
                                  <w:kern w:val="24"/>
                                  <w:sz w:val="16"/>
                                  <w:szCs w:val="16"/>
                                </w:rPr>
                                <w:t xml:space="preserve"> (DECT / SRD) </w:t>
                              </w:r>
                            </w:p>
                            <w:p w14:paraId="24E56509" w14:textId="77777777" w:rsidR="00DA7779" w:rsidRPr="00B26244" w:rsidRDefault="00DA7779" w:rsidP="004034FC">
                              <w:pPr>
                                <w:pStyle w:val="NormalWeb"/>
                                <w:spacing w:before="0" w:beforeAutospacing="0" w:after="0" w:afterAutospacing="0"/>
                                <w:jc w:val="center"/>
                                <w:rPr>
                                  <w:rFonts w:ascii="Calibri" w:hAnsi="Calibri"/>
                                  <w:color w:val="000000"/>
                                  <w:kern w:val="24"/>
                                  <w:sz w:val="16"/>
                                  <w:szCs w:val="16"/>
                                </w:rPr>
                              </w:pPr>
                              <w:r w:rsidRPr="00B26244">
                                <w:rPr>
                                  <w:rFonts w:ascii="Calibri" w:hAnsi="Calibri"/>
                                  <w:color w:val="000000"/>
                                  <w:kern w:val="24"/>
                                  <w:sz w:val="16"/>
                                  <w:szCs w:val="16"/>
                                </w:rPr>
                                <w:t>Not proposed to be introduced in a Commission implementing decision</w:t>
                              </w:r>
                            </w:p>
                          </w:txbxContent>
                        </wps:txbx>
                        <wps:bodyPr rot="0" vert="horz" wrap="square" lIns="91440" tIns="45720" rIns="91440" bIns="45720" anchor="ctr" anchorCtr="0" upright="1">
                          <a:noAutofit/>
                        </wps:bodyPr>
                      </wps:wsp>
                      <wps:wsp>
                        <wps:cNvPr id="272" name="Rectangle 26"/>
                        <wps:cNvSpPr>
                          <a:spLocks noChangeArrowheads="1"/>
                        </wps:cNvSpPr>
                        <wps:spPr bwMode="auto">
                          <a:xfrm>
                            <a:off x="77284" y="49932"/>
                            <a:ext cx="363" cy="6227"/>
                          </a:xfrm>
                          <a:prstGeom prst="rect">
                            <a:avLst/>
                          </a:prstGeom>
                          <a:solidFill>
                            <a:srgbClr val="BFBFBF"/>
                          </a:solidFill>
                          <a:ln w="12700">
                            <a:solidFill>
                              <a:srgbClr val="000000"/>
                            </a:solidFill>
                            <a:miter lim="800000"/>
                            <a:headEnd/>
                            <a:tailEnd/>
                          </a:ln>
                          <a:effectLst>
                            <a:outerShdw dist="23000" dir="5400000" rotWithShape="0">
                              <a:srgbClr val="000000">
                                <a:alpha val="34998"/>
                              </a:srgbClr>
                            </a:outerShdw>
                          </a:effectLst>
                        </wps:spPr>
                        <wps:txbx>
                          <w:txbxContent>
                            <w:p w14:paraId="0F61C1A5" w14:textId="77777777" w:rsidR="00DA7779" w:rsidRPr="00A02A3A" w:rsidRDefault="00DA7779" w:rsidP="004034FC">
                              <w:pPr>
                                <w:rPr>
                                  <w:sz w:val="16"/>
                                  <w:szCs w:val="16"/>
                                </w:rPr>
                              </w:pPr>
                            </w:p>
                          </w:txbxContent>
                        </wps:txbx>
                        <wps:bodyPr rot="0" vert="horz" wrap="square" lIns="91440" tIns="45720" rIns="91440" bIns="45720" anchor="ctr" anchorCtr="0" upright="1">
                          <a:noAutofit/>
                        </wps:bodyPr>
                      </wps:wsp>
                      <wps:wsp>
                        <wps:cNvPr id="292" name="TextBox 22"/>
                        <wps:cNvSpPr txBox="1">
                          <a:spLocks noChangeArrowheads="1"/>
                        </wps:cNvSpPr>
                        <wps:spPr bwMode="auto">
                          <a:xfrm>
                            <a:off x="8852" y="56604"/>
                            <a:ext cx="10034" cy="197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770D27" w14:textId="77777777" w:rsidR="00DA7779" w:rsidRDefault="00DA7779" w:rsidP="004034FC"/>
                          </w:txbxContent>
                        </wps:txbx>
                        <wps:bodyPr rot="0" vert="horz" wrap="square" lIns="91440" tIns="45720" rIns="91440" bIns="45720" anchor="t" anchorCtr="0" upright="1">
                          <a:noAutofit/>
                        </wps:bodyPr>
                      </wps:wsp>
                      <wps:wsp>
                        <wps:cNvPr id="293" name="Rectangle 29"/>
                        <wps:cNvSpPr>
                          <a:spLocks noChangeArrowheads="1"/>
                        </wps:cNvSpPr>
                        <wps:spPr bwMode="auto">
                          <a:xfrm>
                            <a:off x="4315" y="42943"/>
                            <a:ext cx="9728" cy="11436"/>
                          </a:xfrm>
                          <a:prstGeom prst="rect">
                            <a:avLst/>
                          </a:prstGeom>
                          <a:solidFill>
                            <a:schemeClr val="accent6">
                              <a:lumMod val="20000"/>
                              <a:lumOff val="80000"/>
                            </a:schemeClr>
                          </a:solidFill>
                          <a:ln w="9525">
                            <a:solidFill>
                              <a:srgbClr val="000000"/>
                            </a:solidFill>
                            <a:miter lim="800000"/>
                            <a:headEnd/>
                            <a:tailEnd/>
                          </a:ln>
                          <a:effectLst>
                            <a:outerShdw dist="23000" dir="5400000" rotWithShape="0">
                              <a:srgbClr val="000000">
                                <a:alpha val="34998"/>
                              </a:srgbClr>
                            </a:outerShdw>
                          </a:effectLst>
                        </wps:spPr>
                        <wps:txbx>
                          <w:txbxContent>
                            <w:p w14:paraId="034072E1" w14:textId="77777777" w:rsidR="00DA7779" w:rsidRPr="00EE05BA" w:rsidRDefault="00DA7779" w:rsidP="004034FC">
                              <w:pPr>
                                <w:pStyle w:val="NormalWeb"/>
                                <w:spacing w:after="0"/>
                                <w:jc w:val="center"/>
                              </w:pPr>
                              <w:r>
                                <w:rPr>
                                  <w:rFonts w:ascii="Calibri" w:hAnsi="Calibri"/>
                                  <w:color w:val="000000"/>
                                  <w:kern w:val="24"/>
                                </w:rPr>
                                <w:t>DECT</w:t>
                              </w:r>
                            </w:p>
                          </w:txbxContent>
                        </wps:txbx>
                        <wps:bodyPr rot="0" vert="horz" wrap="square" lIns="91440" tIns="45720" rIns="91440" bIns="45720" anchor="ctr" anchorCtr="0" upright="1">
                          <a:noAutofit/>
                        </wps:bodyPr>
                      </wps:wsp>
                      <wps:wsp>
                        <wps:cNvPr id="295" name="Rectangle 58"/>
                        <wps:cNvSpPr>
                          <a:spLocks noChangeArrowheads="1"/>
                        </wps:cNvSpPr>
                        <wps:spPr bwMode="auto">
                          <a:xfrm>
                            <a:off x="14207" y="42943"/>
                            <a:ext cx="32407" cy="3166"/>
                          </a:xfrm>
                          <a:prstGeom prst="rect">
                            <a:avLst/>
                          </a:prstGeom>
                          <a:solidFill>
                            <a:srgbClr val="C0504D"/>
                          </a:solidFill>
                          <a:ln w="9525">
                            <a:solidFill>
                              <a:srgbClr val="000000"/>
                            </a:solidFill>
                            <a:miter lim="800000"/>
                            <a:headEnd/>
                            <a:tailEnd/>
                          </a:ln>
                          <a:effectLst>
                            <a:outerShdw dist="23000" dir="5400000" rotWithShape="0">
                              <a:srgbClr val="000000">
                                <a:alpha val="34998"/>
                              </a:srgbClr>
                            </a:outerShdw>
                          </a:effectLst>
                        </wps:spPr>
                        <wps:txbx>
                          <w:txbxContent>
                            <w:p w14:paraId="0DC879F8" w14:textId="77777777" w:rsidR="00DA7779" w:rsidRPr="00EE05BA" w:rsidRDefault="00DA7779" w:rsidP="004034FC">
                              <w:pPr>
                                <w:pStyle w:val="NormalWeb"/>
                                <w:spacing w:before="0" w:beforeAutospacing="0" w:after="0" w:afterAutospacing="0"/>
                                <w:jc w:val="center"/>
                              </w:pPr>
                              <w:r>
                                <w:rPr>
                                  <w:rFonts w:ascii="Calibri" w:hAnsi="Calibri"/>
                                  <w:color w:val="000000"/>
                                  <w:kern w:val="24"/>
                                </w:rPr>
                                <w:t>DA2GCS FDD FL</w:t>
                              </w:r>
                            </w:p>
                          </w:txbxContent>
                        </wps:txbx>
                        <wps:bodyPr rot="0" vert="horz" wrap="square" lIns="91440" tIns="45720" rIns="91440" bIns="45720" anchor="ctr" anchorCtr="0" upright="1">
                          <a:noAutofit/>
                        </wps:bodyPr>
                      </wps:wsp>
                    </wpg:wgp>
                  </a:graphicData>
                </a:graphic>
              </wp:inline>
            </w:drawing>
          </mc:Choice>
          <mc:Fallback>
            <w:pict>
              <v:group id="Group 46" o:spid="_x0000_s1034" style="width:377pt;height:173.15pt;mso-position-horizontal-relative:char;mso-position-vertical-relative:line" coordorigin="4315,42943" coordsize="73332,156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">
                <v:rect id="Rectangle 91" o:spid="_x0000_s1035" style="position:absolute;left:14208;top:54485;width:63340;height:53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k688AA&#10;AADbAAAADwAAAGRycy9kb3ducmV2LnhtbERPu4oCMRTtF/yHcAW7NaOFj9EoIigWFqu7oHaXyZ0H&#10;Tm7GJOrs35tCsDyc93zZmlo8yPnKsoJBPwFBnFldcaHg73fzPQHhA7LG2jIp+CcPy0Xna46ptk8+&#10;0OMYChFD2KeooAyhSaX0WUkGfd82xJHLrTMYInSF1A6fMdzUcpgkI2mw4thQYkPrkrLr8W4UrEf1&#10;+XI7DMJum7dTd/L7nH8mSvW67WoGIlAbPuK3e6cVjOP6+CX+ALl4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Yk688AAAADbAAAADwAAAAAAAAAAAAAAAACYAgAAZHJzL2Rvd25y&#10;ZXYueG1sUEsFBgAAAAAEAAQA9QAAAIUDAAAAAA==&#10;" fillcolor="#bfbfbf" strokeweight="1pt">
                  <v:shadow on="t" color="black" opacity="22936f" origin=",.5" offset="0,.63889mm"/>
                  <v:textbox>
                    <w:txbxContent>
                      <w:p w14:paraId="2ACA6D83" w14:textId="77777777" w:rsidR="00DA7779" w:rsidRPr="00A02A3A" w:rsidRDefault="00DA7779" w:rsidP="004034FC">
                        <w:pPr>
                          <w:rPr>
                            <w:sz w:val="16"/>
                            <w:szCs w:val="16"/>
                          </w:rPr>
                        </w:pPr>
                      </w:p>
                    </w:txbxContent>
                  </v:textbox>
                </v:rect>
                <v:rect id="Rectangle 24" o:spid="_x0000_s1036" style="position:absolute;left:14208;top:49843;width:62911;height:45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B9sMA&#10;AADbAAAADwAAAGRycy9kb3ducmV2LnhtbESPwW7CMBBE75X4B2uRuDUOPaRtioMKBQlONCkfsIo3&#10;cdR4HcUG0r+vKyH1OJqZN5rVerK9uNLoO8cKlkkKgrh2uuNWwflr//gCwgdkjb1jUvBDHtbF7GGF&#10;uXY3LulahVZECPscFZgQhlxKXxuy6BM3EEevcaPFEOXYSj3iLcJtL5/SNJMWO44LBgfaGqq/q4tV&#10;4M4NVbLdHDL78Vqesk9zPO1KpRbz6f0NRKAp/Ifv7YNW8LyEvy/xB8ji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lB9sMAAADbAAAADwAAAAAAAAAAAAAAAACYAgAAZHJzL2Rv&#10;d25yZXYueG1sUEsFBgAAAAAEAAQA9QAAAIgDAAAAAA==&#10;" fillcolor="#b2a1c7 [1943]" strokeweight="1pt">
                  <v:shadow on="t" color="black" opacity="22936f" origin=",.5" offset="0,.63889mm"/>
                  <v:textbox>
                    <w:txbxContent>
                      <w:p w14:paraId="32D80931" w14:textId="77777777" w:rsidR="00DA7779" w:rsidRDefault="00DA7779" w:rsidP="004034FC">
                        <w:pPr>
                          <w:pStyle w:val="NormalWeb"/>
                          <w:spacing w:before="0" w:beforeAutospacing="0" w:after="0" w:afterAutospacing="0"/>
                          <w:jc w:val="center"/>
                          <w:rPr>
                            <w:rFonts w:ascii="Calibri" w:hAnsi="Calibri"/>
                            <w:color w:val="000000"/>
                            <w:kern w:val="24"/>
                            <w:sz w:val="16"/>
                            <w:szCs w:val="16"/>
                          </w:rPr>
                        </w:pPr>
                        <w:r>
                          <w:rPr>
                            <w:rFonts w:ascii="Calibri" w:hAnsi="Calibri"/>
                            <w:color w:val="000000"/>
                            <w:kern w:val="24"/>
                            <w:sz w:val="16"/>
                            <w:szCs w:val="16"/>
                          </w:rPr>
                          <w:t xml:space="preserve">Applications under general </w:t>
                        </w:r>
                        <w:proofErr w:type="spellStart"/>
                        <w:r>
                          <w:rPr>
                            <w:rFonts w:ascii="Calibri" w:hAnsi="Calibri"/>
                            <w:color w:val="000000"/>
                            <w:kern w:val="24"/>
                            <w:sz w:val="16"/>
                            <w:szCs w:val="16"/>
                          </w:rPr>
                          <w:t>authorisation</w:t>
                        </w:r>
                        <w:proofErr w:type="spellEnd"/>
                        <w:r>
                          <w:rPr>
                            <w:rFonts w:ascii="Calibri" w:hAnsi="Calibri"/>
                            <w:color w:val="000000"/>
                            <w:kern w:val="24"/>
                            <w:sz w:val="16"/>
                            <w:szCs w:val="16"/>
                          </w:rPr>
                          <w:t xml:space="preserve"> (DECT / SRD) </w:t>
                        </w:r>
                      </w:p>
                      <w:p w14:paraId="24E56509" w14:textId="77777777" w:rsidR="00DA7779" w:rsidRPr="00B26244" w:rsidRDefault="00DA7779" w:rsidP="004034FC">
                        <w:pPr>
                          <w:pStyle w:val="NormalWeb"/>
                          <w:spacing w:before="0" w:beforeAutospacing="0" w:after="0" w:afterAutospacing="0"/>
                          <w:jc w:val="center"/>
                          <w:rPr>
                            <w:rFonts w:ascii="Calibri" w:hAnsi="Calibri"/>
                            <w:color w:val="000000"/>
                            <w:kern w:val="24"/>
                            <w:sz w:val="16"/>
                            <w:szCs w:val="16"/>
                          </w:rPr>
                        </w:pPr>
                        <w:r w:rsidRPr="00B26244">
                          <w:rPr>
                            <w:rFonts w:ascii="Calibri" w:hAnsi="Calibri"/>
                            <w:color w:val="000000"/>
                            <w:kern w:val="24"/>
                            <w:sz w:val="16"/>
                            <w:szCs w:val="16"/>
                          </w:rPr>
                          <w:t>Not proposed to be introduced in a Commission implementing decision</w:t>
                        </w:r>
                      </w:p>
                    </w:txbxContent>
                  </v:textbox>
                </v:rect>
                <v:rect id="Rectangle 26" o:spid="_x0000_s1037" style="position:absolute;left:77284;top:49932;width:363;height:622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VmXucYA&#10;AADcAAAADwAAAGRycy9kb3ducmV2LnhtbESPS2vDMBCE74H+B7GF3GLZPqSpG8WUQEsOOTQPaHtb&#10;rPWDWitXUhLn31eFQI7DzHzDLMvR9OJMzneWFWRJCoK4srrjRsHx8DZbgPABWWNvmRRcyUO5epgs&#10;sdD2wjs670MjIoR9gQraEIZCSl+1ZNAndiCOXm2dwRCla6R2eIlw08s8TefSYMdxocWB1i1VP/uT&#10;UbCe91/fv7ssbN7r8dl9+m3NHwulpo/j6wuIQGO4h2/tjVaQP+XwfyYeAbn6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VmXucYAAADcAAAADwAAAAAAAAAAAAAAAACYAgAAZHJz&#10;L2Rvd25yZXYueG1sUEsFBgAAAAAEAAQA9QAAAIsDAAAAAA==&#10;" fillcolor="#bfbfbf" strokeweight="1pt">
                  <v:shadow on="t" color="black" opacity="22936f" origin=",.5" offset="0,.63889mm"/>
                  <v:textbox>
                    <w:txbxContent>
                      <w:p w14:paraId="0F61C1A5" w14:textId="77777777" w:rsidR="00DA7779" w:rsidRPr="00A02A3A" w:rsidRDefault="00DA7779" w:rsidP="004034FC">
                        <w:pPr>
                          <w:rPr>
                            <w:sz w:val="16"/>
                            <w:szCs w:val="16"/>
                          </w:rPr>
                        </w:pPr>
                      </w:p>
                    </w:txbxContent>
                  </v:textbox>
                </v:rect>
                <v:shape id="_x0000_s1038" type="#_x0000_t202" style="position:absolute;left:8852;top:56604;width:10034;height:19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HQ98QA&#10;AADcAAAADwAAAGRycy9kb3ducmV2LnhtbESPT2vCQBTE7wW/w/KE3ppdQy0a3Yi0CJ4s1bbQ2yP7&#10;8gezb0N2NfHbdwsFj8PM/IZZb0bbiiv1vnGsYZYoEMSFMw1XGj5Pu6cFCB+QDbaOScONPGzyycMa&#10;M+MG/qDrMVQiQthnqKEOocuk9EVNFn3iOuLola63GKLsK2l6HCLctjJV6kVabDgu1NjRa03F+Xix&#10;Gr4O5c/3s3qv3uy8G9yoJNul1PpxOm5XIAKN4R7+b++NhnSZwt+ZeARk/g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Dh0PfEAAAA3AAAAA8AAAAAAAAAAAAAAAAAmAIAAGRycy9k&#10;b3ducmV2LnhtbFBLBQYAAAAABAAEAPUAAACJAwAAAAA=&#10;" filled="f" stroked="f">
                  <v:textbox>
                    <w:txbxContent>
                      <w:p w14:paraId="45770D27" w14:textId="77777777" w:rsidR="00DA7779" w:rsidRDefault="00DA7779" w:rsidP="004034FC"/>
                    </w:txbxContent>
                  </v:textbox>
                </v:shape>
                <v:rect id="Rectangle 29" o:spid="_x0000_s1039" style="position:absolute;left:4315;top:42943;width:9728;height:1143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w187sIA&#10;AADcAAAADwAAAGRycy9kb3ducmV2LnhtbESPUWvCQBCE3wv+h2OFvtWNBqRGTxEhIEUKVcHXJbcm&#10;0dxeyJ0a/31PKPRxmJlvmMWqt426c+drJxrGowQUS+FMLaWG4yH/+ATlA4mhxglreLKH1XLwtqDM&#10;uIf88H0fShUh4jPSUIXQZoi+qNiSH7mWJXpn11kKUXYlmo4eEW4bnCTJFC3VEhcqanlTcXHd36yG&#10;fHtCl4cSN+nXbHc5WqT0G7V+H/brOajAffgP/7W3RsNklsLrTDwCuPw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nDXzuwgAAANwAAAAPAAAAAAAAAAAAAAAAAJgCAABkcnMvZG93&#10;bnJldi54bWxQSwUGAAAAAAQABAD1AAAAhwMAAAAA&#10;" fillcolor="#fde9d9 [665]">
                  <v:shadow on="t" color="black" opacity="22936f" origin=",.5" offset="0,.63889mm"/>
                  <v:textbox>
                    <w:txbxContent>
                      <w:p w14:paraId="034072E1" w14:textId="77777777" w:rsidR="00DA7779" w:rsidRPr="00EE05BA" w:rsidRDefault="00DA7779" w:rsidP="004034FC">
                        <w:pPr>
                          <w:pStyle w:val="NormalWeb"/>
                          <w:spacing w:after="0"/>
                          <w:jc w:val="center"/>
                        </w:pPr>
                        <w:r>
                          <w:rPr>
                            <w:rFonts w:ascii="Calibri" w:hAnsi="Calibri"/>
                            <w:color w:val="000000"/>
                            <w:kern w:val="24"/>
                          </w:rPr>
                          <w:t>DECT</w:t>
                        </w:r>
                      </w:p>
                    </w:txbxContent>
                  </v:textbox>
                </v:rect>
                <v:rect id="Rectangle 58" o:spid="_x0000_s1040" style="position:absolute;left:14207;top:42943;width:32407;height:316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VCOKsYA&#10;AADcAAAADwAAAGRycy9kb3ducmV2LnhtbESPQWvCQBSE7wX/w/KEXkrdJGDR6BpEmtJTocZLb4/s&#10;M4lm34bdbYz/vlso9DjMzDfMtphML0ZyvrOsIF0kIIhrqztuFJyq8nkFwgdkjb1lUnAnD8Vu9rDF&#10;XNsbf9J4DI2IEPY5KmhDGHIpfd2SQb+wA3H0ztYZDFG6RmqHtwg3vcyS5EUa7DgutDjQoaX6evw2&#10;CpoqXVXD1+vH5N14L5fr6u1JXpR6nE/7DYhAU/gP/7XftYJsvYTfM/EIyN0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VCOKsYAAADcAAAADwAAAAAAAAAAAAAAAACYAgAAZHJz&#10;L2Rvd25yZXYueG1sUEsFBgAAAAAEAAQA9QAAAIsDAAAAAA==&#10;" fillcolor="#c0504d">
                  <v:shadow on="t" color="black" opacity="22936f" origin=",.5" offset="0,.63889mm"/>
                  <v:textbox>
                    <w:txbxContent>
                      <w:p w14:paraId="0DC879F8" w14:textId="77777777" w:rsidR="00DA7779" w:rsidRPr="00EE05BA" w:rsidRDefault="00DA7779" w:rsidP="004034FC">
                        <w:pPr>
                          <w:pStyle w:val="NormalWeb"/>
                          <w:spacing w:before="0" w:beforeAutospacing="0" w:after="0" w:afterAutospacing="0"/>
                          <w:jc w:val="center"/>
                        </w:pPr>
                        <w:r>
                          <w:rPr>
                            <w:rFonts w:ascii="Calibri" w:hAnsi="Calibri"/>
                            <w:color w:val="000000"/>
                            <w:kern w:val="24"/>
                          </w:rPr>
                          <w:t>DA2GCS FDD FL</w:t>
                        </w:r>
                      </w:p>
                    </w:txbxContent>
                  </v:textbox>
                </v:rect>
                <w10:anchorlock/>
              </v:group>
            </w:pict>
          </mc:Fallback>
        </mc:AlternateContent>
      </w:r>
    </w:p>
    <w:p w14:paraId="02959FA3" w14:textId="77777777" w:rsidR="004034FC" w:rsidRPr="00040BEC" w:rsidRDefault="004034FC">
      <w:pPr>
        <w:rPr>
          <w:lang w:val="en-GB"/>
        </w:rPr>
      </w:pPr>
    </w:p>
    <w:p w14:paraId="2AA967D7" w14:textId="77777777" w:rsidR="004034FC" w:rsidRPr="00040BEC" w:rsidRDefault="004034FC" w:rsidP="004034FC">
      <w:pPr>
        <w:pStyle w:val="Caption"/>
        <w:rPr>
          <w:lang w:val="en-GB"/>
        </w:rPr>
      </w:pPr>
      <w:r w:rsidRPr="00040BEC">
        <w:rPr>
          <w:lang w:val="en-GB"/>
        </w:rPr>
        <w:t xml:space="preserve">Figure </w:t>
      </w:r>
      <w:r w:rsidRPr="00040BEC">
        <w:rPr>
          <w:lang w:val="en-GB"/>
        </w:rPr>
        <w:fldChar w:fldCharType="begin"/>
      </w:r>
      <w:r w:rsidRPr="00040BEC">
        <w:rPr>
          <w:lang w:val="en-GB"/>
        </w:rPr>
        <w:instrText xml:space="preserve"> SEQ Figure \* ARABIC </w:instrText>
      </w:r>
      <w:r w:rsidRPr="00040BEC">
        <w:rPr>
          <w:lang w:val="en-GB"/>
        </w:rPr>
        <w:fldChar w:fldCharType="separate"/>
      </w:r>
      <w:r w:rsidR="002327BB">
        <w:rPr>
          <w:noProof/>
          <w:lang w:val="en-GB"/>
        </w:rPr>
        <w:t>1</w:t>
      </w:r>
      <w:r w:rsidRPr="00040BEC">
        <w:rPr>
          <w:lang w:val="en-GB"/>
        </w:rPr>
        <w:fldChar w:fldCharType="end"/>
      </w:r>
      <w:r w:rsidRPr="00040BEC">
        <w:rPr>
          <w:lang w:val="en-GB"/>
        </w:rPr>
        <w:t xml:space="preserve">: Scenario 1, lower band </w:t>
      </w:r>
      <w:r w:rsidRPr="00040BEC">
        <w:rPr>
          <w:szCs w:val="24"/>
          <w:lang w:val="en-GB"/>
        </w:rPr>
        <w:t>(DA2GCS FDD (forward link), VLCC, DECT / SRD)</w:t>
      </w:r>
    </w:p>
    <w:p w14:paraId="4119F320" w14:textId="43C9AAC7" w:rsidR="004034FC" w:rsidRPr="00040BEC" w:rsidRDefault="004034FC" w:rsidP="004034FC">
      <w:pPr>
        <w:pStyle w:val="Caption"/>
        <w:rPr>
          <w:lang w:val="en-GB"/>
        </w:rPr>
      </w:pPr>
    </w:p>
    <w:p w14:paraId="4DC59174" w14:textId="77777777" w:rsidR="004034FC" w:rsidRPr="00040BEC" w:rsidRDefault="004034FC" w:rsidP="004034FC">
      <w:pPr>
        <w:rPr>
          <w:lang w:val="en-GB"/>
        </w:rPr>
      </w:pPr>
    </w:p>
    <w:p w14:paraId="2F69E0E4" w14:textId="77777777" w:rsidR="004034FC" w:rsidRPr="00040BEC" w:rsidRDefault="004034FC" w:rsidP="004034FC">
      <w:pPr>
        <w:rPr>
          <w:lang w:val="en-GB"/>
        </w:rPr>
      </w:pPr>
    </w:p>
    <w:p w14:paraId="0BE544D3" w14:textId="77777777" w:rsidR="004034FC" w:rsidRPr="00040BEC" w:rsidRDefault="004034FC" w:rsidP="004034FC">
      <w:pPr>
        <w:rPr>
          <w:rFonts w:cs="Arial"/>
          <w:noProof/>
          <w:lang w:val="en-GB"/>
        </w:rPr>
      </w:pPr>
      <w:r w:rsidRPr="00040BEC">
        <w:rPr>
          <w:noProof/>
          <w:lang w:val="da-DK" w:eastAsia="da-DK"/>
        </w:rPr>
        <mc:AlternateContent>
          <mc:Choice Requires="wps">
            <w:drawing>
              <wp:anchor distT="0" distB="0" distL="114300" distR="114300" simplePos="0" relativeHeight="251738112" behindDoc="0" locked="0" layoutInCell="1" allowOverlap="1" wp14:anchorId="67F20A9A" wp14:editId="4B8DA4C4">
                <wp:simplePos x="0" y="0"/>
                <wp:positionH relativeFrom="margin">
                  <wp:posOffset>643890</wp:posOffset>
                </wp:positionH>
                <wp:positionV relativeFrom="paragraph">
                  <wp:posOffset>454660</wp:posOffset>
                </wp:positionV>
                <wp:extent cx="3191510" cy="528320"/>
                <wp:effectExtent l="0" t="0" r="27940" b="62230"/>
                <wp:wrapNone/>
                <wp:docPr id="296" name="Rectangle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91510" cy="528320"/>
                        </a:xfrm>
                        <a:prstGeom prst="rect">
                          <a:avLst/>
                        </a:prstGeom>
                        <a:solidFill>
                          <a:srgbClr val="F79646"/>
                        </a:solidFill>
                        <a:ln w="12700">
                          <a:solidFill>
                            <a:srgbClr val="000000"/>
                          </a:solidFill>
                          <a:miter lim="800000"/>
                          <a:headEnd/>
                          <a:tailEnd/>
                        </a:ln>
                        <a:effectLst>
                          <a:outerShdw dist="23000" dir="5400000" rotWithShape="0">
                            <a:srgbClr val="000000">
                              <a:alpha val="34999"/>
                            </a:srgbClr>
                          </a:outerShdw>
                        </a:effectLst>
                      </wps:spPr>
                      <wps:txbx>
                        <w:txbxContent>
                          <w:p w14:paraId="21F9DA80" w14:textId="77777777" w:rsidR="00DA7779" w:rsidRPr="000E3DAE" w:rsidRDefault="00DA7779" w:rsidP="004034FC">
                            <w:pPr>
                              <w:pStyle w:val="NormalWeb"/>
                              <w:jc w:val="center"/>
                              <w:rPr>
                                <w:rFonts w:ascii="Calibri" w:hAnsi="Calibri"/>
                                <w:color w:val="000000"/>
                                <w:kern w:val="24"/>
                                <w:sz w:val="22"/>
                                <w:szCs w:val="22"/>
                              </w:rPr>
                            </w:pPr>
                            <w:r>
                              <w:rPr>
                                <w:rFonts w:ascii="Calibri" w:hAnsi="Calibri"/>
                                <w:color w:val="000000"/>
                                <w:kern w:val="24"/>
                                <w:sz w:val="22"/>
                                <w:szCs w:val="22"/>
                              </w:rPr>
                              <w:t>Audio PMSE</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ect id="_x0000_s1041" style="position:absolute;margin-left:50.7pt;margin-top:35.8pt;width:251.3pt;height:41.6pt;z-index:2517381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" fillcolor="#f79646" strokeweight="1pt">
                <v:shadow on="t" color="black" opacity="22936f" origin=",.5" offset="0,.63889mm"/>
                <v:textbox>
                  <w:txbxContent>
                    <w:p w14:paraId="21F9DA80" w14:textId="77777777" w:rsidR="00DA7779" w:rsidRPr="000E3DAE" w:rsidRDefault="00DA7779" w:rsidP="004034FC">
                      <w:pPr>
                        <w:pStyle w:val="NormalWeb"/>
                        <w:jc w:val="center"/>
                        <w:rPr>
                          <w:rFonts w:ascii="Calibri" w:hAnsi="Calibri"/>
                          <w:color w:val="000000"/>
                          <w:kern w:val="24"/>
                          <w:sz w:val="22"/>
                          <w:szCs w:val="22"/>
                        </w:rPr>
                      </w:pPr>
                      <w:r>
                        <w:rPr>
                          <w:rFonts w:ascii="Calibri" w:hAnsi="Calibri"/>
                          <w:color w:val="000000"/>
                          <w:kern w:val="24"/>
                          <w:sz w:val="22"/>
                          <w:szCs w:val="22"/>
                        </w:rPr>
                        <w:t>Audio PMSE</w:t>
                      </w:r>
                    </w:p>
                  </w:txbxContent>
                </v:textbox>
                <w10:wrap anchorx="margin"/>
              </v:rect>
            </w:pict>
          </mc:Fallback>
        </mc:AlternateContent>
      </w:r>
      <w:r w:rsidRPr="00040BEC">
        <w:rPr>
          <w:noProof/>
          <w:lang w:val="da-DK" w:eastAsia="da-DK"/>
        </w:rPr>
        <mc:AlternateContent>
          <mc:Choice Requires="wps">
            <w:drawing>
              <wp:anchor distT="0" distB="0" distL="114300" distR="114300" simplePos="0" relativeHeight="251735040" behindDoc="0" locked="0" layoutInCell="1" allowOverlap="1" wp14:anchorId="13F6BF7C" wp14:editId="7C1CA813">
                <wp:simplePos x="0" y="0"/>
                <wp:positionH relativeFrom="margin">
                  <wp:posOffset>3835400</wp:posOffset>
                </wp:positionH>
                <wp:positionV relativeFrom="paragraph">
                  <wp:posOffset>5715</wp:posOffset>
                </wp:positionV>
                <wp:extent cx="1103630" cy="1604645"/>
                <wp:effectExtent l="0" t="0" r="20320" b="52705"/>
                <wp:wrapNone/>
                <wp:docPr id="297" name="Rectangle 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03630" cy="1604645"/>
                        </a:xfrm>
                        <a:prstGeom prst="rect">
                          <a:avLst/>
                        </a:prstGeom>
                        <a:solidFill>
                          <a:schemeClr val="accent4">
                            <a:lumMod val="20000"/>
                            <a:lumOff val="80000"/>
                          </a:schemeClr>
                        </a:solidFill>
                        <a:ln w="9525">
                          <a:solidFill>
                            <a:srgbClr val="000000"/>
                          </a:solidFill>
                          <a:miter lim="800000"/>
                          <a:headEnd/>
                          <a:tailEnd/>
                        </a:ln>
                        <a:effectLst>
                          <a:outerShdw dist="23000" dir="5400000" rotWithShape="0">
                            <a:srgbClr val="000000">
                              <a:alpha val="34999"/>
                            </a:srgbClr>
                          </a:outerShdw>
                        </a:effectLst>
                      </wps:spPr>
                      <wps:txbx>
                        <w:txbxContent>
                          <w:p w14:paraId="09403061" w14:textId="77777777" w:rsidR="00DA7779" w:rsidRPr="003B6FB4" w:rsidRDefault="00DA7779" w:rsidP="004034FC">
                            <w:pPr>
                              <w:pStyle w:val="NormalWeb"/>
                              <w:spacing w:after="0"/>
                              <w:jc w:val="center"/>
                              <w:rPr>
                                <w:rFonts w:ascii="Calibri" w:hAnsi="Calibri"/>
                                <w:color w:val="000000"/>
                                <w:kern w:val="24"/>
                                <w:sz w:val="22"/>
                                <w:szCs w:val="22"/>
                              </w:rPr>
                            </w:pPr>
                            <w:r w:rsidRPr="003B6FB4">
                              <w:rPr>
                                <w:rFonts w:ascii="Calibri" w:hAnsi="Calibri"/>
                                <w:color w:val="000000"/>
                                <w:kern w:val="24"/>
                                <w:sz w:val="22"/>
                                <w:szCs w:val="22"/>
                              </w:rPr>
                              <w:t>Space Services (SRS, SOS, EESS)</w:t>
                            </w:r>
                          </w:p>
                          <w:p w14:paraId="7E8C9E79" w14:textId="77777777" w:rsidR="00DA7779" w:rsidRPr="003B6FB4" w:rsidRDefault="00DA7779" w:rsidP="004034FC">
                            <w:pPr>
                              <w:pStyle w:val="NormalWeb"/>
                              <w:spacing w:after="0"/>
                              <w:jc w:val="center"/>
                              <w:rPr>
                                <w:rFonts w:ascii="Calibri" w:hAnsi="Calibri"/>
                                <w:color w:val="000000"/>
                                <w:kern w:val="24"/>
                                <w:sz w:val="22"/>
                                <w:szCs w:val="22"/>
                                <w:lang w:val="pt-PT"/>
                              </w:rPr>
                            </w:pPr>
                            <w:r w:rsidRPr="003B6FB4">
                              <w:rPr>
                                <w:rFonts w:ascii="Calibri" w:hAnsi="Calibri"/>
                                <w:color w:val="000000"/>
                                <w:kern w:val="24"/>
                                <w:sz w:val="22"/>
                                <w:szCs w:val="22"/>
                                <w:lang w:val="pt-PT"/>
                              </w:rPr>
                              <w:t>PMSE</w:t>
                            </w:r>
                          </w:p>
                          <w:p w14:paraId="73A892B9" w14:textId="77777777" w:rsidR="00DA7779" w:rsidRPr="003B6FB4" w:rsidRDefault="00DA7779" w:rsidP="004034FC">
                            <w:pPr>
                              <w:pStyle w:val="NormalWeb"/>
                              <w:spacing w:after="0"/>
                              <w:jc w:val="center"/>
                              <w:rPr>
                                <w:rFonts w:ascii="Calibri" w:hAnsi="Calibri"/>
                                <w:color w:val="000000"/>
                                <w:kern w:val="24"/>
                                <w:sz w:val="22"/>
                                <w:szCs w:val="22"/>
                                <w:lang w:val="pt-PT"/>
                              </w:rPr>
                            </w:pPr>
                            <w:r w:rsidRPr="003B6FB4">
                              <w:rPr>
                                <w:rFonts w:ascii="Calibri" w:hAnsi="Calibri"/>
                                <w:color w:val="000000"/>
                                <w:kern w:val="24"/>
                                <w:sz w:val="22"/>
                                <w:szCs w:val="22"/>
                                <w:lang w:val="pt-PT"/>
                              </w:rPr>
                              <w:t>Fixed</w:t>
                            </w:r>
                          </w:p>
                          <w:p w14:paraId="2511AC55" w14:textId="77777777" w:rsidR="00DA7779" w:rsidRPr="003B6FB4" w:rsidRDefault="00DA7779" w:rsidP="004034FC">
                            <w:pPr>
                              <w:pStyle w:val="NormalWeb"/>
                              <w:spacing w:after="0"/>
                              <w:jc w:val="center"/>
                              <w:rPr>
                                <w:rFonts w:ascii="Calibri" w:hAnsi="Calibri"/>
                                <w:color w:val="000000"/>
                                <w:kern w:val="24"/>
                                <w:sz w:val="22"/>
                                <w:szCs w:val="22"/>
                                <w:lang w:val="pt-PT"/>
                              </w:rPr>
                            </w:pPr>
                            <w:r w:rsidRPr="003B6FB4">
                              <w:rPr>
                                <w:rFonts w:ascii="Calibri" w:hAnsi="Calibri"/>
                                <w:color w:val="000000"/>
                                <w:kern w:val="24"/>
                                <w:sz w:val="22"/>
                                <w:szCs w:val="22"/>
                                <w:lang w:val="pt-PT"/>
                              </w:rPr>
                              <w:t>Defence</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ect id="_x0000_s1042" style="position:absolute;margin-left:302pt;margin-top:.45pt;width:86.9pt;height:126.35pt;z-index:2517350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" fillcolor="#e5dfec [663]">
                <v:shadow on="t" color="black" opacity="22936f" origin=",.5" offset="0,.63889mm"/>
                <v:textbox>
                  <w:txbxContent>
                    <w:p w14:paraId="09403061" w14:textId="77777777" w:rsidR="00DA7779" w:rsidRPr="003B6FB4" w:rsidRDefault="00DA7779" w:rsidP="004034FC">
                      <w:pPr>
                        <w:pStyle w:val="NormalWeb"/>
                        <w:spacing w:after="0"/>
                        <w:jc w:val="center"/>
                        <w:rPr>
                          <w:rFonts w:ascii="Calibri" w:hAnsi="Calibri"/>
                          <w:color w:val="000000"/>
                          <w:kern w:val="24"/>
                          <w:sz w:val="22"/>
                          <w:szCs w:val="22"/>
                        </w:rPr>
                      </w:pPr>
                      <w:r w:rsidRPr="003B6FB4">
                        <w:rPr>
                          <w:rFonts w:ascii="Calibri" w:hAnsi="Calibri"/>
                          <w:color w:val="000000"/>
                          <w:kern w:val="24"/>
                          <w:sz w:val="22"/>
                          <w:szCs w:val="22"/>
                        </w:rPr>
                        <w:t>Space Services (SRS, SOS, EESS)</w:t>
                      </w:r>
                    </w:p>
                    <w:p w14:paraId="7E8C9E79" w14:textId="77777777" w:rsidR="00DA7779" w:rsidRPr="003B6FB4" w:rsidRDefault="00DA7779" w:rsidP="004034FC">
                      <w:pPr>
                        <w:pStyle w:val="NormalWeb"/>
                        <w:spacing w:after="0"/>
                        <w:jc w:val="center"/>
                        <w:rPr>
                          <w:rFonts w:ascii="Calibri" w:hAnsi="Calibri"/>
                          <w:color w:val="000000"/>
                          <w:kern w:val="24"/>
                          <w:sz w:val="22"/>
                          <w:szCs w:val="22"/>
                          <w:lang w:val="pt-PT"/>
                        </w:rPr>
                      </w:pPr>
                      <w:r w:rsidRPr="003B6FB4">
                        <w:rPr>
                          <w:rFonts w:ascii="Calibri" w:hAnsi="Calibri"/>
                          <w:color w:val="000000"/>
                          <w:kern w:val="24"/>
                          <w:sz w:val="22"/>
                          <w:szCs w:val="22"/>
                          <w:lang w:val="pt-PT"/>
                        </w:rPr>
                        <w:t>PMSE</w:t>
                      </w:r>
                    </w:p>
                    <w:p w14:paraId="73A892B9" w14:textId="77777777" w:rsidR="00DA7779" w:rsidRPr="003B6FB4" w:rsidRDefault="00DA7779" w:rsidP="004034FC">
                      <w:pPr>
                        <w:pStyle w:val="NormalWeb"/>
                        <w:spacing w:after="0"/>
                        <w:jc w:val="center"/>
                        <w:rPr>
                          <w:rFonts w:ascii="Calibri" w:hAnsi="Calibri"/>
                          <w:color w:val="000000"/>
                          <w:kern w:val="24"/>
                          <w:sz w:val="22"/>
                          <w:szCs w:val="22"/>
                          <w:lang w:val="pt-PT"/>
                        </w:rPr>
                      </w:pPr>
                      <w:r w:rsidRPr="003B6FB4">
                        <w:rPr>
                          <w:rFonts w:ascii="Calibri" w:hAnsi="Calibri"/>
                          <w:color w:val="000000"/>
                          <w:kern w:val="24"/>
                          <w:sz w:val="22"/>
                          <w:szCs w:val="22"/>
                          <w:lang w:val="pt-PT"/>
                        </w:rPr>
                        <w:t>Fixed</w:t>
                      </w:r>
                    </w:p>
                    <w:p w14:paraId="2511AC55" w14:textId="77777777" w:rsidR="00DA7779" w:rsidRPr="003B6FB4" w:rsidRDefault="00DA7779" w:rsidP="004034FC">
                      <w:pPr>
                        <w:pStyle w:val="NormalWeb"/>
                        <w:spacing w:after="0"/>
                        <w:jc w:val="center"/>
                        <w:rPr>
                          <w:rFonts w:ascii="Calibri" w:hAnsi="Calibri"/>
                          <w:color w:val="000000"/>
                          <w:kern w:val="24"/>
                          <w:sz w:val="22"/>
                          <w:szCs w:val="22"/>
                          <w:lang w:val="pt-PT"/>
                        </w:rPr>
                      </w:pPr>
                      <w:r w:rsidRPr="003B6FB4">
                        <w:rPr>
                          <w:rFonts w:ascii="Calibri" w:hAnsi="Calibri"/>
                          <w:color w:val="000000"/>
                          <w:kern w:val="24"/>
                          <w:sz w:val="22"/>
                          <w:szCs w:val="22"/>
                          <w:lang w:val="pt-PT"/>
                        </w:rPr>
                        <w:t>Defence</w:t>
                      </w:r>
                    </w:p>
                  </w:txbxContent>
                </v:textbox>
                <w10:wrap anchorx="margin"/>
              </v:rect>
            </w:pict>
          </mc:Fallback>
        </mc:AlternateContent>
      </w:r>
      <w:r w:rsidRPr="00040BEC">
        <w:rPr>
          <w:noProof/>
          <w:lang w:val="da-DK" w:eastAsia="da-DK"/>
        </w:rPr>
        <mc:AlternateContent>
          <mc:Choice Requires="wps">
            <w:drawing>
              <wp:anchor distT="0" distB="0" distL="114300" distR="114300" simplePos="0" relativeHeight="251737088" behindDoc="0" locked="0" layoutInCell="1" allowOverlap="1" wp14:anchorId="7268CB4C" wp14:editId="394C201D">
                <wp:simplePos x="0" y="0"/>
                <wp:positionH relativeFrom="margin">
                  <wp:posOffset>2741930</wp:posOffset>
                </wp:positionH>
                <wp:positionV relativeFrom="paragraph">
                  <wp:posOffset>1612900</wp:posOffset>
                </wp:positionV>
                <wp:extent cx="45720" cy="252730"/>
                <wp:effectExtent l="0" t="0" r="11430" b="52070"/>
                <wp:wrapNone/>
                <wp:docPr id="298" name="Rectangle 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720" cy="252730"/>
                        </a:xfrm>
                        <a:prstGeom prst="rect">
                          <a:avLst/>
                        </a:prstGeom>
                        <a:solidFill>
                          <a:srgbClr val="BFBFBF"/>
                        </a:solidFill>
                        <a:ln w="12700">
                          <a:solidFill>
                            <a:srgbClr val="000000"/>
                          </a:solidFill>
                          <a:miter lim="800000"/>
                          <a:headEnd/>
                          <a:tailEnd/>
                        </a:ln>
                        <a:effectLst>
                          <a:outerShdw dist="23000" dir="5400000" rotWithShape="0">
                            <a:srgbClr val="000000">
                              <a:alpha val="34999"/>
                            </a:srgbClr>
                          </a:outerShdw>
                        </a:effectLst>
                      </wps:spPr>
                      <wps:txbx>
                        <w:txbxContent>
                          <w:p w14:paraId="320D0CBA" w14:textId="77777777" w:rsidR="00DA7779" w:rsidRPr="00A02A3A" w:rsidRDefault="00DA7779" w:rsidP="004034FC">
                            <w:pPr>
                              <w:rPr>
                                <w:sz w:val="16"/>
                                <w:szCs w:val="16"/>
                              </w:rPr>
                            </w:pPr>
                          </w:p>
                          <w:p w14:paraId="39ADF8DD" w14:textId="77777777" w:rsidR="00DA7779" w:rsidRPr="00A02A3A" w:rsidRDefault="00DA7779" w:rsidP="004034FC">
                            <w:pPr>
                              <w:rPr>
                                <w:sz w:val="16"/>
                                <w:szCs w:val="16"/>
                              </w:rPr>
                            </w:pP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ect id="_x0000_s1043" style="position:absolute;margin-left:215.9pt;margin-top:127pt;width:3.6pt;height:19.9pt;z-index:2517370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" fillcolor="#bfbfbf" strokeweight="1pt">
                <v:shadow on="t" color="black" opacity="22936f" origin=",.5" offset="0,.63889mm"/>
                <v:textbox>
                  <w:txbxContent>
                    <w:p w14:paraId="320D0CBA" w14:textId="77777777" w:rsidR="00DA7779" w:rsidRPr="00A02A3A" w:rsidRDefault="00DA7779" w:rsidP="004034FC">
                      <w:pPr>
                        <w:rPr>
                          <w:sz w:val="16"/>
                          <w:szCs w:val="16"/>
                        </w:rPr>
                      </w:pPr>
                    </w:p>
                    <w:p w14:paraId="39ADF8DD" w14:textId="77777777" w:rsidR="00DA7779" w:rsidRPr="00A02A3A" w:rsidRDefault="00DA7779" w:rsidP="004034FC">
                      <w:pPr>
                        <w:rPr>
                          <w:sz w:val="16"/>
                          <w:szCs w:val="16"/>
                        </w:rPr>
                      </w:pPr>
                    </w:p>
                  </w:txbxContent>
                </v:textbox>
                <w10:wrap anchorx="margin"/>
              </v:rect>
            </w:pict>
          </mc:Fallback>
        </mc:AlternateContent>
      </w:r>
      <w:r w:rsidRPr="00040BEC">
        <w:rPr>
          <w:noProof/>
          <w:lang w:val="da-DK" w:eastAsia="da-DK"/>
        </w:rPr>
        <mc:AlternateContent>
          <mc:Choice Requires="wps">
            <w:drawing>
              <wp:anchor distT="0" distB="0" distL="114300" distR="114300" simplePos="0" relativeHeight="251736064" behindDoc="0" locked="0" layoutInCell="1" allowOverlap="1" wp14:anchorId="3878DBF7" wp14:editId="0F9B6DFF">
                <wp:simplePos x="0" y="0"/>
                <wp:positionH relativeFrom="column">
                  <wp:posOffset>633730</wp:posOffset>
                </wp:positionH>
                <wp:positionV relativeFrom="paragraph">
                  <wp:posOffset>902970</wp:posOffset>
                </wp:positionV>
                <wp:extent cx="23495" cy="875665"/>
                <wp:effectExtent l="0" t="0" r="14605" b="57785"/>
                <wp:wrapNone/>
                <wp:docPr id="299" name="Rectangle 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495" cy="875665"/>
                        </a:xfrm>
                        <a:prstGeom prst="rect">
                          <a:avLst/>
                        </a:prstGeom>
                        <a:solidFill>
                          <a:srgbClr val="BFBFBF"/>
                        </a:solidFill>
                        <a:ln w="12700">
                          <a:solidFill>
                            <a:srgbClr val="000000"/>
                          </a:solidFill>
                          <a:miter lim="800000"/>
                          <a:headEnd/>
                          <a:tailEnd/>
                        </a:ln>
                        <a:effectLst>
                          <a:outerShdw dist="23000" dir="5400000" rotWithShape="0">
                            <a:srgbClr val="000000">
                              <a:alpha val="34999"/>
                            </a:srgbClr>
                          </a:outerShdw>
                        </a:effectLst>
                      </wps:spPr>
                      <wps:txbx>
                        <w:txbxContent>
                          <w:p w14:paraId="62310016" w14:textId="77777777" w:rsidR="00DA7779" w:rsidRPr="00A02A3A" w:rsidRDefault="00DA7779" w:rsidP="004034FC">
                            <w:pPr>
                              <w:rPr>
                                <w:sz w:val="16"/>
                                <w:szCs w:val="16"/>
                              </w:rPr>
                            </w:pPr>
                          </w:p>
                          <w:p w14:paraId="0CDD48FA" w14:textId="77777777" w:rsidR="00DA7779" w:rsidRPr="00A02A3A" w:rsidRDefault="00DA7779" w:rsidP="004034FC">
                            <w:pPr>
                              <w:rPr>
                                <w:sz w:val="16"/>
                                <w:szCs w:val="16"/>
                              </w:rP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id="Rectangle 53" o:spid="_x0000_s1044" style="position:absolute;margin-left:49.9pt;margin-top:71.1pt;width:1.85pt;height:68.95pt;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" fillcolor="#bfbfbf" strokeweight="1pt">
                <v:shadow on="t" color="black" opacity="22936f" origin=",.5" offset="0,.63889mm"/>
                <v:textbox>
                  <w:txbxContent>
                    <w:p w14:paraId="62310016" w14:textId="77777777" w:rsidR="00DA7779" w:rsidRPr="00A02A3A" w:rsidRDefault="00DA7779" w:rsidP="004034FC">
                      <w:pPr>
                        <w:rPr>
                          <w:sz w:val="16"/>
                          <w:szCs w:val="16"/>
                        </w:rPr>
                      </w:pPr>
                    </w:p>
                    <w:p w14:paraId="0CDD48FA" w14:textId="77777777" w:rsidR="00DA7779" w:rsidRPr="00A02A3A" w:rsidRDefault="00DA7779" w:rsidP="004034FC">
                      <w:pPr>
                        <w:rPr>
                          <w:sz w:val="16"/>
                          <w:szCs w:val="16"/>
                        </w:rPr>
                      </w:pPr>
                    </w:p>
                  </w:txbxContent>
                </v:textbox>
              </v:rect>
            </w:pict>
          </mc:Fallback>
        </mc:AlternateContent>
      </w:r>
      <w:r w:rsidRPr="00040BEC">
        <w:rPr>
          <w:rFonts w:cs="Arial"/>
          <w:noProof/>
          <w:lang w:val="da-DK" w:eastAsia="da-DK"/>
        </w:rPr>
        <mc:AlternateContent>
          <mc:Choice Requires="wpg">
            <w:drawing>
              <wp:inline distT="0" distB="0" distL="0" distR="0" wp14:anchorId="58D78C41" wp14:editId="602C716D">
                <wp:extent cx="4197350" cy="2483485"/>
                <wp:effectExtent l="9525" t="9525" r="3175" b="2540"/>
                <wp:docPr id="300" name="Group 1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197350" cy="2483485"/>
                          <a:chOff x="4315" y="42943"/>
                          <a:chExt cx="64287" cy="17654"/>
                        </a:xfrm>
                      </wpg:grpSpPr>
                      <wps:wsp>
                        <wps:cNvPr id="301" name="Rectangle 104"/>
                        <wps:cNvSpPr>
                          <a:spLocks noChangeArrowheads="1"/>
                        </wps:cNvSpPr>
                        <wps:spPr bwMode="auto">
                          <a:xfrm>
                            <a:off x="14207" y="54482"/>
                            <a:ext cx="49258" cy="530"/>
                          </a:xfrm>
                          <a:prstGeom prst="rect">
                            <a:avLst/>
                          </a:prstGeom>
                          <a:solidFill>
                            <a:srgbClr val="BFBFBF"/>
                          </a:solidFill>
                          <a:ln w="12700">
                            <a:solidFill>
                              <a:srgbClr val="000000"/>
                            </a:solidFill>
                            <a:miter lim="800000"/>
                            <a:headEnd/>
                            <a:tailEnd/>
                          </a:ln>
                          <a:effectLst>
                            <a:outerShdw dist="23000" dir="5400000" rotWithShape="0">
                              <a:srgbClr val="000000">
                                <a:alpha val="34998"/>
                              </a:srgbClr>
                            </a:outerShdw>
                          </a:effectLst>
                        </wps:spPr>
                        <wps:txbx>
                          <w:txbxContent>
                            <w:p w14:paraId="1E5080D6" w14:textId="77777777" w:rsidR="00DA7779" w:rsidRPr="00A02A3A" w:rsidRDefault="00DA7779" w:rsidP="004034FC">
                              <w:pPr>
                                <w:rPr>
                                  <w:sz w:val="16"/>
                                  <w:szCs w:val="16"/>
                                </w:rPr>
                              </w:pPr>
                            </w:p>
                          </w:txbxContent>
                        </wps:txbx>
                        <wps:bodyPr rot="0" vert="horz" wrap="square" lIns="91440" tIns="45720" rIns="91440" bIns="45720" anchor="ctr" anchorCtr="0" upright="1">
                          <a:noAutofit/>
                        </wps:bodyPr>
                      </wps:wsp>
                      <wps:wsp>
                        <wps:cNvPr id="302" name="TextBox 22"/>
                        <wps:cNvSpPr txBox="1">
                          <a:spLocks noChangeArrowheads="1"/>
                        </wps:cNvSpPr>
                        <wps:spPr bwMode="auto">
                          <a:xfrm>
                            <a:off x="8852" y="56604"/>
                            <a:ext cx="10034" cy="197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E374A6" w14:textId="77777777" w:rsidR="00DA7779" w:rsidRPr="00A02A3A" w:rsidRDefault="00DA7779" w:rsidP="004034FC">
                              <w:pPr>
                                <w:pStyle w:val="NormalWeb"/>
                                <w:spacing w:after="0"/>
                                <w:rPr>
                                  <w:sz w:val="16"/>
                                  <w:szCs w:val="16"/>
                                </w:rPr>
                              </w:pPr>
                              <w:r>
                                <w:rPr>
                                  <w:rFonts w:ascii="Calibri" w:hAnsi="Calibri"/>
                                  <w:color w:val="000000"/>
                                  <w:kern w:val="24"/>
                                  <w:sz w:val="16"/>
                                  <w:szCs w:val="16"/>
                                </w:rPr>
                                <w:t xml:space="preserve">2 010 </w:t>
                              </w:r>
                              <w:r w:rsidRPr="00900457">
                                <w:rPr>
                                  <w:rFonts w:ascii="Calibri" w:hAnsi="Calibri"/>
                                  <w:color w:val="000000"/>
                                  <w:kern w:val="24"/>
                                  <w:sz w:val="16"/>
                                  <w:szCs w:val="16"/>
                                </w:rPr>
                                <w:t>MHz</w:t>
                              </w:r>
                            </w:p>
                          </w:txbxContent>
                        </wps:txbx>
                        <wps:bodyPr rot="0" vert="horz" wrap="square" lIns="91440" tIns="45720" rIns="91440" bIns="45720" anchor="t" anchorCtr="0" upright="1">
                          <a:noAutofit/>
                        </wps:bodyPr>
                      </wps:wsp>
                      <wps:wsp>
                        <wps:cNvPr id="303" name="Rectangle 25"/>
                        <wps:cNvSpPr>
                          <a:spLocks noChangeArrowheads="1"/>
                        </wps:cNvSpPr>
                        <wps:spPr bwMode="auto">
                          <a:xfrm>
                            <a:off x="63108" y="49932"/>
                            <a:ext cx="363" cy="6227"/>
                          </a:xfrm>
                          <a:prstGeom prst="rect">
                            <a:avLst/>
                          </a:prstGeom>
                          <a:solidFill>
                            <a:srgbClr val="BFBFBF"/>
                          </a:solidFill>
                          <a:ln w="12700">
                            <a:solidFill>
                              <a:srgbClr val="000000"/>
                            </a:solidFill>
                            <a:miter lim="800000"/>
                            <a:headEnd/>
                            <a:tailEnd/>
                          </a:ln>
                          <a:effectLst>
                            <a:outerShdw dist="23000" dir="5400000" rotWithShape="0">
                              <a:srgbClr val="000000">
                                <a:alpha val="34998"/>
                              </a:srgbClr>
                            </a:outerShdw>
                          </a:effectLst>
                        </wps:spPr>
                        <wps:txbx>
                          <w:txbxContent>
                            <w:p w14:paraId="7CD5D27C" w14:textId="77777777" w:rsidR="00DA7779" w:rsidRPr="00A02A3A" w:rsidRDefault="00DA7779" w:rsidP="004034FC">
                              <w:pPr>
                                <w:rPr>
                                  <w:sz w:val="16"/>
                                  <w:szCs w:val="16"/>
                                </w:rPr>
                              </w:pPr>
                            </w:p>
                            <w:p w14:paraId="31F8CFD1" w14:textId="77777777" w:rsidR="00DA7779" w:rsidRPr="00A02A3A" w:rsidRDefault="00DA7779" w:rsidP="004034FC">
                              <w:pPr>
                                <w:rPr>
                                  <w:sz w:val="16"/>
                                  <w:szCs w:val="16"/>
                                </w:rPr>
                              </w:pPr>
                            </w:p>
                            <w:p w14:paraId="314946A4" w14:textId="77777777" w:rsidR="00DA7779" w:rsidRPr="00A02A3A" w:rsidRDefault="00DA7779" w:rsidP="004034FC">
                              <w:pPr>
                                <w:rPr>
                                  <w:sz w:val="16"/>
                                  <w:szCs w:val="16"/>
                                </w:rPr>
                              </w:pPr>
                            </w:p>
                          </w:txbxContent>
                        </wps:txbx>
                        <wps:bodyPr rot="0" vert="horz" wrap="square" lIns="91440" tIns="45720" rIns="91440" bIns="45720" anchor="ctr" anchorCtr="0" upright="1">
                          <a:noAutofit/>
                        </wps:bodyPr>
                      </wps:wsp>
                      <wps:wsp>
                        <wps:cNvPr id="304" name="TextBox 30"/>
                        <wps:cNvSpPr txBox="1">
                          <a:spLocks noChangeArrowheads="1"/>
                        </wps:cNvSpPr>
                        <wps:spPr bwMode="auto">
                          <a:xfrm>
                            <a:off x="40035" y="56489"/>
                            <a:ext cx="13046" cy="4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1177FA" w14:textId="77777777" w:rsidR="00DA7779" w:rsidRPr="00A02A3A" w:rsidRDefault="00DA7779" w:rsidP="004034FC">
                              <w:pPr>
                                <w:pStyle w:val="NormalWeb"/>
                                <w:spacing w:after="0"/>
                                <w:jc w:val="center"/>
                                <w:rPr>
                                  <w:sz w:val="16"/>
                                  <w:szCs w:val="16"/>
                                </w:rPr>
                              </w:pPr>
                              <w:r>
                                <w:rPr>
                                  <w:rFonts w:ascii="Calibri" w:hAnsi="Calibri"/>
                                  <w:color w:val="000000"/>
                                  <w:kern w:val="24"/>
                                  <w:sz w:val="16"/>
                                  <w:szCs w:val="16"/>
                                </w:rPr>
                                <w:t xml:space="preserve">2 020 </w:t>
                              </w:r>
                              <w:r w:rsidRPr="00900457">
                                <w:rPr>
                                  <w:rFonts w:ascii="Calibri" w:hAnsi="Calibri"/>
                                  <w:color w:val="000000"/>
                                  <w:kern w:val="24"/>
                                  <w:sz w:val="16"/>
                                  <w:szCs w:val="16"/>
                                </w:rPr>
                                <w:t>MHz</w:t>
                              </w:r>
                            </w:p>
                          </w:txbxContent>
                        </wps:txbx>
                        <wps:bodyPr rot="0" vert="horz" wrap="square" lIns="91440" tIns="45720" rIns="91440" bIns="45720" anchor="t" anchorCtr="0" upright="1">
                          <a:noAutofit/>
                        </wps:bodyPr>
                      </wps:wsp>
                      <wps:wsp>
                        <wps:cNvPr id="305" name="TextBox 33"/>
                        <wps:cNvSpPr txBox="1">
                          <a:spLocks noChangeArrowheads="1"/>
                        </wps:cNvSpPr>
                        <wps:spPr bwMode="auto">
                          <a:xfrm>
                            <a:off x="58413" y="56428"/>
                            <a:ext cx="10189" cy="18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8CA3E6" w14:textId="77777777" w:rsidR="00DA7779" w:rsidRPr="00A02A3A" w:rsidRDefault="00DA7779" w:rsidP="004034FC">
                              <w:pPr>
                                <w:pStyle w:val="NormalWeb"/>
                                <w:spacing w:after="0"/>
                                <w:rPr>
                                  <w:sz w:val="16"/>
                                  <w:szCs w:val="16"/>
                                </w:rPr>
                              </w:pPr>
                              <w:r>
                                <w:rPr>
                                  <w:rFonts w:ascii="Calibri" w:hAnsi="Calibri"/>
                                  <w:color w:val="000000"/>
                                  <w:kern w:val="24"/>
                                  <w:sz w:val="16"/>
                                  <w:szCs w:val="16"/>
                                </w:rPr>
                                <w:t>2 025</w:t>
                              </w:r>
                              <w:r w:rsidRPr="00900457">
                                <w:rPr>
                                  <w:rFonts w:ascii="Calibri" w:hAnsi="Calibri"/>
                                  <w:color w:val="000000"/>
                                  <w:kern w:val="24"/>
                                  <w:sz w:val="16"/>
                                  <w:szCs w:val="16"/>
                                </w:rPr>
                                <w:t xml:space="preserve"> MH</w:t>
                              </w:r>
                              <w:r>
                                <w:rPr>
                                  <w:rFonts w:ascii="Calibri" w:hAnsi="Calibri"/>
                                  <w:color w:val="000000"/>
                                  <w:kern w:val="24"/>
                                  <w:sz w:val="16"/>
                                  <w:szCs w:val="16"/>
                                </w:rPr>
                                <w:t>z</w:t>
                              </w:r>
                            </w:p>
                          </w:txbxContent>
                        </wps:txbx>
                        <wps:bodyPr rot="0" vert="horz" wrap="square" lIns="91440" tIns="45720" rIns="91440" bIns="45720" anchor="t" anchorCtr="0" upright="1">
                          <a:noAutofit/>
                        </wps:bodyPr>
                      </wps:wsp>
                      <wps:wsp>
                        <wps:cNvPr id="306" name="Rectangle 28"/>
                        <wps:cNvSpPr>
                          <a:spLocks noChangeArrowheads="1"/>
                        </wps:cNvSpPr>
                        <wps:spPr bwMode="auto">
                          <a:xfrm>
                            <a:off x="4315" y="42943"/>
                            <a:ext cx="9728" cy="11436"/>
                          </a:xfrm>
                          <a:prstGeom prst="rect">
                            <a:avLst/>
                          </a:prstGeom>
                          <a:solidFill>
                            <a:schemeClr val="accent1">
                              <a:lumMod val="40000"/>
                              <a:lumOff val="60000"/>
                            </a:schemeClr>
                          </a:solidFill>
                          <a:ln w="9525">
                            <a:solidFill>
                              <a:srgbClr val="000000"/>
                            </a:solidFill>
                            <a:miter lim="800000"/>
                            <a:headEnd/>
                            <a:tailEnd/>
                          </a:ln>
                          <a:effectLst>
                            <a:outerShdw dist="23000" dir="5400000" rotWithShape="0">
                              <a:srgbClr val="000000">
                                <a:alpha val="34998"/>
                              </a:srgbClr>
                            </a:outerShdw>
                          </a:effectLst>
                        </wps:spPr>
                        <wps:txbx>
                          <w:txbxContent>
                            <w:p w14:paraId="34B6D7A7" w14:textId="77777777" w:rsidR="00DA7779" w:rsidRPr="003B6FB4" w:rsidRDefault="00DA7779" w:rsidP="004034FC">
                              <w:pPr>
                                <w:pStyle w:val="NormalWeb"/>
                                <w:spacing w:after="0"/>
                                <w:jc w:val="center"/>
                                <w:rPr>
                                  <w:sz w:val="22"/>
                                  <w:szCs w:val="22"/>
                                  <w:lang w:val="pt-PT"/>
                                </w:rPr>
                              </w:pPr>
                              <w:r w:rsidRPr="003B6FB4">
                                <w:rPr>
                                  <w:rFonts w:ascii="Calibri" w:hAnsi="Calibri"/>
                                  <w:color w:val="000000"/>
                                  <w:kern w:val="24"/>
                                  <w:sz w:val="22"/>
                                  <w:szCs w:val="22"/>
                                  <w:lang w:val="pt-PT"/>
                                </w:rPr>
                                <w:t>MSS</w:t>
                              </w:r>
                            </w:p>
                          </w:txbxContent>
                        </wps:txbx>
                        <wps:bodyPr rot="0" vert="horz" wrap="square" lIns="91440" tIns="45720" rIns="91440" bIns="45720" anchor="ctr" anchorCtr="0" upright="1">
                          <a:noAutofit/>
                        </wps:bodyPr>
                      </wps:wsp>
                      <wps:wsp>
                        <wps:cNvPr id="307" name="Rectangle 58"/>
                        <wps:cNvSpPr>
                          <a:spLocks noChangeArrowheads="1"/>
                        </wps:cNvSpPr>
                        <wps:spPr bwMode="auto">
                          <a:xfrm>
                            <a:off x="14207" y="42943"/>
                            <a:ext cx="32407" cy="3166"/>
                          </a:xfrm>
                          <a:prstGeom prst="rect">
                            <a:avLst/>
                          </a:prstGeom>
                          <a:solidFill>
                            <a:srgbClr val="C0504D"/>
                          </a:solidFill>
                          <a:ln w="9525">
                            <a:solidFill>
                              <a:srgbClr val="000000"/>
                            </a:solidFill>
                            <a:miter lim="800000"/>
                            <a:headEnd/>
                            <a:tailEnd/>
                          </a:ln>
                          <a:effectLst>
                            <a:outerShdw dist="23000" dir="5400000" rotWithShape="0">
                              <a:srgbClr val="000000">
                                <a:alpha val="34998"/>
                              </a:srgbClr>
                            </a:outerShdw>
                          </a:effectLst>
                        </wps:spPr>
                        <wps:txbx>
                          <w:txbxContent>
                            <w:p w14:paraId="5E7292A9" w14:textId="77777777" w:rsidR="00DA7779" w:rsidRPr="003B6FB4" w:rsidRDefault="00DA7779" w:rsidP="004034FC">
                              <w:pPr>
                                <w:pStyle w:val="NormalWeb"/>
                                <w:spacing w:after="0"/>
                                <w:jc w:val="center"/>
                                <w:rPr>
                                  <w:sz w:val="22"/>
                                  <w:szCs w:val="22"/>
                                </w:rPr>
                              </w:pPr>
                              <w:r w:rsidRPr="003B6FB4">
                                <w:rPr>
                                  <w:rFonts w:ascii="Calibri" w:hAnsi="Calibri"/>
                                  <w:color w:val="000000"/>
                                  <w:kern w:val="24"/>
                                  <w:sz w:val="22"/>
                                  <w:szCs w:val="22"/>
                                </w:rPr>
                                <w:t>DA2GCS FDD RL</w:t>
                              </w:r>
                            </w:p>
                          </w:txbxContent>
                        </wps:txbx>
                        <wps:bodyPr rot="0" vert="horz" wrap="square" lIns="91440" tIns="45720" rIns="91440" bIns="45720" anchor="ctr" anchorCtr="0" upright="1">
                          <a:noAutofit/>
                        </wps:bodyPr>
                      </wps:wsp>
                    </wpg:wgp>
                  </a:graphicData>
                </a:graphic>
              </wp:inline>
            </w:drawing>
          </mc:Choice>
          <mc:Fallback>
            <w:pict>
              <v:group id="Group 103" o:spid="_x0000_s1045" style="width:330.5pt;height:195.55pt;mso-position-horizontal-relative:char;mso-position-vertical-relative:line" coordorigin="4315,42943" coordsize="64287,176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">
                <v:rect id="Rectangle 104" o:spid="_x0000_s1046" style="position:absolute;left:14207;top:54482;width:49258;height:53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2x1LsUA&#10;AADcAAAADwAAAGRycy9kb3ducmV2LnhtbESPzWsCMRTE70L/h/AK3tzsKohujVKEigcP9QPa3h6b&#10;tx9087JNom7/eyMIHoeZ+Q2zWPWmFRdyvrGsIEtSEMSF1Q1XCk7Hj9EMhA/IGlvLpOCfPKyWL4MF&#10;5tpeeU+XQ6hEhLDPUUEdQpdL6YuaDPrEdsTRK60zGKJ0ldQOrxFuWjlO06k02HBcqLGjdU3F7+Fs&#10;FKyn7ffP3z4L203Zz92X35X8OVNq+Nq/v4EI1Idn+NHeagWTNIP7mXgE5PI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bHUuxQAAANwAAAAPAAAAAAAAAAAAAAAAAJgCAABkcnMv&#10;ZG93bnJldi54bWxQSwUGAAAAAAQABAD1AAAAigMAAAAA&#10;" fillcolor="#bfbfbf" strokeweight="1pt">
                  <v:shadow on="t" color="black" opacity="22936f" origin=",.5" offset="0,.63889mm"/>
                  <v:textbox>
                    <w:txbxContent>
                      <w:p w14:paraId="1E5080D6" w14:textId="77777777" w:rsidR="00DA7779" w:rsidRPr="00A02A3A" w:rsidRDefault="00DA7779" w:rsidP="004034FC">
                        <w:pPr>
                          <w:rPr>
                            <w:sz w:val="16"/>
                            <w:szCs w:val="16"/>
                          </w:rPr>
                        </w:pPr>
                      </w:p>
                    </w:txbxContent>
                  </v:textbox>
                </v:rect>
                <v:shape id="_x0000_s1047" type="#_x0000_t202" style="position:absolute;left:8852;top:56604;width:10034;height:19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gpK7cQA&#10;AADcAAAADwAAAGRycy9kb3ducmV2LnhtbESPQWvCQBSE7wX/w/IEb7qrtkXTbESUQk8tpip4e2Sf&#10;SWj2bchuTfrvuwWhx2FmvmHSzWAbcaPO1441zGcKBHHhTM2lhuPn63QFwgdkg41j0vBDHjbZ6CHF&#10;xLieD3TLQykihH2CGqoQ2kRKX1Rk0c9cSxy9q+sshii7UpoO+wi3jVwo9Swt1hwXKmxpV1HxlX9b&#10;Daf36+X8qD7KvX1qezcoyXYttZ6Mh+0LiEBD+A/f229Gw1It4O9MPAIy+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4KSu3EAAAA3AAAAA8AAAAAAAAAAAAAAAAAmAIAAGRycy9k&#10;b3ducmV2LnhtbFBLBQYAAAAABAAEAPUAAACJAwAAAAA=&#10;" filled="f" stroked="f">
                  <v:textbox>
                    <w:txbxContent>
                      <w:p w14:paraId="5CE374A6" w14:textId="77777777" w:rsidR="00DA7779" w:rsidRPr="00A02A3A" w:rsidRDefault="00DA7779" w:rsidP="004034FC">
                        <w:pPr>
                          <w:pStyle w:val="NormalWeb"/>
                          <w:spacing w:after="0"/>
                          <w:rPr>
                            <w:sz w:val="16"/>
                            <w:szCs w:val="16"/>
                          </w:rPr>
                        </w:pPr>
                        <w:r>
                          <w:rPr>
                            <w:rFonts w:ascii="Calibri" w:hAnsi="Calibri"/>
                            <w:color w:val="000000"/>
                            <w:kern w:val="24"/>
                            <w:sz w:val="16"/>
                            <w:szCs w:val="16"/>
                          </w:rPr>
                          <w:t xml:space="preserve">2 010 </w:t>
                        </w:r>
                        <w:r w:rsidRPr="00900457">
                          <w:rPr>
                            <w:rFonts w:ascii="Calibri" w:hAnsi="Calibri"/>
                            <w:color w:val="000000"/>
                            <w:kern w:val="24"/>
                            <w:sz w:val="16"/>
                            <w:szCs w:val="16"/>
                          </w:rPr>
                          <w:t>MHz</w:t>
                        </w:r>
                      </w:p>
                    </w:txbxContent>
                  </v:textbox>
                </v:shape>
                <v:rect id="Rectangle 25" o:spid="_x0000_s1048" style="position:absolute;left:63108;top:49932;width:363;height:622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PJOwsYA&#10;AADcAAAADwAAAGRycy9kb3ducmV2LnhtbESPT2vCQBTE74V+h+UJ3uomDYiNriJCiwcP1Raqt0f2&#10;5Q9m36a72yT99q5Q6HGYmd8wq81oWtGT841lBeksAUFcWN1wpeDz4/VpAcIHZI2tZVLwSx4268eH&#10;FebaDnyk/hQqESHsc1RQh9DlUvqiJoN+Zjvi6JXWGQxRukpqh0OEm1Y+J8lcGmw4LtTY0a6m4nr6&#10;MQp28/Z8+T6mYf9Wji/uyx9Kfl8oNZ2M2yWIQGP4D/+191pBlmRwPxOPgFz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PJOwsYAAADcAAAADwAAAAAAAAAAAAAAAACYAgAAZHJz&#10;L2Rvd25yZXYueG1sUEsFBgAAAAAEAAQA9QAAAIsDAAAAAA==&#10;" fillcolor="#bfbfbf" strokeweight="1pt">
                  <v:shadow on="t" color="black" opacity="22936f" origin=",.5" offset="0,.63889mm"/>
                  <v:textbox>
                    <w:txbxContent>
                      <w:p w14:paraId="7CD5D27C" w14:textId="77777777" w:rsidR="00DA7779" w:rsidRPr="00A02A3A" w:rsidRDefault="00DA7779" w:rsidP="004034FC">
                        <w:pPr>
                          <w:rPr>
                            <w:sz w:val="16"/>
                            <w:szCs w:val="16"/>
                          </w:rPr>
                        </w:pPr>
                      </w:p>
                      <w:p w14:paraId="31F8CFD1" w14:textId="77777777" w:rsidR="00DA7779" w:rsidRPr="00A02A3A" w:rsidRDefault="00DA7779" w:rsidP="004034FC">
                        <w:pPr>
                          <w:rPr>
                            <w:sz w:val="16"/>
                            <w:szCs w:val="16"/>
                          </w:rPr>
                        </w:pPr>
                      </w:p>
                      <w:p w14:paraId="314946A4" w14:textId="77777777" w:rsidR="00DA7779" w:rsidRPr="00A02A3A" w:rsidRDefault="00DA7779" w:rsidP="004034FC">
                        <w:pPr>
                          <w:rPr>
                            <w:sz w:val="16"/>
                            <w:szCs w:val="16"/>
                          </w:rPr>
                        </w:pPr>
                      </w:p>
                    </w:txbxContent>
                  </v:textbox>
                </v:rect>
                <v:shape id="_x0000_s1049" type="#_x0000_t202" style="position:absolute;left:40035;top:56489;width:13046;height:4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q93AsQA&#10;AADcAAAADwAAAGRycy9kb3ducmV2LnhtbESPT2vCQBTE74LfYXlCb3XXakWjq0il0JPF+Ae8PbLP&#10;JJh9G7Jbk377rlDwOMzMb5jlurOVuFPjS8caRkMFgjhzpuRcw/Hw+ToD4QOywcoxafglD+tVv7fE&#10;xLiW93RPQy4ihH2CGooQ6kRKnxVk0Q9dTRy9q2sshiibXJoG2wi3lXxTaiotlhwXCqzpo6Dslv5Y&#10;Dafd9XKeqO98a9/r1nVKsp1LrV8G3WYBIlAXnuH/9pfRMFYTeJyJR0C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6vdwLEAAAA3AAAAA8AAAAAAAAAAAAAAAAAmAIAAGRycy9k&#10;b3ducmV2LnhtbFBLBQYAAAAABAAEAPUAAACJAwAAAAA=&#10;" filled="f" stroked="f">
                  <v:textbox>
                    <w:txbxContent>
                      <w:p w14:paraId="071177FA" w14:textId="77777777" w:rsidR="00DA7779" w:rsidRPr="00A02A3A" w:rsidRDefault="00DA7779" w:rsidP="004034FC">
                        <w:pPr>
                          <w:pStyle w:val="NormalWeb"/>
                          <w:spacing w:after="0"/>
                          <w:jc w:val="center"/>
                          <w:rPr>
                            <w:sz w:val="16"/>
                            <w:szCs w:val="16"/>
                          </w:rPr>
                        </w:pPr>
                        <w:r>
                          <w:rPr>
                            <w:rFonts w:ascii="Calibri" w:hAnsi="Calibri"/>
                            <w:color w:val="000000"/>
                            <w:kern w:val="24"/>
                            <w:sz w:val="16"/>
                            <w:szCs w:val="16"/>
                          </w:rPr>
                          <w:t xml:space="preserve">2 020 </w:t>
                        </w:r>
                        <w:r w:rsidRPr="00900457">
                          <w:rPr>
                            <w:rFonts w:ascii="Calibri" w:hAnsi="Calibri"/>
                            <w:color w:val="000000"/>
                            <w:kern w:val="24"/>
                            <w:sz w:val="16"/>
                            <w:szCs w:val="16"/>
                          </w:rPr>
                          <w:t>MHz</w:t>
                        </w:r>
                      </w:p>
                    </w:txbxContent>
                  </v:textbox>
                </v:shape>
                <v:shape id="_x0000_s1050" type="#_x0000_t202" style="position:absolute;left:58413;top:56428;width:10189;height:18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ePSmcMA&#10;AADcAAAADwAAAGRycy9kb3ducmV2LnhtbESPQWvCQBSE74L/YXlCb7prrUVTV5FKoSfFVAVvj+wz&#10;Cc2+DdmtSf+9Kwgeh5n5hlmsOluJKzW+dKxhPFIgiDNnSs41HH6+hjMQPiAbrByThn/ysFr2ewtM&#10;jGt5T9c05CJC2CeooQihTqT0WUEW/cjVxNG7uMZiiLLJpWmwjXBbyVel3qXFkuNCgTV9FpT9pn9W&#10;w3F7OZ/e1C7f2Gnduk5JtnOp9cugW3+ACNSFZ/jR/jYaJmoK9zPxCMjl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ePSmcMAAADcAAAADwAAAAAAAAAAAAAAAACYAgAAZHJzL2Rv&#10;d25yZXYueG1sUEsFBgAAAAAEAAQA9QAAAIgDAAAAAA==&#10;" filled="f" stroked="f">
                  <v:textbox>
                    <w:txbxContent>
                      <w:p w14:paraId="268CA3E6" w14:textId="77777777" w:rsidR="00DA7779" w:rsidRPr="00A02A3A" w:rsidRDefault="00DA7779" w:rsidP="004034FC">
                        <w:pPr>
                          <w:pStyle w:val="NormalWeb"/>
                          <w:spacing w:after="0"/>
                          <w:rPr>
                            <w:sz w:val="16"/>
                            <w:szCs w:val="16"/>
                          </w:rPr>
                        </w:pPr>
                        <w:r>
                          <w:rPr>
                            <w:rFonts w:ascii="Calibri" w:hAnsi="Calibri"/>
                            <w:color w:val="000000"/>
                            <w:kern w:val="24"/>
                            <w:sz w:val="16"/>
                            <w:szCs w:val="16"/>
                          </w:rPr>
                          <w:t>2 025</w:t>
                        </w:r>
                        <w:r w:rsidRPr="00900457">
                          <w:rPr>
                            <w:rFonts w:ascii="Calibri" w:hAnsi="Calibri"/>
                            <w:color w:val="000000"/>
                            <w:kern w:val="24"/>
                            <w:sz w:val="16"/>
                            <w:szCs w:val="16"/>
                          </w:rPr>
                          <w:t xml:space="preserve"> MH</w:t>
                        </w:r>
                        <w:r>
                          <w:rPr>
                            <w:rFonts w:ascii="Calibri" w:hAnsi="Calibri"/>
                            <w:color w:val="000000"/>
                            <w:kern w:val="24"/>
                            <w:sz w:val="16"/>
                            <w:szCs w:val="16"/>
                          </w:rPr>
                          <w:t>z</w:t>
                        </w:r>
                      </w:p>
                    </w:txbxContent>
                  </v:textbox>
                </v:shape>
                <v:rect id="Rectangle 28" o:spid="_x0000_s1051" style="position:absolute;left:4315;top:42943;width:9728;height:1143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SBEsIA&#10;AADcAAAADwAAAGRycy9kb3ducmV2LnhtbESP3YrCMBCF74V9hzALe6epXRHpGossFIrghT8PMDRj&#10;U7aZlCbb1rc3guDl4cz5zpxtPtlWDNT7xrGC5SIBQVw53XCt4Hop5hsQPiBrbB2Tgjt5yHcfsy1m&#10;2o18ouEcahEh7DNUYELoMil9ZciiX7iOOHo311sMUfa11D2OEW5bmSbJWlpsODYY7OjXUPV3/rfx&#10;jZFDsUn1AU16GIpTsTo2U6nU1+e0/wERaArv41e61Aq+kzU8x0QCyN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RZIESwgAAANwAAAAPAAAAAAAAAAAAAAAAAJgCAABkcnMvZG93&#10;bnJldi54bWxQSwUGAAAAAAQABAD1AAAAhwMAAAAA&#10;" fillcolor="#b8cce4 [1300]">
                  <v:shadow on="t" color="black" opacity="22936f" origin=",.5" offset="0,.63889mm"/>
                  <v:textbox>
                    <w:txbxContent>
                      <w:p w14:paraId="34B6D7A7" w14:textId="77777777" w:rsidR="00DA7779" w:rsidRPr="003B6FB4" w:rsidRDefault="00DA7779" w:rsidP="004034FC">
                        <w:pPr>
                          <w:pStyle w:val="NormalWeb"/>
                          <w:spacing w:after="0"/>
                          <w:jc w:val="center"/>
                          <w:rPr>
                            <w:sz w:val="22"/>
                            <w:szCs w:val="22"/>
                            <w:lang w:val="pt-PT"/>
                          </w:rPr>
                        </w:pPr>
                        <w:r w:rsidRPr="003B6FB4">
                          <w:rPr>
                            <w:rFonts w:ascii="Calibri" w:hAnsi="Calibri"/>
                            <w:color w:val="000000"/>
                            <w:kern w:val="24"/>
                            <w:sz w:val="22"/>
                            <w:szCs w:val="22"/>
                            <w:lang w:val="pt-PT"/>
                          </w:rPr>
                          <w:t>MSS</w:t>
                        </w:r>
                      </w:p>
                    </w:txbxContent>
                  </v:textbox>
                </v:rect>
                <v:rect id="Rectangle 58" o:spid="_x0000_s1052" style="position:absolute;left:14207;top:42943;width:32407;height:316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Uv3MYA&#10;AADcAAAADwAAAGRycy9kb3ducmV2LnhtbESPzWrDMBCE74W+g9hCLiWWk5I/10ooJSk5BRLnktti&#10;bW231spIiuO8fVUo9DjMzDdMvhlMK3pyvrGsYJKkIIhLqxuuFJyL3XgJwgdkja1lUnAnD5v140OO&#10;mbY3PlJ/CpWIEPYZKqhD6DIpfVmTQZ/Yjjh6n9YZDFG6SmqHtwg3rZym6VwabDgu1NjRe03l9+lq&#10;FFTFZFl0l+1h8K6/72ar4uNZfik1ehreXkEEGsJ/+K+91wpe0gX8nolHQK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CUv3MYAAADcAAAADwAAAAAAAAAAAAAAAACYAgAAZHJz&#10;L2Rvd25yZXYueG1sUEsFBgAAAAAEAAQA9QAAAIsDAAAAAA==&#10;" fillcolor="#c0504d">
                  <v:shadow on="t" color="black" opacity="22936f" origin=",.5" offset="0,.63889mm"/>
                  <v:textbox>
                    <w:txbxContent>
                      <w:p w14:paraId="5E7292A9" w14:textId="77777777" w:rsidR="00DA7779" w:rsidRPr="003B6FB4" w:rsidRDefault="00DA7779" w:rsidP="004034FC">
                        <w:pPr>
                          <w:pStyle w:val="NormalWeb"/>
                          <w:spacing w:after="0"/>
                          <w:jc w:val="center"/>
                          <w:rPr>
                            <w:sz w:val="22"/>
                            <w:szCs w:val="22"/>
                          </w:rPr>
                        </w:pPr>
                        <w:r w:rsidRPr="003B6FB4">
                          <w:rPr>
                            <w:rFonts w:ascii="Calibri" w:hAnsi="Calibri"/>
                            <w:color w:val="000000"/>
                            <w:kern w:val="24"/>
                            <w:sz w:val="22"/>
                            <w:szCs w:val="22"/>
                          </w:rPr>
                          <w:t>DA2GCS FDD RL</w:t>
                        </w:r>
                      </w:p>
                    </w:txbxContent>
                  </v:textbox>
                </v:rect>
                <w10:anchorlock/>
              </v:group>
            </w:pict>
          </mc:Fallback>
        </mc:AlternateContent>
      </w:r>
    </w:p>
    <w:p w14:paraId="40016AE3" w14:textId="1B8712A8" w:rsidR="004034FC" w:rsidRPr="00040BEC" w:rsidRDefault="004034FC" w:rsidP="004034FC">
      <w:pPr>
        <w:pStyle w:val="Caption"/>
        <w:rPr>
          <w:lang w:val="en-GB"/>
        </w:rPr>
      </w:pPr>
      <w:r w:rsidRPr="00040BEC">
        <w:rPr>
          <w:lang w:val="en-GB"/>
        </w:rPr>
        <w:t xml:space="preserve">Figure </w:t>
      </w:r>
      <w:r w:rsidRPr="00040BEC">
        <w:rPr>
          <w:lang w:val="en-GB"/>
        </w:rPr>
        <w:fldChar w:fldCharType="begin"/>
      </w:r>
      <w:r w:rsidRPr="00040BEC">
        <w:rPr>
          <w:lang w:val="en-GB"/>
        </w:rPr>
        <w:instrText xml:space="preserve"> SEQ Figure \* ARABIC </w:instrText>
      </w:r>
      <w:r w:rsidRPr="00040BEC">
        <w:rPr>
          <w:lang w:val="en-GB"/>
        </w:rPr>
        <w:fldChar w:fldCharType="separate"/>
      </w:r>
      <w:r w:rsidR="002327BB">
        <w:rPr>
          <w:noProof/>
          <w:lang w:val="en-GB"/>
        </w:rPr>
        <w:t>2</w:t>
      </w:r>
      <w:r w:rsidRPr="00040BEC">
        <w:rPr>
          <w:lang w:val="en-GB"/>
        </w:rPr>
        <w:fldChar w:fldCharType="end"/>
      </w:r>
      <w:r w:rsidRPr="00040BEC">
        <w:rPr>
          <w:lang w:val="en-GB"/>
        </w:rPr>
        <w:t xml:space="preserve">: Scenario 1, upper band </w:t>
      </w:r>
      <w:r w:rsidRPr="00040BEC">
        <w:rPr>
          <w:szCs w:val="24"/>
          <w:lang w:val="en-GB"/>
        </w:rPr>
        <w:t>(DA2GCS FDD (reverse link), VLCC)</w:t>
      </w:r>
    </w:p>
    <w:p w14:paraId="63607244" w14:textId="27E38615" w:rsidR="004034FC" w:rsidRPr="00040BEC" w:rsidRDefault="004034FC">
      <w:pPr>
        <w:rPr>
          <w:lang w:val="en-GB"/>
        </w:rPr>
      </w:pPr>
    </w:p>
    <w:p w14:paraId="71941D0D" w14:textId="13AAD21E" w:rsidR="00CC3F57" w:rsidRPr="00040BEC" w:rsidRDefault="007D7927" w:rsidP="004034FC">
      <w:pPr>
        <w:rPr>
          <w:lang w:val="en-GB"/>
        </w:rPr>
      </w:pPr>
      <w:r w:rsidRPr="00040BEC">
        <w:rPr>
          <w:lang w:val="en-GB"/>
        </w:rPr>
        <w:t>Note</w:t>
      </w:r>
      <w:r w:rsidR="003F0431" w:rsidRPr="00040BEC">
        <w:rPr>
          <w:lang w:val="en-GB"/>
        </w:rPr>
        <w:t>:</w:t>
      </w:r>
      <w:r w:rsidRPr="00040BEC">
        <w:rPr>
          <w:lang w:val="en-GB"/>
        </w:rPr>
        <w:t xml:space="preserve"> </w:t>
      </w:r>
      <w:r w:rsidR="00CC3F57" w:rsidRPr="00040BEC">
        <w:rPr>
          <w:lang w:val="en-GB"/>
        </w:rPr>
        <w:t>Audio PMSE</w:t>
      </w:r>
      <w:r w:rsidRPr="00040BEC">
        <w:rPr>
          <w:lang w:val="en-GB"/>
        </w:rPr>
        <w:t>: i</w:t>
      </w:r>
      <w:r w:rsidR="00CC3F57" w:rsidRPr="00040BEC">
        <w:rPr>
          <w:lang w:val="en-GB"/>
        </w:rPr>
        <w:t xml:space="preserve">n case of VLCC, the </w:t>
      </w:r>
      <w:r w:rsidR="00CC3F57" w:rsidRPr="00040BEC">
        <w:rPr>
          <w:lang w:val="en-GB" w:eastAsia="nl-NL"/>
        </w:rPr>
        <w:t xml:space="preserve">Broadband </w:t>
      </w:r>
      <w:r w:rsidR="00CC3F57" w:rsidRPr="00040BEC">
        <w:rPr>
          <w:lang w:val="en-GB"/>
        </w:rPr>
        <w:t>DA2GC system cannot be authori</w:t>
      </w:r>
      <w:r w:rsidRPr="00040BEC">
        <w:rPr>
          <w:lang w:val="en-GB"/>
        </w:rPr>
        <w:t>s</w:t>
      </w:r>
      <w:r w:rsidR="00CC3F57" w:rsidRPr="00040BEC">
        <w:rPr>
          <w:lang w:val="en-GB"/>
        </w:rPr>
        <w:t>ed</w:t>
      </w:r>
    </w:p>
    <w:p w14:paraId="5A2B72C6" w14:textId="77777777" w:rsidR="007D7927" w:rsidRPr="00040BEC" w:rsidRDefault="007D7927" w:rsidP="00CC3F57">
      <w:pPr>
        <w:pStyle w:val="ECCParagraph"/>
        <w:ind w:firstLine="720"/>
        <w:jc w:val="center"/>
        <w:rPr>
          <w:b/>
        </w:rPr>
      </w:pPr>
    </w:p>
    <w:p w14:paraId="07BFA2D9" w14:textId="77777777" w:rsidR="004034FC" w:rsidRPr="00040BEC" w:rsidRDefault="004034FC">
      <w:pPr>
        <w:rPr>
          <w:b/>
          <w:lang w:val="en-GB"/>
        </w:rPr>
      </w:pPr>
      <w:r w:rsidRPr="00040BEC">
        <w:rPr>
          <w:b/>
          <w:lang w:val="en-GB"/>
        </w:rPr>
        <w:br w:type="page"/>
      </w:r>
    </w:p>
    <w:p w14:paraId="4FDEF89C" w14:textId="6AB047CE" w:rsidR="00CC3F57" w:rsidRPr="00040BEC" w:rsidRDefault="00CC3F57" w:rsidP="004034FC">
      <w:pPr>
        <w:pStyle w:val="ECCParagraph"/>
        <w:keepNext/>
        <w:jc w:val="left"/>
        <w:rPr>
          <w:b/>
        </w:rPr>
      </w:pPr>
      <w:r w:rsidRPr="00040BEC">
        <w:rPr>
          <w:b/>
        </w:rPr>
        <w:lastRenderedPageBreak/>
        <w:t>Scenario 2</w:t>
      </w:r>
    </w:p>
    <w:p w14:paraId="65F70825" w14:textId="77777777" w:rsidR="004034FC" w:rsidRPr="00040BEC" w:rsidRDefault="004034FC" w:rsidP="009C5233">
      <w:pPr>
        <w:pStyle w:val="ECCParagraph"/>
      </w:pPr>
    </w:p>
    <w:p w14:paraId="51006422" w14:textId="024D53A3" w:rsidR="004034FC" w:rsidRPr="00040BEC" w:rsidRDefault="009C5233" w:rsidP="009C5233">
      <w:pPr>
        <w:pStyle w:val="ListParagraph"/>
        <w:ind w:left="0"/>
        <w:rPr>
          <w:rFonts w:cs="Arial"/>
          <w:noProof/>
          <w:lang w:val="en-GB"/>
        </w:rPr>
      </w:pPr>
      <w:r w:rsidRPr="00040BEC">
        <w:rPr>
          <w:noProof/>
          <w:lang w:val="da-DK" w:eastAsia="da-DK"/>
        </w:rPr>
        <mc:AlternateContent>
          <mc:Choice Requires="wps">
            <w:drawing>
              <wp:anchor distT="0" distB="0" distL="114300" distR="114300" simplePos="0" relativeHeight="251659776" behindDoc="0" locked="0" layoutInCell="1" allowOverlap="1" wp14:anchorId="307CC1DC" wp14:editId="2239D5D6">
                <wp:simplePos x="0" y="0"/>
                <wp:positionH relativeFrom="margin">
                  <wp:posOffset>4759325</wp:posOffset>
                </wp:positionH>
                <wp:positionV relativeFrom="paragraph">
                  <wp:posOffset>9789</wp:posOffset>
                </wp:positionV>
                <wp:extent cx="635000" cy="1604645"/>
                <wp:effectExtent l="0" t="0" r="12700" b="52705"/>
                <wp:wrapNone/>
                <wp:docPr id="309" name="Rectangle 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5000" cy="1604645"/>
                        </a:xfrm>
                        <a:prstGeom prst="rect">
                          <a:avLst/>
                        </a:prstGeom>
                        <a:solidFill>
                          <a:schemeClr val="accent1">
                            <a:lumMod val="40000"/>
                            <a:lumOff val="60000"/>
                          </a:schemeClr>
                        </a:solidFill>
                        <a:ln w="9525">
                          <a:solidFill>
                            <a:srgbClr val="000000"/>
                          </a:solidFill>
                          <a:miter lim="800000"/>
                          <a:headEnd/>
                          <a:tailEnd/>
                        </a:ln>
                        <a:effectLst>
                          <a:outerShdw dist="23000" dir="5400000" rotWithShape="0">
                            <a:srgbClr val="000000">
                              <a:alpha val="34999"/>
                            </a:srgbClr>
                          </a:outerShdw>
                        </a:effectLst>
                      </wps:spPr>
                      <wps:txbx>
                        <w:txbxContent>
                          <w:p w14:paraId="33EC0537" w14:textId="77777777" w:rsidR="00DA7779" w:rsidRPr="007C0752" w:rsidRDefault="00DA7779" w:rsidP="009C5233">
                            <w:pPr>
                              <w:pStyle w:val="NormalWeb"/>
                              <w:spacing w:after="0"/>
                              <w:jc w:val="center"/>
                              <w:rPr>
                                <w:lang w:val="pt-PT"/>
                              </w:rPr>
                            </w:pPr>
                            <w:r>
                              <w:rPr>
                                <w:rFonts w:ascii="Calibri" w:hAnsi="Calibri"/>
                                <w:color w:val="000000"/>
                                <w:kern w:val="24"/>
                                <w:lang w:val="pt-PT"/>
                              </w:rPr>
                              <w:t>IMT</w:t>
                            </w:r>
                          </w:p>
                        </w:txbxContent>
                      </wps:txbx>
                      <wps:bodyPr rot="0" vert="horz" wrap="square" lIns="91440" tIns="45720" rIns="91440" bIns="45720" anchor="ctr" anchorCtr="0" upright="1">
                        <a:noAutofit/>
                      </wps:bodyPr>
                    </wps:wsp>
                  </a:graphicData>
                </a:graphic>
                <wp14:sizeRelH relativeFrom="page">
                  <wp14:pctWidth>0</wp14:pctWidth>
                </wp14:sizeRelH>
                <wp14:sizeRelV relativeFrom="margin">
                  <wp14:pctHeight>0</wp14:pctHeight>
                </wp14:sizeRelV>
              </wp:anchor>
            </w:drawing>
          </mc:Choice>
          <mc:Fallback>
            <w:pict>
              <v:rect id="_x0000_s1053" style="position:absolute;margin-left:374.75pt;margin-top:.75pt;width:50pt;height:126.35pt;z-index:2516597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" fillcolor="#b8cce4 [1300]">
                <v:shadow on="t" color="black" opacity="22936f" origin=",.5" offset="0,.63889mm"/>
                <v:textbox>
                  <w:txbxContent>
                    <w:p w14:paraId="33EC0537" w14:textId="77777777" w:rsidR="00DA7779" w:rsidRPr="007C0752" w:rsidRDefault="00DA7779" w:rsidP="009C5233">
                      <w:pPr>
                        <w:pStyle w:val="NormalWeb"/>
                        <w:spacing w:after="0"/>
                        <w:jc w:val="center"/>
                        <w:rPr>
                          <w:lang w:val="pt-PT"/>
                        </w:rPr>
                      </w:pPr>
                      <w:r>
                        <w:rPr>
                          <w:rFonts w:ascii="Calibri" w:hAnsi="Calibri"/>
                          <w:color w:val="000000"/>
                          <w:kern w:val="24"/>
                          <w:lang w:val="pt-PT"/>
                        </w:rPr>
                        <w:t>IMT</w:t>
                      </w:r>
                    </w:p>
                  </w:txbxContent>
                </v:textbox>
                <w10:wrap anchorx="margin"/>
              </v:rect>
            </w:pict>
          </mc:Fallback>
        </mc:AlternateContent>
      </w:r>
      <w:r w:rsidR="004034FC" w:rsidRPr="00040BEC">
        <w:rPr>
          <w:noProof/>
          <w:lang w:val="da-DK" w:eastAsia="da-DK"/>
        </w:rPr>
        <mc:AlternateContent>
          <mc:Choice Requires="wps">
            <w:drawing>
              <wp:anchor distT="0" distB="0" distL="114300" distR="114300" simplePos="0" relativeHeight="251656704" behindDoc="0" locked="0" layoutInCell="1" allowOverlap="1" wp14:anchorId="242A1721" wp14:editId="6B8E5134">
                <wp:simplePos x="0" y="0"/>
                <wp:positionH relativeFrom="margin">
                  <wp:posOffset>3194050</wp:posOffset>
                </wp:positionH>
                <wp:positionV relativeFrom="paragraph">
                  <wp:posOffset>1614170</wp:posOffset>
                </wp:positionV>
                <wp:extent cx="45720" cy="252730"/>
                <wp:effectExtent l="0" t="0" r="11430" b="52070"/>
                <wp:wrapNone/>
                <wp:docPr id="308" name="Rectangle 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720" cy="252730"/>
                        </a:xfrm>
                        <a:prstGeom prst="rect">
                          <a:avLst/>
                        </a:prstGeom>
                        <a:solidFill>
                          <a:srgbClr val="BFBFBF"/>
                        </a:solidFill>
                        <a:ln w="12700">
                          <a:solidFill>
                            <a:srgbClr val="000000"/>
                          </a:solidFill>
                          <a:miter lim="800000"/>
                          <a:headEnd/>
                          <a:tailEnd/>
                        </a:ln>
                        <a:effectLst>
                          <a:outerShdw dist="23000" dir="5400000" rotWithShape="0">
                            <a:srgbClr val="000000">
                              <a:alpha val="34999"/>
                            </a:srgbClr>
                          </a:outerShdw>
                        </a:effectLst>
                      </wps:spPr>
                      <wps:txbx>
                        <w:txbxContent>
                          <w:p w14:paraId="52B2E3DE" w14:textId="77777777" w:rsidR="00DA7779" w:rsidRPr="00A02A3A" w:rsidRDefault="00DA7779" w:rsidP="004034FC">
                            <w:pPr>
                              <w:rPr>
                                <w:sz w:val="16"/>
                                <w:szCs w:val="16"/>
                              </w:rPr>
                            </w:pPr>
                          </w:p>
                          <w:p w14:paraId="33DCAD2A" w14:textId="77777777" w:rsidR="00DA7779" w:rsidRPr="00A02A3A" w:rsidRDefault="00DA7779" w:rsidP="004034FC">
                            <w:pPr>
                              <w:rPr>
                                <w:sz w:val="16"/>
                                <w:szCs w:val="16"/>
                              </w:rPr>
                            </w:pP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ect id="_x0000_s1054" style="position:absolute;margin-left:251.5pt;margin-top:127.1pt;width:3.6pt;height:19.9pt;z-index:2516567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" fillcolor="#bfbfbf" strokeweight="1pt">
                <v:shadow on="t" color="black" opacity="22936f" origin=",.5" offset="0,.63889mm"/>
                <v:textbox>
                  <w:txbxContent>
                    <w:p w14:paraId="52B2E3DE" w14:textId="77777777" w:rsidR="00DA7779" w:rsidRPr="00A02A3A" w:rsidRDefault="00DA7779" w:rsidP="004034FC">
                      <w:pPr>
                        <w:rPr>
                          <w:sz w:val="16"/>
                          <w:szCs w:val="16"/>
                        </w:rPr>
                      </w:pPr>
                    </w:p>
                    <w:p w14:paraId="33DCAD2A" w14:textId="77777777" w:rsidR="00DA7779" w:rsidRPr="00A02A3A" w:rsidRDefault="00DA7779" w:rsidP="004034FC">
                      <w:pPr>
                        <w:rPr>
                          <w:sz w:val="16"/>
                          <w:szCs w:val="16"/>
                        </w:rPr>
                      </w:pPr>
                    </w:p>
                  </w:txbxContent>
                </v:textbox>
                <w10:wrap anchorx="margin"/>
              </v:rect>
            </w:pict>
          </mc:Fallback>
        </mc:AlternateContent>
      </w:r>
      <w:r w:rsidR="004034FC" w:rsidRPr="00040BEC">
        <w:rPr>
          <w:noProof/>
          <w:lang w:val="da-DK" w:eastAsia="da-DK"/>
        </w:rPr>
        <mc:AlternateContent>
          <mc:Choice Requires="wps">
            <w:drawing>
              <wp:anchor distT="0" distB="0" distL="114300" distR="114300" simplePos="0" relativeHeight="251657728" behindDoc="0" locked="0" layoutInCell="1" allowOverlap="1" wp14:anchorId="72204DB3" wp14:editId="5C51CA21">
                <wp:simplePos x="0" y="0"/>
                <wp:positionH relativeFrom="column">
                  <wp:posOffset>1086485</wp:posOffset>
                </wp:positionH>
                <wp:positionV relativeFrom="paragraph">
                  <wp:posOffset>983615</wp:posOffset>
                </wp:positionV>
                <wp:extent cx="23495" cy="875665"/>
                <wp:effectExtent l="0" t="0" r="14605" b="57785"/>
                <wp:wrapNone/>
                <wp:docPr id="310" name="Rectangle 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495" cy="875665"/>
                        </a:xfrm>
                        <a:prstGeom prst="rect">
                          <a:avLst/>
                        </a:prstGeom>
                        <a:solidFill>
                          <a:srgbClr val="BFBFBF"/>
                        </a:solidFill>
                        <a:ln w="12700">
                          <a:solidFill>
                            <a:srgbClr val="000000"/>
                          </a:solidFill>
                          <a:miter lim="800000"/>
                          <a:headEnd/>
                          <a:tailEnd/>
                        </a:ln>
                        <a:effectLst>
                          <a:outerShdw dist="23000" dir="5400000" rotWithShape="0">
                            <a:srgbClr val="000000">
                              <a:alpha val="34999"/>
                            </a:srgbClr>
                          </a:outerShdw>
                        </a:effectLst>
                      </wps:spPr>
                      <wps:txbx>
                        <w:txbxContent>
                          <w:p w14:paraId="0090EA79" w14:textId="77777777" w:rsidR="00DA7779" w:rsidRPr="00A02A3A" w:rsidRDefault="00DA7779" w:rsidP="004034FC">
                            <w:pPr>
                              <w:rPr>
                                <w:sz w:val="16"/>
                                <w:szCs w:val="16"/>
                              </w:rPr>
                            </w:pPr>
                          </w:p>
                          <w:p w14:paraId="527FCF1D" w14:textId="77777777" w:rsidR="00DA7779" w:rsidRPr="00A02A3A" w:rsidRDefault="00DA7779" w:rsidP="004034FC">
                            <w:pPr>
                              <w:rPr>
                                <w:sz w:val="16"/>
                                <w:szCs w:val="16"/>
                              </w:rP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id="_x0000_s1055" style="position:absolute;margin-left:85.55pt;margin-top:77.45pt;width:1.85pt;height:68.9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" fillcolor="#bfbfbf" strokeweight="1pt">
                <v:shadow on="t" color="black" opacity="22936f" origin=",.5" offset="0,.63889mm"/>
                <v:textbox>
                  <w:txbxContent>
                    <w:p w14:paraId="0090EA79" w14:textId="77777777" w:rsidR="00DA7779" w:rsidRPr="00A02A3A" w:rsidRDefault="00DA7779" w:rsidP="004034FC">
                      <w:pPr>
                        <w:rPr>
                          <w:sz w:val="16"/>
                          <w:szCs w:val="16"/>
                        </w:rPr>
                      </w:pPr>
                    </w:p>
                    <w:p w14:paraId="527FCF1D" w14:textId="77777777" w:rsidR="00DA7779" w:rsidRPr="00A02A3A" w:rsidRDefault="00DA7779" w:rsidP="004034FC">
                      <w:pPr>
                        <w:rPr>
                          <w:sz w:val="16"/>
                          <w:szCs w:val="16"/>
                        </w:rPr>
                      </w:pPr>
                    </w:p>
                  </w:txbxContent>
                </v:textbox>
              </v:rect>
            </w:pict>
          </mc:Fallback>
        </mc:AlternateContent>
      </w:r>
      <w:r w:rsidR="004034FC" w:rsidRPr="00040BEC">
        <w:rPr>
          <w:rFonts w:cs="Arial"/>
          <w:noProof/>
          <w:lang w:val="da-DK" w:eastAsia="da-DK"/>
        </w:rPr>
        <mc:AlternateContent>
          <mc:Choice Requires="wpg">
            <w:drawing>
              <wp:inline distT="0" distB="0" distL="0" distR="0" wp14:anchorId="48C448CD" wp14:editId="0A664818">
                <wp:extent cx="5102860" cy="2199180"/>
                <wp:effectExtent l="0" t="0" r="2540" b="0"/>
                <wp:docPr id="311" name="Group 1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102860" cy="2199180"/>
                          <a:chOff x="4315" y="42943"/>
                          <a:chExt cx="78160" cy="15633"/>
                        </a:xfrm>
                      </wpg:grpSpPr>
                      <wps:wsp>
                        <wps:cNvPr id="312" name="Rectangle 115"/>
                        <wps:cNvSpPr>
                          <a:spLocks noChangeArrowheads="1"/>
                        </wps:cNvSpPr>
                        <wps:spPr bwMode="auto">
                          <a:xfrm>
                            <a:off x="14208" y="54485"/>
                            <a:ext cx="63340" cy="530"/>
                          </a:xfrm>
                          <a:prstGeom prst="rect">
                            <a:avLst/>
                          </a:prstGeom>
                          <a:solidFill>
                            <a:srgbClr val="BFBFBF"/>
                          </a:solidFill>
                          <a:ln w="12700">
                            <a:solidFill>
                              <a:srgbClr val="000000"/>
                            </a:solidFill>
                            <a:miter lim="800000"/>
                            <a:headEnd/>
                            <a:tailEnd/>
                          </a:ln>
                          <a:effectLst>
                            <a:outerShdw dist="23000" dir="5400000" rotWithShape="0">
                              <a:srgbClr val="000000">
                                <a:alpha val="34998"/>
                              </a:srgbClr>
                            </a:outerShdw>
                          </a:effectLst>
                        </wps:spPr>
                        <wps:txbx>
                          <w:txbxContent>
                            <w:p w14:paraId="0C397D5B" w14:textId="77777777" w:rsidR="00DA7779" w:rsidRPr="00A02A3A" w:rsidRDefault="00DA7779" w:rsidP="004034FC">
                              <w:pPr>
                                <w:rPr>
                                  <w:sz w:val="16"/>
                                  <w:szCs w:val="16"/>
                                </w:rPr>
                              </w:pPr>
                            </w:p>
                          </w:txbxContent>
                        </wps:txbx>
                        <wps:bodyPr rot="0" vert="horz" wrap="square" lIns="91440" tIns="45720" rIns="91440" bIns="45720" anchor="ctr" anchorCtr="0" upright="1">
                          <a:noAutofit/>
                        </wps:bodyPr>
                      </wps:wsp>
                      <wps:wsp>
                        <wps:cNvPr id="313" name="TextBox 22"/>
                        <wps:cNvSpPr txBox="1">
                          <a:spLocks noChangeArrowheads="1"/>
                        </wps:cNvSpPr>
                        <wps:spPr bwMode="auto">
                          <a:xfrm>
                            <a:off x="8852" y="56604"/>
                            <a:ext cx="10034" cy="197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8AC7A1" w14:textId="77777777" w:rsidR="00DA7779" w:rsidRPr="00A02A3A" w:rsidRDefault="00DA7779" w:rsidP="004034FC">
                              <w:pPr>
                                <w:pStyle w:val="NormalWeb"/>
                                <w:spacing w:after="0"/>
                                <w:rPr>
                                  <w:sz w:val="16"/>
                                  <w:szCs w:val="16"/>
                                </w:rPr>
                              </w:pPr>
                              <w:r>
                                <w:rPr>
                                  <w:rFonts w:ascii="Calibri" w:hAnsi="Calibri"/>
                                  <w:color w:val="000000"/>
                                  <w:kern w:val="24"/>
                                  <w:sz w:val="16"/>
                                  <w:szCs w:val="16"/>
                                </w:rPr>
                                <w:t xml:space="preserve">1 900 </w:t>
                              </w:r>
                              <w:r w:rsidRPr="00900457">
                                <w:rPr>
                                  <w:rFonts w:ascii="Calibri" w:hAnsi="Calibri"/>
                                  <w:color w:val="000000"/>
                                  <w:kern w:val="24"/>
                                  <w:sz w:val="16"/>
                                  <w:szCs w:val="16"/>
                                </w:rPr>
                                <w:t>MHz</w:t>
                              </w:r>
                            </w:p>
                          </w:txbxContent>
                        </wps:txbx>
                        <wps:bodyPr rot="0" vert="horz" wrap="square" lIns="91440" tIns="45720" rIns="91440" bIns="45720" anchor="t" anchorCtr="0" upright="1">
                          <a:noAutofit/>
                        </wps:bodyPr>
                      </wps:wsp>
                      <wps:wsp>
                        <wps:cNvPr id="314" name="Rectangle 36"/>
                        <wps:cNvSpPr>
                          <a:spLocks noChangeArrowheads="1"/>
                        </wps:cNvSpPr>
                        <wps:spPr bwMode="auto">
                          <a:xfrm>
                            <a:off x="77284" y="49932"/>
                            <a:ext cx="363" cy="6227"/>
                          </a:xfrm>
                          <a:prstGeom prst="rect">
                            <a:avLst/>
                          </a:prstGeom>
                          <a:solidFill>
                            <a:srgbClr val="BFBFBF"/>
                          </a:solidFill>
                          <a:ln w="12700">
                            <a:solidFill>
                              <a:srgbClr val="000000"/>
                            </a:solidFill>
                            <a:miter lim="800000"/>
                            <a:headEnd/>
                            <a:tailEnd/>
                          </a:ln>
                          <a:effectLst>
                            <a:outerShdw dist="23000" dir="5400000" rotWithShape="0">
                              <a:srgbClr val="000000">
                                <a:alpha val="34998"/>
                              </a:srgbClr>
                            </a:outerShdw>
                          </a:effectLst>
                        </wps:spPr>
                        <wps:txbx>
                          <w:txbxContent>
                            <w:p w14:paraId="2B192E7A" w14:textId="77777777" w:rsidR="00DA7779" w:rsidRPr="00A02A3A" w:rsidRDefault="00DA7779" w:rsidP="004034FC">
                              <w:pPr>
                                <w:rPr>
                                  <w:sz w:val="16"/>
                                  <w:szCs w:val="16"/>
                                </w:rPr>
                              </w:pPr>
                            </w:p>
                          </w:txbxContent>
                        </wps:txbx>
                        <wps:bodyPr rot="0" vert="horz" wrap="square" lIns="91440" tIns="45720" rIns="91440" bIns="45720" anchor="ctr" anchorCtr="0" upright="1">
                          <a:noAutofit/>
                        </wps:bodyPr>
                      </wps:wsp>
                      <wps:wsp>
                        <wps:cNvPr id="315" name="TextBox 30"/>
                        <wps:cNvSpPr txBox="1">
                          <a:spLocks noChangeArrowheads="1"/>
                        </wps:cNvSpPr>
                        <wps:spPr bwMode="auto">
                          <a:xfrm>
                            <a:off x="40035" y="56489"/>
                            <a:ext cx="13046" cy="20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18C0A3" w14:textId="77777777" w:rsidR="00DA7779" w:rsidRPr="00A02A3A" w:rsidRDefault="00DA7779" w:rsidP="004034FC">
                              <w:pPr>
                                <w:pStyle w:val="NormalWeb"/>
                                <w:spacing w:after="0"/>
                                <w:jc w:val="center"/>
                                <w:rPr>
                                  <w:sz w:val="16"/>
                                  <w:szCs w:val="16"/>
                                </w:rPr>
                              </w:pPr>
                              <w:r>
                                <w:rPr>
                                  <w:rFonts w:ascii="Calibri" w:hAnsi="Calibri"/>
                                  <w:color w:val="000000"/>
                                  <w:kern w:val="24"/>
                                  <w:sz w:val="16"/>
                                  <w:szCs w:val="16"/>
                                </w:rPr>
                                <w:t xml:space="preserve">1 910 </w:t>
                              </w:r>
                              <w:r w:rsidRPr="00900457">
                                <w:rPr>
                                  <w:rFonts w:ascii="Calibri" w:hAnsi="Calibri"/>
                                  <w:color w:val="000000"/>
                                  <w:kern w:val="24"/>
                                  <w:sz w:val="16"/>
                                  <w:szCs w:val="16"/>
                                </w:rPr>
                                <w:t>MHz</w:t>
                              </w:r>
                            </w:p>
                          </w:txbxContent>
                        </wps:txbx>
                        <wps:bodyPr rot="0" vert="horz" wrap="square" lIns="91440" tIns="45720" rIns="91440" bIns="45720" anchor="t" anchorCtr="0" upright="1">
                          <a:noAutofit/>
                        </wps:bodyPr>
                      </wps:wsp>
                      <wps:wsp>
                        <wps:cNvPr id="316" name="Rectangle 38"/>
                        <wps:cNvSpPr>
                          <a:spLocks noChangeArrowheads="1"/>
                        </wps:cNvSpPr>
                        <wps:spPr bwMode="auto">
                          <a:xfrm>
                            <a:off x="14208" y="49841"/>
                            <a:ext cx="63039" cy="4558"/>
                          </a:xfrm>
                          <a:prstGeom prst="rect">
                            <a:avLst/>
                          </a:prstGeom>
                          <a:solidFill>
                            <a:schemeClr val="accent4">
                              <a:lumMod val="60000"/>
                              <a:lumOff val="40000"/>
                            </a:schemeClr>
                          </a:solidFill>
                          <a:ln w="12700">
                            <a:solidFill>
                              <a:srgbClr val="000000"/>
                            </a:solidFill>
                            <a:miter lim="800000"/>
                            <a:headEnd/>
                            <a:tailEnd/>
                          </a:ln>
                          <a:effectLst>
                            <a:outerShdw dist="23000" dir="5400000" rotWithShape="0">
                              <a:srgbClr val="000000">
                                <a:alpha val="34998"/>
                              </a:srgbClr>
                            </a:outerShdw>
                          </a:effectLst>
                        </wps:spPr>
                        <wps:txbx>
                          <w:txbxContent>
                            <w:p w14:paraId="10E8783E" w14:textId="77777777" w:rsidR="00DA7779" w:rsidRDefault="00DA7779" w:rsidP="00190B71">
                              <w:pPr>
                                <w:pStyle w:val="NormalWeb"/>
                                <w:spacing w:before="0" w:beforeAutospacing="0" w:after="0" w:afterAutospacing="0"/>
                                <w:jc w:val="center"/>
                                <w:rPr>
                                  <w:rFonts w:ascii="Calibri" w:hAnsi="Calibri"/>
                                  <w:color w:val="000000"/>
                                  <w:kern w:val="24"/>
                                  <w:sz w:val="16"/>
                                  <w:szCs w:val="16"/>
                                </w:rPr>
                              </w:pPr>
                            </w:p>
                            <w:p w14:paraId="197E6C8B" w14:textId="77777777" w:rsidR="00DA7779" w:rsidRDefault="00DA7779" w:rsidP="00190B71">
                              <w:pPr>
                                <w:pStyle w:val="NormalWeb"/>
                                <w:spacing w:before="0" w:beforeAutospacing="0" w:after="0" w:afterAutospacing="0"/>
                                <w:jc w:val="center"/>
                                <w:rPr>
                                  <w:rFonts w:ascii="Calibri" w:hAnsi="Calibri"/>
                                  <w:color w:val="000000"/>
                                  <w:kern w:val="24"/>
                                  <w:sz w:val="16"/>
                                  <w:szCs w:val="16"/>
                                </w:rPr>
                              </w:pPr>
                              <w:r>
                                <w:rPr>
                                  <w:rFonts w:ascii="Calibri" w:hAnsi="Calibri"/>
                                  <w:color w:val="000000"/>
                                  <w:kern w:val="24"/>
                                  <w:sz w:val="16"/>
                                  <w:szCs w:val="16"/>
                                </w:rPr>
                                <w:t xml:space="preserve">Applications under general </w:t>
                              </w:r>
                              <w:proofErr w:type="spellStart"/>
                              <w:r>
                                <w:rPr>
                                  <w:rFonts w:ascii="Calibri" w:hAnsi="Calibri"/>
                                  <w:color w:val="000000"/>
                                  <w:kern w:val="24"/>
                                  <w:sz w:val="16"/>
                                  <w:szCs w:val="16"/>
                                </w:rPr>
                                <w:t>authorisation</w:t>
                              </w:r>
                              <w:proofErr w:type="spellEnd"/>
                              <w:r>
                                <w:rPr>
                                  <w:rFonts w:ascii="Calibri" w:hAnsi="Calibri"/>
                                  <w:color w:val="000000"/>
                                  <w:kern w:val="24"/>
                                  <w:sz w:val="16"/>
                                  <w:szCs w:val="16"/>
                                </w:rPr>
                                <w:t xml:space="preserve"> (DECT / SRD) </w:t>
                              </w:r>
                            </w:p>
                            <w:p w14:paraId="2216CA1E" w14:textId="77777777" w:rsidR="00DA7779" w:rsidRPr="00B26244" w:rsidRDefault="00DA7779" w:rsidP="00190B71">
                              <w:pPr>
                                <w:pStyle w:val="NormalWeb"/>
                                <w:spacing w:before="0" w:beforeAutospacing="0" w:after="0" w:afterAutospacing="0"/>
                                <w:jc w:val="center"/>
                                <w:rPr>
                                  <w:rFonts w:ascii="Calibri" w:hAnsi="Calibri"/>
                                  <w:color w:val="000000"/>
                                  <w:kern w:val="24"/>
                                  <w:sz w:val="16"/>
                                  <w:szCs w:val="16"/>
                                </w:rPr>
                              </w:pPr>
                              <w:r w:rsidRPr="00B26244">
                                <w:rPr>
                                  <w:rFonts w:ascii="Calibri" w:hAnsi="Calibri"/>
                                  <w:color w:val="000000"/>
                                  <w:kern w:val="24"/>
                                  <w:sz w:val="16"/>
                                  <w:szCs w:val="16"/>
                                </w:rPr>
                                <w:t>Not proposed to be introduced in a Commission implementing decision</w:t>
                              </w:r>
                            </w:p>
                            <w:p w14:paraId="50A2D72D" w14:textId="77777777" w:rsidR="00DA7779" w:rsidRPr="00B26244" w:rsidRDefault="00DA7779" w:rsidP="004034FC">
                              <w:pPr>
                                <w:pStyle w:val="NormalWeb"/>
                                <w:jc w:val="center"/>
                                <w:rPr>
                                  <w:rFonts w:ascii="Calibri" w:hAnsi="Calibri"/>
                                  <w:color w:val="000000"/>
                                  <w:kern w:val="24"/>
                                  <w:sz w:val="16"/>
                                  <w:szCs w:val="16"/>
                                </w:rPr>
                              </w:pPr>
                            </w:p>
                          </w:txbxContent>
                        </wps:txbx>
                        <wps:bodyPr rot="0" vert="horz" wrap="square" lIns="91440" tIns="45720" rIns="91440" bIns="45720" anchor="ctr" anchorCtr="0" upright="1">
                          <a:noAutofit/>
                        </wps:bodyPr>
                      </wps:wsp>
                      <wps:wsp>
                        <wps:cNvPr id="317" name="TextBox 33"/>
                        <wps:cNvSpPr txBox="1">
                          <a:spLocks noChangeArrowheads="1"/>
                        </wps:cNvSpPr>
                        <wps:spPr bwMode="auto">
                          <a:xfrm>
                            <a:off x="72286" y="56489"/>
                            <a:ext cx="10189" cy="18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25A867" w14:textId="77777777" w:rsidR="00DA7779" w:rsidRPr="00A02A3A" w:rsidRDefault="00DA7779" w:rsidP="004034FC">
                              <w:pPr>
                                <w:pStyle w:val="NormalWeb"/>
                                <w:spacing w:after="0"/>
                                <w:rPr>
                                  <w:sz w:val="16"/>
                                  <w:szCs w:val="16"/>
                                </w:rPr>
                              </w:pPr>
                              <w:r>
                                <w:rPr>
                                  <w:rFonts w:ascii="Calibri" w:hAnsi="Calibri"/>
                                  <w:color w:val="000000"/>
                                  <w:kern w:val="24"/>
                                  <w:sz w:val="16"/>
                                  <w:szCs w:val="16"/>
                                </w:rPr>
                                <w:t>1 920</w:t>
                              </w:r>
                              <w:r w:rsidRPr="00900457">
                                <w:rPr>
                                  <w:rFonts w:ascii="Calibri" w:hAnsi="Calibri"/>
                                  <w:color w:val="000000"/>
                                  <w:kern w:val="24"/>
                                  <w:sz w:val="16"/>
                                  <w:szCs w:val="16"/>
                                </w:rPr>
                                <w:t xml:space="preserve"> MH</w:t>
                              </w:r>
                              <w:r>
                                <w:rPr>
                                  <w:rFonts w:ascii="Calibri" w:hAnsi="Calibri"/>
                                  <w:color w:val="000000"/>
                                  <w:kern w:val="24"/>
                                  <w:sz w:val="16"/>
                                  <w:szCs w:val="16"/>
                                </w:rPr>
                                <w:t>z</w:t>
                              </w:r>
                            </w:p>
                          </w:txbxContent>
                        </wps:txbx>
                        <wps:bodyPr rot="0" vert="horz" wrap="square" lIns="91440" tIns="45720" rIns="91440" bIns="45720" anchor="t" anchorCtr="0" upright="1">
                          <a:noAutofit/>
                        </wps:bodyPr>
                      </wps:wsp>
                      <wps:wsp>
                        <wps:cNvPr id="318" name="Rectangle 40"/>
                        <wps:cNvSpPr>
                          <a:spLocks noChangeArrowheads="1"/>
                        </wps:cNvSpPr>
                        <wps:spPr bwMode="auto">
                          <a:xfrm>
                            <a:off x="4315" y="42943"/>
                            <a:ext cx="9728" cy="11436"/>
                          </a:xfrm>
                          <a:prstGeom prst="rect">
                            <a:avLst/>
                          </a:prstGeom>
                          <a:solidFill>
                            <a:schemeClr val="accent6">
                              <a:lumMod val="20000"/>
                              <a:lumOff val="80000"/>
                            </a:schemeClr>
                          </a:solidFill>
                          <a:ln w="9525">
                            <a:solidFill>
                              <a:srgbClr val="000000"/>
                            </a:solidFill>
                            <a:miter lim="800000"/>
                            <a:headEnd/>
                            <a:tailEnd/>
                          </a:ln>
                          <a:effectLst>
                            <a:outerShdw dist="23000" dir="5400000" rotWithShape="0">
                              <a:srgbClr val="000000">
                                <a:alpha val="34998"/>
                              </a:srgbClr>
                            </a:outerShdw>
                          </a:effectLst>
                        </wps:spPr>
                        <wps:txbx>
                          <w:txbxContent>
                            <w:p w14:paraId="49BA2A5E" w14:textId="05898029" w:rsidR="00DA7779" w:rsidRPr="00190B71" w:rsidRDefault="00DA7779" w:rsidP="004034FC">
                              <w:pPr>
                                <w:pStyle w:val="NormalWeb"/>
                                <w:spacing w:after="0"/>
                                <w:jc w:val="center"/>
                                <w:rPr>
                                  <w:rFonts w:asciiTheme="majorHAnsi" w:hAnsiTheme="majorHAnsi"/>
                                  <w:lang w:val="da-DK"/>
                                </w:rPr>
                              </w:pPr>
                              <w:r w:rsidRPr="00190B71">
                                <w:rPr>
                                  <w:rFonts w:asciiTheme="majorHAnsi" w:hAnsiTheme="majorHAnsi"/>
                                  <w:lang w:val="da-DK"/>
                                </w:rPr>
                                <w:t>DECT</w:t>
                              </w:r>
                            </w:p>
                          </w:txbxContent>
                        </wps:txbx>
                        <wps:bodyPr rot="0" vert="horz" wrap="square" lIns="91440" tIns="45720" rIns="91440" bIns="45720" anchor="ctr" anchorCtr="0" upright="1">
                          <a:noAutofit/>
                        </wps:bodyPr>
                      </wps:wsp>
                      <wps:wsp>
                        <wps:cNvPr id="319" name="Rectangle 58"/>
                        <wps:cNvSpPr>
                          <a:spLocks noChangeArrowheads="1"/>
                        </wps:cNvSpPr>
                        <wps:spPr bwMode="auto">
                          <a:xfrm>
                            <a:off x="14207" y="42943"/>
                            <a:ext cx="63042" cy="3166"/>
                          </a:xfrm>
                          <a:prstGeom prst="rect">
                            <a:avLst/>
                          </a:prstGeom>
                          <a:solidFill>
                            <a:srgbClr val="C0504D"/>
                          </a:solidFill>
                          <a:ln w="9525">
                            <a:solidFill>
                              <a:srgbClr val="000000"/>
                            </a:solidFill>
                            <a:miter lim="800000"/>
                            <a:headEnd/>
                            <a:tailEnd/>
                          </a:ln>
                          <a:effectLst>
                            <a:outerShdw dist="23000" dir="5400000" rotWithShape="0">
                              <a:srgbClr val="000000">
                                <a:alpha val="34998"/>
                              </a:srgbClr>
                            </a:outerShdw>
                          </a:effectLst>
                        </wps:spPr>
                        <wps:txbx>
                          <w:txbxContent>
                            <w:p w14:paraId="05F845C6" w14:textId="77777777" w:rsidR="00DA7779" w:rsidRPr="00EE05BA" w:rsidRDefault="00DA7779" w:rsidP="004034FC">
                              <w:pPr>
                                <w:pStyle w:val="NormalWeb"/>
                                <w:spacing w:after="0"/>
                                <w:jc w:val="center"/>
                              </w:pPr>
                              <w:r>
                                <w:rPr>
                                  <w:rFonts w:ascii="Calibri" w:hAnsi="Calibri"/>
                                  <w:color w:val="000000"/>
                                  <w:kern w:val="24"/>
                                </w:rPr>
                                <w:t xml:space="preserve">DA2GCS TDD </w:t>
                              </w:r>
                            </w:p>
                          </w:txbxContent>
                        </wps:txbx>
                        <wps:bodyPr rot="0" vert="horz" wrap="square" lIns="91440" tIns="45720" rIns="91440" bIns="45720" anchor="ctr" anchorCtr="0" upright="1">
                          <a:noAutofit/>
                        </wps:bodyPr>
                      </wps:wsp>
                    </wpg:wgp>
                  </a:graphicData>
                </a:graphic>
              </wp:inline>
            </w:drawing>
          </mc:Choice>
          <mc:Fallback>
            <w:pict>
              <v:group id="Group 114" o:spid="_x0000_s1056" style="width:401.8pt;height:173.15pt;mso-position-horizontal-relative:char;mso-position-vertical-relative:line" coordorigin="4315,42943" coordsize="78160,156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">
                <v:rect id="Rectangle 115" o:spid="_x0000_s1057" style="position:absolute;left:14208;top:54485;width:63340;height:53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d9hMYA&#10;AADcAAAADwAAAGRycy9kb3ducmV2LnhtbESPT2sCMRTE70K/Q3gFb5pdC2K3xqUIigcPagttb4/N&#10;2z9087JN0nX99kYQPA4z8xtmmQ+mFT0531hWkE4TEMSF1Q1XCj4/NpMFCB+QNbaWScGFPOSrp9ES&#10;M23PfKT+FCoRIewzVFCH0GVS+qImg35qO+LoldYZDFG6SmqH5wg3rZwlyVwabDgu1NjRuqbi9/Rv&#10;FKzn7ffP3zENu205vLovvy/5sFBq/Dy8v4EINIRH+N7eaQUv6QxuZ+IRkKs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md9hMYAAADcAAAADwAAAAAAAAAAAAAAAACYAgAAZHJz&#10;L2Rvd25yZXYueG1sUEsFBgAAAAAEAAQA9QAAAIsDAAAAAA==&#10;" fillcolor="#bfbfbf" strokeweight="1pt">
                  <v:shadow on="t" color="black" opacity="22936f" origin=",.5" offset="0,.63889mm"/>
                  <v:textbox>
                    <w:txbxContent>
                      <w:p w14:paraId="0C397D5B" w14:textId="77777777" w:rsidR="00DA7779" w:rsidRPr="00A02A3A" w:rsidRDefault="00DA7779" w:rsidP="004034FC">
                        <w:pPr>
                          <w:rPr>
                            <w:sz w:val="16"/>
                            <w:szCs w:val="16"/>
                          </w:rPr>
                        </w:pPr>
                      </w:p>
                    </w:txbxContent>
                  </v:textbox>
                </v:rect>
                <v:shape id="_x0000_s1058" type="#_x0000_t202" style="position:absolute;left:8852;top:56604;width:10034;height:19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95q8QA&#10;AADcAAAADwAAAGRycy9kb3ducmV2LnhtbESPT2vCQBTE74LfYXkFb7qrVtHUVUQp9FQx/oHeHtln&#10;Epp9G7Jbk377bkHwOMzMb5jVprOVuFPjS8caxiMFgjhzpuRcw/n0PlyA8AHZYOWYNPySh82631th&#10;YlzLR7qnIRcRwj5BDUUIdSKlzwqy6EeuJo7ezTUWQ5RNLk2DbYTbSk6UmkuLJceFAmvaFZR9pz9W&#10;w+Xz9nV9VYd8b2d16zol2S6l1oOXbvsGIlAXnuFH+8NomI6n8H8mHgG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SfeavEAAAA3AAAAA8AAAAAAAAAAAAAAAAAmAIAAGRycy9k&#10;b3ducmV2LnhtbFBLBQYAAAAABAAEAPUAAACJAwAAAAA=&#10;" filled="f" stroked="f">
                  <v:textbox>
                    <w:txbxContent>
                      <w:p w14:paraId="148AC7A1" w14:textId="77777777" w:rsidR="00DA7779" w:rsidRPr="00A02A3A" w:rsidRDefault="00DA7779" w:rsidP="004034FC">
                        <w:pPr>
                          <w:pStyle w:val="NormalWeb"/>
                          <w:spacing w:after="0"/>
                          <w:rPr>
                            <w:sz w:val="16"/>
                            <w:szCs w:val="16"/>
                          </w:rPr>
                        </w:pPr>
                        <w:r>
                          <w:rPr>
                            <w:rFonts w:ascii="Calibri" w:hAnsi="Calibri"/>
                            <w:color w:val="000000"/>
                            <w:kern w:val="24"/>
                            <w:sz w:val="16"/>
                            <w:szCs w:val="16"/>
                          </w:rPr>
                          <w:t xml:space="preserve">1 900 </w:t>
                        </w:r>
                        <w:r w:rsidRPr="00900457">
                          <w:rPr>
                            <w:rFonts w:ascii="Calibri" w:hAnsi="Calibri"/>
                            <w:color w:val="000000"/>
                            <w:kern w:val="24"/>
                            <w:sz w:val="16"/>
                            <w:szCs w:val="16"/>
                          </w:rPr>
                          <w:t>MHz</w:t>
                        </w:r>
                      </w:p>
                    </w:txbxContent>
                  </v:textbox>
                </v:shape>
                <v:rect id="Rectangle 36" o:spid="_x0000_s1059" style="position:absolute;left:77284;top:49932;width:363;height:622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JAa8UA&#10;AADcAAAADwAAAGRycy9kb3ducmV2LnhtbESPT2sCMRTE74LfITzBm2a3FtHVKCK0eOhBraDeHpu3&#10;f3Dzsk1S3X57Uyj0OMzMb5jlujONuJPztWUF6TgBQZxbXXOp4PT5NpqB8AFZY2OZFPyQh/Wq31ti&#10;pu2DD3Q/hlJECPsMFVQhtJmUPq/IoB/bljh6hXUGQ5SulNrhI8JNI1+SZCoN1hwXKmxpW1F+O34b&#10;Bdtpc7l+HdKwey+6uTv7j4L3M6WGg26zABGoC//hv/ZOK5ikr/B7Jh4BuXo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wkBrxQAAANwAAAAPAAAAAAAAAAAAAAAAAJgCAABkcnMv&#10;ZG93bnJldi54bWxQSwUGAAAAAAQABAD1AAAAigMAAAAA&#10;" fillcolor="#bfbfbf" strokeweight="1pt">
                  <v:shadow on="t" color="black" opacity="22936f" origin=",.5" offset="0,.63889mm"/>
                  <v:textbox>
                    <w:txbxContent>
                      <w:p w14:paraId="2B192E7A" w14:textId="77777777" w:rsidR="00DA7779" w:rsidRPr="00A02A3A" w:rsidRDefault="00DA7779" w:rsidP="004034FC">
                        <w:pPr>
                          <w:rPr>
                            <w:sz w:val="16"/>
                            <w:szCs w:val="16"/>
                          </w:rPr>
                        </w:pPr>
                      </w:p>
                    </w:txbxContent>
                  </v:textbox>
                </v:rect>
                <v:shape id="_x0000_s1060" type="#_x0000_t202" style="position:absolute;left:40035;top:56489;width:13046;height:208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DpERMQA&#10;AADcAAAADwAAAGRycy9kb3ducmV2LnhtbESPQWvCQBSE74L/YXmCt7qr1WJjNiKWQk+W2lrw9sg+&#10;k2D2bciuJv57t1DwOMzMN0y67m0trtT6yrGG6USBIM6dqbjQ8PP9/rQE4QOywdoxabiRh3U2HKSY&#10;GNfxF133oRARwj5BDWUITSKlz0uy6CeuIY7eybUWQ5RtIU2LXYTbWs6UepEWK44LJTa0LSk/7y9W&#10;w2F3Ov7O1WfxZhdN53ol2b5KrcejfrMCEagPj/B/+8NoeJ4u4O9MPAIyu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Q6RETEAAAA3AAAAA8AAAAAAAAAAAAAAAAAmAIAAGRycy9k&#10;b3ducmV2LnhtbFBLBQYAAAAABAAEAPUAAACJAwAAAAA=&#10;" filled="f" stroked="f">
                  <v:textbox>
                    <w:txbxContent>
                      <w:p w14:paraId="0018C0A3" w14:textId="77777777" w:rsidR="00DA7779" w:rsidRPr="00A02A3A" w:rsidRDefault="00DA7779" w:rsidP="004034FC">
                        <w:pPr>
                          <w:pStyle w:val="NormalWeb"/>
                          <w:spacing w:after="0"/>
                          <w:jc w:val="center"/>
                          <w:rPr>
                            <w:sz w:val="16"/>
                            <w:szCs w:val="16"/>
                          </w:rPr>
                        </w:pPr>
                        <w:r>
                          <w:rPr>
                            <w:rFonts w:ascii="Calibri" w:hAnsi="Calibri"/>
                            <w:color w:val="000000"/>
                            <w:kern w:val="24"/>
                            <w:sz w:val="16"/>
                            <w:szCs w:val="16"/>
                          </w:rPr>
                          <w:t xml:space="preserve">1 910 </w:t>
                        </w:r>
                        <w:r w:rsidRPr="00900457">
                          <w:rPr>
                            <w:rFonts w:ascii="Calibri" w:hAnsi="Calibri"/>
                            <w:color w:val="000000"/>
                            <w:kern w:val="24"/>
                            <w:sz w:val="16"/>
                            <w:szCs w:val="16"/>
                          </w:rPr>
                          <w:t>MHz</w:t>
                        </w:r>
                      </w:p>
                    </w:txbxContent>
                  </v:textbox>
                </v:shape>
                <v:rect id="Rectangle 38" o:spid="_x0000_s1061" style="position:absolute;left:14208;top:49841;width:63039;height:45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2CL8MA&#10;AADcAAAADwAAAGRycy9kb3ducmV2LnhtbESP0WrCQBRE3wv9h+UWfGs2KoQaXcXWCvZJE/2AS/aa&#10;DWbvhuxW49+7QqGPw8ycYRarwbbiSr1vHCsYJykI4srphmsFp+P2/QOED8gaW8ek4E4eVsvXlwXm&#10;2t24oGsZahEh7HNUYELocil9ZciiT1xHHL2z6y2GKPta6h5vEW5bOUnTTFpsOC4Y7OjLUHUpf60C&#10;dzpTKevPXWY3s2KfHczP/rtQavQ2rOcgAg3hP/zX3mkF03EGzzPxCMjl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F2CL8MAAADcAAAADwAAAAAAAAAAAAAAAACYAgAAZHJzL2Rv&#10;d25yZXYueG1sUEsFBgAAAAAEAAQA9QAAAIgDAAAAAA==&#10;" fillcolor="#b2a1c7 [1943]" strokeweight="1pt">
                  <v:shadow on="t" color="black" opacity="22936f" origin=",.5" offset="0,.63889mm"/>
                  <v:textbox>
                    <w:txbxContent>
                      <w:p w14:paraId="10E8783E" w14:textId="77777777" w:rsidR="00DA7779" w:rsidRDefault="00DA7779" w:rsidP="00190B71">
                        <w:pPr>
                          <w:pStyle w:val="NormalWeb"/>
                          <w:spacing w:before="0" w:beforeAutospacing="0" w:after="0" w:afterAutospacing="0"/>
                          <w:jc w:val="center"/>
                          <w:rPr>
                            <w:rFonts w:ascii="Calibri" w:hAnsi="Calibri"/>
                            <w:color w:val="000000"/>
                            <w:kern w:val="24"/>
                            <w:sz w:val="16"/>
                            <w:szCs w:val="16"/>
                          </w:rPr>
                        </w:pPr>
                      </w:p>
                      <w:p w14:paraId="197E6C8B" w14:textId="77777777" w:rsidR="00DA7779" w:rsidRDefault="00DA7779" w:rsidP="00190B71">
                        <w:pPr>
                          <w:pStyle w:val="NormalWeb"/>
                          <w:spacing w:before="0" w:beforeAutospacing="0" w:after="0" w:afterAutospacing="0"/>
                          <w:jc w:val="center"/>
                          <w:rPr>
                            <w:rFonts w:ascii="Calibri" w:hAnsi="Calibri"/>
                            <w:color w:val="000000"/>
                            <w:kern w:val="24"/>
                            <w:sz w:val="16"/>
                            <w:szCs w:val="16"/>
                          </w:rPr>
                        </w:pPr>
                        <w:r>
                          <w:rPr>
                            <w:rFonts w:ascii="Calibri" w:hAnsi="Calibri"/>
                            <w:color w:val="000000"/>
                            <w:kern w:val="24"/>
                            <w:sz w:val="16"/>
                            <w:szCs w:val="16"/>
                          </w:rPr>
                          <w:t xml:space="preserve">Applications under general </w:t>
                        </w:r>
                        <w:proofErr w:type="spellStart"/>
                        <w:r>
                          <w:rPr>
                            <w:rFonts w:ascii="Calibri" w:hAnsi="Calibri"/>
                            <w:color w:val="000000"/>
                            <w:kern w:val="24"/>
                            <w:sz w:val="16"/>
                            <w:szCs w:val="16"/>
                          </w:rPr>
                          <w:t>authorisation</w:t>
                        </w:r>
                        <w:proofErr w:type="spellEnd"/>
                        <w:r>
                          <w:rPr>
                            <w:rFonts w:ascii="Calibri" w:hAnsi="Calibri"/>
                            <w:color w:val="000000"/>
                            <w:kern w:val="24"/>
                            <w:sz w:val="16"/>
                            <w:szCs w:val="16"/>
                          </w:rPr>
                          <w:t xml:space="preserve"> (DECT / SRD) </w:t>
                        </w:r>
                      </w:p>
                      <w:p w14:paraId="2216CA1E" w14:textId="77777777" w:rsidR="00DA7779" w:rsidRPr="00B26244" w:rsidRDefault="00DA7779" w:rsidP="00190B71">
                        <w:pPr>
                          <w:pStyle w:val="NormalWeb"/>
                          <w:spacing w:before="0" w:beforeAutospacing="0" w:after="0" w:afterAutospacing="0"/>
                          <w:jc w:val="center"/>
                          <w:rPr>
                            <w:rFonts w:ascii="Calibri" w:hAnsi="Calibri"/>
                            <w:color w:val="000000"/>
                            <w:kern w:val="24"/>
                            <w:sz w:val="16"/>
                            <w:szCs w:val="16"/>
                          </w:rPr>
                        </w:pPr>
                        <w:r w:rsidRPr="00B26244">
                          <w:rPr>
                            <w:rFonts w:ascii="Calibri" w:hAnsi="Calibri"/>
                            <w:color w:val="000000"/>
                            <w:kern w:val="24"/>
                            <w:sz w:val="16"/>
                            <w:szCs w:val="16"/>
                          </w:rPr>
                          <w:t>Not proposed to be introduced in a Commission implementing decision</w:t>
                        </w:r>
                      </w:p>
                      <w:p w14:paraId="50A2D72D" w14:textId="77777777" w:rsidR="00DA7779" w:rsidRPr="00B26244" w:rsidRDefault="00DA7779" w:rsidP="004034FC">
                        <w:pPr>
                          <w:pStyle w:val="NormalWeb"/>
                          <w:jc w:val="center"/>
                          <w:rPr>
                            <w:rFonts w:ascii="Calibri" w:hAnsi="Calibri"/>
                            <w:color w:val="000000"/>
                            <w:kern w:val="24"/>
                            <w:sz w:val="16"/>
                            <w:szCs w:val="16"/>
                          </w:rPr>
                        </w:pPr>
                      </w:p>
                    </w:txbxContent>
                  </v:textbox>
                </v:rect>
                <v:shape id="_x0000_s1062" type="#_x0000_t202" style="position:absolute;left:72286;top:56489;width:10189;height:18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6R/qMQA&#10;AADcAAAADwAAAGRycy9kb3ducmV2LnhtbESPS2vDMBCE74H+B7GF3hIpaV51rYTSEuippXlBbou1&#10;fhBrZSw1dv99FQjkOMzMN0y67m0tLtT6yrGG8UiBIM6cqbjQsN9thksQPiAbrB2Thj/ysF49DFJM&#10;jOv4hy7bUIgIYZ+ghjKEJpHSZyVZ9CPXEEcvd63FEGVbSNNiF+G2lhOl5tJixXGhxIbeS8rO21+r&#10;4fCVn45T9V182FnTuV5Jti9S66fH/u0VRKA+3MO39qfR8DxewPVMPAJy9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ukf6jEAAAA3AAAAA8AAAAAAAAAAAAAAAAAmAIAAGRycy9k&#10;b3ducmV2LnhtbFBLBQYAAAAABAAEAPUAAACJAwAAAAA=&#10;" filled="f" stroked="f">
                  <v:textbox>
                    <w:txbxContent>
                      <w:p w14:paraId="1225A867" w14:textId="77777777" w:rsidR="00DA7779" w:rsidRPr="00A02A3A" w:rsidRDefault="00DA7779" w:rsidP="004034FC">
                        <w:pPr>
                          <w:pStyle w:val="NormalWeb"/>
                          <w:spacing w:after="0"/>
                          <w:rPr>
                            <w:sz w:val="16"/>
                            <w:szCs w:val="16"/>
                          </w:rPr>
                        </w:pPr>
                        <w:r>
                          <w:rPr>
                            <w:rFonts w:ascii="Calibri" w:hAnsi="Calibri"/>
                            <w:color w:val="000000"/>
                            <w:kern w:val="24"/>
                            <w:sz w:val="16"/>
                            <w:szCs w:val="16"/>
                          </w:rPr>
                          <w:t>1 920</w:t>
                        </w:r>
                        <w:r w:rsidRPr="00900457">
                          <w:rPr>
                            <w:rFonts w:ascii="Calibri" w:hAnsi="Calibri"/>
                            <w:color w:val="000000"/>
                            <w:kern w:val="24"/>
                            <w:sz w:val="16"/>
                            <w:szCs w:val="16"/>
                          </w:rPr>
                          <w:t xml:space="preserve"> MH</w:t>
                        </w:r>
                        <w:r>
                          <w:rPr>
                            <w:rFonts w:ascii="Calibri" w:hAnsi="Calibri"/>
                            <w:color w:val="000000"/>
                            <w:kern w:val="24"/>
                            <w:sz w:val="16"/>
                            <w:szCs w:val="16"/>
                          </w:rPr>
                          <w:t>z</w:t>
                        </w:r>
                      </w:p>
                    </w:txbxContent>
                  </v:textbox>
                </v:shape>
                <v:rect id="Rectangle 40" o:spid="_x0000_s1063" style="position:absolute;left:4315;top:42943;width:9728;height:1143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pviWL8A&#10;AADcAAAADwAAAGRycy9kb3ducmV2LnhtbERPS4vCMBC+L/gfwgje1qkWRLtGEaEgiwg+wOvQzLbd&#10;bSalyWr99+YgePz43st1bxt1487XTjRMxgkolsKZWkoNl3P+OQflA4mhxglreLCH9WrwsaTMuLsc&#10;+XYKpYoh4jPSUIXQZoi+qNiSH7uWJXI/rrMUIuxKNB3dY7htcJokM7RUS2yoqOVtxcXf6d9qyHdX&#10;dHkocZt+L/a/F4uUHlDr0bDffIEK3Ie3+OXeGQ3pJK6NZ+IRwNU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ym+JYvwAAANwAAAAPAAAAAAAAAAAAAAAAAJgCAABkcnMvZG93bnJl&#10;di54bWxQSwUGAAAAAAQABAD1AAAAhAMAAAAA&#10;" fillcolor="#fde9d9 [665]">
                  <v:shadow on="t" color="black" opacity="22936f" origin=",.5" offset="0,.63889mm"/>
                  <v:textbox>
                    <w:txbxContent>
                      <w:p w14:paraId="49BA2A5E" w14:textId="05898029" w:rsidR="00DA7779" w:rsidRPr="00190B71" w:rsidRDefault="00DA7779" w:rsidP="004034FC">
                        <w:pPr>
                          <w:pStyle w:val="NormalWeb"/>
                          <w:spacing w:after="0"/>
                          <w:jc w:val="center"/>
                          <w:rPr>
                            <w:rFonts w:asciiTheme="majorHAnsi" w:hAnsiTheme="majorHAnsi"/>
                            <w:lang w:val="da-DK"/>
                          </w:rPr>
                        </w:pPr>
                        <w:r w:rsidRPr="00190B71">
                          <w:rPr>
                            <w:rFonts w:asciiTheme="majorHAnsi" w:hAnsiTheme="majorHAnsi"/>
                            <w:lang w:val="da-DK"/>
                          </w:rPr>
                          <w:t>DECT</w:t>
                        </w:r>
                      </w:p>
                    </w:txbxContent>
                  </v:textbox>
                </v:rect>
                <v:rect id="Rectangle 58" o:spid="_x0000_s1064" style="position:absolute;left:14207;top:42943;width:63042;height:316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6MYA&#10;AADcAAAADwAAAGRycy9kb3ducmV2LnhtbESPQWvCQBSE7wX/w/IKXkrdRGnRNBsRUfFUqOmlt0f2&#10;NUmbfRt21xj/vSsUehxm5hsmX4+mEwM531pWkM4SEMSV1S3XCj7L/fMShA/IGjvLpOBKHtbF5CHH&#10;TNsLf9BwCrWIEPYZKmhC6DMpfdWQQT+zPXH0vq0zGKJ0tdQOLxFuOjlPkldpsOW40GBP24aq39PZ&#10;KKjLdFn2X7v30bvhun9ZlYcn+aPU9HHcvIEINIb/8F/7qBUs0hXcz8QjIIs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I6MYAAADcAAAADwAAAAAAAAAAAAAAAACYAgAAZHJz&#10;L2Rvd25yZXYueG1sUEsFBgAAAAAEAAQA9QAAAIsDAAAAAA==&#10;" fillcolor="#c0504d">
                  <v:shadow on="t" color="black" opacity="22936f" origin=",.5" offset="0,.63889mm"/>
                  <v:textbox>
                    <w:txbxContent>
                      <w:p w14:paraId="05F845C6" w14:textId="77777777" w:rsidR="00DA7779" w:rsidRPr="00EE05BA" w:rsidRDefault="00DA7779" w:rsidP="004034FC">
                        <w:pPr>
                          <w:pStyle w:val="NormalWeb"/>
                          <w:spacing w:after="0"/>
                          <w:jc w:val="center"/>
                        </w:pPr>
                        <w:r>
                          <w:rPr>
                            <w:rFonts w:ascii="Calibri" w:hAnsi="Calibri"/>
                            <w:color w:val="000000"/>
                            <w:kern w:val="24"/>
                          </w:rPr>
                          <w:t xml:space="preserve">DA2GCS TDD </w:t>
                        </w:r>
                      </w:p>
                    </w:txbxContent>
                  </v:textbox>
                </v:rect>
                <w10:anchorlock/>
              </v:group>
            </w:pict>
          </mc:Fallback>
        </mc:AlternateContent>
      </w:r>
    </w:p>
    <w:p w14:paraId="170E4D63" w14:textId="3AE9174F" w:rsidR="004034FC" w:rsidRPr="00040BEC" w:rsidRDefault="004034FC" w:rsidP="004034FC">
      <w:pPr>
        <w:pStyle w:val="Caption"/>
        <w:rPr>
          <w:szCs w:val="24"/>
          <w:lang w:val="en-GB"/>
        </w:rPr>
      </w:pPr>
      <w:r w:rsidRPr="00040BEC">
        <w:rPr>
          <w:lang w:val="en-GB"/>
        </w:rPr>
        <w:t xml:space="preserve">Figure </w:t>
      </w:r>
      <w:r w:rsidRPr="00040BEC">
        <w:rPr>
          <w:lang w:val="en-GB"/>
        </w:rPr>
        <w:fldChar w:fldCharType="begin"/>
      </w:r>
      <w:r w:rsidRPr="00040BEC">
        <w:rPr>
          <w:lang w:val="en-GB"/>
        </w:rPr>
        <w:instrText xml:space="preserve"> SEQ Figure \* ARABIC </w:instrText>
      </w:r>
      <w:r w:rsidRPr="00040BEC">
        <w:rPr>
          <w:lang w:val="en-GB"/>
        </w:rPr>
        <w:fldChar w:fldCharType="separate"/>
      </w:r>
      <w:r w:rsidR="002327BB">
        <w:rPr>
          <w:noProof/>
          <w:lang w:val="en-GB"/>
        </w:rPr>
        <w:t>3</w:t>
      </w:r>
      <w:r w:rsidRPr="00040BEC">
        <w:rPr>
          <w:lang w:val="en-GB"/>
        </w:rPr>
        <w:fldChar w:fldCharType="end"/>
      </w:r>
      <w:r w:rsidRPr="00040BEC">
        <w:rPr>
          <w:lang w:val="en-GB"/>
        </w:rPr>
        <w:t xml:space="preserve">: Scenario 2, lower band </w:t>
      </w:r>
      <w:r w:rsidRPr="00040BEC">
        <w:rPr>
          <w:szCs w:val="24"/>
          <w:lang w:val="en-GB"/>
        </w:rPr>
        <w:t>(DA2GCS TDD, DECT / SRD)</w:t>
      </w:r>
    </w:p>
    <w:p w14:paraId="1ABB8B0F" w14:textId="77777777" w:rsidR="004034FC" w:rsidRPr="00040BEC" w:rsidRDefault="004034FC" w:rsidP="004034FC">
      <w:pPr>
        <w:rPr>
          <w:lang w:val="en-GB"/>
        </w:rPr>
      </w:pPr>
    </w:p>
    <w:p w14:paraId="27D28BDA" w14:textId="77777777" w:rsidR="004034FC" w:rsidRPr="00040BEC" w:rsidRDefault="004034FC" w:rsidP="004034FC">
      <w:pPr>
        <w:rPr>
          <w:lang w:val="en-GB"/>
        </w:rPr>
      </w:pPr>
      <w:r w:rsidRPr="00040BEC">
        <w:rPr>
          <w:noProof/>
          <w:lang w:val="da-DK" w:eastAsia="da-DK"/>
        </w:rPr>
        <mc:AlternateContent>
          <mc:Choice Requires="wps">
            <w:drawing>
              <wp:anchor distT="0" distB="0" distL="114300" distR="114300" simplePos="0" relativeHeight="251743232" behindDoc="0" locked="0" layoutInCell="1" allowOverlap="1" wp14:anchorId="35E2F4F7" wp14:editId="5EDC89BC">
                <wp:simplePos x="0" y="0"/>
                <wp:positionH relativeFrom="margin">
                  <wp:posOffset>3833495</wp:posOffset>
                </wp:positionH>
                <wp:positionV relativeFrom="paragraph">
                  <wp:posOffset>4445</wp:posOffset>
                </wp:positionV>
                <wp:extent cx="1085850" cy="1604645"/>
                <wp:effectExtent l="0" t="0" r="19050" b="52705"/>
                <wp:wrapNone/>
                <wp:docPr id="320" name="Rectangle 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85850" cy="1604645"/>
                        </a:xfrm>
                        <a:prstGeom prst="rect">
                          <a:avLst/>
                        </a:prstGeom>
                        <a:solidFill>
                          <a:schemeClr val="accent4">
                            <a:lumMod val="20000"/>
                            <a:lumOff val="80000"/>
                          </a:schemeClr>
                        </a:solidFill>
                        <a:ln w="9525">
                          <a:solidFill>
                            <a:srgbClr val="000000"/>
                          </a:solidFill>
                          <a:miter lim="800000"/>
                          <a:headEnd/>
                          <a:tailEnd/>
                        </a:ln>
                        <a:effectLst>
                          <a:outerShdw dist="23000" dir="5400000" rotWithShape="0">
                            <a:srgbClr val="000000">
                              <a:alpha val="34999"/>
                            </a:srgbClr>
                          </a:outerShdw>
                        </a:effectLst>
                      </wps:spPr>
                      <wps:txbx>
                        <w:txbxContent>
                          <w:p w14:paraId="20996671" w14:textId="77777777" w:rsidR="00DA7779" w:rsidRPr="00B56588" w:rsidRDefault="00DA7779" w:rsidP="004034FC">
                            <w:pPr>
                              <w:pStyle w:val="NormalWeb"/>
                              <w:spacing w:after="0"/>
                              <w:jc w:val="center"/>
                              <w:rPr>
                                <w:rFonts w:ascii="Calibri" w:hAnsi="Calibri"/>
                                <w:color w:val="000000"/>
                                <w:kern w:val="24"/>
                              </w:rPr>
                            </w:pPr>
                            <w:r w:rsidRPr="00B56588">
                              <w:rPr>
                                <w:rFonts w:ascii="Calibri" w:hAnsi="Calibri"/>
                                <w:color w:val="000000"/>
                                <w:kern w:val="24"/>
                              </w:rPr>
                              <w:t>Space Service</w:t>
                            </w:r>
                            <w:r>
                              <w:rPr>
                                <w:rFonts w:ascii="Calibri" w:hAnsi="Calibri"/>
                                <w:color w:val="000000"/>
                                <w:kern w:val="24"/>
                              </w:rPr>
                              <w:t>s</w:t>
                            </w:r>
                            <w:r w:rsidRPr="00B56588">
                              <w:rPr>
                                <w:rFonts w:ascii="Calibri" w:hAnsi="Calibri"/>
                                <w:color w:val="000000"/>
                                <w:kern w:val="24"/>
                              </w:rPr>
                              <w:t xml:space="preserve"> (SRS, SOS, EESS)</w:t>
                            </w:r>
                          </w:p>
                          <w:p w14:paraId="37FBC8A7" w14:textId="77777777" w:rsidR="00DA7779" w:rsidRDefault="00DA7779" w:rsidP="004034FC">
                            <w:pPr>
                              <w:pStyle w:val="NormalWeb"/>
                              <w:spacing w:after="0"/>
                              <w:jc w:val="center"/>
                              <w:rPr>
                                <w:rFonts w:ascii="Calibri" w:hAnsi="Calibri"/>
                                <w:color w:val="000000"/>
                                <w:kern w:val="24"/>
                                <w:lang w:val="pt-PT"/>
                              </w:rPr>
                            </w:pPr>
                            <w:r>
                              <w:rPr>
                                <w:rFonts w:ascii="Calibri" w:hAnsi="Calibri"/>
                                <w:color w:val="000000"/>
                                <w:kern w:val="24"/>
                                <w:lang w:val="pt-PT"/>
                              </w:rPr>
                              <w:t>PMSE</w:t>
                            </w:r>
                          </w:p>
                          <w:p w14:paraId="514D9312" w14:textId="77777777" w:rsidR="00DA7779" w:rsidRDefault="00DA7779" w:rsidP="004034FC">
                            <w:pPr>
                              <w:pStyle w:val="NormalWeb"/>
                              <w:spacing w:after="0"/>
                              <w:jc w:val="center"/>
                              <w:rPr>
                                <w:rFonts w:ascii="Calibri" w:hAnsi="Calibri"/>
                                <w:color w:val="000000"/>
                                <w:kern w:val="24"/>
                                <w:lang w:val="pt-PT"/>
                              </w:rPr>
                            </w:pPr>
                            <w:r>
                              <w:rPr>
                                <w:rFonts w:ascii="Calibri" w:hAnsi="Calibri"/>
                                <w:color w:val="000000"/>
                                <w:kern w:val="24"/>
                                <w:lang w:val="pt-PT"/>
                              </w:rPr>
                              <w:t>Fixed</w:t>
                            </w:r>
                          </w:p>
                          <w:p w14:paraId="281002AA" w14:textId="77777777" w:rsidR="00DA7779" w:rsidRPr="000408C5" w:rsidRDefault="00DA7779" w:rsidP="004034FC">
                            <w:pPr>
                              <w:pStyle w:val="NormalWeb"/>
                              <w:spacing w:after="0"/>
                              <w:jc w:val="center"/>
                              <w:rPr>
                                <w:rFonts w:ascii="Calibri" w:hAnsi="Calibri"/>
                                <w:color w:val="000000"/>
                                <w:kern w:val="24"/>
                                <w:lang w:val="pt-PT"/>
                              </w:rPr>
                            </w:pPr>
                            <w:r>
                              <w:rPr>
                                <w:rFonts w:ascii="Calibri" w:hAnsi="Calibri"/>
                                <w:color w:val="000000"/>
                                <w:kern w:val="24"/>
                                <w:lang w:val="pt-PT"/>
                              </w:rPr>
                              <w:t>Defence</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ect id="_x0000_s1065" style="position:absolute;margin-left:301.85pt;margin-top:.35pt;width:85.5pt;height:126.35pt;z-index:2517432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" fillcolor="#e5dfec [663]">
                <v:shadow on="t" color="black" opacity="22936f" origin=",.5" offset="0,.63889mm"/>
                <v:textbox>
                  <w:txbxContent>
                    <w:p w14:paraId="20996671" w14:textId="77777777" w:rsidR="00DA7779" w:rsidRPr="00B56588" w:rsidRDefault="00DA7779" w:rsidP="004034FC">
                      <w:pPr>
                        <w:pStyle w:val="NormalWeb"/>
                        <w:spacing w:after="0"/>
                        <w:jc w:val="center"/>
                        <w:rPr>
                          <w:rFonts w:ascii="Calibri" w:hAnsi="Calibri"/>
                          <w:color w:val="000000"/>
                          <w:kern w:val="24"/>
                        </w:rPr>
                      </w:pPr>
                      <w:r w:rsidRPr="00B56588">
                        <w:rPr>
                          <w:rFonts w:ascii="Calibri" w:hAnsi="Calibri"/>
                          <w:color w:val="000000"/>
                          <w:kern w:val="24"/>
                        </w:rPr>
                        <w:t>Space Service</w:t>
                      </w:r>
                      <w:r>
                        <w:rPr>
                          <w:rFonts w:ascii="Calibri" w:hAnsi="Calibri"/>
                          <w:color w:val="000000"/>
                          <w:kern w:val="24"/>
                        </w:rPr>
                        <w:t>s</w:t>
                      </w:r>
                      <w:r w:rsidRPr="00B56588">
                        <w:rPr>
                          <w:rFonts w:ascii="Calibri" w:hAnsi="Calibri"/>
                          <w:color w:val="000000"/>
                          <w:kern w:val="24"/>
                        </w:rPr>
                        <w:t xml:space="preserve"> (SRS, SOS, EESS)</w:t>
                      </w:r>
                    </w:p>
                    <w:p w14:paraId="37FBC8A7" w14:textId="77777777" w:rsidR="00DA7779" w:rsidRDefault="00DA7779" w:rsidP="004034FC">
                      <w:pPr>
                        <w:pStyle w:val="NormalWeb"/>
                        <w:spacing w:after="0"/>
                        <w:jc w:val="center"/>
                        <w:rPr>
                          <w:rFonts w:ascii="Calibri" w:hAnsi="Calibri"/>
                          <w:color w:val="000000"/>
                          <w:kern w:val="24"/>
                          <w:lang w:val="pt-PT"/>
                        </w:rPr>
                      </w:pPr>
                      <w:r>
                        <w:rPr>
                          <w:rFonts w:ascii="Calibri" w:hAnsi="Calibri"/>
                          <w:color w:val="000000"/>
                          <w:kern w:val="24"/>
                          <w:lang w:val="pt-PT"/>
                        </w:rPr>
                        <w:t>PMSE</w:t>
                      </w:r>
                    </w:p>
                    <w:p w14:paraId="514D9312" w14:textId="77777777" w:rsidR="00DA7779" w:rsidRDefault="00DA7779" w:rsidP="004034FC">
                      <w:pPr>
                        <w:pStyle w:val="NormalWeb"/>
                        <w:spacing w:after="0"/>
                        <w:jc w:val="center"/>
                        <w:rPr>
                          <w:rFonts w:ascii="Calibri" w:hAnsi="Calibri"/>
                          <w:color w:val="000000"/>
                          <w:kern w:val="24"/>
                          <w:lang w:val="pt-PT"/>
                        </w:rPr>
                      </w:pPr>
                      <w:r>
                        <w:rPr>
                          <w:rFonts w:ascii="Calibri" w:hAnsi="Calibri"/>
                          <w:color w:val="000000"/>
                          <w:kern w:val="24"/>
                          <w:lang w:val="pt-PT"/>
                        </w:rPr>
                        <w:t>Fixed</w:t>
                      </w:r>
                    </w:p>
                    <w:p w14:paraId="281002AA" w14:textId="77777777" w:rsidR="00DA7779" w:rsidRPr="000408C5" w:rsidRDefault="00DA7779" w:rsidP="004034FC">
                      <w:pPr>
                        <w:pStyle w:val="NormalWeb"/>
                        <w:spacing w:after="0"/>
                        <w:jc w:val="center"/>
                        <w:rPr>
                          <w:rFonts w:ascii="Calibri" w:hAnsi="Calibri"/>
                          <w:color w:val="000000"/>
                          <w:kern w:val="24"/>
                          <w:lang w:val="pt-PT"/>
                        </w:rPr>
                      </w:pPr>
                      <w:r>
                        <w:rPr>
                          <w:rFonts w:ascii="Calibri" w:hAnsi="Calibri"/>
                          <w:color w:val="000000"/>
                          <w:kern w:val="24"/>
                          <w:lang w:val="pt-PT"/>
                        </w:rPr>
                        <w:t>Defence</w:t>
                      </w:r>
                    </w:p>
                  </w:txbxContent>
                </v:textbox>
                <w10:wrap anchorx="margin"/>
              </v:rect>
            </w:pict>
          </mc:Fallback>
        </mc:AlternateContent>
      </w:r>
      <w:r w:rsidRPr="00040BEC">
        <w:rPr>
          <w:noProof/>
          <w:lang w:val="da-DK" w:eastAsia="da-DK"/>
        </w:rPr>
        <mc:AlternateContent>
          <mc:Choice Requires="wps">
            <w:drawing>
              <wp:anchor distT="0" distB="0" distL="114300" distR="114300" simplePos="0" relativeHeight="251744256" behindDoc="0" locked="0" layoutInCell="1" allowOverlap="1" wp14:anchorId="4D9CE19D" wp14:editId="16882897">
                <wp:simplePos x="0" y="0"/>
                <wp:positionH relativeFrom="column">
                  <wp:posOffset>645160</wp:posOffset>
                </wp:positionH>
                <wp:positionV relativeFrom="paragraph">
                  <wp:posOffset>462915</wp:posOffset>
                </wp:positionV>
                <wp:extent cx="3195320" cy="633730"/>
                <wp:effectExtent l="0" t="0" r="24130" b="52070"/>
                <wp:wrapNone/>
                <wp:docPr id="321" name="Rectangle 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95320" cy="633730"/>
                        </a:xfrm>
                        <a:prstGeom prst="rect">
                          <a:avLst/>
                        </a:prstGeom>
                        <a:solidFill>
                          <a:srgbClr val="F79646"/>
                        </a:solidFill>
                        <a:ln w="12700">
                          <a:solidFill>
                            <a:srgbClr val="000000"/>
                          </a:solidFill>
                          <a:miter lim="800000"/>
                          <a:headEnd/>
                          <a:tailEnd/>
                        </a:ln>
                        <a:effectLst>
                          <a:outerShdw dist="23000" dir="5400000" rotWithShape="0">
                            <a:srgbClr val="000000">
                              <a:alpha val="34999"/>
                            </a:srgbClr>
                          </a:outerShdw>
                        </a:effectLst>
                      </wps:spPr>
                      <wps:txbx>
                        <w:txbxContent>
                          <w:p w14:paraId="09430788" w14:textId="77777777" w:rsidR="00DA7779" w:rsidRPr="000408C5" w:rsidRDefault="00DA7779" w:rsidP="004034FC">
                            <w:pPr>
                              <w:pStyle w:val="NormalWeb"/>
                              <w:spacing w:after="0"/>
                              <w:jc w:val="center"/>
                              <w:rPr>
                                <w:sz w:val="22"/>
                                <w:szCs w:val="22"/>
                              </w:rPr>
                            </w:pPr>
                            <w:r>
                              <w:rPr>
                                <w:rFonts w:ascii="Calibri" w:hAnsi="Calibri"/>
                                <w:color w:val="000000"/>
                                <w:kern w:val="24"/>
                              </w:rPr>
                              <w:t>VLCC</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ect id="Rectangle 48" o:spid="_x0000_s1066" style="position:absolute;margin-left:50.8pt;margin-top:36.45pt;width:251.6pt;height:49.9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" fillcolor="#f79646" strokeweight="1pt">
                <v:shadow on="t" color="black" opacity="22936f" origin=",.5" offset="0,.63889mm"/>
                <v:textbox>
                  <w:txbxContent>
                    <w:p w14:paraId="09430788" w14:textId="77777777" w:rsidR="00DA7779" w:rsidRPr="000408C5" w:rsidRDefault="00DA7779" w:rsidP="004034FC">
                      <w:pPr>
                        <w:pStyle w:val="NormalWeb"/>
                        <w:spacing w:after="0"/>
                        <w:jc w:val="center"/>
                        <w:rPr>
                          <w:sz w:val="22"/>
                          <w:szCs w:val="22"/>
                        </w:rPr>
                      </w:pPr>
                      <w:r>
                        <w:rPr>
                          <w:rFonts w:ascii="Calibri" w:hAnsi="Calibri"/>
                          <w:color w:val="000000"/>
                          <w:kern w:val="24"/>
                        </w:rPr>
                        <w:t>VLCC</w:t>
                      </w:r>
                    </w:p>
                  </w:txbxContent>
                </v:textbox>
              </v:rect>
            </w:pict>
          </mc:Fallback>
        </mc:AlternateContent>
      </w:r>
      <w:r w:rsidRPr="00040BEC">
        <w:rPr>
          <w:noProof/>
          <w:lang w:val="da-DK" w:eastAsia="da-DK"/>
        </w:rPr>
        <mc:AlternateContent>
          <mc:Choice Requires="wps">
            <w:drawing>
              <wp:anchor distT="0" distB="0" distL="114300" distR="114300" simplePos="0" relativeHeight="251746304" behindDoc="0" locked="0" layoutInCell="1" allowOverlap="1" wp14:anchorId="0089F98F" wp14:editId="4837881D">
                <wp:simplePos x="0" y="0"/>
                <wp:positionH relativeFrom="margin">
                  <wp:posOffset>2741930</wp:posOffset>
                </wp:positionH>
                <wp:positionV relativeFrom="paragraph">
                  <wp:posOffset>1612900</wp:posOffset>
                </wp:positionV>
                <wp:extent cx="45720" cy="252730"/>
                <wp:effectExtent l="0" t="0" r="11430" b="52070"/>
                <wp:wrapNone/>
                <wp:docPr id="322" name="Rectangle 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720" cy="252730"/>
                        </a:xfrm>
                        <a:prstGeom prst="rect">
                          <a:avLst/>
                        </a:prstGeom>
                        <a:solidFill>
                          <a:srgbClr val="BFBFBF"/>
                        </a:solidFill>
                        <a:ln w="12700">
                          <a:solidFill>
                            <a:srgbClr val="000000"/>
                          </a:solidFill>
                          <a:miter lim="800000"/>
                          <a:headEnd/>
                          <a:tailEnd/>
                        </a:ln>
                        <a:effectLst>
                          <a:outerShdw dist="23000" dir="5400000" rotWithShape="0">
                            <a:srgbClr val="000000">
                              <a:alpha val="34999"/>
                            </a:srgbClr>
                          </a:outerShdw>
                        </a:effectLst>
                      </wps:spPr>
                      <wps:txbx>
                        <w:txbxContent>
                          <w:p w14:paraId="6B84A2BA" w14:textId="77777777" w:rsidR="00DA7779" w:rsidRPr="00A02A3A" w:rsidRDefault="00DA7779" w:rsidP="004034FC">
                            <w:pPr>
                              <w:rPr>
                                <w:sz w:val="16"/>
                                <w:szCs w:val="16"/>
                              </w:rPr>
                            </w:pPr>
                          </w:p>
                          <w:p w14:paraId="5A63ADDC" w14:textId="77777777" w:rsidR="00DA7779" w:rsidRPr="00A02A3A" w:rsidRDefault="00DA7779" w:rsidP="004034FC">
                            <w:pPr>
                              <w:rPr>
                                <w:sz w:val="16"/>
                                <w:szCs w:val="16"/>
                              </w:rPr>
                            </w:pP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ect id="_x0000_s1067" style="position:absolute;margin-left:215.9pt;margin-top:127pt;width:3.6pt;height:19.9pt;z-index:2517463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" fillcolor="#bfbfbf" strokeweight="1pt">
                <v:shadow on="t" color="black" opacity="22936f" origin=",.5" offset="0,.63889mm"/>
                <v:textbox>
                  <w:txbxContent>
                    <w:p w14:paraId="6B84A2BA" w14:textId="77777777" w:rsidR="00DA7779" w:rsidRPr="00A02A3A" w:rsidRDefault="00DA7779" w:rsidP="004034FC">
                      <w:pPr>
                        <w:rPr>
                          <w:sz w:val="16"/>
                          <w:szCs w:val="16"/>
                        </w:rPr>
                      </w:pPr>
                    </w:p>
                    <w:p w14:paraId="5A63ADDC" w14:textId="77777777" w:rsidR="00DA7779" w:rsidRPr="00A02A3A" w:rsidRDefault="00DA7779" w:rsidP="004034FC">
                      <w:pPr>
                        <w:rPr>
                          <w:sz w:val="16"/>
                          <w:szCs w:val="16"/>
                        </w:rPr>
                      </w:pPr>
                    </w:p>
                  </w:txbxContent>
                </v:textbox>
                <w10:wrap anchorx="margin"/>
              </v:rect>
            </w:pict>
          </mc:Fallback>
        </mc:AlternateContent>
      </w:r>
      <w:r w:rsidRPr="00040BEC">
        <w:rPr>
          <w:noProof/>
          <w:lang w:val="da-DK" w:eastAsia="da-DK"/>
        </w:rPr>
        <mc:AlternateContent>
          <mc:Choice Requires="wps">
            <w:drawing>
              <wp:anchor distT="0" distB="0" distL="114300" distR="114300" simplePos="0" relativeHeight="251745280" behindDoc="0" locked="0" layoutInCell="1" allowOverlap="1" wp14:anchorId="156D9DFA" wp14:editId="29522BCE">
                <wp:simplePos x="0" y="0"/>
                <wp:positionH relativeFrom="column">
                  <wp:posOffset>633730</wp:posOffset>
                </wp:positionH>
                <wp:positionV relativeFrom="paragraph">
                  <wp:posOffset>902970</wp:posOffset>
                </wp:positionV>
                <wp:extent cx="23495" cy="875665"/>
                <wp:effectExtent l="0" t="0" r="14605" b="57785"/>
                <wp:wrapNone/>
                <wp:docPr id="323" name="Rectangle 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495" cy="875665"/>
                        </a:xfrm>
                        <a:prstGeom prst="rect">
                          <a:avLst/>
                        </a:prstGeom>
                        <a:solidFill>
                          <a:srgbClr val="BFBFBF"/>
                        </a:solidFill>
                        <a:ln w="12700">
                          <a:solidFill>
                            <a:srgbClr val="000000"/>
                          </a:solidFill>
                          <a:miter lim="800000"/>
                          <a:headEnd/>
                          <a:tailEnd/>
                        </a:ln>
                        <a:effectLst>
                          <a:outerShdw dist="23000" dir="5400000" rotWithShape="0">
                            <a:srgbClr val="000000">
                              <a:alpha val="34999"/>
                            </a:srgbClr>
                          </a:outerShdw>
                        </a:effectLst>
                      </wps:spPr>
                      <wps:txbx>
                        <w:txbxContent>
                          <w:p w14:paraId="3D11A72A" w14:textId="77777777" w:rsidR="00DA7779" w:rsidRPr="00A02A3A" w:rsidRDefault="00DA7779" w:rsidP="004034FC">
                            <w:pPr>
                              <w:rPr>
                                <w:sz w:val="16"/>
                                <w:szCs w:val="16"/>
                              </w:rPr>
                            </w:pPr>
                          </w:p>
                          <w:p w14:paraId="6946D2B8" w14:textId="77777777" w:rsidR="00DA7779" w:rsidRPr="00A02A3A" w:rsidRDefault="00DA7779" w:rsidP="004034FC">
                            <w:pPr>
                              <w:rPr>
                                <w:sz w:val="16"/>
                                <w:szCs w:val="16"/>
                              </w:rP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id="_x0000_s1068" style="position:absolute;margin-left:49.9pt;margin-top:71.1pt;width:1.85pt;height:68.95pt;z-index:25174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" fillcolor="#bfbfbf" strokeweight="1pt">
                <v:shadow on="t" color="black" opacity="22936f" origin=",.5" offset="0,.63889mm"/>
                <v:textbox>
                  <w:txbxContent>
                    <w:p w14:paraId="3D11A72A" w14:textId="77777777" w:rsidR="00DA7779" w:rsidRPr="00A02A3A" w:rsidRDefault="00DA7779" w:rsidP="004034FC">
                      <w:pPr>
                        <w:rPr>
                          <w:sz w:val="16"/>
                          <w:szCs w:val="16"/>
                        </w:rPr>
                      </w:pPr>
                    </w:p>
                    <w:p w14:paraId="6946D2B8" w14:textId="77777777" w:rsidR="00DA7779" w:rsidRPr="00A02A3A" w:rsidRDefault="00DA7779" w:rsidP="004034FC">
                      <w:pPr>
                        <w:rPr>
                          <w:sz w:val="16"/>
                          <w:szCs w:val="16"/>
                        </w:rPr>
                      </w:pPr>
                    </w:p>
                  </w:txbxContent>
                </v:textbox>
              </v:rect>
            </w:pict>
          </mc:Fallback>
        </mc:AlternateContent>
      </w:r>
      <w:r w:rsidRPr="00040BEC">
        <w:rPr>
          <w:rFonts w:cs="Arial"/>
          <w:noProof/>
          <w:lang w:val="da-DK" w:eastAsia="da-DK"/>
        </w:rPr>
        <mc:AlternateContent>
          <mc:Choice Requires="wpg">
            <w:drawing>
              <wp:inline distT="0" distB="0" distL="0" distR="0" wp14:anchorId="50674937" wp14:editId="2570927B">
                <wp:extent cx="4197350" cy="2483485"/>
                <wp:effectExtent l="9525" t="9525" r="3175" b="2540"/>
                <wp:docPr id="324" name="Group 1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197350" cy="2483485"/>
                          <a:chOff x="4315" y="42943"/>
                          <a:chExt cx="64287" cy="17654"/>
                        </a:xfrm>
                      </wpg:grpSpPr>
                      <wps:wsp>
                        <wps:cNvPr id="325" name="Rectangle 128"/>
                        <wps:cNvSpPr>
                          <a:spLocks noChangeArrowheads="1"/>
                        </wps:cNvSpPr>
                        <wps:spPr bwMode="auto">
                          <a:xfrm>
                            <a:off x="14207" y="54482"/>
                            <a:ext cx="49258" cy="530"/>
                          </a:xfrm>
                          <a:prstGeom prst="rect">
                            <a:avLst/>
                          </a:prstGeom>
                          <a:solidFill>
                            <a:srgbClr val="BFBFBF"/>
                          </a:solidFill>
                          <a:ln w="12700">
                            <a:solidFill>
                              <a:srgbClr val="000000"/>
                            </a:solidFill>
                            <a:miter lim="800000"/>
                            <a:headEnd/>
                            <a:tailEnd/>
                          </a:ln>
                          <a:effectLst>
                            <a:outerShdw dist="23000" dir="5400000" rotWithShape="0">
                              <a:srgbClr val="000000">
                                <a:alpha val="34998"/>
                              </a:srgbClr>
                            </a:outerShdw>
                          </a:effectLst>
                        </wps:spPr>
                        <wps:txbx>
                          <w:txbxContent>
                            <w:p w14:paraId="5D0EBC3A" w14:textId="77777777" w:rsidR="00DA7779" w:rsidRPr="00A02A3A" w:rsidRDefault="00DA7779" w:rsidP="004034FC">
                              <w:pPr>
                                <w:rPr>
                                  <w:sz w:val="16"/>
                                  <w:szCs w:val="16"/>
                                </w:rPr>
                              </w:pPr>
                            </w:p>
                          </w:txbxContent>
                        </wps:txbx>
                        <wps:bodyPr rot="0" vert="horz" wrap="square" lIns="91440" tIns="45720" rIns="91440" bIns="45720" anchor="ctr" anchorCtr="0" upright="1">
                          <a:noAutofit/>
                        </wps:bodyPr>
                      </wps:wsp>
                      <wps:wsp>
                        <wps:cNvPr id="326" name="TextBox 22"/>
                        <wps:cNvSpPr txBox="1">
                          <a:spLocks noChangeArrowheads="1"/>
                        </wps:cNvSpPr>
                        <wps:spPr bwMode="auto">
                          <a:xfrm>
                            <a:off x="8852" y="56604"/>
                            <a:ext cx="10034" cy="197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57DFAE" w14:textId="77777777" w:rsidR="00DA7779" w:rsidRDefault="00DA7779" w:rsidP="004034FC">
                              <w:pPr>
                                <w:pStyle w:val="NormalWeb"/>
                                <w:spacing w:after="0"/>
                                <w:rPr>
                                  <w:rFonts w:ascii="Calibri" w:hAnsi="Calibri"/>
                                  <w:color w:val="000000"/>
                                  <w:kern w:val="24"/>
                                  <w:sz w:val="16"/>
                                  <w:szCs w:val="16"/>
                                </w:rPr>
                              </w:pPr>
                              <w:r>
                                <w:rPr>
                                  <w:rFonts w:ascii="Calibri" w:hAnsi="Calibri"/>
                                  <w:color w:val="000000"/>
                                  <w:kern w:val="24"/>
                                  <w:sz w:val="16"/>
                                  <w:szCs w:val="16"/>
                                </w:rPr>
                                <w:t xml:space="preserve">2 010 </w:t>
                              </w:r>
                              <w:r w:rsidRPr="00900457">
                                <w:rPr>
                                  <w:rFonts w:ascii="Calibri" w:hAnsi="Calibri"/>
                                  <w:color w:val="000000"/>
                                  <w:kern w:val="24"/>
                                  <w:sz w:val="16"/>
                                  <w:szCs w:val="16"/>
                                </w:rPr>
                                <w:t>MHz</w:t>
                              </w:r>
                              <w:r>
                                <w:rPr>
                                  <w:rFonts w:ascii="Calibri" w:hAnsi="Calibri"/>
                                  <w:color w:val="000000"/>
                                  <w:kern w:val="24"/>
                                  <w:sz w:val="16"/>
                                  <w:szCs w:val="16"/>
                                </w:rPr>
                                <w:t xml:space="preserve">  </w:t>
                              </w:r>
                            </w:p>
                            <w:p w14:paraId="5B2CCB2F" w14:textId="77777777" w:rsidR="00DA7779" w:rsidRPr="00A02A3A" w:rsidRDefault="00DA7779" w:rsidP="004034FC">
                              <w:pPr>
                                <w:pStyle w:val="NormalWeb"/>
                                <w:spacing w:after="0"/>
                                <w:rPr>
                                  <w:sz w:val="16"/>
                                  <w:szCs w:val="16"/>
                                </w:rPr>
                              </w:pPr>
                              <w:r>
                                <w:rPr>
                                  <w:sz w:val="16"/>
                                  <w:szCs w:val="16"/>
                                </w:rPr>
                                <w:t xml:space="preserve"> MHz</w:t>
                              </w:r>
                            </w:p>
                          </w:txbxContent>
                        </wps:txbx>
                        <wps:bodyPr rot="0" vert="horz" wrap="square" lIns="91440" tIns="45720" rIns="91440" bIns="45720" anchor="t" anchorCtr="0" upright="1">
                          <a:noAutofit/>
                        </wps:bodyPr>
                      </wps:wsp>
                      <wps:wsp>
                        <wps:cNvPr id="327" name="Rectangle 130"/>
                        <wps:cNvSpPr>
                          <a:spLocks noChangeArrowheads="1"/>
                        </wps:cNvSpPr>
                        <wps:spPr bwMode="auto">
                          <a:xfrm>
                            <a:off x="63108" y="49932"/>
                            <a:ext cx="363" cy="6227"/>
                          </a:xfrm>
                          <a:prstGeom prst="rect">
                            <a:avLst/>
                          </a:prstGeom>
                          <a:solidFill>
                            <a:srgbClr val="BFBFBF"/>
                          </a:solidFill>
                          <a:ln w="12700">
                            <a:solidFill>
                              <a:srgbClr val="000000"/>
                            </a:solidFill>
                            <a:miter lim="800000"/>
                            <a:headEnd/>
                            <a:tailEnd/>
                          </a:ln>
                          <a:effectLst>
                            <a:outerShdw dist="23000" dir="5400000" rotWithShape="0">
                              <a:srgbClr val="000000">
                                <a:alpha val="34998"/>
                              </a:srgbClr>
                            </a:outerShdw>
                          </a:effectLst>
                        </wps:spPr>
                        <wps:txbx>
                          <w:txbxContent>
                            <w:p w14:paraId="607BB405" w14:textId="77777777" w:rsidR="00DA7779" w:rsidRPr="00A02A3A" w:rsidRDefault="00DA7779" w:rsidP="004034FC">
                              <w:pPr>
                                <w:rPr>
                                  <w:sz w:val="16"/>
                                  <w:szCs w:val="16"/>
                                </w:rPr>
                              </w:pPr>
                            </w:p>
                            <w:p w14:paraId="04B61DE1" w14:textId="77777777" w:rsidR="00DA7779" w:rsidRPr="00A02A3A" w:rsidRDefault="00DA7779" w:rsidP="004034FC">
                              <w:pPr>
                                <w:rPr>
                                  <w:sz w:val="16"/>
                                  <w:szCs w:val="16"/>
                                </w:rPr>
                              </w:pPr>
                            </w:p>
                          </w:txbxContent>
                        </wps:txbx>
                        <wps:bodyPr rot="0" vert="horz" wrap="square" lIns="91440" tIns="45720" rIns="91440" bIns="45720" anchor="ctr" anchorCtr="0" upright="1">
                          <a:noAutofit/>
                        </wps:bodyPr>
                      </wps:wsp>
                      <wps:wsp>
                        <wps:cNvPr id="328" name="TextBox 30"/>
                        <wps:cNvSpPr txBox="1">
                          <a:spLocks noChangeArrowheads="1"/>
                        </wps:cNvSpPr>
                        <wps:spPr bwMode="auto">
                          <a:xfrm>
                            <a:off x="40035" y="56489"/>
                            <a:ext cx="13046" cy="4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9B9AC4" w14:textId="77777777" w:rsidR="00DA7779" w:rsidRPr="00A02A3A" w:rsidRDefault="00DA7779" w:rsidP="004034FC">
                              <w:pPr>
                                <w:pStyle w:val="NormalWeb"/>
                                <w:spacing w:after="0"/>
                                <w:jc w:val="center"/>
                                <w:rPr>
                                  <w:sz w:val="16"/>
                                  <w:szCs w:val="16"/>
                                </w:rPr>
                              </w:pPr>
                              <w:r>
                                <w:rPr>
                                  <w:rFonts w:ascii="Calibri" w:hAnsi="Calibri"/>
                                  <w:color w:val="000000"/>
                                  <w:kern w:val="24"/>
                                  <w:sz w:val="16"/>
                                  <w:szCs w:val="16"/>
                                </w:rPr>
                                <w:t xml:space="preserve">2 020 </w:t>
                              </w:r>
                              <w:r w:rsidRPr="00900457">
                                <w:rPr>
                                  <w:rFonts w:ascii="Calibri" w:hAnsi="Calibri"/>
                                  <w:color w:val="000000"/>
                                  <w:kern w:val="24"/>
                                  <w:sz w:val="16"/>
                                  <w:szCs w:val="16"/>
                                </w:rPr>
                                <w:t>MHz</w:t>
                              </w:r>
                            </w:p>
                          </w:txbxContent>
                        </wps:txbx>
                        <wps:bodyPr rot="0" vert="horz" wrap="square" lIns="91440" tIns="45720" rIns="91440" bIns="45720" anchor="t" anchorCtr="0" upright="1">
                          <a:noAutofit/>
                        </wps:bodyPr>
                      </wps:wsp>
                      <wps:wsp>
                        <wps:cNvPr id="329" name="TextBox 33"/>
                        <wps:cNvSpPr txBox="1">
                          <a:spLocks noChangeArrowheads="1"/>
                        </wps:cNvSpPr>
                        <wps:spPr bwMode="auto">
                          <a:xfrm>
                            <a:off x="58413" y="56428"/>
                            <a:ext cx="10189" cy="18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20BD86" w14:textId="77777777" w:rsidR="00DA7779" w:rsidRPr="00B62DFB" w:rsidRDefault="00DA7779" w:rsidP="004034FC">
                              <w:pPr>
                                <w:pStyle w:val="NormalWeb"/>
                                <w:spacing w:after="0"/>
                                <w:rPr>
                                  <w:rFonts w:asciiTheme="majorHAnsi" w:hAnsiTheme="majorHAnsi"/>
                                  <w:sz w:val="16"/>
                                  <w:szCs w:val="16"/>
                                </w:rPr>
                              </w:pPr>
                              <w:r w:rsidRPr="00B62DFB">
                                <w:rPr>
                                  <w:rFonts w:asciiTheme="majorHAnsi" w:hAnsiTheme="majorHAnsi"/>
                                  <w:color w:val="000000"/>
                                  <w:kern w:val="24"/>
                                  <w:sz w:val="16"/>
                                  <w:szCs w:val="16"/>
                                </w:rPr>
                                <w:t xml:space="preserve">2 025 </w:t>
                              </w:r>
                              <w:r w:rsidRPr="00B62DFB">
                                <w:rPr>
                                  <w:rFonts w:asciiTheme="majorHAnsi" w:hAnsiTheme="majorHAnsi"/>
                                  <w:sz w:val="16"/>
                                  <w:szCs w:val="16"/>
                                </w:rPr>
                                <w:t>MHz</w:t>
                              </w:r>
                            </w:p>
                          </w:txbxContent>
                        </wps:txbx>
                        <wps:bodyPr rot="0" vert="horz" wrap="square" lIns="91440" tIns="45720" rIns="91440" bIns="45720" anchor="t" anchorCtr="0" upright="1">
                          <a:noAutofit/>
                        </wps:bodyPr>
                      </wps:wsp>
                      <wps:wsp>
                        <wps:cNvPr id="330" name="Rectangle 52"/>
                        <wps:cNvSpPr>
                          <a:spLocks noChangeArrowheads="1"/>
                        </wps:cNvSpPr>
                        <wps:spPr bwMode="auto">
                          <a:xfrm>
                            <a:off x="4315" y="42943"/>
                            <a:ext cx="9728" cy="11436"/>
                          </a:xfrm>
                          <a:prstGeom prst="rect">
                            <a:avLst/>
                          </a:prstGeom>
                          <a:solidFill>
                            <a:schemeClr val="accent1">
                              <a:lumMod val="40000"/>
                              <a:lumOff val="60000"/>
                            </a:schemeClr>
                          </a:solidFill>
                          <a:ln w="9525">
                            <a:solidFill>
                              <a:srgbClr val="000000"/>
                            </a:solidFill>
                            <a:miter lim="800000"/>
                            <a:headEnd/>
                            <a:tailEnd/>
                          </a:ln>
                          <a:effectLst>
                            <a:outerShdw dist="23000" dir="5400000" rotWithShape="0">
                              <a:srgbClr val="000000">
                                <a:alpha val="34998"/>
                              </a:srgbClr>
                            </a:outerShdw>
                          </a:effectLst>
                        </wps:spPr>
                        <wps:txbx>
                          <w:txbxContent>
                            <w:p w14:paraId="64D41011" w14:textId="2CAFC0BA" w:rsidR="00DA7779" w:rsidRPr="00190B71" w:rsidRDefault="00DA7779" w:rsidP="004034FC">
                              <w:pPr>
                                <w:pStyle w:val="NormalWeb"/>
                                <w:spacing w:after="0"/>
                                <w:jc w:val="center"/>
                                <w:rPr>
                                  <w:rFonts w:ascii="Calibri" w:hAnsi="Calibri"/>
                                  <w:color w:val="000000"/>
                                  <w:kern w:val="24"/>
                                  <w:sz w:val="22"/>
                                  <w:szCs w:val="22"/>
                                  <w:lang w:val="pt-PT"/>
                                </w:rPr>
                              </w:pPr>
                              <w:r w:rsidRPr="00190B71">
                                <w:rPr>
                                  <w:rFonts w:ascii="Calibri" w:hAnsi="Calibri"/>
                                  <w:color w:val="000000"/>
                                  <w:kern w:val="24"/>
                                  <w:sz w:val="22"/>
                                  <w:szCs w:val="22"/>
                                  <w:lang w:val="pt-PT"/>
                                </w:rPr>
                                <w:t>MSS</w:t>
                              </w:r>
                            </w:p>
                          </w:txbxContent>
                        </wps:txbx>
                        <wps:bodyPr rot="0" vert="horz" wrap="square" lIns="91440" tIns="45720" rIns="91440" bIns="45720" anchor="ctr" anchorCtr="0" upright="1">
                          <a:noAutofit/>
                        </wps:bodyPr>
                      </wps:wsp>
                    </wpg:wgp>
                  </a:graphicData>
                </a:graphic>
              </wp:inline>
            </w:drawing>
          </mc:Choice>
          <mc:Fallback>
            <w:pict>
              <v:group id="Group 127" o:spid="_x0000_s1069" style="width:330.5pt;height:195.55pt;mso-position-horizontal-relative:char;mso-position-vertical-relative:line" coordorigin="4315,42943" coordsize="64287,176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">
                <v:rect id="Rectangle 128" o:spid="_x0000_s1070" style="position:absolute;left:14207;top:54482;width:49258;height:53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TcYA&#10;AADcAAAADwAAAGRycy9kb3ducmV2LnhtbESPT2sCMRTE74V+h/AKvdXsWpTt1rgUQfHgQW2h7e2x&#10;efuHbl62SdT12xtB8DjMzG+YWTGYThzJ+daygnSUgCAurW65VvD1uXzJQPiArLGzTArO5KGYPz7M&#10;MNf2xDs67kMtIoR9jgqaEPpcSl82ZNCPbE8cvco6gyFKV0vt8BThppPjJJlKgy3HhQZ7WjRU/u0P&#10;RsFi2v38/u/SsF5Vw5v79puKt5lSz0/DxzuIQEO4h2/ttVbwOp7A9Uw8AnJ+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vTcYAAADcAAAADwAAAAAAAAAAAAAAAACYAgAAZHJz&#10;L2Rvd25yZXYueG1sUEsFBgAAAAAEAAQA9QAAAIsDAAAAAA==&#10;" fillcolor="#bfbfbf" strokeweight="1pt">
                  <v:shadow on="t" color="black" opacity="22936f" origin=",.5" offset="0,.63889mm"/>
                  <v:textbox>
                    <w:txbxContent>
                      <w:p w14:paraId="5D0EBC3A" w14:textId="77777777" w:rsidR="00DA7779" w:rsidRPr="00A02A3A" w:rsidRDefault="00DA7779" w:rsidP="004034FC">
                        <w:pPr>
                          <w:rPr>
                            <w:sz w:val="16"/>
                            <w:szCs w:val="16"/>
                          </w:rPr>
                        </w:pPr>
                      </w:p>
                    </w:txbxContent>
                  </v:textbox>
                </v:rect>
                <v:shape id="_x0000_s1071" type="#_x0000_t202" style="position:absolute;left:8852;top:56604;width:10034;height:19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oQQjsMA&#10;AADcAAAADwAAAGRycy9kb3ducmV2LnhtbESPQWsCMRSE74L/ITzBmyZaFbsaRSyFnpTaWvD22Dx3&#10;Fzcvyya66783gtDjMDPfMMt1a0txo9oXjjWMhgoEcepMwZmG35/PwRyED8gGS8ek4U4e1qtuZ4mJ&#10;cQ1/0+0QMhEh7BPUkIdQJVL6NCeLfugq4uidXW0xRFln0tTYRLgt5VipmbRYcFzIsaJtTunlcLUa&#10;jrvz6W+i9tmHnVaNa5Vk+y617vfazQJEoDb8h1/tL6PhbTyD55l4BOTq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oQQjsMAAADcAAAADwAAAAAAAAAAAAAAAACYAgAAZHJzL2Rv&#10;d25yZXYueG1sUEsFBgAAAAAEAAQA9QAAAIgDAAAAAA==&#10;" filled="f" stroked="f">
                  <v:textbox>
                    <w:txbxContent>
                      <w:p w14:paraId="1957DFAE" w14:textId="77777777" w:rsidR="00DA7779" w:rsidRDefault="00DA7779" w:rsidP="004034FC">
                        <w:pPr>
                          <w:pStyle w:val="NormalWeb"/>
                          <w:spacing w:after="0"/>
                          <w:rPr>
                            <w:rFonts w:ascii="Calibri" w:hAnsi="Calibri"/>
                            <w:color w:val="000000"/>
                            <w:kern w:val="24"/>
                            <w:sz w:val="16"/>
                            <w:szCs w:val="16"/>
                          </w:rPr>
                        </w:pPr>
                        <w:r>
                          <w:rPr>
                            <w:rFonts w:ascii="Calibri" w:hAnsi="Calibri"/>
                            <w:color w:val="000000"/>
                            <w:kern w:val="24"/>
                            <w:sz w:val="16"/>
                            <w:szCs w:val="16"/>
                          </w:rPr>
                          <w:t xml:space="preserve">2 010 </w:t>
                        </w:r>
                        <w:r w:rsidRPr="00900457">
                          <w:rPr>
                            <w:rFonts w:ascii="Calibri" w:hAnsi="Calibri"/>
                            <w:color w:val="000000"/>
                            <w:kern w:val="24"/>
                            <w:sz w:val="16"/>
                            <w:szCs w:val="16"/>
                          </w:rPr>
                          <w:t>MHz</w:t>
                        </w:r>
                        <w:r>
                          <w:rPr>
                            <w:rFonts w:ascii="Calibri" w:hAnsi="Calibri"/>
                            <w:color w:val="000000"/>
                            <w:kern w:val="24"/>
                            <w:sz w:val="16"/>
                            <w:szCs w:val="16"/>
                          </w:rPr>
                          <w:t xml:space="preserve">  </w:t>
                        </w:r>
                      </w:p>
                      <w:p w14:paraId="5B2CCB2F" w14:textId="77777777" w:rsidR="00DA7779" w:rsidRPr="00A02A3A" w:rsidRDefault="00DA7779" w:rsidP="004034FC">
                        <w:pPr>
                          <w:pStyle w:val="NormalWeb"/>
                          <w:spacing w:after="0"/>
                          <w:rPr>
                            <w:sz w:val="16"/>
                            <w:szCs w:val="16"/>
                          </w:rPr>
                        </w:pPr>
                        <w:r>
                          <w:rPr>
                            <w:sz w:val="16"/>
                            <w:szCs w:val="16"/>
                          </w:rPr>
                          <w:t xml:space="preserve"> MHz</w:t>
                        </w:r>
                      </w:p>
                    </w:txbxContent>
                  </v:textbox>
                </v:shape>
                <v:rect id="Rectangle 130" o:spid="_x0000_s1072" style="position:absolute;left:63108;top:49932;width:363;height:622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wUocYA&#10;AADcAAAADwAAAGRycy9kb3ducmV2LnhtbESPT2sCMRTE74V+h/AK3mp2FaxdjUsRFA8e1Baqt8fm&#10;7R/cvGyTqNtv3wgFj8PM/IaZ571pxZWcbywrSIcJCOLC6oYrBV+fq9cpCB+QNbaWScEvecgXz09z&#10;zLS98Z6uh1CJCGGfoYI6hC6T0hc1GfRD2xFHr7TOYIjSVVI7vEW4aeUoSSbSYMNxocaOljUV58PF&#10;KFhO2uPpZ5+Gzbrs392335a8myo1eOk/ZiAC9eER/m9vtILx6A3uZ+IRkI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HwUocYAAADcAAAADwAAAAAAAAAAAAAAAACYAgAAZHJz&#10;L2Rvd25yZXYueG1sUEsFBgAAAAAEAAQA9QAAAIsDAAAAAA==&#10;" fillcolor="#bfbfbf" strokeweight="1pt">
                  <v:shadow on="t" color="black" opacity="22936f" origin=",.5" offset="0,.63889mm"/>
                  <v:textbox>
                    <w:txbxContent>
                      <w:p w14:paraId="607BB405" w14:textId="77777777" w:rsidR="00DA7779" w:rsidRPr="00A02A3A" w:rsidRDefault="00DA7779" w:rsidP="004034FC">
                        <w:pPr>
                          <w:rPr>
                            <w:sz w:val="16"/>
                            <w:szCs w:val="16"/>
                          </w:rPr>
                        </w:pPr>
                      </w:p>
                      <w:p w14:paraId="04B61DE1" w14:textId="77777777" w:rsidR="00DA7779" w:rsidRPr="00A02A3A" w:rsidRDefault="00DA7779" w:rsidP="004034FC">
                        <w:pPr>
                          <w:rPr>
                            <w:sz w:val="16"/>
                            <w:szCs w:val="16"/>
                          </w:rPr>
                        </w:pPr>
                      </w:p>
                    </w:txbxContent>
                  </v:textbox>
                </v:rect>
                <v:shape id="_x0000_s1073" type="#_x0000_t202" style="position:absolute;left:40035;top:56489;width:13046;height:4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FchZ8AA&#10;AADcAAAADwAAAGRycy9kb3ducmV2LnhtbERPTYvCMBC9C/6HMIK3NVF3Za1GEUXwpOjuCt6GZmyL&#10;zaQ00Xb/vTkIHh/ve75sbSkeVPvCsYbhQIEgTp0pONPw+7P9+AbhA7LB0jFp+CcPy0W3M8fEuIaP&#10;9DiFTMQQ9glqyEOoEil9mpNFP3AVceSurrYYIqwzaWpsYrgt5UipibRYcGzIsaJ1TuntdLca/vbX&#10;y/lTHbKN/aoa1yrJdiq17vfa1QxEoDa8xS/3zmgYj+LaeCYeAbl4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9FchZ8AAAADcAAAADwAAAAAAAAAAAAAAAACYAgAAZHJzL2Rvd25y&#10;ZXYueG1sUEsFBgAAAAAEAAQA9QAAAIUDAAAAAA==&#10;" filled="f" stroked="f">
                  <v:textbox>
                    <w:txbxContent>
                      <w:p w14:paraId="279B9AC4" w14:textId="77777777" w:rsidR="00DA7779" w:rsidRPr="00A02A3A" w:rsidRDefault="00DA7779" w:rsidP="004034FC">
                        <w:pPr>
                          <w:pStyle w:val="NormalWeb"/>
                          <w:spacing w:after="0"/>
                          <w:jc w:val="center"/>
                          <w:rPr>
                            <w:sz w:val="16"/>
                            <w:szCs w:val="16"/>
                          </w:rPr>
                        </w:pPr>
                        <w:r>
                          <w:rPr>
                            <w:rFonts w:ascii="Calibri" w:hAnsi="Calibri"/>
                            <w:color w:val="000000"/>
                            <w:kern w:val="24"/>
                            <w:sz w:val="16"/>
                            <w:szCs w:val="16"/>
                          </w:rPr>
                          <w:t xml:space="preserve">2 020 </w:t>
                        </w:r>
                        <w:r w:rsidRPr="00900457">
                          <w:rPr>
                            <w:rFonts w:ascii="Calibri" w:hAnsi="Calibri"/>
                            <w:color w:val="000000"/>
                            <w:kern w:val="24"/>
                            <w:sz w:val="16"/>
                            <w:szCs w:val="16"/>
                          </w:rPr>
                          <w:t>MHz</w:t>
                        </w:r>
                      </w:p>
                    </w:txbxContent>
                  </v:textbox>
                </v:shape>
                <v:shape id="_x0000_s1074" type="#_x0000_t202" style="position:absolute;left:58413;top:56428;width:10189;height:18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uE/MQA&#10;AADcAAAADwAAAGRycy9kb3ducmV2LnhtbESPT4vCMBTE7wt+h/AEb2vinxWtRpFdBE8uuqvg7dE8&#10;22LzUppo67c3wsIeh5n5DbNYtbYUd6p94VjDoK9AEKfOFJxp+P3ZvE9B+IBssHRMGh7kYbXsvC0w&#10;Ma7hPd0PIRMRwj5BDXkIVSKlT3Oy6PuuIo7exdUWQ5R1Jk2NTYTbUg6VmkiLBceFHCv6zCm9Hm5W&#10;w3F3OZ/G6jv7sh9V41ol2c6k1r1uu56DCNSG//Bfe2s0jIYzeJ2JR0Au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sbhPzEAAAA3AAAAA8AAAAAAAAAAAAAAAAAmAIAAGRycy9k&#10;b3ducmV2LnhtbFBLBQYAAAAABAAEAPUAAACJAwAAAAA=&#10;" filled="f" stroked="f">
                  <v:textbox>
                    <w:txbxContent>
                      <w:p w14:paraId="1D20BD86" w14:textId="77777777" w:rsidR="00DA7779" w:rsidRPr="00B62DFB" w:rsidRDefault="00DA7779" w:rsidP="004034FC">
                        <w:pPr>
                          <w:pStyle w:val="NormalWeb"/>
                          <w:spacing w:after="0"/>
                          <w:rPr>
                            <w:rFonts w:asciiTheme="majorHAnsi" w:hAnsiTheme="majorHAnsi"/>
                            <w:sz w:val="16"/>
                            <w:szCs w:val="16"/>
                          </w:rPr>
                        </w:pPr>
                        <w:r w:rsidRPr="00B62DFB">
                          <w:rPr>
                            <w:rFonts w:asciiTheme="majorHAnsi" w:hAnsiTheme="majorHAnsi"/>
                            <w:color w:val="000000"/>
                            <w:kern w:val="24"/>
                            <w:sz w:val="16"/>
                            <w:szCs w:val="16"/>
                          </w:rPr>
                          <w:t xml:space="preserve">2 025 </w:t>
                        </w:r>
                        <w:r w:rsidRPr="00B62DFB">
                          <w:rPr>
                            <w:rFonts w:asciiTheme="majorHAnsi" w:hAnsiTheme="majorHAnsi"/>
                            <w:sz w:val="16"/>
                            <w:szCs w:val="16"/>
                          </w:rPr>
                          <w:t>MHz</w:t>
                        </w:r>
                      </w:p>
                    </w:txbxContent>
                  </v:textbox>
                </v:shape>
                <v:rect id="Rectangle 52" o:spid="_x0000_s1075" style="position:absolute;left:4315;top:42943;width:9728;height:1143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612QMIA&#10;AADcAAAADwAAAGRycy9kb3ducmV2LnhtbESPwWrDMAyG74O9g9Ggt9VZOkrJ6oQyCJTCDu36ACLW&#10;4tBYDrGXZG9fHQo7il//p0/7avG9mmiMXWADb+sMFHETbMetget3/boDFROyxT4wGfijCFX5/LTH&#10;woaZzzRdUqsEwrFAAy6lodA6No48xnUYiCX7CaPHJOPYajviLHDf6zzLttpjx3LB4UCfjprb5deL&#10;xsyp3uX2hC4/TfW5fv/qlqMxq5fl8AEq0ZL+lx/tozWw2Yi+PCME0O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rXZAwgAAANwAAAAPAAAAAAAAAAAAAAAAAJgCAABkcnMvZG93&#10;bnJldi54bWxQSwUGAAAAAAQABAD1AAAAhwMAAAAA&#10;" fillcolor="#b8cce4 [1300]">
                  <v:shadow on="t" color="black" opacity="22936f" origin=",.5" offset="0,.63889mm"/>
                  <v:textbox>
                    <w:txbxContent>
                      <w:p w14:paraId="64D41011" w14:textId="2CAFC0BA" w:rsidR="00DA7779" w:rsidRPr="00190B71" w:rsidRDefault="00DA7779" w:rsidP="004034FC">
                        <w:pPr>
                          <w:pStyle w:val="NormalWeb"/>
                          <w:spacing w:after="0"/>
                          <w:jc w:val="center"/>
                          <w:rPr>
                            <w:rFonts w:ascii="Calibri" w:hAnsi="Calibri"/>
                            <w:color w:val="000000"/>
                            <w:kern w:val="24"/>
                            <w:sz w:val="22"/>
                            <w:szCs w:val="22"/>
                            <w:lang w:val="pt-PT"/>
                          </w:rPr>
                        </w:pPr>
                        <w:r w:rsidRPr="00190B71">
                          <w:rPr>
                            <w:rFonts w:ascii="Calibri" w:hAnsi="Calibri"/>
                            <w:color w:val="000000"/>
                            <w:kern w:val="24"/>
                            <w:sz w:val="22"/>
                            <w:szCs w:val="22"/>
                            <w:lang w:val="pt-PT"/>
                          </w:rPr>
                          <w:t>MSS</w:t>
                        </w:r>
                      </w:p>
                    </w:txbxContent>
                  </v:textbox>
                </v:rect>
                <w10:anchorlock/>
              </v:group>
            </w:pict>
          </mc:Fallback>
        </mc:AlternateContent>
      </w:r>
    </w:p>
    <w:p w14:paraId="6454F494" w14:textId="5678F7F6" w:rsidR="00CC3F57" w:rsidRPr="00040BEC" w:rsidRDefault="004034FC" w:rsidP="004034FC">
      <w:pPr>
        <w:pStyle w:val="Caption"/>
        <w:rPr>
          <w:lang w:val="en-GB"/>
        </w:rPr>
      </w:pPr>
      <w:r w:rsidRPr="00040BEC">
        <w:rPr>
          <w:lang w:val="en-GB"/>
        </w:rPr>
        <w:t xml:space="preserve">Figure </w:t>
      </w:r>
      <w:r w:rsidRPr="00040BEC">
        <w:rPr>
          <w:lang w:val="en-GB"/>
        </w:rPr>
        <w:fldChar w:fldCharType="begin"/>
      </w:r>
      <w:r w:rsidRPr="00040BEC">
        <w:rPr>
          <w:lang w:val="en-GB"/>
        </w:rPr>
        <w:instrText xml:space="preserve"> SEQ Figure \* ARABIC </w:instrText>
      </w:r>
      <w:r w:rsidRPr="00040BEC">
        <w:rPr>
          <w:lang w:val="en-GB"/>
        </w:rPr>
        <w:fldChar w:fldCharType="separate"/>
      </w:r>
      <w:r w:rsidR="002327BB">
        <w:rPr>
          <w:noProof/>
          <w:lang w:val="en-GB"/>
        </w:rPr>
        <w:t>4</w:t>
      </w:r>
      <w:r w:rsidRPr="00040BEC">
        <w:rPr>
          <w:lang w:val="en-GB"/>
        </w:rPr>
        <w:fldChar w:fldCharType="end"/>
      </w:r>
      <w:r w:rsidRPr="00040BEC">
        <w:rPr>
          <w:lang w:val="en-GB"/>
        </w:rPr>
        <w:t xml:space="preserve">: Scenario 2, upper band </w:t>
      </w:r>
      <w:r w:rsidRPr="00040BEC">
        <w:rPr>
          <w:szCs w:val="24"/>
          <w:lang w:val="en-GB"/>
        </w:rPr>
        <w:t>(VLCC)</w:t>
      </w:r>
    </w:p>
    <w:p w14:paraId="14755120" w14:textId="0B1122D3" w:rsidR="001A2C0F" w:rsidRPr="00040BEC" w:rsidRDefault="001A2C0F" w:rsidP="001A2C0F">
      <w:pPr>
        <w:pStyle w:val="NoSpacing"/>
        <w:jc w:val="both"/>
        <w:rPr>
          <w:sz w:val="20"/>
          <w:szCs w:val="20"/>
        </w:rPr>
      </w:pPr>
      <w:r w:rsidRPr="00040BEC">
        <w:rPr>
          <w:sz w:val="20"/>
          <w:szCs w:val="20"/>
        </w:rPr>
        <w:t>CEPT agreed to further develop ECC</w:t>
      </w:r>
      <w:r w:rsidR="007359FB">
        <w:rPr>
          <w:sz w:val="20"/>
          <w:szCs w:val="20"/>
        </w:rPr>
        <w:t>/</w:t>
      </w:r>
      <w:r w:rsidRPr="00040BEC">
        <w:rPr>
          <w:sz w:val="20"/>
          <w:szCs w:val="20"/>
        </w:rPr>
        <w:t>D</w:t>
      </w:r>
      <w:r w:rsidR="007359FB">
        <w:rPr>
          <w:sz w:val="20"/>
          <w:szCs w:val="20"/>
        </w:rPr>
        <w:t>EC/(15)</w:t>
      </w:r>
      <w:r w:rsidR="00FB555C">
        <w:rPr>
          <w:sz w:val="20"/>
          <w:szCs w:val="20"/>
        </w:rPr>
        <w:t>02</w:t>
      </w:r>
      <w:r w:rsidR="00FB555C" w:rsidRPr="00040BEC">
        <w:rPr>
          <w:sz w:val="20"/>
          <w:szCs w:val="20"/>
        </w:rPr>
        <w:t xml:space="preserve"> </w:t>
      </w:r>
      <w:r w:rsidR="001D4ADD" w:rsidRPr="00040BEC">
        <w:rPr>
          <w:sz w:val="20"/>
          <w:szCs w:val="20"/>
        </w:rPr>
        <w:t>[48]</w:t>
      </w:r>
      <w:r w:rsidR="003D1281" w:rsidRPr="00040BEC">
        <w:rPr>
          <w:sz w:val="20"/>
          <w:szCs w:val="20"/>
        </w:rPr>
        <w:t xml:space="preserve"> </w:t>
      </w:r>
      <w:r w:rsidRPr="00040BEC">
        <w:rPr>
          <w:sz w:val="20"/>
          <w:szCs w:val="20"/>
        </w:rPr>
        <w:t xml:space="preserve">on Broadband DA2GC in the unpaired 2 GHz bands by only considering scenario 2 as reflected in this Report. As a </w:t>
      </w:r>
      <w:proofErr w:type="gramStart"/>
      <w:r w:rsidRPr="00040BEC">
        <w:rPr>
          <w:sz w:val="20"/>
          <w:szCs w:val="20"/>
        </w:rPr>
        <w:t>result</w:t>
      </w:r>
      <w:proofErr w:type="gramEnd"/>
      <w:r w:rsidRPr="00040BEC">
        <w:rPr>
          <w:sz w:val="20"/>
          <w:szCs w:val="20"/>
        </w:rPr>
        <w:t xml:space="preserve"> only the TDD DA2GC technical solution within the frequency band 1900-1920 MHz will be addressed. This is </w:t>
      </w:r>
      <w:proofErr w:type="gramStart"/>
      <w:r w:rsidRPr="00040BEC">
        <w:rPr>
          <w:sz w:val="20"/>
          <w:szCs w:val="20"/>
        </w:rPr>
        <w:t>on the basis of</w:t>
      </w:r>
      <w:proofErr w:type="gramEnd"/>
      <w:r w:rsidRPr="00040BEC">
        <w:rPr>
          <w:sz w:val="20"/>
          <w:szCs w:val="20"/>
        </w:rPr>
        <w:t xml:space="preserve"> the particular technical considerations, as this scenario eases the sharing with VLCC in the frequency band 2010-2025 </w:t>
      </w:r>
      <w:proofErr w:type="spellStart"/>
      <w:r w:rsidRPr="00040BEC">
        <w:rPr>
          <w:sz w:val="20"/>
          <w:szCs w:val="20"/>
        </w:rPr>
        <w:t>MHz.</w:t>
      </w:r>
      <w:proofErr w:type="spellEnd"/>
    </w:p>
    <w:p w14:paraId="6942AC19" w14:textId="77777777" w:rsidR="001A2C0F" w:rsidRPr="00040BEC" w:rsidRDefault="001A2C0F" w:rsidP="00B31F24">
      <w:pPr>
        <w:pStyle w:val="ECCParagraph"/>
        <w:rPr>
          <w:rFonts w:cs="Arial"/>
          <w:lang w:eastAsia="de-DE"/>
        </w:rPr>
      </w:pPr>
    </w:p>
    <w:p w14:paraId="382903AB" w14:textId="77777777" w:rsidR="008A54FC" w:rsidRPr="00040BEC" w:rsidRDefault="008A54FC" w:rsidP="00B31F24">
      <w:pPr>
        <w:pStyle w:val="ECCParagraph"/>
      </w:pPr>
      <w:r w:rsidRPr="00040BEC">
        <w:br w:type="page"/>
      </w:r>
    </w:p>
    <w:p w14:paraId="187E7756" w14:textId="77777777" w:rsidR="008A54FC" w:rsidRPr="00040BEC" w:rsidRDefault="00531617" w:rsidP="008A54FC">
      <w:pPr>
        <w:rPr>
          <w:b/>
          <w:color w:val="FFFFFF"/>
          <w:lang w:val="en-GB"/>
        </w:rPr>
      </w:pPr>
      <w:r w:rsidRPr="00040BEC">
        <w:rPr>
          <w:b/>
          <w:noProof/>
          <w:color w:val="FFFFFF"/>
          <w:szCs w:val="20"/>
          <w:lang w:val="da-DK" w:eastAsia="da-DK"/>
        </w:rPr>
        <w:lastRenderedPageBreak/>
        <mc:AlternateContent>
          <mc:Choice Requires="wps">
            <w:drawing>
              <wp:anchor distT="0" distB="0" distL="114300" distR="114300" simplePos="0" relativeHeight="251658240" behindDoc="1" locked="0" layoutInCell="1" allowOverlap="1" wp14:anchorId="58C3AC5E" wp14:editId="65B87F8B">
                <wp:simplePos x="0" y="0"/>
                <wp:positionH relativeFrom="page">
                  <wp:posOffset>0</wp:posOffset>
                </wp:positionH>
                <wp:positionV relativeFrom="page">
                  <wp:posOffset>900430</wp:posOffset>
                </wp:positionV>
                <wp:extent cx="7560310" cy="720090"/>
                <wp:effectExtent l="0" t="0" r="2540" b="3810"/>
                <wp:wrapNone/>
                <wp:docPr id="118"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72009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50DE8782" id="Rectangle 21" o:spid="_x0000_s1026" style="position:absolute;margin-left:0;margin-top:70.9pt;width:595.3pt;height:56.7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" fillcolor="#b0a696" stroked="f">
                <w10:wrap anchorx="page" anchory="page"/>
              </v:rect>
            </w:pict>
          </mc:Fallback>
        </mc:AlternateContent>
      </w:r>
    </w:p>
    <w:p w14:paraId="46B4EB45" w14:textId="77777777" w:rsidR="008B70CD" w:rsidRPr="00040BEC" w:rsidRDefault="008B70CD" w:rsidP="008A54FC">
      <w:pPr>
        <w:rPr>
          <w:b/>
          <w:color w:val="FFFFFF"/>
          <w:szCs w:val="20"/>
          <w:lang w:val="en-GB"/>
        </w:rPr>
      </w:pPr>
    </w:p>
    <w:p w14:paraId="25B2856B" w14:textId="77777777" w:rsidR="008A54FC" w:rsidRPr="00040BEC" w:rsidRDefault="00763BA3" w:rsidP="008A54FC">
      <w:pPr>
        <w:rPr>
          <w:b/>
          <w:color w:val="FFFFFF"/>
          <w:szCs w:val="20"/>
          <w:lang w:val="en-GB"/>
        </w:rPr>
      </w:pPr>
      <w:r w:rsidRPr="00040BEC">
        <w:rPr>
          <w:b/>
          <w:color w:val="FFFFFF"/>
          <w:szCs w:val="20"/>
          <w:lang w:val="en-GB"/>
        </w:rPr>
        <w:t>TABLE OF CONTENTS</w:t>
      </w:r>
    </w:p>
    <w:p w14:paraId="4CB51B0F" w14:textId="77777777" w:rsidR="00067793" w:rsidRPr="00040BEC" w:rsidRDefault="00067793" w:rsidP="008A54FC">
      <w:pPr>
        <w:rPr>
          <w:b/>
          <w:color w:val="FFFFFF"/>
          <w:szCs w:val="20"/>
          <w:lang w:val="en-GB"/>
        </w:rPr>
      </w:pPr>
    </w:p>
    <w:p w14:paraId="5ADBE956" w14:textId="77777777" w:rsidR="00067793" w:rsidRPr="00040BEC" w:rsidRDefault="00067793" w:rsidP="008A54FC">
      <w:pPr>
        <w:rPr>
          <w:b/>
          <w:color w:val="FFFFFF"/>
          <w:szCs w:val="20"/>
          <w:lang w:val="en-GB"/>
        </w:rPr>
      </w:pPr>
    </w:p>
    <w:p w14:paraId="1125EB52" w14:textId="77777777" w:rsidR="00DA7779" w:rsidRDefault="000A5980">
      <w:pPr>
        <w:pStyle w:val="TOC1"/>
        <w:rPr>
          <w:rFonts w:asciiTheme="minorHAnsi" w:eastAsiaTheme="minorEastAsia" w:hAnsiTheme="minorHAnsi" w:cstheme="minorBidi"/>
          <w:b w:val="0"/>
          <w:caps w:val="0"/>
          <w:noProof/>
          <w:sz w:val="22"/>
          <w:szCs w:val="22"/>
          <w:lang w:val="da-DK" w:eastAsia="da-DK"/>
        </w:rPr>
      </w:pPr>
      <w:r w:rsidRPr="00040BEC">
        <w:rPr>
          <w:lang w:val="en-GB"/>
        </w:rPr>
        <w:fldChar w:fldCharType="begin"/>
      </w:r>
      <w:r w:rsidR="00D12B5F" w:rsidRPr="00040BEC">
        <w:rPr>
          <w:lang w:val="en-GB"/>
        </w:rPr>
        <w:instrText xml:space="preserve"> TOC \o "1-2" \h \z \u </w:instrText>
      </w:r>
      <w:r w:rsidRPr="00040BEC">
        <w:rPr>
          <w:lang w:val="en-GB"/>
        </w:rPr>
        <w:fldChar w:fldCharType="separate"/>
      </w:r>
      <w:hyperlink w:anchor="_Toc445129304" w:history="1">
        <w:r w:rsidR="00DA7779" w:rsidRPr="008B30C3">
          <w:rPr>
            <w:rStyle w:val="Hyperlink"/>
            <w:noProof/>
          </w:rPr>
          <w:t>0</w:t>
        </w:r>
        <w:r w:rsidR="00DA7779">
          <w:rPr>
            <w:rFonts w:asciiTheme="minorHAnsi" w:eastAsiaTheme="minorEastAsia" w:hAnsiTheme="minorHAnsi" w:cstheme="minorBidi"/>
            <w:b w:val="0"/>
            <w:caps w:val="0"/>
            <w:noProof/>
            <w:sz w:val="22"/>
            <w:szCs w:val="22"/>
            <w:lang w:val="da-DK" w:eastAsia="da-DK"/>
          </w:rPr>
          <w:tab/>
        </w:r>
        <w:r w:rsidR="00DA7779" w:rsidRPr="008B30C3">
          <w:rPr>
            <w:rStyle w:val="Hyperlink"/>
            <w:noProof/>
          </w:rPr>
          <w:t>Executive summary</w:t>
        </w:r>
        <w:r w:rsidR="00DA7779">
          <w:rPr>
            <w:noProof/>
            <w:webHidden/>
          </w:rPr>
          <w:tab/>
        </w:r>
        <w:r w:rsidR="00DA7779">
          <w:rPr>
            <w:noProof/>
            <w:webHidden/>
          </w:rPr>
          <w:fldChar w:fldCharType="begin"/>
        </w:r>
        <w:r w:rsidR="00DA7779">
          <w:rPr>
            <w:noProof/>
            <w:webHidden/>
          </w:rPr>
          <w:instrText xml:space="preserve"> PAGEREF _Toc445129304 \h </w:instrText>
        </w:r>
        <w:r w:rsidR="00DA7779">
          <w:rPr>
            <w:noProof/>
            <w:webHidden/>
          </w:rPr>
        </w:r>
        <w:r w:rsidR="00DA7779">
          <w:rPr>
            <w:noProof/>
            <w:webHidden/>
          </w:rPr>
          <w:fldChar w:fldCharType="separate"/>
        </w:r>
        <w:r w:rsidR="00DA7779">
          <w:rPr>
            <w:noProof/>
            <w:webHidden/>
          </w:rPr>
          <w:t>2</w:t>
        </w:r>
        <w:r w:rsidR="00DA7779">
          <w:rPr>
            <w:noProof/>
            <w:webHidden/>
          </w:rPr>
          <w:fldChar w:fldCharType="end"/>
        </w:r>
      </w:hyperlink>
    </w:p>
    <w:p w14:paraId="76C15644" w14:textId="77777777" w:rsidR="00DA7779" w:rsidRDefault="00EE1B6E">
      <w:pPr>
        <w:pStyle w:val="TOC1"/>
        <w:rPr>
          <w:rFonts w:asciiTheme="minorHAnsi" w:eastAsiaTheme="minorEastAsia" w:hAnsiTheme="minorHAnsi" w:cstheme="minorBidi"/>
          <w:b w:val="0"/>
          <w:caps w:val="0"/>
          <w:noProof/>
          <w:sz w:val="22"/>
          <w:szCs w:val="22"/>
          <w:lang w:val="da-DK" w:eastAsia="da-DK"/>
        </w:rPr>
      </w:pPr>
      <w:hyperlink w:anchor="_Toc445129305" w:history="1">
        <w:r w:rsidR="00DA7779" w:rsidRPr="008B30C3">
          <w:rPr>
            <w:rStyle w:val="Hyperlink"/>
            <w:noProof/>
          </w:rPr>
          <w:t>1</w:t>
        </w:r>
        <w:r w:rsidR="00DA7779">
          <w:rPr>
            <w:rFonts w:asciiTheme="minorHAnsi" w:eastAsiaTheme="minorEastAsia" w:hAnsiTheme="minorHAnsi" w:cstheme="minorBidi"/>
            <w:b w:val="0"/>
            <w:caps w:val="0"/>
            <w:noProof/>
            <w:sz w:val="22"/>
            <w:szCs w:val="22"/>
            <w:lang w:val="da-DK" w:eastAsia="da-DK"/>
          </w:rPr>
          <w:tab/>
        </w:r>
        <w:r w:rsidR="00DA7779" w:rsidRPr="008B30C3">
          <w:rPr>
            <w:rStyle w:val="Hyperlink"/>
            <w:noProof/>
          </w:rPr>
          <w:t>introduction</w:t>
        </w:r>
        <w:r w:rsidR="00DA7779">
          <w:rPr>
            <w:noProof/>
            <w:webHidden/>
          </w:rPr>
          <w:tab/>
        </w:r>
        <w:r w:rsidR="00DA7779">
          <w:rPr>
            <w:noProof/>
            <w:webHidden/>
          </w:rPr>
          <w:fldChar w:fldCharType="begin"/>
        </w:r>
        <w:r w:rsidR="00DA7779">
          <w:rPr>
            <w:noProof/>
            <w:webHidden/>
          </w:rPr>
          <w:instrText xml:space="preserve"> PAGEREF _Toc445129305 \h </w:instrText>
        </w:r>
        <w:r w:rsidR="00DA7779">
          <w:rPr>
            <w:noProof/>
            <w:webHidden/>
          </w:rPr>
        </w:r>
        <w:r w:rsidR="00DA7779">
          <w:rPr>
            <w:noProof/>
            <w:webHidden/>
          </w:rPr>
          <w:fldChar w:fldCharType="separate"/>
        </w:r>
        <w:r w:rsidR="00DA7779">
          <w:rPr>
            <w:noProof/>
            <w:webHidden/>
          </w:rPr>
          <w:t>10</w:t>
        </w:r>
        <w:r w:rsidR="00DA7779">
          <w:rPr>
            <w:noProof/>
            <w:webHidden/>
          </w:rPr>
          <w:fldChar w:fldCharType="end"/>
        </w:r>
      </w:hyperlink>
    </w:p>
    <w:p w14:paraId="721778B8" w14:textId="77777777" w:rsidR="00DA7779" w:rsidRDefault="00EE1B6E">
      <w:pPr>
        <w:pStyle w:val="TOC1"/>
        <w:rPr>
          <w:rFonts w:asciiTheme="minorHAnsi" w:eastAsiaTheme="minorEastAsia" w:hAnsiTheme="minorHAnsi" w:cstheme="minorBidi"/>
          <w:b w:val="0"/>
          <w:caps w:val="0"/>
          <w:noProof/>
          <w:sz w:val="22"/>
          <w:szCs w:val="22"/>
          <w:lang w:val="da-DK" w:eastAsia="da-DK"/>
        </w:rPr>
      </w:pPr>
      <w:hyperlink w:anchor="_Toc445129306" w:history="1">
        <w:r w:rsidR="00DA7779" w:rsidRPr="008B30C3">
          <w:rPr>
            <w:rStyle w:val="Hyperlink"/>
            <w:noProof/>
          </w:rPr>
          <w:t>2</w:t>
        </w:r>
        <w:r w:rsidR="00DA7779">
          <w:rPr>
            <w:rFonts w:asciiTheme="minorHAnsi" w:eastAsiaTheme="minorEastAsia" w:hAnsiTheme="minorHAnsi" w:cstheme="minorBidi"/>
            <w:b w:val="0"/>
            <w:caps w:val="0"/>
            <w:noProof/>
            <w:sz w:val="22"/>
            <w:szCs w:val="22"/>
            <w:lang w:val="da-DK" w:eastAsia="da-DK"/>
          </w:rPr>
          <w:tab/>
        </w:r>
        <w:r w:rsidR="00DA7779" w:rsidRPr="008B30C3">
          <w:rPr>
            <w:rStyle w:val="Hyperlink"/>
            <w:noProof/>
          </w:rPr>
          <w:t>BACKGROUND INFORMATION</w:t>
        </w:r>
        <w:r w:rsidR="00DA7779">
          <w:rPr>
            <w:noProof/>
            <w:webHidden/>
          </w:rPr>
          <w:tab/>
        </w:r>
        <w:r w:rsidR="00DA7779">
          <w:rPr>
            <w:noProof/>
            <w:webHidden/>
          </w:rPr>
          <w:fldChar w:fldCharType="begin"/>
        </w:r>
        <w:r w:rsidR="00DA7779">
          <w:rPr>
            <w:noProof/>
            <w:webHidden/>
          </w:rPr>
          <w:instrText xml:space="preserve"> PAGEREF _Toc445129306 \h </w:instrText>
        </w:r>
        <w:r w:rsidR="00DA7779">
          <w:rPr>
            <w:noProof/>
            <w:webHidden/>
          </w:rPr>
        </w:r>
        <w:r w:rsidR="00DA7779">
          <w:rPr>
            <w:noProof/>
            <w:webHidden/>
          </w:rPr>
          <w:fldChar w:fldCharType="separate"/>
        </w:r>
        <w:r w:rsidR="00DA7779">
          <w:rPr>
            <w:noProof/>
            <w:webHidden/>
          </w:rPr>
          <w:t>11</w:t>
        </w:r>
        <w:r w:rsidR="00DA7779">
          <w:rPr>
            <w:noProof/>
            <w:webHidden/>
          </w:rPr>
          <w:fldChar w:fldCharType="end"/>
        </w:r>
      </w:hyperlink>
    </w:p>
    <w:p w14:paraId="097F1B04" w14:textId="77777777" w:rsidR="00DA7779" w:rsidRDefault="00EE1B6E">
      <w:pPr>
        <w:pStyle w:val="TOC2"/>
        <w:rPr>
          <w:rFonts w:asciiTheme="minorHAnsi" w:eastAsiaTheme="minorEastAsia" w:hAnsiTheme="minorHAnsi" w:cstheme="minorBidi"/>
          <w:noProof/>
          <w:sz w:val="22"/>
          <w:szCs w:val="22"/>
          <w:lang w:val="da-DK" w:eastAsia="da-DK"/>
        </w:rPr>
      </w:pPr>
      <w:hyperlink w:anchor="_Toc445129307" w:history="1">
        <w:r w:rsidR="00DA7779" w:rsidRPr="008B30C3">
          <w:rPr>
            <w:rStyle w:val="Hyperlink"/>
            <w:noProof/>
            <w:lang w:val="en-GB"/>
          </w:rPr>
          <w:t>2.1</w:t>
        </w:r>
        <w:r w:rsidR="00DA7779">
          <w:rPr>
            <w:rFonts w:asciiTheme="minorHAnsi" w:eastAsiaTheme="minorEastAsia" w:hAnsiTheme="minorHAnsi" w:cstheme="minorBidi"/>
            <w:noProof/>
            <w:sz w:val="22"/>
            <w:szCs w:val="22"/>
            <w:lang w:val="da-DK" w:eastAsia="da-DK"/>
          </w:rPr>
          <w:tab/>
        </w:r>
        <w:r w:rsidR="00DA7779" w:rsidRPr="008B30C3">
          <w:rPr>
            <w:rStyle w:val="Hyperlink"/>
            <w:noProof/>
            <w:lang w:val="en-GB"/>
          </w:rPr>
          <w:t>Current regulatory framework in CEPT</w:t>
        </w:r>
        <w:r w:rsidR="00DA7779">
          <w:rPr>
            <w:noProof/>
            <w:webHidden/>
          </w:rPr>
          <w:tab/>
        </w:r>
        <w:r w:rsidR="00DA7779">
          <w:rPr>
            <w:noProof/>
            <w:webHidden/>
          </w:rPr>
          <w:fldChar w:fldCharType="begin"/>
        </w:r>
        <w:r w:rsidR="00DA7779">
          <w:rPr>
            <w:noProof/>
            <w:webHidden/>
          </w:rPr>
          <w:instrText xml:space="preserve"> PAGEREF _Toc445129307 \h </w:instrText>
        </w:r>
        <w:r w:rsidR="00DA7779">
          <w:rPr>
            <w:noProof/>
            <w:webHidden/>
          </w:rPr>
        </w:r>
        <w:r w:rsidR="00DA7779">
          <w:rPr>
            <w:noProof/>
            <w:webHidden/>
          </w:rPr>
          <w:fldChar w:fldCharType="separate"/>
        </w:r>
        <w:r w:rsidR="00DA7779">
          <w:rPr>
            <w:noProof/>
            <w:webHidden/>
          </w:rPr>
          <w:t>11</w:t>
        </w:r>
        <w:r w:rsidR="00DA7779">
          <w:rPr>
            <w:noProof/>
            <w:webHidden/>
          </w:rPr>
          <w:fldChar w:fldCharType="end"/>
        </w:r>
      </w:hyperlink>
    </w:p>
    <w:p w14:paraId="6C3C18C8" w14:textId="77777777" w:rsidR="00DA7779" w:rsidRDefault="00EE1B6E">
      <w:pPr>
        <w:pStyle w:val="TOC2"/>
        <w:rPr>
          <w:rFonts w:asciiTheme="minorHAnsi" w:eastAsiaTheme="minorEastAsia" w:hAnsiTheme="minorHAnsi" w:cstheme="minorBidi"/>
          <w:noProof/>
          <w:sz w:val="22"/>
          <w:szCs w:val="22"/>
          <w:lang w:val="da-DK" w:eastAsia="da-DK"/>
        </w:rPr>
      </w:pPr>
      <w:hyperlink w:anchor="_Toc445129308" w:history="1">
        <w:r w:rsidR="00DA7779" w:rsidRPr="008B30C3">
          <w:rPr>
            <w:rStyle w:val="Hyperlink"/>
            <w:noProof/>
            <w:lang w:val="en-GB"/>
          </w:rPr>
          <w:t>2.2</w:t>
        </w:r>
        <w:r w:rsidR="00DA7779">
          <w:rPr>
            <w:rFonts w:asciiTheme="minorHAnsi" w:eastAsiaTheme="minorEastAsia" w:hAnsiTheme="minorHAnsi" w:cstheme="minorBidi"/>
            <w:noProof/>
            <w:sz w:val="22"/>
            <w:szCs w:val="22"/>
            <w:lang w:val="da-DK" w:eastAsia="da-DK"/>
          </w:rPr>
          <w:tab/>
        </w:r>
        <w:r w:rsidR="00DA7779" w:rsidRPr="008B30C3">
          <w:rPr>
            <w:rStyle w:val="Hyperlink"/>
            <w:noProof/>
            <w:lang w:val="en-GB"/>
          </w:rPr>
          <w:t>Current authorisations and uses of the unpaired 2 GHz bands</w:t>
        </w:r>
        <w:r w:rsidR="00DA7779">
          <w:rPr>
            <w:noProof/>
            <w:webHidden/>
          </w:rPr>
          <w:tab/>
        </w:r>
        <w:r w:rsidR="00DA7779">
          <w:rPr>
            <w:noProof/>
            <w:webHidden/>
          </w:rPr>
          <w:fldChar w:fldCharType="begin"/>
        </w:r>
        <w:r w:rsidR="00DA7779">
          <w:rPr>
            <w:noProof/>
            <w:webHidden/>
          </w:rPr>
          <w:instrText xml:space="preserve"> PAGEREF _Toc445129308 \h </w:instrText>
        </w:r>
        <w:r w:rsidR="00DA7779">
          <w:rPr>
            <w:noProof/>
            <w:webHidden/>
          </w:rPr>
        </w:r>
        <w:r w:rsidR="00DA7779">
          <w:rPr>
            <w:noProof/>
            <w:webHidden/>
          </w:rPr>
          <w:fldChar w:fldCharType="separate"/>
        </w:r>
        <w:r w:rsidR="00DA7779">
          <w:rPr>
            <w:noProof/>
            <w:webHidden/>
          </w:rPr>
          <w:t>12</w:t>
        </w:r>
        <w:r w:rsidR="00DA7779">
          <w:rPr>
            <w:noProof/>
            <w:webHidden/>
          </w:rPr>
          <w:fldChar w:fldCharType="end"/>
        </w:r>
      </w:hyperlink>
    </w:p>
    <w:p w14:paraId="588F9090" w14:textId="77777777" w:rsidR="00DA7779" w:rsidRDefault="00EE1B6E">
      <w:pPr>
        <w:pStyle w:val="TOC2"/>
        <w:rPr>
          <w:rFonts w:asciiTheme="minorHAnsi" w:eastAsiaTheme="minorEastAsia" w:hAnsiTheme="minorHAnsi" w:cstheme="minorBidi"/>
          <w:noProof/>
          <w:sz w:val="22"/>
          <w:szCs w:val="22"/>
          <w:lang w:val="da-DK" w:eastAsia="da-DK"/>
        </w:rPr>
      </w:pPr>
      <w:hyperlink w:anchor="_Toc445129309" w:history="1">
        <w:r w:rsidR="00DA7779" w:rsidRPr="008B30C3">
          <w:rPr>
            <w:rStyle w:val="Hyperlink"/>
            <w:noProof/>
            <w:lang w:val="en-GB"/>
          </w:rPr>
          <w:t>2.3</w:t>
        </w:r>
        <w:r w:rsidR="00DA7779">
          <w:rPr>
            <w:rFonts w:asciiTheme="minorHAnsi" w:eastAsiaTheme="minorEastAsia" w:hAnsiTheme="minorHAnsi" w:cstheme="minorBidi"/>
            <w:noProof/>
            <w:sz w:val="22"/>
            <w:szCs w:val="22"/>
            <w:lang w:val="da-DK" w:eastAsia="da-DK"/>
          </w:rPr>
          <w:tab/>
        </w:r>
        <w:r w:rsidR="00DA7779" w:rsidRPr="008B30C3">
          <w:rPr>
            <w:rStyle w:val="Hyperlink"/>
            <w:noProof/>
            <w:lang w:val="en-GB"/>
          </w:rPr>
          <w:t>Current use and regulatory framework outside CEPT</w:t>
        </w:r>
        <w:r w:rsidR="00DA7779">
          <w:rPr>
            <w:noProof/>
            <w:webHidden/>
          </w:rPr>
          <w:tab/>
        </w:r>
        <w:r w:rsidR="00DA7779">
          <w:rPr>
            <w:noProof/>
            <w:webHidden/>
          </w:rPr>
          <w:fldChar w:fldCharType="begin"/>
        </w:r>
        <w:r w:rsidR="00DA7779">
          <w:rPr>
            <w:noProof/>
            <w:webHidden/>
          </w:rPr>
          <w:instrText xml:space="preserve"> PAGEREF _Toc445129309 \h </w:instrText>
        </w:r>
        <w:r w:rsidR="00DA7779">
          <w:rPr>
            <w:noProof/>
            <w:webHidden/>
          </w:rPr>
        </w:r>
        <w:r w:rsidR="00DA7779">
          <w:rPr>
            <w:noProof/>
            <w:webHidden/>
          </w:rPr>
          <w:fldChar w:fldCharType="separate"/>
        </w:r>
        <w:r w:rsidR="00DA7779">
          <w:rPr>
            <w:noProof/>
            <w:webHidden/>
          </w:rPr>
          <w:t>13</w:t>
        </w:r>
        <w:r w:rsidR="00DA7779">
          <w:rPr>
            <w:noProof/>
            <w:webHidden/>
          </w:rPr>
          <w:fldChar w:fldCharType="end"/>
        </w:r>
      </w:hyperlink>
    </w:p>
    <w:p w14:paraId="16A9D156" w14:textId="77777777" w:rsidR="00DA7779" w:rsidRDefault="00EE1B6E">
      <w:pPr>
        <w:pStyle w:val="TOC2"/>
        <w:rPr>
          <w:rFonts w:asciiTheme="minorHAnsi" w:eastAsiaTheme="minorEastAsia" w:hAnsiTheme="minorHAnsi" w:cstheme="minorBidi"/>
          <w:noProof/>
          <w:sz w:val="22"/>
          <w:szCs w:val="22"/>
          <w:lang w:val="da-DK" w:eastAsia="da-DK"/>
        </w:rPr>
      </w:pPr>
      <w:hyperlink w:anchor="_Toc445129310" w:history="1">
        <w:r w:rsidR="00DA7779" w:rsidRPr="008B30C3">
          <w:rPr>
            <w:rStyle w:val="Hyperlink"/>
            <w:noProof/>
            <w:lang w:val="en-GB"/>
          </w:rPr>
          <w:t>2.4</w:t>
        </w:r>
        <w:r w:rsidR="00DA7779">
          <w:rPr>
            <w:rFonts w:asciiTheme="minorHAnsi" w:eastAsiaTheme="minorEastAsia" w:hAnsiTheme="minorHAnsi" w:cstheme="minorBidi"/>
            <w:noProof/>
            <w:sz w:val="22"/>
            <w:szCs w:val="22"/>
            <w:lang w:val="da-DK" w:eastAsia="da-DK"/>
          </w:rPr>
          <w:tab/>
        </w:r>
        <w:r w:rsidR="00DA7779" w:rsidRPr="008B30C3">
          <w:rPr>
            <w:rStyle w:val="Hyperlink"/>
            <w:noProof/>
            <w:lang w:val="en-GB"/>
          </w:rPr>
          <w:t>Previous studies on the unpaired 2 GHz bands</w:t>
        </w:r>
        <w:r w:rsidR="00DA7779">
          <w:rPr>
            <w:noProof/>
            <w:webHidden/>
          </w:rPr>
          <w:tab/>
        </w:r>
        <w:r w:rsidR="00DA7779">
          <w:rPr>
            <w:noProof/>
            <w:webHidden/>
          </w:rPr>
          <w:fldChar w:fldCharType="begin"/>
        </w:r>
        <w:r w:rsidR="00DA7779">
          <w:rPr>
            <w:noProof/>
            <w:webHidden/>
          </w:rPr>
          <w:instrText xml:space="preserve"> PAGEREF _Toc445129310 \h </w:instrText>
        </w:r>
        <w:r w:rsidR="00DA7779">
          <w:rPr>
            <w:noProof/>
            <w:webHidden/>
          </w:rPr>
        </w:r>
        <w:r w:rsidR="00DA7779">
          <w:rPr>
            <w:noProof/>
            <w:webHidden/>
          </w:rPr>
          <w:fldChar w:fldCharType="separate"/>
        </w:r>
        <w:r w:rsidR="00DA7779">
          <w:rPr>
            <w:noProof/>
            <w:webHidden/>
          </w:rPr>
          <w:t>17</w:t>
        </w:r>
        <w:r w:rsidR="00DA7779">
          <w:rPr>
            <w:noProof/>
            <w:webHidden/>
          </w:rPr>
          <w:fldChar w:fldCharType="end"/>
        </w:r>
      </w:hyperlink>
    </w:p>
    <w:p w14:paraId="0BD08EBC" w14:textId="77777777" w:rsidR="00DA7779" w:rsidRDefault="00EE1B6E">
      <w:pPr>
        <w:pStyle w:val="TOC2"/>
        <w:rPr>
          <w:rFonts w:asciiTheme="minorHAnsi" w:eastAsiaTheme="minorEastAsia" w:hAnsiTheme="minorHAnsi" w:cstheme="minorBidi"/>
          <w:noProof/>
          <w:sz w:val="22"/>
          <w:szCs w:val="22"/>
          <w:lang w:val="da-DK" w:eastAsia="da-DK"/>
        </w:rPr>
      </w:pPr>
      <w:hyperlink w:anchor="_Toc445129311" w:history="1">
        <w:r w:rsidR="00DA7779" w:rsidRPr="008B30C3">
          <w:rPr>
            <w:rStyle w:val="Hyperlink"/>
            <w:noProof/>
            <w:lang w:val="en-GB"/>
          </w:rPr>
          <w:t>2.5</w:t>
        </w:r>
        <w:r w:rsidR="00DA7779">
          <w:rPr>
            <w:rFonts w:asciiTheme="minorHAnsi" w:eastAsiaTheme="minorEastAsia" w:hAnsiTheme="minorHAnsi" w:cstheme="minorBidi"/>
            <w:noProof/>
            <w:sz w:val="22"/>
            <w:szCs w:val="22"/>
            <w:lang w:val="da-DK" w:eastAsia="da-DK"/>
          </w:rPr>
          <w:tab/>
        </w:r>
        <w:r w:rsidR="00DA7779" w:rsidRPr="008B30C3">
          <w:rPr>
            <w:rStyle w:val="Hyperlink"/>
            <w:noProof/>
            <w:lang w:val="en-GB"/>
          </w:rPr>
          <w:t>Identification of alternative uses for both unpaired 2 GHz bands</w:t>
        </w:r>
        <w:r w:rsidR="00DA7779">
          <w:rPr>
            <w:noProof/>
            <w:webHidden/>
          </w:rPr>
          <w:tab/>
        </w:r>
        <w:r w:rsidR="00DA7779">
          <w:rPr>
            <w:noProof/>
            <w:webHidden/>
          </w:rPr>
          <w:fldChar w:fldCharType="begin"/>
        </w:r>
        <w:r w:rsidR="00DA7779">
          <w:rPr>
            <w:noProof/>
            <w:webHidden/>
          </w:rPr>
          <w:instrText xml:space="preserve"> PAGEREF _Toc445129311 \h </w:instrText>
        </w:r>
        <w:r w:rsidR="00DA7779">
          <w:rPr>
            <w:noProof/>
            <w:webHidden/>
          </w:rPr>
        </w:r>
        <w:r w:rsidR="00DA7779">
          <w:rPr>
            <w:noProof/>
            <w:webHidden/>
          </w:rPr>
          <w:fldChar w:fldCharType="separate"/>
        </w:r>
        <w:r w:rsidR="00DA7779">
          <w:rPr>
            <w:noProof/>
            <w:webHidden/>
          </w:rPr>
          <w:t>17</w:t>
        </w:r>
        <w:r w:rsidR="00DA7779">
          <w:rPr>
            <w:noProof/>
            <w:webHidden/>
          </w:rPr>
          <w:fldChar w:fldCharType="end"/>
        </w:r>
      </w:hyperlink>
    </w:p>
    <w:p w14:paraId="5B008881" w14:textId="77777777" w:rsidR="00DA7779" w:rsidRDefault="00EE1B6E">
      <w:pPr>
        <w:pStyle w:val="TOC1"/>
        <w:rPr>
          <w:rFonts w:asciiTheme="minorHAnsi" w:eastAsiaTheme="minorEastAsia" w:hAnsiTheme="minorHAnsi" w:cstheme="minorBidi"/>
          <w:b w:val="0"/>
          <w:caps w:val="0"/>
          <w:noProof/>
          <w:sz w:val="22"/>
          <w:szCs w:val="22"/>
          <w:lang w:val="da-DK" w:eastAsia="da-DK"/>
        </w:rPr>
      </w:pPr>
      <w:hyperlink w:anchor="_Toc445129312" w:history="1">
        <w:r w:rsidR="00DA7779" w:rsidRPr="008B30C3">
          <w:rPr>
            <w:rStyle w:val="Hyperlink"/>
            <w:noProof/>
          </w:rPr>
          <w:t>3</w:t>
        </w:r>
        <w:r w:rsidR="00DA7779">
          <w:rPr>
            <w:rFonts w:asciiTheme="minorHAnsi" w:eastAsiaTheme="minorEastAsia" w:hAnsiTheme="minorHAnsi" w:cstheme="minorBidi"/>
            <w:b w:val="0"/>
            <w:caps w:val="0"/>
            <w:noProof/>
            <w:sz w:val="22"/>
            <w:szCs w:val="22"/>
            <w:lang w:val="da-DK" w:eastAsia="da-DK"/>
          </w:rPr>
          <w:tab/>
        </w:r>
        <w:r w:rsidR="00DA7779" w:rsidRPr="008B30C3">
          <w:rPr>
            <w:rStyle w:val="Hyperlink"/>
            <w:noProof/>
          </w:rPr>
          <w:t>ALTERNATIVE USES INCLUDING SPECTRUM REQUIREMENTS</w:t>
        </w:r>
        <w:r w:rsidR="00DA7779">
          <w:rPr>
            <w:noProof/>
            <w:webHidden/>
          </w:rPr>
          <w:tab/>
        </w:r>
        <w:r w:rsidR="00DA7779">
          <w:rPr>
            <w:noProof/>
            <w:webHidden/>
          </w:rPr>
          <w:fldChar w:fldCharType="begin"/>
        </w:r>
        <w:r w:rsidR="00DA7779">
          <w:rPr>
            <w:noProof/>
            <w:webHidden/>
          </w:rPr>
          <w:instrText xml:space="preserve"> PAGEREF _Toc445129312 \h </w:instrText>
        </w:r>
        <w:r w:rsidR="00DA7779">
          <w:rPr>
            <w:noProof/>
            <w:webHidden/>
          </w:rPr>
        </w:r>
        <w:r w:rsidR="00DA7779">
          <w:rPr>
            <w:noProof/>
            <w:webHidden/>
          </w:rPr>
          <w:fldChar w:fldCharType="separate"/>
        </w:r>
        <w:r w:rsidR="00DA7779">
          <w:rPr>
            <w:noProof/>
            <w:webHidden/>
          </w:rPr>
          <w:t>19</w:t>
        </w:r>
        <w:r w:rsidR="00DA7779">
          <w:rPr>
            <w:noProof/>
            <w:webHidden/>
          </w:rPr>
          <w:fldChar w:fldCharType="end"/>
        </w:r>
      </w:hyperlink>
    </w:p>
    <w:p w14:paraId="3E819E45" w14:textId="77777777" w:rsidR="00DA7779" w:rsidRDefault="00EE1B6E">
      <w:pPr>
        <w:pStyle w:val="TOC2"/>
        <w:rPr>
          <w:rFonts w:asciiTheme="minorHAnsi" w:eastAsiaTheme="minorEastAsia" w:hAnsiTheme="minorHAnsi" w:cstheme="minorBidi"/>
          <w:noProof/>
          <w:sz w:val="22"/>
          <w:szCs w:val="22"/>
          <w:lang w:val="da-DK" w:eastAsia="da-DK"/>
        </w:rPr>
      </w:pPr>
      <w:hyperlink w:anchor="_Toc445129313" w:history="1">
        <w:r w:rsidR="00DA7779" w:rsidRPr="008B30C3">
          <w:rPr>
            <w:rStyle w:val="Hyperlink"/>
            <w:noProof/>
            <w:lang w:val="en-GB"/>
          </w:rPr>
          <w:t>3.1</w:t>
        </w:r>
        <w:r w:rsidR="00DA7779">
          <w:rPr>
            <w:rFonts w:asciiTheme="minorHAnsi" w:eastAsiaTheme="minorEastAsia" w:hAnsiTheme="minorHAnsi" w:cstheme="minorBidi"/>
            <w:noProof/>
            <w:sz w:val="22"/>
            <w:szCs w:val="22"/>
            <w:lang w:val="da-DK" w:eastAsia="da-DK"/>
          </w:rPr>
          <w:tab/>
        </w:r>
        <w:r w:rsidR="00DA7779" w:rsidRPr="008B30C3">
          <w:rPr>
            <w:rStyle w:val="Hyperlink"/>
            <w:noProof/>
            <w:lang w:val="en-GB"/>
          </w:rPr>
          <w:t>Broadband Direct Air to Ground Communications</w:t>
        </w:r>
        <w:r w:rsidR="00DA7779">
          <w:rPr>
            <w:noProof/>
            <w:webHidden/>
          </w:rPr>
          <w:tab/>
        </w:r>
        <w:r w:rsidR="00DA7779">
          <w:rPr>
            <w:noProof/>
            <w:webHidden/>
          </w:rPr>
          <w:fldChar w:fldCharType="begin"/>
        </w:r>
        <w:r w:rsidR="00DA7779">
          <w:rPr>
            <w:noProof/>
            <w:webHidden/>
          </w:rPr>
          <w:instrText xml:space="preserve"> PAGEREF _Toc445129313 \h </w:instrText>
        </w:r>
        <w:r w:rsidR="00DA7779">
          <w:rPr>
            <w:noProof/>
            <w:webHidden/>
          </w:rPr>
        </w:r>
        <w:r w:rsidR="00DA7779">
          <w:rPr>
            <w:noProof/>
            <w:webHidden/>
          </w:rPr>
          <w:fldChar w:fldCharType="separate"/>
        </w:r>
        <w:r w:rsidR="00DA7779">
          <w:rPr>
            <w:noProof/>
            <w:webHidden/>
          </w:rPr>
          <w:t>19</w:t>
        </w:r>
        <w:r w:rsidR="00DA7779">
          <w:rPr>
            <w:noProof/>
            <w:webHidden/>
          </w:rPr>
          <w:fldChar w:fldCharType="end"/>
        </w:r>
      </w:hyperlink>
    </w:p>
    <w:p w14:paraId="0DA19C01" w14:textId="77777777" w:rsidR="00DA7779" w:rsidRDefault="00EE1B6E">
      <w:pPr>
        <w:pStyle w:val="TOC2"/>
        <w:rPr>
          <w:rFonts w:asciiTheme="minorHAnsi" w:eastAsiaTheme="minorEastAsia" w:hAnsiTheme="minorHAnsi" w:cstheme="minorBidi"/>
          <w:noProof/>
          <w:sz w:val="22"/>
          <w:szCs w:val="22"/>
          <w:lang w:val="da-DK" w:eastAsia="da-DK"/>
        </w:rPr>
      </w:pPr>
      <w:hyperlink w:anchor="_Toc445129314" w:history="1">
        <w:r w:rsidR="00DA7779" w:rsidRPr="008B30C3">
          <w:rPr>
            <w:rStyle w:val="Hyperlink"/>
            <w:noProof/>
            <w:lang w:val="en-GB"/>
          </w:rPr>
          <w:t>3.2</w:t>
        </w:r>
        <w:r w:rsidR="00DA7779">
          <w:rPr>
            <w:rFonts w:asciiTheme="minorHAnsi" w:eastAsiaTheme="minorEastAsia" w:hAnsiTheme="minorHAnsi" w:cstheme="minorBidi"/>
            <w:noProof/>
            <w:sz w:val="22"/>
            <w:szCs w:val="22"/>
            <w:lang w:val="da-DK" w:eastAsia="da-DK"/>
          </w:rPr>
          <w:tab/>
        </w:r>
        <w:r w:rsidR="00DA7779" w:rsidRPr="008B30C3">
          <w:rPr>
            <w:rStyle w:val="Hyperlink"/>
            <w:noProof/>
            <w:lang w:val="en-GB"/>
          </w:rPr>
          <w:t>Programme Making and Special Events</w:t>
        </w:r>
        <w:r w:rsidR="00DA7779">
          <w:rPr>
            <w:noProof/>
            <w:webHidden/>
          </w:rPr>
          <w:tab/>
        </w:r>
        <w:r w:rsidR="00DA7779">
          <w:rPr>
            <w:noProof/>
            <w:webHidden/>
          </w:rPr>
          <w:fldChar w:fldCharType="begin"/>
        </w:r>
        <w:r w:rsidR="00DA7779">
          <w:rPr>
            <w:noProof/>
            <w:webHidden/>
          </w:rPr>
          <w:instrText xml:space="preserve"> PAGEREF _Toc445129314 \h </w:instrText>
        </w:r>
        <w:r w:rsidR="00DA7779">
          <w:rPr>
            <w:noProof/>
            <w:webHidden/>
          </w:rPr>
        </w:r>
        <w:r w:rsidR="00DA7779">
          <w:rPr>
            <w:noProof/>
            <w:webHidden/>
          </w:rPr>
          <w:fldChar w:fldCharType="separate"/>
        </w:r>
        <w:r w:rsidR="00DA7779">
          <w:rPr>
            <w:noProof/>
            <w:webHidden/>
          </w:rPr>
          <w:t>25</w:t>
        </w:r>
        <w:r w:rsidR="00DA7779">
          <w:rPr>
            <w:noProof/>
            <w:webHidden/>
          </w:rPr>
          <w:fldChar w:fldCharType="end"/>
        </w:r>
      </w:hyperlink>
    </w:p>
    <w:p w14:paraId="0BEA8B2A" w14:textId="77777777" w:rsidR="00DA7779" w:rsidRDefault="00EE1B6E">
      <w:pPr>
        <w:pStyle w:val="TOC2"/>
        <w:rPr>
          <w:rFonts w:asciiTheme="minorHAnsi" w:eastAsiaTheme="minorEastAsia" w:hAnsiTheme="minorHAnsi" w:cstheme="minorBidi"/>
          <w:noProof/>
          <w:sz w:val="22"/>
          <w:szCs w:val="22"/>
          <w:lang w:val="da-DK" w:eastAsia="da-DK"/>
        </w:rPr>
      </w:pPr>
      <w:hyperlink w:anchor="_Toc445129315" w:history="1">
        <w:r w:rsidR="00DA7779" w:rsidRPr="008B30C3">
          <w:rPr>
            <w:rStyle w:val="Hyperlink"/>
            <w:noProof/>
            <w:lang w:val="en-GB"/>
          </w:rPr>
          <w:t>3.3</w:t>
        </w:r>
        <w:r w:rsidR="00DA7779">
          <w:rPr>
            <w:rFonts w:asciiTheme="minorHAnsi" w:eastAsiaTheme="minorEastAsia" w:hAnsiTheme="minorHAnsi" w:cstheme="minorBidi"/>
            <w:noProof/>
            <w:sz w:val="22"/>
            <w:szCs w:val="22"/>
            <w:lang w:val="da-DK" w:eastAsia="da-DK"/>
          </w:rPr>
          <w:tab/>
        </w:r>
        <w:r w:rsidR="00DA7779" w:rsidRPr="008B30C3">
          <w:rPr>
            <w:rStyle w:val="Hyperlink"/>
            <w:noProof/>
            <w:lang w:val="en-GB"/>
          </w:rPr>
          <w:t>Short Range Devices</w:t>
        </w:r>
        <w:r w:rsidR="00DA7779">
          <w:rPr>
            <w:noProof/>
            <w:webHidden/>
          </w:rPr>
          <w:tab/>
        </w:r>
        <w:r w:rsidR="00DA7779">
          <w:rPr>
            <w:noProof/>
            <w:webHidden/>
          </w:rPr>
          <w:fldChar w:fldCharType="begin"/>
        </w:r>
        <w:r w:rsidR="00DA7779">
          <w:rPr>
            <w:noProof/>
            <w:webHidden/>
          </w:rPr>
          <w:instrText xml:space="preserve"> PAGEREF _Toc445129315 \h </w:instrText>
        </w:r>
        <w:r w:rsidR="00DA7779">
          <w:rPr>
            <w:noProof/>
            <w:webHidden/>
          </w:rPr>
        </w:r>
        <w:r w:rsidR="00DA7779">
          <w:rPr>
            <w:noProof/>
            <w:webHidden/>
          </w:rPr>
          <w:fldChar w:fldCharType="separate"/>
        </w:r>
        <w:r w:rsidR="00DA7779">
          <w:rPr>
            <w:noProof/>
            <w:webHidden/>
          </w:rPr>
          <w:t>27</w:t>
        </w:r>
        <w:r w:rsidR="00DA7779">
          <w:rPr>
            <w:noProof/>
            <w:webHidden/>
          </w:rPr>
          <w:fldChar w:fldCharType="end"/>
        </w:r>
      </w:hyperlink>
    </w:p>
    <w:p w14:paraId="3FE97198" w14:textId="77777777" w:rsidR="00DA7779" w:rsidRDefault="00EE1B6E">
      <w:pPr>
        <w:pStyle w:val="TOC2"/>
        <w:rPr>
          <w:rFonts w:asciiTheme="minorHAnsi" w:eastAsiaTheme="minorEastAsia" w:hAnsiTheme="minorHAnsi" w:cstheme="minorBidi"/>
          <w:noProof/>
          <w:sz w:val="22"/>
          <w:szCs w:val="22"/>
          <w:lang w:val="da-DK" w:eastAsia="da-DK"/>
        </w:rPr>
      </w:pPr>
      <w:hyperlink w:anchor="_Toc445129316" w:history="1">
        <w:r w:rsidR="00DA7779" w:rsidRPr="008B30C3">
          <w:rPr>
            <w:rStyle w:val="Hyperlink"/>
            <w:noProof/>
            <w:lang w:val="en-GB"/>
          </w:rPr>
          <w:t>3.4</w:t>
        </w:r>
        <w:r w:rsidR="00DA7779">
          <w:rPr>
            <w:rFonts w:asciiTheme="minorHAnsi" w:eastAsiaTheme="minorEastAsia" w:hAnsiTheme="minorHAnsi" w:cstheme="minorBidi"/>
            <w:noProof/>
            <w:sz w:val="22"/>
            <w:szCs w:val="22"/>
            <w:lang w:val="da-DK" w:eastAsia="da-DK"/>
          </w:rPr>
          <w:tab/>
        </w:r>
        <w:r w:rsidR="00DA7779" w:rsidRPr="008B30C3">
          <w:rPr>
            <w:rStyle w:val="Hyperlink"/>
            <w:noProof/>
            <w:lang w:val="en-GB"/>
          </w:rPr>
          <w:t>Digital Enhanced Cordless Telecommunications</w:t>
        </w:r>
        <w:r w:rsidR="00DA7779">
          <w:rPr>
            <w:noProof/>
            <w:webHidden/>
          </w:rPr>
          <w:tab/>
        </w:r>
        <w:r w:rsidR="00DA7779">
          <w:rPr>
            <w:noProof/>
            <w:webHidden/>
          </w:rPr>
          <w:fldChar w:fldCharType="begin"/>
        </w:r>
        <w:r w:rsidR="00DA7779">
          <w:rPr>
            <w:noProof/>
            <w:webHidden/>
          </w:rPr>
          <w:instrText xml:space="preserve"> PAGEREF _Toc445129316 \h </w:instrText>
        </w:r>
        <w:r w:rsidR="00DA7779">
          <w:rPr>
            <w:noProof/>
            <w:webHidden/>
          </w:rPr>
        </w:r>
        <w:r w:rsidR="00DA7779">
          <w:rPr>
            <w:noProof/>
            <w:webHidden/>
          </w:rPr>
          <w:fldChar w:fldCharType="separate"/>
        </w:r>
        <w:r w:rsidR="00DA7779">
          <w:rPr>
            <w:noProof/>
            <w:webHidden/>
          </w:rPr>
          <w:t>28</w:t>
        </w:r>
        <w:r w:rsidR="00DA7779">
          <w:rPr>
            <w:noProof/>
            <w:webHidden/>
          </w:rPr>
          <w:fldChar w:fldCharType="end"/>
        </w:r>
      </w:hyperlink>
    </w:p>
    <w:p w14:paraId="79B7BBEB" w14:textId="77777777" w:rsidR="00DA7779" w:rsidRDefault="00EE1B6E">
      <w:pPr>
        <w:pStyle w:val="TOC2"/>
        <w:rPr>
          <w:rFonts w:asciiTheme="minorHAnsi" w:eastAsiaTheme="minorEastAsia" w:hAnsiTheme="minorHAnsi" w:cstheme="minorBidi"/>
          <w:noProof/>
          <w:sz w:val="22"/>
          <w:szCs w:val="22"/>
          <w:lang w:val="da-DK" w:eastAsia="da-DK"/>
        </w:rPr>
      </w:pPr>
      <w:hyperlink w:anchor="_Toc445129317" w:history="1">
        <w:r w:rsidR="00DA7779" w:rsidRPr="008B30C3">
          <w:rPr>
            <w:rStyle w:val="Hyperlink"/>
            <w:noProof/>
            <w:lang w:val="en-GB"/>
          </w:rPr>
          <w:t>3.5</w:t>
        </w:r>
        <w:r w:rsidR="00DA7779">
          <w:rPr>
            <w:rFonts w:asciiTheme="minorHAnsi" w:eastAsiaTheme="minorEastAsia" w:hAnsiTheme="minorHAnsi" w:cstheme="minorBidi"/>
            <w:noProof/>
            <w:sz w:val="22"/>
            <w:szCs w:val="22"/>
            <w:lang w:val="da-DK" w:eastAsia="da-DK"/>
          </w:rPr>
          <w:tab/>
        </w:r>
        <w:r w:rsidR="00DA7779" w:rsidRPr="008B30C3">
          <w:rPr>
            <w:rStyle w:val="Hyperlink"/>
            <w:noProof/>
            <w:lang w:val="en-GB"/>
          </w:rPr>
          <w:t>Public Protection and Disaster Relief</w:t>
        </w:r>
        <w:r w:rsidR="00DA7779">
          <w:rPr>
            <w:noProof/>
            <w:webHidden/>
          </w:rPr>
          <w:tab/>
        </w:r>
        <w:r w:rsidR="00DA7779">
          <w:rPr>
            <w:noProof/>
            <w:webHidden/>
          </w:rPr>
          <w:fldChar w:fldCharType="begin"/>
        </w:r>
        <w:r w:rsidR="00DA7779">
          <w:rPr>
            <w:noProof/>
            <w:webHidden/>
          </w:rPr>
          <w:instrText xml:space="preserve"> PAGEREF _Toc445129317 \h </w:instrText>
        </w:r>
        <w:r w:rsidR="00DA7779">
          <w:rPr>
            <w:noProof/>
            <w:webHidden/>
          </w:rPr>
        </w:r>
        <w:r w:rsidR="00DA7779">
          <w:rPr>
            <w:noProof/>
            <w:webHidden/>
          </w:rPr>
          <w:fldChar w:fldCharType="separate"/>
        </w:r>
        <w:r w:rsidR="00DA7779">
          <w:rPr>
            <w:noProof/>
            <w:webHidden/>
          </w:rPr>
          <w:t>30</w:t>
        </w:r>
        <w:r w:rsidR="00DA7779">
          <w:rPr>
            <w:noProof/>
            <w:webHidden/>
          </w:rPr>
          <w:fldChar w:fldCharType="end"/>
        </w:r>
      </w:hyperlink>
    </w:p>
    <w:p w14:paraId="18B10F33" w14:textId="77777777" w:rsidR="00DA7779" w:rsidRDefault="00EE1B6E">
      <w:pPr>
        <w:pStyle w:val="TOC2"/>
        <w:rPr>
          <w:rFonts w:asciiTheme="minorHAnsi" w:eastAsiaTheme="minorEastAsia" w:hAnsiTheme="minorHAnsi" w:cstheme="minorBidi"/>
          <w:noProof/>
          <w:sz w:val="22"/>
          <w:szCs w:val="22"/>
          <w:lang w:val="da-DK" w:eastAsia="da-DK"/>
        </w:rPr>
      </w:pPr>
      <w:hyperlink w:anchor="_Toc445129318" w:history="1">
        <w:r w:rsidR="00DA7779" w:rsidRPr="008B30C3">
          <w:rPr>
            <w:rStyle w:val="Hyperlink"/>
            <w:noProof/>
            <w:lang w:val="en-GB"/>
          </w:rPr>
          <w:t>3.6</w:t>
        </w:r>
        <w:r w:rsidR="00DA7779">
          <w:rPr>
            <w:rFonts w:asciiTheme="minorHAnsi" w:eastAsiaTheme="minorEastAsia" w:hAnsiTheme="minorHAnsi" w:cstheme="minorBidi"/>
            <w:noProof/>
            <w:sz w:val="22"/>
            <w:szCs w:val="22"/>
            <w:lang w:val="da-DK" w:eastAsia="da-DK"/>
          </w:rPr>
          <w:tab/>
        </w:r>
        <w:r w:rsidR="00DA7779" w:rsidRPr="008B30C3">
          <w:rPr>
            <w:rStyle w:val="Hyperlink"/>
            <w:noProof/>
            <w:lang w:val="en-GB"/>
          </w:rPr>
          <w:t>Synergies between the proposed short list of selected use</w:t>
        </w:r>
        <w:r w:rsidR="00DA7779">
          <w:rPr>
            <w:noProof/>
            <w:webHidden/>
          </w:rPr>
          <w:tab/>
        </w:r>
        <w:r w:rsidR="00DA7779">
          <w:rPr>
            <w:noProof/>
            <w:webHidden/>
          </w:rPr>
          <w:fldChar w:fldCharType="begin"/>
        </w:r>
        <w:r w:rsidR="00DA7779">
          <w:rPr>
            <w:noProof/>
            <w:webHidden/>
          </w:rPr>
          <w:instrText xml:space="preserve"> PAGEREF _Toc445129318 \h </w:instrText>
        </w:r>
        <w:r w:rsidR="00DA7779">
          <w:rPr>
            <w:noProof/>
            <w:webHidden/>
          </w:rPr>
        </w:r>
        <w:r w:rsidR="00DA7779">
          <w:rPr>
            <w:noProof/>
            <w:webHidden/>
          </w:rPr>
          <w:fldChar w:fldCharType="separate"/>
        </w:r>
        <w:r w:rsidR="00DA7779">
          <w:rPr>
            <w:noProof/>
            <w:webHidden/>
          </w:rPr>
          <w:t>30</w:t>
        </w:r>
        <w:r w:rsidR="00DA7779">
          <w:rPr>
            <w:noProof/>
            <w:webHidden/>
          </w:rPr>
          <w:fldChar w:fldCharType="end"/>
        </w:r>
      </w:hyperlink>
    </w:p>
    <w:p w14:paraId="5BA0CF7F" w14:textId="77777777" w:rsidR="00DA7779" w:rsidRDefault="00EE1B6E">
      <w:pPr>
        <w:pStyle w:val="TOC1"/>
        <w:rPr>
          <w:rFonts w:asciiTheme="minorHAnsi" w:eastAsiaTheme="minorEastAsia" w:hAnsiTheme="minorHAnsi" w:cstheme="minorBidi"/>
          <w:b w:val="0"/>
          <w:caps w:val="0"/>
          <w:noProof/>
          <w:sz w:val="22"/>
          <w:szCs w:val="22"/>
          <w:lang w:val="da-DK" w:eastAsia="da-DK"/>
        </w:rPr>
      </w:pPr>
      <w:hyperlink w:anchor="_Toc445129319" w:history="1">
        <w:r w:rsidR="00DA7779" w:rsidRPr="008B30C3">
          <w:rPr>
            <w:rStyle w:val="Hyperlink"/>
            <w:noProof/>
          </w:rPr>
          <w:t>4</w:t>
        </w:r>
        <w:r w:rsidR="00DA7779">
          <w:rPr>
            <w:rFonts w:asciiTheme="minorHAnsi" w:eastAsiaTheme="minorEastAsia" w:hAnsiTheme="minorHAnsi" w:cstheme="minorBidi"/>
            <w:b w:val="0"/>
            <w:caps w:val="0"/>
            <w:noProof/>
            <w:sz w:val="22"/>
            <w:szCs w:val="22"/>
            <w:lang w:val="da-DK" w:eastAsia="da-DK"/>
          </w:rPr>
          <w:tab/>
        </w:r>
        <w:r w:rsidR="00DA7779" w:rsidRPr="008B30C3">
          <w:rPr>
            <w:rStyle w:val="Hyperlink"/>
            <w:noProof/>
          </w:rPr>
          <w:t>Compatibility with existing services/applications in the bands adjacent to the unpaired 2 GHz bands</w:t>
        </w:r>
        <w:r w:rsidR="00DA7779">
          <w:rPr>
            <w:noProof/>
            <w:webHidden/>
          </w:rPr>
          <w:tab/>
        </w:r>
        <w:r w:rsidR="00DA7779">
          <w:rPr>
            <w:noProof/>
            <w:webHidden/>
          </w:rPr>
          <w:fldChar w:fldCharType="begin"/>
        </w:r>
        <w:r w:rsidR="00DA7779">
          <w:rPr>
            <w:noProof/>
            <w:webHidden/>
          </w:rPr>
          <w:instrText xml:space="preserve"> PAGEREF _Toc445129319 \h </w:instrText>
        </w:r>
        <w:r w:rsidR="00DA7779">
          <w:rPr>
            <w:noProof/>
            <w:webHidden/>
          </w:rPr>
        </w:r>
        <w:r w:rsidR="00DA7779">
          <w:rPr>
            <w:noProof/>
            <w:webHidden/>
          </w:rPr>
          <w:fldChar w:fldCharType="separate"/>
        </w:r>
        <w:r w:rsidR="00DA7779">
          <w:rPr>
            <w:noProof/>
            <w:webHidden/>
          </w:rPr>
          <w:t>33</w:t>
        </w:r>
        <w:r w:rsidR="00DA7779">
          <w:rPr>
            <w:noProof/>
            <w:webHidden/>
          </w:rPr>
          <w:fldChar w:fldCharType="end"/>
        </w:r>
      </w:hyperlink>
    </w:p>
    <w:p w14:paraId="43452F47" w14:textId="77777777" w:rsidR="00DA7779" w:rsidRDefault="00EE1B6E">
      <w:pPr>
        <w:pStyle w:val="TOC2"/>
        <w:rPr>
          <w:rFonts w:asciiTheme="minorHAnsi" w:eastAsiaTheme="minorEastAsia" w:hAnsiTheme="minorHAnsi" w:cstheme="minorBidi"/>
          <w:noProof/>
          <w:sz w:val="22"/>
          <w:szCs w:val="22"/>
          <w:lang w:val="da-DK" w:eastAsia="da-DK"/>
        </w:rPr>
      </w:pPr>
      <w:hyperlink w:anchor="_Toc445129320" w:history="1">
        <w:r w:rsidR="00DA7779" w:rsidRPr="008B30C3">
          <w:rPr>
            <w:rStyle w:val="Hyperlink"/>
            <w:noProof/>
            <w:lang w:val="en-GB"/>
          </w:rPr>
          <w:t>4.1</w:t>
        </w:r>
        <w:r w:rsidR="00DA7779">
          <w:rPr>
            <w:rFonts w:asciiTheme="minorHAnsi" w:eastAsiaTheme="minorEastAsia" w:hAnsiTheme="minorHAnsi" w:cstheme="minorBidi"/>
            <w:noProof/>
            <w:sz w:val="22"/>
            <w:szCs w:val="22"/>
            <w:lang w:val="da-DK" w:eastAsia="da-DK"/>
          </w:rPr>
          <w:tab/>
        </w:r>
        <w:r w:rsidR="00DA7779" w:rsidRPr="008B30C3">
          <w:rPr>
            <w:rStyle w:val="Hyperlink"/>
            <w:noProof/>
            <w:lang w:val="en-GB"/>
          </w:rPr>
          <w:t>DA2GC</w:t>
        </w:r>
        <w:r w:rsidR="00DA7779">
          <w:rPr>
            <w:noProof/>
            <w:webHidden/>
          </w:rPr>
          <w:tab/>
        </w:r>
        <w:r w:rsidR="00DA7779">
          <w:rPr>
            <w:noProof/>
            <w:webHidden/>
          </w:rPr>
          <w:fldChar w:fldCharType="begin"/>
        </w:r>
        <w:r w:rsidR="00DA7779">
          <w:rPr>
            <w:noProof/>
            <w:webHidden/>
          </w:rPr>
          <w:instrText xml:space="preserve"> PAGEREF _Toc445129320 \h </w:instrText>
        </w:r>
        <w:r w:rsidR="00DA7779">
          <w:rPr>
            <w:noProof/>
            <w:webHidden/>
          </w:rPr>
        </w:r>
        <w:r w:rsidR="00DA7779">
          <w:rPr>
            <w:noProof/>
            <w:webHidden/>
          </w:rPr>
          <w:fldChar w:fldCharType="separate"/>
        </w:r>
        <w:r w:rsidR="00DA7779">
          <w:rPr>
            <w:noProof/>
            <w:webHidden/>
          </w:rPr>
          <w:t>33</w:t>
        </w:r>
        <w:r w:rsidR="00DA7779">
          <w:rPr>
            <w:noProof/>
            <w:webHidden/>
          </w:rPr>
          <w:fldChar w:fldCharType="end"/>
        </w:r>
      </w:hyperlink>
    </w:p>
    <w:p w14:paraId="50337F19" w14:textId="77777777" w:rsidR="00DA7779" w:rsidRDefault="00EE1B6E">
      <w:pPr>
        <w:pStyle w:val="TOC2"/>
        <w:rPr>
          <w:rFonts w:asciiTheme="minorHAnsi" w:eastAsiaTheme="minorEastAsia" w:hAnsiTheme="minorHAnsi" w:cstheme="minorBidi"/>
          <w:noProof/>
          <w:sz w:val="22"/>
          <w:szCs w:val="22"/>
          <w:lang w:val="da-DK" w:eastAsia="da-DK"/>
        </w:rPr>
      </w:pPr>
      <w:hyperlink w:anchor="_Toc445129321" w:history="1">
        <w:r w:rsidR="00DA7779" w:rsidRPr="008B30C3">
          <w:rPr>
            <w:rStyle w:val="Hyperlink"/>
            <w:noProof/>
            <w:lang w:val="en-GB"/>
          </w:rPr>
          <w:t>4.2</w:t>
        </w:r>
        <w:r w:rsidR="00DA7779">
          <w:rPr>
            <w:rFonts w:asciiTheme="minorHAnsi" w:eastAsiaTheme="minorEastAsia" w:hAnsiTheme="minorHAnsi" w:cstheme="minorBidi"/>
            <w:noProof/>
            <w:sz w:val="22"/>
            <w:szCs w:val="22"/>
            <w:lang w:val="da-DK" w:eastAsia="da-DK"/>
          </w:rPr>
          <w:tab/>
        </w:r>
        <w:r w:rsidR="00DA7779" w:rsidRPr="008B30C3">
          <w:rPr>
            <w:rStyle w:val="Hyperlink"/>
            <w:noProof/>
            <w:lang w:val="en-GB"/>
          </w:rPr>
          <w:t>VLCC</w:t>
        </w:r>
        <w:r w:rsidR="00DA7779">
          <w:rPr>
            <w:noProof/>
            <w:webHidden/>
          </w:rPr>
          <w:tab/>
        </w:r>
        <w:r w:rsidR="00DA7779">
          <w:rPr>
            <w:noProof/>
            <w:webHidden/>
          </w:rPr>
          <w:fldChar w:fldCharType="begin"/>
        </w:r>
        <w:r w:rsidR="00DA7779">
          <w:rPr>
            <w:noProof/>
            <w:webHidden/>
          </w:rPr>
          <w:instrText xml:space="preserve"> PAGEREF _Toc445129321 \h </w:instrText>
        </w:r>
        <w:r w:rsidR="00DA7779">
          <w:rPr>
            <w:noProof/>
            <w:webHidden/>
          </w:rPr>
        </w:r>
        <w:r w:rsidR="00DA7779">
          <w:rPr>
            <w:noProof/>
            <w:webHidden/>
          </w:rPr>
          <w:fldChar w:fldCharType="separate"/>
        </w:r>
        <w:r w:rsidR="00DA7779">
          <w:rPr>
            <w:noProof/>
            <w:webHidden/>
          </w:rPr>
          <w:t>35</w:t>
        </w:r>
        <w:r w:rsidR="00DA7779">
          <w:rPr>
            <w:noProof/>
            <w:webHidden/>
          </w:rPr>
          <w:fldChar w:fldCharType="end"/>
        </w:r>
      </w:hyperlink>
    </w:p>
    <w:p w14:paraId="629FC6C9" w14:textId="77777777" w:rsidR="00DA7779" w:rsidRDefault="00EE1B6E">
      <w:pPr>
        <w:pStyle w:val="TOC2"/>
        <w:rPr>
          <w:rFonts w:asciiTheme="minorHAnsi" w:eastAsiaTheme="minorEastAsia" w:hAnsiTheme="minorHAnsi" w:cstheme="minorBidi"/>
          <w:noProof/>
          <w:sz w:val="22"/>
          <w:szCs w:val="22"/>
          <w:lang w:val="da-DK" w:eastAsia="da-DK"/>
        </w:rPr>
      </w:pPr>
      <w:hyperlink w:anchor="_Toc445129322" w:history="1">
        <w:r w:rsidR="00DA7779" w:rsidRPr="008B30C3">
          <w:rPr>
            <w:rStyle w:val="Hyperlink"/>
            <w:noProof/>
            <w:lang w:val="en-GB"/>
          </w:rPr>
          <w:t>4.3</w:t>
        </w:r>
        <w:r w:rsidR="00DA7779">
          <w:rPr>
            <w:rFonts w:asciiTheme="minorHAnsi" w:eastAsiaTheme="minorEastAsia" w:hAnsiTheme="minorHAnsi" w:cstheme="minorBidi"/>
            <w:noProof/>
            <w:sz w:val="22"/>
            <w:szCs w:val="22"/>
            <w:lang w:val="da-DK" w:eastAsia="da-DK"/>
          </w:rPr>
          <w:tab/>
        </w:r>
        <w:r w:rsidR="00DA7779" w:rsidRPr="008B30C3">
          <w:rPr>
            <w:rStyle w:val="Hyperlink"/>
            <w:noProof/>
            <w:lang w:val="en-GB"/>
          </w:rPr>
          <w:t>DECT/SRD</w:t>
        </w:r>
        <w:r w:rsidR="00DA7779">
          <w:rPr>
            <w:noProof/>
            <w:webHidden/>
          </w:rPr>
          <w:tab/>
        </w:r>
        <w:r w:rsidR="00DA7779">
          <w:rPr>
            <w:noProof/>
            <w:webHidden/>
          </w:rPr>
          <w:fldChar w:fldCharType="begin"/>
        </w:r>
        <w:r w:rsidR="00DA7779">
          <w:rPr>
            <w:noProof/>
            <w:webHidden/>
          </w:rPr>
          <w:instrText xml:space="preserve"> PAGEREF _Toc445129322 \h </w:instrText>
        </w:r>
        <w:r w:rsidR="00DA7779">
          <w:rPr>
            <w:noProof/>
            <w:webHidden/>
          </w:rPr>
        </w:r>
        <w:r w:rsidR="00DA7779">
          <w:rPr>
            <w:noProof/>
            <w:webHidden/>
          </w:rPr>
          <w:fldChar w:fldCharType="separate"/>
        </w:r>
        <w:r w:rsidR="00DA7779">
          <w:rPr>
            <w:noProof/>
            <w:webHidden/>
          </w:rPr>
          <w:t>36</w:t>
        </w:r>
        <w:r w:rsidR="00DA7779">
          <w:rPr>
            <w:noProof/>
            <w:webHidden/>
          </w:rPr>
          <w:fldChar w:fldCharType="end"/>
        </w:r>
      </w:hyperlink>
    </w:p>
    <w:p w14:paraId="2699EBA8" w14:textId="77777777" w:rsidR="00DA7779" w:rsidRDefault="00EE1B6E">
      <w:pPr>
        <w:pStyle w:val="TOC1"/>
        <w:rPr>
          <w:rFonts w:asciiTheme="minorHAnsi" w:eastAsiaTheme="minorEastAsia" w:hAnsiTheme="minorHAnsi" w:cstheme="minorBidi"/>
          <w:b w:val="0"/>
          <w:caps w:val="0"/>
          <w:noProof/>
          <w:sz w:val="22"/>
          <w:szCs w:val="22"/>
          <w:lang w:val="da-DK" w:eastAsia="da-DK"/>
        </w:rPr>
      </w:pPr>
      <w:hyperlink w:anchor="_Toc445129323" w:history="1">
        <w:r w:rsidR="00DA7779" w:rsidRPr="008B30C3">
          <w:rPr>
            <w:rStyle w:val="Hyperlink"/>
            <w:noProof/>
          </w:rPr>
          <w:t>5</w:t>
        </w:r>
        <w:r w:rsidR="00DA7779">
          <w:rPr>
            <w:rFonts w:asciiTheme="minorHAnsi" w:eastAsiaTheme="minorEastAsia" w:hAnsiTheme="minorHAnsi" w:cstheme="minorBidi"/>
            <w:b w:val="0"/>
            <w:caps w:val="0"/>
            <w:noProof/>
            <w:sz w:val="22"/>
            <w:szCs w:val="22"/>
            <w:lang w:val="da-DK" w:eastAsia="da-DK"/>
          </w:rPr>
          <w:tab/>
        </w:r>
        <w:r w:rsidR="00DA7779" w:rsidRPr="008B30C3">
          <w:rPr>
            <w:rStyle w:val="Hyperlink"/>
            <w:noProof/>
          </w:rPr>
          <w:t>Possibilities for co-channel and adjacent channel coexistence within the unpaired 2 GHz bands</w:t>
        </w:r>
        <w:r w:rsidR="00DA7779">
          <w:rPr>
            <w:noProof/>
            <w:webHidden/>
          </w:rPr>
          <w:tab/>
        </w:r>
        <w:r w:rsidR="00DA7779">
          <w:rPr>
            <w:noProof/>
            <w:webHidden/>
          </w:rPr>
          <w:fldChar w:fldCharType="begin"/>
        </w:r>
        <w:r w:rsidR="00DA7779">
          <w:rPr>
            <w:noProof/>
            <w:webHidden/>
          </w:rPr>
          <w:instrText xml:space="preserve"> PAGEREF _Toc445129323 \h </w:instrText>
        </w:r>
        <w:r w:rsidR="00DA7779">
          <w:rPr>
            <w:noProof/>
            <w:webHidden/>
          </w:rPr>
        </w:r>
        <w:r w:rsidR="00DA7779">
          <w:rPr>
            <w:noProof/>
            <w:webHidden/>
          </w:rPr>
          <w:fldChar w:fldCharType="separate"/>
        </w:r>
        <w:r w:rsidR="00DA7779">
          <w:rPr>
            <w:noProof/>
            <w:webHidden/>
          </w:rPr>
          <w:t>37</w:t>
        </w:r>
        <w:r w:rsidR="00DA7779">
          <w:rPr>
            <w:noProof/>
            <w:webHidden/>
          </w:rPr>
          <w:fldChar w:fldCharType="end"/>
        </w:r>
      </w:hyperlink>
    </w:p>
    <w:p w14:paraId="79F24F50" w14:textId="77777777" w:rsidR="00DA7779" w:rsidRDefault="00EE1B6E">
      <w:pPr>
        <w:pStyle w:val="TOC2"/>
        <w:rPr>
          <w:rFonts w:asciiTheme="minorHAnsi" w:eastAsiaTheme="minorEastAsia" w:hAnsiTheme="minorHAnsi" w:cstheme="minorBidi"/>
          <w:noProof/>
          <w:sz w:val="22"/>
          <w:szCs w:val="22"/>
          <w:lang w:val="da-DK" w:eastAsia="da-DK"/>
        </w:rPr>
      </w:pPr>
      <w:hyperlink w:anchor="_Toc445129324" w:history="1">
        <w:r w:rsidR="00DA7779" w:rsidRPr="008B30C3">
          <w:rPr>
            <w:rStyle w:val="Hyperlink"/>
            <w:noProof/>
            <w:lang w:val="en-GB"/>
          </w:rPr>
          <w:t>5.1</w:t>
        </w:r>
        <w:r w:rsidR="00DA7779">
          <w:rPr>
            <w:rFonts w:asciiTheme="minorHAnsi" w:eastAsiaTheme="minorEastAsia" w:hAnsiTheme="minorHAnsi" w:cstheme="minorBidi"/>
            <w:noProof/>
            <w:sz w:val="22"/>
            <w:szCs w:val="22"/>
            <w:lang w:val="da-DK" w:eastAsia="da-DK"/>
          </w:rPr>
          <w:tab/>
        </w:r>
        <w:r w:rsidR="00DA7779" w:rsidRPr="008B30C3">
          <w:rPr>
            <w:rStyle w:val="Hyperlink"/>
            <w:noProof/>
            <w:lang w:val="en-GB"/>
          </w:rPr>
          <w:t>Introduction of the two investigated scenarios</w:t>
        </w:r>
        <w:r w:rsidR="00DA7779">
          <w:rPr>
            <w:noProof/>
            <w:webHidden/>
          </w:rPr>
          <w:tab/>
        </w:r>
        <w:r w:rsidR="00DA7779">
          <w:rPr>
            <w:noProof/>
            <w:webHidden/>
          </w:rPr>
          <w:fldChar w:fldCharType="begin"/>
        </w:r>
        <w:r w:rsidR="00DA7779">
          <w:rPr>
            <w:noProof/>
            <w:webHidden/>
          </w:rPr>
          <w:instrText xml:space="preserve"> PAGEREF _Toc445129324 \h </w:instrText>
        </w:r>
        <w:r w:rsidR="00DA7779">
          <w:rPr>
            <w:noProof/>
            <w:webHidden/>
          </w:rPr>
        </w:r>
        <w:r w:rsidR="00DA7779">
          <w:rPr>
            <w:noProof/>
            <w:webHidden/>
          </w:rPr>
          <w:fldChar w:fldCharType="separate"/>
        </w:r>
        <w:r w:rsidR="00DA7779">
          <w:rPr>
            <w:noProof/>
            <w:webHidden/>
          </w:rPr>
          <w:t>37</w:t>
        </w:r>
        <w:r w:rsidR="00DA7779">
          <w:rPr>
            <w:noProof/>
            <w:webHidden/>
          </w:rPr>
          <w:fldChar w:fldCharType="end"/>
        </w:r>
      </w:hyperlink>
    </w:p>
    <w:p w14:paraId="5FD9B49C" w14:textId="77777777" w:rsidR="00DA7779" w:rsidRDefault="00EE1B6E">
      <w:pPr>
        <w:pStyle w:val="TOC2"/>
        <w:rPr>
          <w:rFonts w:asciiTheme="minorHAnsi" w:eastAsiaTheme="minorEastAsia" w:hAnsiTheme="minorHAnsi" w:cstheme="minorBidi"/>
          <w:noProof/>
          <w:sz w:val="22"/>
          <w:szCs w:val="22"/>
          <w:lang w:val="da-DK" w:eastAsia="da-DK"/>
        </w:rPr>
      </w:pPr>
      <w:hyperlink w:anchor="_Toc445129325" w:history="1">
        <w:r w:rsidR="00DA7779" w:rsidRPr="008B30C3">
          <w:rPr>
            <w:rStyle w:val="Hyperlink"/>
            <w:noProof/>
            <w:lang w:val="en-GB"/>
          </w:rPr>
          <w:t>5.2</w:t>
        </w:r>
        <w:r w:rsidR="00DA7779">
          <w:rPr>
            <w:rFonts w:asciiTheme="minorHAnsi" w:eastAsiaTheme="minorEastAsia" w:hAnsiTheme="minorHAnsi" w:cstheme="minorBidi"/>
            <w:noProof/>
            <w:sz w:val="22"/>
            <w:szCs w:val="22"/>
            <w:lang w:val="da-DK" w:eastAsia="da-DK"/>
          </w:rPr>
          <w:tab/>
        </w:r>
        <w:r w:rsidR="00DA7779" w:rsidRPr="008B30C3">
          <w:rPr>
            <w:rStyle w:val="Hyperlink"/>
            <w:noProof/>
            <w:lang w:val="en-GB"/>
          </w:rPr>
          <w:t>Coexistence between each candidate application</w:t>
        </w:r>
        <w:r w:rsidR="00DA7779">
          <w:rPr>
            <w:noProof/>
            <w:webHidden/>
          </w:rPr>
          <w:tab/>
        </w:r>
        <w:r w:rsidR="00DA7779">
          <w:rPr>
            <w:noProof/>
            <w:webHidden/>
          </w:rPr>
          <w:fldChar w:fldCharType="begin"/>
        </w:r>
        <w:r w:rsidR="00DA7779">
          <w:rPr>
            <w:noProof/>
            <w:webHidden/>
          </w:rPr>
          <w:instrText xml:space="preserve"> PAGEREF _Toc445129325 \h </w:instrText>
        </w:r>
        <w:r w:rsidR="00DA7779">
          <w:rPr>
            <w:noProof/>
            <w:webHidden/>
          </w:rPr>
        </w:r>
        <w:r w:rsidR="00DA7779">
          <w:rPr>
            <w:noProof/>
            <w:webHidden/>
          </w:rPr>
          <w:fldChar w:fldCharType="separate"/>
        </w:r>
        <w:r w:rsidR="00DA7779">
          <w:rPr>
            <w:noProof/>
            <w:webHidden/>
          </w:rPr>
          <w:t>41</w:t>
        </w:r>
        <w:r w:rsidR="00DA7779">
          <w:rPr>
            <w:noProof/>
            <w:webHidden/>
          </w:rPr>
          <w:fldChar w:fldCharType="end"/>
        </w:r>
      </w:hyperlink>
    </w:p>
    <w:p w14:paraId="3DF2AAF3" w14:textId="77777777" w:rsidR="00DA7779" w:rsidRDefault="00EE1B6E">
      <w:pPr>
        <w:pStyle w:val="TOC1"/>
        <w:rPr>
          <w:rFonts w:asciiTheme="minorHAnsi" w:eastAsiaTheme="minorEastAsia" w:hAnsiTheme="minorHAnsi" w:cstheme="minorBidi"/>
          <w:b w:val="0"/>
          <w:caps w:val="0"/>
          <w:noProof/>
          <w:sz w:val="22"/>
          <w:szCs w:val="22"/>
          <w:lang w:val="da-DK" w:eastAsia="da-DK"/>
        </w:rPr>
      </w:pPr>
      <w:hyperlink w:anchor="_Toc445129326" w:history="1">
        <w:r w:rsidR="00DA7779" w:rsidRPr="008B30C3">
          <w:rPr>
            <w:rStyle w:val="Hyperlink"/>
            <w:noProof/>
          </w:rPr>
          <w:t>6</w:t>
        </w:r>
        <w:r w:rsidR="00DA7779">
          <w:rPr>
            <w:rFonts w:asciiTheme="minorHAnsi" w:eastAsiaTheme="minorEastAsia" w:hAnsiTheme="minorHAnsi" w:cstheme="minorBidi"/>
            <w:b w:val="0"/>
            <w:caps w:val="0"/>
            <w:noProof/>
            <w:sz w:val="22"/>
            <w:szCs w:val="22"/>
            <w:lang w:val="da-DK" w:eastAsia="da-DK"/>
          </w:rPr>
          <w:tab/>
        </w:r>
        <w:r w:rsidR="00DA7779" w:rsidRPr="008B30C3">
          <w:rPr>
            <w:rStyle w:val="Hyperlink"/>
            <w:noProof/>
          </w:rPr>
          <w:t>common minimal (least restrictive) technical conditions</w:t>
        </w:r>
        <w:r w:rsidR="00DA7779">
          <w:rPr>
            <w:noProof/>
            <w:webHidden/>
          </w:rPr>
          <w:tab/>
        </w:r>
        <w:r w:rsidR="00DA7779">
          <w:rPr>
            <w:noProof/>
            <w:webHidden/>
          </w:rPr>
          <w:fldChar w:fldCharType="begin"/>
        </w:r>
        <w:r w:rsidR="00DA7779">
          <w:rPr>
            <w:noProof/>
            <w:webHidden/>
          </w:rPr>
          <w:instrText xml:space="preserve"> PAGEREF _Toc445129326 \h </w:instrText>
        </w:r>
        <w:r w:rsidR="00DA7779">
          <w:rPr>
            <w:noProof/>
            <w:webHidden/>
          </w:rPr>
        </w:r>
        <w:r w:rsidR="00DA7779">
          <w:rPr>
            <w:noProof/>
            <w:webHidden/>
          </w:rPr>
          <w:fldChar w:fldCharType="separate"/>
        </w:r>
        <w:r w:rsidR="00DA7779">
          <w:rPr>
            <w:noProof/>
            <w:webHidden/>
          </w:rPr>
          <w:t>43</w:t>
        </w:r>
        <w:r w:rsidR="00DA7779">
          <w:rPr>
            <w:noProof/>
            <w:webHidden/>
          </w:rPr>
          <w:fldChar w:fldCharType="end"/>
        </w:r>
      </w:hyperlink>
    </w:p>
    <w:p w14:paraId="219503CC" w14:textId="77777777" w:rsidR="00DA7779" w:rsidRDefault="00EE1B6E">
      <w:pPr>
        <w:pStyle w:val="TOC2"/>
        <w:rPr>
          <w:rFonts w:asciiTheme="minorHAnsi" w:eastAsiaTheme="minorEastAsia" w:hAnsiTheme="minorHAnsi" w:cstheme="minorBidi"/>
          <w:noProof/>
          <w:sz w:val="22"/>
          <w:szCs w:val="22"/>
          <w:lang w:val="da-DK" w:eastAsia="da-DK"/>
        </w:rPr>
      </w:pPr>
      <w:hyperlink w:anchor="_Toc445129327" w:history="1">
        <w:r w:rsidR="00DA7779" w:rsidRPr="008B30C3">
          <w:rPr>
            <w:rStyle w:val="Hyperlink"/>
            <w:noProof/>
            <w:lang w:val="en-GB"/>
          </w:rPr>
          <w:t>6.1</w:t>
        </w:r>
        <w:r w:rsidR="00DA7779">
          <w:rPr>
            <w:rFonts w:asciiTheme="minorHAnsi" w:eastAsiaTheme="minorEastAsia" w:hAnsiTheme="minorHAnsi" w:cstheme="minorBidi"/>
            <w:noProof/>
            <w:sz w:val="22"/>
            <w:szCs w:val="22"/>
            <w:lang w:val="da-DK" w:eastAsia="da-DK"/>
          </w:rPr>
          <w:tab/>
        </w:r>
        <w:r w:rsidR="00DA7779" w:rsidRPr="008B30C3">
          <w:rPr>
            <w:rStyle w:val="Hyperlink"/>
            <w:noProof/>
            <w:lang w:val="en-GB"/>
          </w:rPr>
          <w:t>Broadband DA2GC</w:t>
        </w:r>
        <w:r w:rsidR="00DA7779">
          <w:rPr>
            <w:noProof/>
            <w:webHidden/>
          </w:rPr>
          <w:tab/>
        </w:r>
        <w:r w:rsidR="00DA7779">
          <w:rPr>
            <w:noProof/>
            <w:webHidden/>
          </w:rPr>
          <w:fldChar w:fldCharType="begin"/>
        </w:r>
        <w:r w:rsidR="00DA7779">
          <w:rPr>
            <w:noProof/>
            <w:webHidden/>
          </w:rPr>
          <w:instrText xml:space="preserve"> PAGEREF _Toc445129327 \h </w:instrText>
        </w:r>
        <w:r w:rsidR="00DA7779">
          <w:rPr>
            <w:noProof/>
            <w:webHidden/>
          </w:rPr>
        </w:r>
        <w:r w:rsidR="00DA7779">
          <w:rPr>
            <w:noProof/>
            <w:webHidden/>
          </w:rPr>
          <w:fldChar w:fldCharType="separate"/>
        </w:r>
        <w:r w:rsidR="00DA7779">
          <w:rPr>
            <w:noProof/>
            <w:webHidden/>
          </w:rPr>
          <w:t>43</w:t>
        </w:r>
        <w:r w:rsidR="00DA7779">
          <w:rPr>
            <w:noProof/>
            <w:webHidden/>
          </w:rPr>
          <w:fldChar w:fldCharType="end"/>
        </w:r>
      </w:hyperlink>
    </w:p>
    <w:p w14:paraId="6CBF6294" w14:textId="77777777" w:rsidR="00DA7779" w:rsidRDefault="00EE1B6E">
      <w:pPr>
        <w:pStyle w:val="TOC2"/>
        <w:rPr>
          <w:rFonts w:asciiTheme="minorHAnsi" w:eastAsiaTheme="minorEastAsia" w:hAnsiTheme="minorHAnsi" w:cstheme="minorBidi"/>
          <w:noProof/>
          <w:sz w:val="22"/>
          <w:szCs w:val="22"/>
          <w:lang w:val="da-DK" w:eastAsia="da-DK"/>
        </w:rPr>
      </w:pPr>
      <w:hyperlink w:anchor="_Toc445129328" w:history="1">
        <w:r w:rsidR="00DA7779" w:rsidRPr="008B30C3">
          <w:rPr>
            <w:rStyle w:val="Hyperlink"/>
            <w:noProof/>
            <w:lang w:val="en-GB"/>
          </w:rPr>
          <w:t>6.2</w:t>
        </w:r>
        <w:r w:rsidR="00DA7779">
          <w:rPr>
            <w:rFonts w:asciiTheme="minorHAnsi" w:eastAsiaTheme="minorEastAsia" w:hAnsiTheme="minorHAnsi" w:cstheme="minorBidi"/>
            <w:noProof/>
            <w:sz w:val="22"/>
            <w:szCs w:val="22"/>
            <w:lang w:val="da-DK" w:eastAsia="da-DK"/>
          </w:rPr>
          <w:tab/>
        </w:r>
        <w:r w:rsidR="00DA7779" w:rsidRPr="008B30C3">
          <w:rPr>
            <w:rStyle w:val="Hyperlink"/>
            <w:noProof/>
            <w:lang w:val="en-GB"/>
          </w:rPr>
          <w:t>Video Links and cordless cameras (PMSE/ad-hoc PPDR)</w:t>
        </w:r>
        <w:r w:rsidR="00DA7779">
          <w:rPr>
            <w:noProof/>
            <w:webHidden/>
          </w:rPr>
          <w:tab/>
        </w:r>
        <w:r w:rsidR="00DA7779">
          <w:rPr>
            <w:noProof/>
            <w:webHidden/>
          </w:rPr>
          <w:fldChar w:fldCharType="begin"/>
        </w:r>
        <w:r w:rsidR="00DA7779">
          <w:rPr>
            <w:noProof/>
            <w:webHidden/>
          </w:rPr>
          <w:instrText xml:space="preserve"> PAGEREF _Toc445129328 \h </w:instrText>
        </w:r>
        <w:r w:rsidR="00DA7779">
          <w:rPr>
            <w:noProof/>
            <w:webHidden/>
          </w:rPr>
        </w:r>
        <w:r w:rsidR="00DA7779">
          <w:rPr>
            <w:noProof/>
            <w:webHidden/>
          </w:rPr>
          <w:fldChar w:fldCharType="separate"/>
        </w:r>
        <w:r w:rsidR="00DA7779">
          <w:rPr>
            <w:noProof/>
            <w:webHidden/>
          </w:rPr>
          <w:t>43</w:t>
        </w:r>
        <w:r w:rsidR="00DA7779">
          <w:rPr>
            <w:noProof/>
            <w:webHidden/>
          </w:rPr>
          <w:fldChar w:fldCharType="end"/>
        </w:r>
      </w:hyperlink>
    </w:p>
    <w:p w14:paraId="0535ADD2" w14:textId="77777777" w:rsidR="00DA7779" w:rsidRDefault="00EE1B6E">
      <w:pPr>
        <w:pStyle w:val="TOC2"/>
        <w:rPr>
          <w:rFonts w:asciiTheme="minorHAnsi" w:eastAsiaTheme="minorEastAsia" w:hAnsiTheme="minorHAnsi" w:cstheme="minorBidi"/>
          <w:noProof/>
          <w:sz w:val="22"/>
          <w:szCs w:val="22"/>
          <w:lang w:val="da-DK" w:eastAsia="da-DK"/>
        </w:rPr>
      </w:pPr>
      <w:hyperlink w:anchor="_Toc445129329" w:history="1">
        <w:r w:rsidR="00DA7779" w:rsidRPr="008B30C3">
          <w:rPr>
            <w:rStyle w:val="Hyperlink"/>
            <w:noProof/>
            <w:lang w:val="en-GB"/>
          </w:rPr>
          <w:t>6.3</w:t>
        </w:r>
        <w:r w:rsidR="00DA7779">
          <w:rPr>
            <w:rFonts w:asciiTheme="minorHAnsi" w:eastAsiaTheme="minorEastAsia" w:hAnsiTheme="minorHAnsi" w:cstheme="minorBidi"/>
            <w:noProof/>
            <w:sz w:val="22"/>
            <w:szCs w:val="22"/>
            <w:lang w:val="da-DK" w:eastAsia="da-DK"/>
          </w:rPr>
          <w:tab/>
        </w:r>
        <w:r w:rsidR="00DA7779" w:rsidRPr="008B30C3">
          <w:rPr>
            <w:rStyle w:val="Hyperlink"/>
            <w:noProof/>
            <w:lang w:val="en-GB"/>
          </w:rPr>
          <w:t>Applications under general authorisation (DECT/SRD)</w:t>
        </w:r>
        <w:r w:rsidR="00DA7779">
          <w:rPr>
            <w:noProof/>
            <w:webHidden/>
          </w:rPr>
          <w:tab/>
        </w:r>
        <w:r w:rsidR="00DA7779">
          <w:rPr>
            <w:noProof/>
            <w:webHidden/>
          </w:rPr>
          <w:fldChar w:fldCharType="begin"/>
        </w:r>
        <w:r w:rsidR="00DA7779">
          <w:rPr>
            <w:noProof/>
            <w:webHidden/>
          </w:rPr>
          <w:instrText xml:space="preserve"> PAGEREF _Toc445129329 \h </w:instrText>
        </w:r>
        <w:r w:rsidR="00DA7779">
          <w:rPr>
            <w:noProof/>
            <w:webHidden/>
          </w:rPr>
        </w:r>
        <w:r w:rsidR="00DA7779">
          <w:rPr>
            <w:noProof/>
            <w:webHidden/>
          </w:rPr>
          <w:fldChar w:fldCharType="separate"/>
        </w:r>
        <w:r w:rsidR="00DA7779">
          <w:rPr>
            <w:noProof/>
            <w:webHidden/>
          </w:rPr>
          <w:t>44</w:t>
        </w:r>
        <w:r w:rsidR="00DA7779">
          <w:rPr>
            <w:noProof/>
            <w:webHidden/>
          </w:rPr>
          <w:fldChar w:fldCharType="end"/>
        </w:r>
      </w:hyperlink>
    </w:p>
    <w:p w14:paraId="775A13E6" w14:textId="77777777" w:rsidR="00DA7779" w:rsidRDefault="00EE1B6E">
      <w:pPr>
        <w:pStyle w:val="TOC1"/>
        <w:rPr>
          <w:rFonts w:asciiTheme="minorHAnsi" w:eastAsiaTheme="minorEastAsia" w:hAnsiTheme="minorHAnsi" w:cstheme="minorBidi"/>
          <w:b w:val="0"/>
          <w:caps w:val="0"/>
          <w:noProof/>
          <w:sz w:val="22"/>
          <w:szCs w:val="22"/>
          <w:lang w:val="da-DK" w:eastAsia="da-DK"/>
        </w:rPr>
      </w:pPr>
      <w:hyperlink w:anchor="_Toc445129330" w:history="1">
        <w:r w:rsidR="00DA7779" w:rsidRPr="008B30C3">
          <w:rPr>
            <w:rStyle w:val="Hyperlink"/>
            <w:noProof/>
          </w:rPr>
          <w:t>7</w:t>
        </w:r>
        <w:r w:rsidR="00DA7779">
          <w:rPr>
            <w:rFonts w:asciiTheme="minorHAnsi" w:eastAsiaTheme="minorEastAsia" w:hAnsiTheme="minorHAnsi" w:cstheme="minorBidi"/>
            <w:b w:val="0"/>
            <w:caps w:val="0"/>
            <w:noProof/>
            <w:sz w:val="22"/>
            <w:szCs w:val="22"/>
            <w:lang w:val="da-DK" w:eastAsia="da-DK"/>
          </w:rPr>
          <w:tab/>
        </w:r>
        <w:r w:rsidR="00DA7779" w:rsidRPr="008B30C3">
          <w:rPr>
            <w:rStyle w:val="Hyperlink"/>
            <w:noProof/>
          </w:rPr>
          <w:t>HARMONISATION POSSIBILITIES</w:t>
        </w:r>
        <w:r w:rsidR="00DA7779">
          <w:rPr>
            <w:noProof/>
            <w:webHidden/>
          </w:rPr>
          <w:tab/>
        </w:r>
        <w:r w:rsidR="00DA7779">
          <w:rPr>
            <w:noProof/>
            <w:webHidden/>
          </w:rPr>
          <w:fldChar w:fldCharType="begin"/>
        </w:r>
        <w:r w:rsidR="00DA7779">
          <w:rPr>
            <w:noProof/>
            <w:webHidden/>
          </w:rPr>
          <w:instrText xml:space="preserve"> PAGEREF _Toc445129330 \h </w:instrText>
        </w:r>
        <w:r w:rsidR="00DA7779">
          <w:rPr>
            <w:noProof/>
            <w:webHidden/>
          </w:rPr>
        </w:r>
        <w:r w:rsidR="00DA7779">
          <w:rPr>
            <w:noProof/>
            <w:webHidden/>
          </w:rPr>
          <w:fldChar w:fldCharType="separate"/>
        </w:r>
        <w:r w:rsidR="00DA7779">
          <w:rPr>
            <w:noProof/>
            <w:webHidden/>
          </w:rPr>
          <w:t>47</w:t>
        </w:r>
        <w:r w:rsidR="00DA7779">
          <w:rPr>
            <w:noProof/>
            <w:webHidden/>
          </w:rPr>
          <w:fldChar w:fldCharType="end"/>
        </w:r>
      </w:hyperlink>
    </w:p>
    <w:p w14:paraId="55BA4AC0" w14:textId="77777777" w:rsidR="00DA7779" w:rsidRDefault="00EE1B6E">
      <w:pPr>
        <w:pStyle w:val="TOC2"/>
        <w:rPr>
          <w:rFonts w:asciiTheme="minorHAnsi" w:eastAsiaTheme="minorEastAsia" w:hAnsiTheme="minorHAnsi" w:cstheme="minorBidi"/>
          <w:noProof/>
          <w:sz w:val="22"/>
          <w:szCs w:val="22"/>
          <w:lang w:val="da-DK" w:eastAsia="da-DK"/>
        </w:rPr>
      </w:pPr>
      <w:hyperlink w:anchor="_Toc445129331" w:history="1">
        <w:r w:rsidR="00DA7779" w:rsidRPr="008B30C3">
          <w:rPr>
            <w:rStyle w:val="Hyperlink"/>
            <w:noProof/>
            <w:lang w:val="en-GB"/>
          </w:rPr>
          <w:t>7.1</w:t>
        </w:r>
        <w:r w:rsidR="00DA7779">
          <w:rPr>
            <w:rFonts w:asciiTheme="minorHAnsi" w:eastAsiaTheme="minorEastAsia" w:hAnsiTheme="minorHAnsi" w:cstheme="minorBidi"/>
            <w:noProof/>
            <w:sz w:val="22"/>
            <w:szCs w:val="22"/>
            <w:lang w:val="da-DK" w:eastAsia="da-DK"/>
          </w:rPr>
          <w:tab/>
        </w:r>
        <w:r w:rsidR="00DA7779" w:rsidRPr="008B30C3">
          <w:rPr>
            <w:rStyle w:val="Hyperlink"/>
            <w:noProof/>
            <w:lang w:val="en-GB"/>
          </w:rPr>
          <w:t>DA2GC</w:t>
        </w:r>
        <w:r w:rsidR="00DA7779">
          <w:rPr>
            <w:noProof/>
            <w:webHidden/>
          </w:rPr>
          <w:tab/>
        </w:r>
        <w:r w:rsidR="00DA7779">
          <w:rPr>
            <w:noProof/>
            <w:webHidden/>
          </w:rPr>
          <w:fldChar w:fldCharType="begin"/>
        </w:r>
        <w:r w:rsidR="00DA7779">
          <w:rPr>
            <w:noProof/>
            <w:webHidden/>
          </w:rPr>
          <w:instrText xml:space="preserve"> PAGEREF _Toc445129331 \h </w:instrText>
        </w:r>
        <w:r w:rsidR="00DA7779">
          <w:rPr>
            <w:noProof/>
            <w:webHidden/>
          </w:rPr>
        </w:r>
        <w:r w:rsidR="00DA7779">
          <w:rPr>
            <w:noProof/>
            <w:webHidden/>
          </w:rPr>
          <w:fldChar w:fldCharType="separate"/>
        </w:r>
        <w:r w:rsidR="00DA7779">
          <w:rPr>
            <w:noProof/>
            <w:webHidden/>
          </w:rPr>
          <w:t>47</w:t>
        </w:r>
        <w:r w:rsidR="00DA7779">
          <w:rPr>
            <w:noProof/>
            <w:webHidden/>
          </w:rPr>
          <w:fldChar w:fldCharType="end"/>
        </w:r>
      </w:hyperlink>
    </w:p>
    <w:p w14:paraId="66D28CAD" w14:textId="77777777" w:rsidR="00DA7779" w:rsidRDefault="00EE1B6E">
      <w:pPr>
        <w:pStyle w:val="TOC2"/>
        <w:rPr>
          <w:rFonts w:asciiTheme="minorHAnsi" w:eastAsiaTheme="minorEastAsia" w:hAnsiTheme="minorHAnsi" w:cstheme="minorBidi"/>
          <w:noProof/>
          <w:sz w:val="22"/>
          <w:szCs w:val="22"/>
          <w:lang w:val="da-DK" w:eastAsia="da-DK"/>
        </w:rPr>
      </w:pPr>
      <w:hyperlink w:anchor="_Toc445129332" w:history="1">
        <w:r w:rsidR="00DA7779" w:rsidRPr="008B30C3">
          <w:rPr>
            <w:rStyle w:val="Hyperlink"/>
            <w:noProof/>
            <w:lang w:val="en-GB"/>
          </w:rPr>
          <w:t>7.2</w:t>
        </w:r>
        <w:r w:rsidR="00DA7779">
          <w:rPr>
            <w:rFonts w:asciiTheme="minorHAnsi" w:eastAsiaTheme="minorEastAsia" w:hAnsiTheme="minorHAnsi" w:cstheme="minorBidi"/>
            <w:noProof/>
            <w:sz w:val="22"/>
            <w:szCs w:val="22"/>
            <w:lang w:val="da-DK" w:eastAsia="da-DK"/>
          </w:rPr>
          <w:tab/>
        </w:r>
        <w:r w:rsidR="00DA7779" w:rsidRPr="008B30C3">
          <w:rPr>
            <w:rStyle w:val="Hyperlink"/>
            <w:noProof/>
            <w:lang w:val="en-GB"/>
          </w:rPr>
          <w:t>VLCC</w:t>
        </w:r>
        <w:r w:rsidR="00DA7779">
          <w:rPr>
            <w:noProof/>
            <w:webHidden/>
          </w:rPr>
          <w:tab/>
        </w:r>
        <w:r w:rsidR="00DA7779">
          <w:rPr>
            <w:noProof/>
            <w:webHidden/>
          </w:rPr>
          <w:fldChar w:fldCharType="begin"/>
        </w:r>
        <w:r w:rsidR="00DA7779">
          <w:rPr>
            <w:noProof/>
            <w:webHidden/>
          </w:rPr>
          <w:instrText xml:space="preserve"> PAGEREF _Toc445129332 \h </w:instrText>
        </w:r>
        <w:r w:rsidR="00DA7779">
          <w:rPr>
            <w:noProof/>
            <w:webHidden/>
          </w:rPr>
        </w:r>
        <w:r w:rsidR="00DA7779">
          <w:rPr>
            <w:noProof/>
            <w:webHidden/>
          </w:rPr>
          <w:fldChar w:fldCharType="separate"/>
        </w:r>
        <w:r w:rsidR="00DA7779">
          <w:rPr>
            <w:noProof/>
            <w:webHidden/>
          </w:rPr>
          <w:t>48</w:t>
        </w:r>
        <w:r w:rsidR="00DA7779">
          <w:rPr>
            <w:noProof/>
            <w:webHidden/>
          </w:rPr>
          <w:fldChar w:fldCharType="end"/>
        </w:r>
      </w:hyperlink>
    </w:p>
    <w:p w14:paraId="366BBC63" w14:textId="77777777" w:rsidR="00DA7779" w:rsidRDefault="00EE1B6E">
      <w:pPr>
        <w:pStyle w:val="TOC2"/>
        <w:rPr>
          <w:rFonts w:asciiTheme="minorHAnsi" w:eastAsiaTheme="minorEastAsia" w:hAnsiTheme="minorHAnsi" w:cstheme="minorBidi"/>
          <w:noProof/>
          <w:sz w:val="22"/>
          <w:szCs w:val="22"/>
          <w:lang w:val="da-DK" w:eastAsia="da-DK"/>
        </w:rPr>
      </w:pPr>
      <w:hyperlink w:anchor="_Toc445129333" w:history="1">
        <w:r w:rsidR="00DA7779" w:rsidRPr="008B30C3">
          <w:rPr>
            <w:rStyle w:val="Hyperlink"/>
            <w:noProof/>
            <w:lang w:val="en-GB"/>
          </w:rPr>
          <w:t>7.3</w:t>
        </w:r>
        <w:r w:rsidR="00DA7779">
          <w:rPr>
            <w:rFonts w:asciiTheme="minorHAnsi" w:eastAsiaTheme="minorEastAsia" w:hAnsiTheme="minorHAnsi" w:cstheme="minorBidi"/>
            <w:noProof/>
            <w:sz w:val="22"/>
            <w:szCs w:val="22"/>
            <w:lang w:val="da-DK" w:eastAsia="da-DK"/>
          </w:rPr>
          <w:tab/>
        </w:r>
        <w:r w:rsidR="00DA7779" w:rsidRPr="008B30C3">
          <w:rPr>
            <w:rStyle w:val="Hyperlink"/>
            <w:noProof/>
            <w:lang w:val="en-GB"/>
          </w:rPr>
          <w:t>DECT/SRD</w:t>
        </w:r>
        <w:r w:rsidR="00DA7779">
          <w:rPr>
            <w:noProof/>
            <w:webHidden/>
          </w:rPr>
          <w:tab/>
        </w:r>
        <w:r w:rsidR="00DA7779">
          <w:rPr>
            <w:noProof/>
            <w:webHidden/>
          </w:rPr>
          <w:fldChar w:fldCharType="begin"/>
        </w:r>
        <w:r w:rsidR="00DA7779">
          <w:rPr>
            <w:noProof/>
            <w:webHidden/>
          </w:rPr>
          <w:instrText xml:space="preserve"> PAGEREF _Toc445129333 \h </w:instrText>
        </w:r>
        <w:r w:rsidR="00DA7779">
          <w:rPr>
            <w:noProof/>
            <w:webHidden/>
          </w:rPr>
        </w:r>
        <w:r w:rsidR="00DA7779">
          <w:rPr>
            <w:noProof/>
            <w:webHidden/>
          </w:rPr>
          <w:fldChar w:fldCharType="separate"/>
        </w:r>
        <w:r w:rsidR="00DA7779">
          <w:rPr>
            <w:noProof/>
            <w:webHidden/>
          </w:rPr>
          <w:t>48</w:t>
        </w:r>
        <w:r w:rsidR="00DA7779">
          <w:rPr>
            <w:noProof/>
            <w:webHidden/>
          </w:rPr>
          <w:fldChar w:fldCharType="end"/>
        </w:r>
      </w:hyperlink>
    </w:p>
    <w:p w14:paraId="5E26FF40" w14:textId="77777777" w:rsidR="00DA7779" w:rsidRDefault="00EE1B6E">
      <w:pPr>
        <w:pStyle w:val="TOC1"/>
        <w:rPr>
          <w:rFonts w:asciiTheme="minorHAnsi" w:eastAsiaTheme="minorEastAsia" w:hAnsiTheme="minorHAnsi" w:cstheme="minorBidi"/>
          <w:b w:val="0"/>
          <w:caps w:val="0"/>
          <w:noProof/>
          <w:sz w:val="22"/>
          <w:szCs w:val="22"/>
          <w:lang w:val="da-DK" w:eastAsia="da-DK"/>
        </w:rPr>
      </w:pPr>
      <w:hyperlink w:anchor="_Toc445129334" w:history="1">
        <w:r w:rsidR="00DA7779" w:rsidRPr="008B30C3">
          <w:rPr>
            <w:rStyle w:val="Hyperlink"/>
            <w:noProof/>
          </w:rPr>
          <w:t>8</w:t>
        </w:r>
        <w:r w:rsidR="00DA7779">
          <w:rPr>
            <w:rFonts w:asciiTheme="minorHAnsi" w:eastAsiaTheme="minorEastAsia" w:hAnsiTheme="minorHAnsi" w:cstheme="minorBidi"/>
            <w:b w:val="0"/>
            <w:caps w:val="0"/>
            <w:noProof/>
            <w:sz w:val="22"/>
            <w:szCs w:val="22"/>
            <w:lang w:val="da-DK" w:eastAsia="da-DK"/>
          </w:rPr>
          <w:tab/>
        </w:r>
        <w:r w:rsidR="00DA7779" w:rsidRPr="008B30C3">
          <w:rPr>
            <w:rStyle w:val="Hyperlink"/>
            <w:noProof/>
          </w:rPr>
          <w:t>CONCLUSIONS</w:t>
        </w:r>
        <w:r w:rsidR="00DA7779">
          <w:rPr>
            <w:noProof/>
            <w:webHidden/>
          </w:rPr>
          <w:tab/>
        </w:r>
        <w:r w:rsidR="00DA7779">
          <w:rPr>
            <w:noProof/>
            <w:webHidden/>
          </w:rPr>
          <w:fldChar w:fldCharType="begin"/>
        </w:r>
        <w:r w:rsidR="00DA7779">
          <w:rPr>
            <w:noProof/>
            <w:webHidden/>
          </w:rPr>
          <w:instrText xml:space="preserve"> PAGEREF _Toc445129334 \h </w:instrText>
        </w:r>
        <w:r w:rsidR="00DA7779">
          <w:rPr>
            <w:noProof/>
            <w:webHidden/>
          </w:rPr>
        </w:r>
        <w:r w:rsidR="00DA7779">
          <w:rPr>
            <w:noProof/>
            <w:webHidden/>
          </w:rPr>
          <w:fldChar w:fldCharType="separate"/>
        </w:r>
        <w:r w:rsidR="00DA7779">
          <w:rPr>
            <w:noProof/>
            <w:webHidden/>
          </w:rPr>
          <w:t>49</w:t>
        </w:r>
        <w:r w:rsidR="00DA7779">
          <w:rPr>
            <w:noProof/>
            <w:webHidden/>
          </w:rPr>
          <w:fldChar w:fldCharType="end"/>
        </w:r>
      </w:hyperlink>
    </w:p>
    <w:p w14:paraId="191B1990" w14:textId="77777777" w:rsidR="00DA7779" w:rsidRDefault="00EE1B6E">
      <w:pPr>
        <w:pStyle w:val="TOC1"/>
        <w:rPr>
          <w:rFonts w:asciiTheme="minorHAnsi" w:eastAsiaTheme="minorEastAsia" w:hAnsiTheme="minorHAnsi" w:cstheme="minorBidi"/>
          <w:b w:val="0"/>
          <w:caps w:val="0"/>
          <w:noProof/>
          <w:sz w:val="22"/>
          <w:szCs w:val="22"/>
          <w:lang w:val="da-DK" w:eastAsia="da-DK"/>
        </w:rPr>
      </w:pPr>
      <w:hyperlink w:anchor="_Toc445129335" w:history="1">
        <w:r w:rsidR="00DA7779" w:rsidRPr="008B30C3">
          <w:rPr>
            <w:rStyle w:val="Hyperlink"/>
            <w:noProof/>
          </w:rPr>
          <w:t>ANNEX 1: EC Mandate</w:t>
        </w:r>
        <w:r w:rsidR="00DA7779">
          <w:rPr>
            <w:noProof/>
            <w:webHidden/>
          </w:rPr>
          <w:tab/>
        </w:r>
        <w:r w:rsidR="00DA7779">
          <w:rPr>
            <w:noProof/>
            <w:webHidden/>
          </w:rPr>
          <w:fldChar w:fldCharType="begin"/>
        </w:r>
        <w:r w:rsidR="00DA7779">
          <w:rPr>
            <w:noProof/>
            <w:webHidden/>
          </w:rPr>
          <w:instrText xml:space="preserve"> PAGEREF _Toc445129335 \h </w:instrText>
        </w:r>
        <w:r w:rsidR="00DA7779">
          <w:rPr>
            <w:noProof/>
            <w:webHidden/>
          </w:rPr>
        </w:r>
        <w:r w:rsidR="00DA7779">
          <w:rPr>
            <w:noProof/>
            <w:webHidden/>
          </w:rPr>
          <w:fldChar w:fldCharType="separate"/>
        </w:r>
        <w:r w:rsidR="00DA7779">
          <w:rPr>
            <w:noProof/>
            <w:webHidden/>
          </w:rPr>
          <w:t>50</w:t>
        </w:r>
        <w:r w:rsidR="00DA7779">
          <w:rPr>
            <w:noProof/>
            <w:webHidden/>
          </w:rPr>
          <w:fldChar w:fldCharType="end"/>
        </w:r>
      </w:hyperlink>
    </w:p>
    <w:p w14:paraId="3FB05E96" w14:textId="77777777" w:rsidR="00DA7779" w:rsidRDefault="00EE1B6E">
      <w:pPr>
        <w:pStyle w:val="TOC1"/>
        <w:rPr>
          <w:rFonts w:asciiTheme="minorHAnsi" w:eastAsiaTheme="minorEastAsia" w:hAnsiTheme="minorHAnsi" w:cstheme="minorBidi"/>
          <w:b w:val="0"/>
          <w:caps w:val="0"/>
          <w:noProof/>
          <w:sz w:val="22"/>
          <w:szCs w:val="22"/>
          <w:lang w:val="da-DK" w:eastAsia="da-DK"/>
        </w:rPr>
      </w:pPr>
      <w:hyperlink w:anchor="_Toc445129336" w:history="1">
        <w:r w:rsidR="00DA7779" w:rsidRPr="008B30C3">
          <w:rPr>
            <w:rStyle w:val="Hyperlink"/>
            <w:noProof/>
          </w:rPr>
          <w:t>ANNEX 2: RESULTS OF THE CALL FOR INPUTS</w:t>
        </w:r>
        <w:r w:rsidR="00DA7779">
          <w:rPr>
            <w:noProof/>
            <w:webHidden/>
          </w:rPr>
          <w:tab/>
        </w:r>
        <w:r w:rsidR="00DA7779">
          <w:rPr>
            <w:noProof/>
            <w:webHidden/>
          </w:rPr>
          <w:fldChar w:fldCharType="begin"/>
        </w:r>
        <w:r w:rsidR="00DA7779">
          <w:rPr>
            <w:noProof/>
            <w:webHidden/>
          </w:rPr>
          <w:instrText xml:space="preserve"> PAGEREF _Toc445129336 \h </w:instrText>
        </w:r>
        <w:r w:rsidR="00DA7779">
          <w:rPr>
            <w:noProof/>
            <w:webHidden/>
          </w:rPr>
        </w:r>
        <w:r w:rsidR="00DA7779">
          <w:rPr>
            <w:noProof/>
            <w:webHidden/>
          </w:rPr>
          <w:fldChar w:fldCharType="separate"/>
        </w:r>
        <w:r w:rsidR="00DA7779">
          <w:rPr>
            <w:noProof/>
            <w:webHidden/>
          </w:rPr>
          <w:t>55</w:t>
        </w:r>
        <w:r w:rsidR="00DA7779">
          <w:rPr>
            <w:noProof/>
            <w:webHidden/>
          </w:rPr>
          <w:fldChar w:fldCharType="end"/>
        </w:r>
      </w:hyperlink>
    </w:p>
    <w:p w14:paraId="6C297FF3" w14:textId="77777777" w:rsidR="00DA7779" w:rsidRDefault="00EE1B6E">
      <w:pPr>
        <w:pStyle w:val="TOC1"/>
        <w:rPr>
          <w:rFonts w:asciiTheme="minorHAnsi" w:eastAsiaTheme="minorEastAsia" w:hAnsiTheme="minorHAnsi" w:cstheme="minorBidi"/>
          <w:b w:val="0"/>
          <w:caps w:val="0"/>
          <w:noProof/>
          <w:sz w:val="22"/>
          <w:szCs w:val="22"/>
          <w:lang w:val="da-DK" w:eastAsia="da-DK"/>
        </w:rPr>
      </w:pPr>
      <w:hyperlink w:anchor="_Toc445129337" w:history="1">
        <w:r w:rsidR="00DA7779" w:rsidRPr="008B30C3">
          <w:rPr>
            <w:rStyle w:val="Hyperlink"/>
            <w:noProof/>
          </w:rPr>
          <w:t>ANNEX 3: Current authorisations in the bands 1900-1920 MHz / 2010-2025 MHz</w:t>
        </w:r>
        <w:r w:rsidR="00DA7779">
          <w:rPr>
            <w:noProof/>
            <w:webHidden/>
          </w:rPr>
          <w:tab/>
        </w:r>
        <w:r w:rsidR="00DA7779">
          <w:rPr>
            <w:noProof/>
            <w:webHidden/>
          </w:rPr>
          <w:fldChar w:fldCharType="begin"/>
        </w:r>
        <w:r w:rsidR="00DA7779">
          <w:rPr>
            <w:noProof/>
            <w:webHidden/>
          </w:rPr>
          <w:instrText xml:space="preserve"> PAGEREF _Toc445129337 \h </w:instrText>
        </w:r>
        <w:r w:rsidR="00DA7779">
          <w:rPr>
            <w:noProof/>
            <w:webHidden/>
          </w:rPr>
        </w:r>
        <w:r w:rsidR="00DA7779">
          <w:rPr>
            <w:noProof/>
            <w:webHidden/>
          </w:rPr>
          <w:fldChar w:fldCharType="separate"/>
        </w:r>
        <w:r w:rsidR="00DA7779">
          <w:rPr>
            <w:noProof/>
            <w:webHidden/>
          </w:rPr>
          <w:t>61</w:t>
        </w:r>
        <w:r w:rsidR="00DA7779">
          <w:rPr>
            <w:noProof/>
            <w:webHidden/>
          </w:rPr>
          <w:fldChar w:fldCharType="end"/>
        </w:r>
      </w:hyperlink>
    </w:p>
    <w:p w14:paraId="0F1E76DB" w14:textId="77777777" w:rsidR="00DA7779" w:rsidRDefault="00EE1B6E">
      <w:pPr>
        <w:pStyle w:val="TOC1"/>
        <w:rPr>
          <w:rFonts w:asciiTheme="minorHAnsi" w:eastAsiaTheme="minorEastAsia" w:hAnsiTheme="minorHAnsi" w:cstheme="minorBidi"/>
          <w:b w:val="0"/>
          <w:caps w:val="0"/>
          <w:noProof/>
          <w:sz w:val="22"/>
          <w:szCs w:val="22"/>
          <w:lang w:val="da-DK" w:eastAsia="da-DK"/>
        </w:rPr>
      </w:pPr>
      <w:hyperlink w:anchor="_Toc445129338" w:history="1">
        <w:r w:rsidR="00DA7779" w:rsidRPr="008B30C3">
          <w:rPr>
            <w:rStyle w:val="Hyperlink"/>
            <w:noProof/>
          </w:rPr>
          <w:t>ANNEX 4: Regulatory parameters  (TECHNICAL AND OPERATIONAL REQUIREMENTS) FOR DA2GC SYSTEMS IN THE BAND 1900-1920 MHZ WITH TDD OPERATION MODE</w:t>
        </w:r>
        <w:r w:rsidR="00DA7779">
          <w:rPr>
            <w:noProof/>
            <w:webHidden/>
          </w:rPr>
          <w:tab/>
        </w:r>
        <w:r w:rsidR="00DA7779">
          <w:rPr>
            <w:noProof/>
            <w:webHidden/>
          </w:rPr>
          <w:fldChar w:fldCharType="begin"/>
        </w:r>
        <w:r w:rsidR="00DA7779">
          <w:rPr>
            <w:noProof/>
            <w:webHidden/>
          </w:rPr>
          <w:instrText xml:space="preserve"> PAGEREF _Toc445129338 \h </w:instrText>
        </w:r>
        <w:r w:rsidR="00DA7779">
          <w:rPr>
            <w:noProof/>
            <w:webHidden/>
          </w:rPr>
        </w:r>
        <w:r w:rsidR="00DA7779">
          <w:rPr>
            <w:noProof/>
            <w:webHidden/>
          </w:rPr>
          <w:fldChar w:fldCharType="separate"/>
        </w:r>
        <w:r w:rsidR="00DA7779">
          <w:rPr>
            <w:noProof/>
            <w:webHidden/>
          </w:rPr>
          <w:t>71</w:t>
        </w:r>
        <w:r w:rsidR="00DA7779">
          <w:rPr>
            <w:noProof/>
            <w:webHidden/>
          </w:rPr>
          <w:fldChar w:fldCharType="end"/>
        </w:r>
      </w:hyperlink>
    </w:p>
    <w:p w14:paraId="1EC2607D" w14:textId="77777777" w:rsidR="00DA7779" w:rsidRDefault="00EE1B6E">
      <w:pPr>
        <w:pStyle w:val="TOC1"/>
        <w:rPr>
          <w:rFonts w:asciiTheme="minorHAnsi" w:eastAsiaTheme="minorEastAsia" w:hAnsiTheme="minorHAnsi" w:cstheme="minorBidi"/>
          <w:b w:val="0"/>
          <w:caps w:val="0"/>
          <w:noProof/>
          <w:sz w:val="22"/>
          <w:szCs w:val="22"/>
          <w:lang w:val="da-DK" w:eastAsia="da-DK"/>
        </w:rPr>
      </w:pPr>
      <w:hyperlink w:anchor="_Toc445129339" w:history="1">
        <w:r w:rsidR="00DA7779" w:rsidRPr="008B30C3">
          <w:rPr>
            <w:rStyle w:val="Hyperlink"/>
            <w:noProof/>
          </w:rPr>
          <w:t>ANNEX 5: GUIDELINES FOR CEPT ADMINISTRATIONS TO ENSURE CO-EXISTENCE WITH OTHER SERVICES THAN BROADBAND DA2GC</w:t>
        </w:r>
        <w:r w:rsidR="00DA7779">
          <w:rPr>
            <w:noProof/>
            <w:webHidden/>
          </w:rPr>
          <w:tab/>
        </w:r>
        <w:r w:rsidR="00DA7779">
          <w:rPr>
            <w:noProof/>
            <w:webHidden/>
          </w:rPr>
          <w:fldChar w:fldCharType="begin"/>
        </w:r>
        <w:r w:rsidR="00DA7779">
          <w:rPr>
            <w:noProof/>
            <w:webHidden/>
          </w:rPr>
          <w:instrText xml:space="preserve"> PAGEREF _Toc445129339 \h </w:instrText>
        </w:r>
        <w:r w:rsidR="00DA7779">
          <w:rPr>
            <w:noProof/>
            <w:webHidden/>
          </w:rPr>
        </w:r>
        <w:r w:rsidR="00DA7779">
          <w:rPr>
            <w:noProof/>
            <w:webHidden/>
          </w:rPr>
          <w:fldChar w:fldCharType="separate"/>
        </w:r>
        <w:r w:rsidR="00DA7779">
          <w:rPr>
            <w:noProof/>
            <w:webHidden/>
          </w:rPr>
          <w:t>73</w:t>
        </w:r>
        <w:r w:rsidR="00DA7779">
          <w:rPr>
            <w:noProof/>
            <w:webHidden/>
          </w:rPr>
          <w:fldChar w:fldCharType="end"/>
        </w:r>
      </w:hyperlink>
    </w:p>
    <w:p w14:paraId="21FC6657" w14:textId="77777777" w:rsidR="00DA7779" w:rsidRDefault="00EE1B6E">
      <w:pPr>
        <w:pStyle w:val="TOC1"/>
        <w:rPr>
          <w:rFonts w:asciiTheme="minorHAnsi" w:eastAsiaTheme="minorEastAsia" w:hAnsiTheme="minorHAnsi" w:cstheme="minorBidi"/>
          <w:b w:val="0"/>
          <w:caps w:val="0"/>
          <w:noProof/>
          <w:sz w:val="22"/>
          <w:szCs w:val="22"/>
          <w:lang w:val="da-DK" w:eastAsia="da-DK"/>
        </w:rPr>
      </w:pPr>
      <w:hyperlink w:anchor="_Toc445129340" w:history="1">
        <w:r w:rsidR="00DA7779" w:rsidRPr="008B30C3">
          <w:rPr>
            <w:rStyle w:val="Hyperlink"/>
            <w:noProof/>
          </w:rPr>
          <w:t>ANNEX 6: List of references</w:t>
        </w:r>
        <w:r w:rsidR="00DA7779">
          <w:rPr>
            <w:noProof/>
            <w:webHidden/>
          </w:rPr>
          <w:tab/>
        </w:r>
        <w:r w:rsidR="00DA7779">
          <w:rPr>
            <w:noProof/>
            <w:webHidden/>
          </w:rPr>
          <w:fldChar w:fldCharType="begin"/>
        </w:r>
        <w:r w:rsidR="00DA7779">
          <w:rPr>
            <w:noProof/>
            <w:webHidden/>
          </w:rPr>
          <w:instrText xml:space="preserve"> PAGEREF _Toc445129340 \h </w:instrText>
        </w:r>
        <w:r w:rsidR="00DA7779">
          <w:rPr>
            <w:noProof/>
            <w:webHidden/>
          </w:rPr>
        </w:r>
        <w:r w:rsidR="00DA7779">
          <w:rPr>
            <w:noProof/>
            <w:webHidden/>
          </w:rPr>
          <w:fldChar w:fldCharType="separate"/>
        </w:r>
        <w:r w:rsidR="00DA7779">
          <w:rPr>
            <w:noProof/>
            <w:webHidden/>
          </w:rPr>
          <w:t>75</w:t>
        </w:r>
        <w:r w:rsidR="00DA7779">
          <w:rPr>
            <w:noProof/>
            <w:webHidden/>
          </w:rPr>
          <w:fldChar w:fldCharType="end"/>
        </w:r>
      </w:hyperlink>
    </w:p>
    <w:p w14:paraId="238BF8E5" w14:textId="302327A2" w:rsidR="008A54FC" w:rsidRPr="00040BEC" w:rsidRDefault="000A5980" w:rsidP="007E3D18">
      <w:pPr>
        <w:pStyle w:val="TOC1"/>
        <w:rPr>
          <w:b w:val="0"/>
          <w:color w:val="FFFFFF"/>
          <w:szCs w:val="20"/>
          <w:lang w:val="en-GB"/>
        </w:rPr>
      </w:pPr>
      <w:r w:rsidRPr="00040BEC">
        <w:rPr>
          <w:b w:val="0"/>
          <w:lang w:val="en-GB"/>
        </w:rPr>
        <w:lastRenderedPageBreak/>
        <w:fldChar w:fldCharType="end"/>
      </w:r>
      <w:r w:rsidR="00531617" w:rsidRPr="00040BEC">
        <w:rPr>
          <w:b w:val="0"/>
          <w:noProof/>
          <w:color w:val="FFFFFF"/>
          <w:szCs w:val="20"/>
          <w:lang w:val="da-DK" w:eastAsia="da-DK"/>
        </w:rPr>
        <mc:AlternateContent>
          <mc:Choice Requires="wps">
            <w:drawing>
              <wp:anchor distT="0" distB="0" distL="114300" distR="114300" simplePos="0" relativeHeight="251659264" behindDoc="1" locked="0" layoutInCell="1" allowOverlap="1" wp14:anchorId="7201D8D3" wp14:editId="4BE814FB">
                <wp:simplePos x="0" y="0"/>
                <wp:positionH relativeFrom="page">
                  <wp:posOffset>635</wp:posOffset>
                </wp:positionH>
                <wp:positionV relativeFrom="page">
                  <wp:posOffset>917575</wp:posOffset>
                </wp:positionV>
                <wp:extent cx="7560310" cy="720090"/>
                <wp:effectExtent l="0" t="0" r="2540" b="3810"/>
                <wp:wrapNone/>
                <wp:docPr id="115"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72009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7580B87D" id="Rectangle 22" o:spid="_x0000_s1026" style="position:absolute;margin-left:.05pt;margin-top:72.25pt;width:595.3pt;height:56.7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" fillcolor="#b0a696" stroked="f">
                <w10:wrap anchorx="page" anchory="page"/>
              </v:rect>
            </w:pict>
          </mc:Fallback>
        </mc:AlternateContent>
      </w:r>
    </w:p>
    <w:p w14:paraId="4BD83372" w14:textId="77777777" w:rsidR="008B70CD" w:rsidRPr="00040BEC" w:rsidRDefault="008B70CD" w:rsidP="008A54FC">
      <w:pPr>
        <w:rPr>
          <w:b/>
          <w:color w:val="FFFFFF"/>
          <w:szCs w:val="20"/>
          <w:lang w:val="en-GB"/>
        </w:rPr>
      </w:pPr>
    </w:p>
    <w:p w14:paraId="403A767A" w14:textId="77777777" w:rsidR="008A54FC" w:rsidRPr="00040BEC" w:rsidRDefault="008A54FC" w:rsidP="008A54FC">
      <w:pPr>
        <w:rPr>
          <w:b/>
          <w:color w:val="FFFFFF"/>
          <w:szCs w:val="20"/>
          <w:lang w:val="en-GB"/>
        </w:rPr>
      </w:pPr>
      <w:r w:rsidRPr="00040BEC">
        <w:rPr>
          <w:b/>
          <w:color w:val="FFFFFF"/>
          <w:szCs w:val="20"/>
          <w:lang w:val="en-GB"/>
        </w:rPr>
        <w:t>LIST OF ABBREVIATIONS</w:t>
      </w:r>
    </w:p>
    <w:p w14:paraId="1DE00CE6" w14:textId="77777777" w:rsidR="008A54FC" w:rsidRPr="00040BEC" w:rsidRDefault="008A54FC" w:rsidP="008A54FC">
      <w:pPr>
        <w:rPr>
          <w:b/>
          <w:color w:val="FFFFFF"/>
          <w:szCs w:val="20"/>
          <w:lang w:val="en-GB"/>
        </w:rPr>
      </w:pPr>
    </w:p>
    <w:p w14:paraId="375BA095" w14:textId="77777777" w:rsidR="008A54FC" w:rsidRPr="00040BEC" w:rsidRDefault="008A54FC" w:rsidP="008A54FC">
      <w:pPr>
        <w:rPr>
          <w:b/>
          <w:color w:val="FFFFFF"/>
          <w:szCs w:val="20"/>
          <w:lang w:val="en-GB"/>
        </w:rPr>
      </w:pPr>
    </w:p>
    <w:p w14:paraId="512C437A" w14:textId="77777777" w:rsidR="008A54FC" w:rsidRPr="00040BEC" w:rsidRDefault="008A54FC" w:rsidP="008A54FC">
      <w:pPr>
        <w:rPr>
          <w:lang w:val="en-GB"/>
        </w:rPr>
      </w:pPr>
    </w:p>
    <w:p w14:paraId="2A2586DF" w14:textId="77777777" w:rsidR="000C6788" w:rsidRPr="00040BEC" w:rsidRDefault="000C6788" w:rsidP="008A54FC">
      <w:pPr>
        <w:rPr>
          <w:lang w:val="en-GB"/>
        </w:rPr>
      </w:pPr>
    </w:p>
    <w:tbl>
      <w:tblPr>
        <w:tblW w:w="0" w:type="auto"/>
        <w:tblCellMar>
          <w:top w:w="11" w:type="dxa"/>
          <w:bottom w:w="11" w:type="dxa"/>
        </w:tblCellMar>
        <w:tblLook w:val="01E0" w:firstRow="1" w:lastRow="1" w:firstColumn="1" w:lastColumn="1" w:noHBand="0" w:noVBand="0"/>
      </w:tblPr>
      <w:tblGrid>
        <w:gridCol w:w="2041"/>
        <w:gridCol w:w="7245"/>
      </w:tblGrid>
      <w:tr w:rsidR="008A54FC" w:rsidRPr="00040BEC" w14:paraId="13E8F683" w14:textId="77777777" w:rsidTr="00B055B7">
        <w:trPr>
          <w:trHeight w:val="76"/>
        </w:trPr>
        <w:tc>
          <w:tcPr>
            <w:tcW w:w="2041" w:type="dxa"/>
          </w:tcPr>
          <w:p w14:paraId="7CB3F3E5" w14:textId="77777777" w:rsidR="008A54FC" w:rsidRPr="00040BEC" w:rsidRDefault="008A54FC" w:rsidP="008A54FC">
            <w:pPr>
              <w:spacing w:line="288" w:lineRule="auto"/>
              <w:rPr>
                <w:b/>
                <w:color w:val="D2232A"/>
                <w:lang w:val="en-GB"/>
              </w:rPr>
            </w:pPr>
            <w:r w:rsidRPr="00040BEC">
              <w:rPr>
                <w:b/>
                <w:color w:val="D2232A"/>
                <w:lang w:val="en-GB"/>
              </w:rPr>
              <w:t>Abbreviation</w:t>
            </w:r>
          </w:p>
        </w:tc>
        <w:tc>
          <w:tcPr>
            <w:tcW w:w="7245" w:type="dxa"/>
          </w:tcPr>
          <w:p w14:paraId="1EA0A50F" w14:textId="77777777" w:rsidR="008A54FC" w:rsidRPr="00040BEC" w:rsidRDefault="00C73C6D" w:rsidP="00C73C6D">
            <w:pPr>
              <w:spacing w:line="288" w:lineRule="auto"/>
              <w:rPr>
                <w:b/>
                <w:color w:val="D2232A"/>
                <w:lang w:val="en-GB"/>
              </w:rPr>
            </w:pPr>
            <w:r w:rsidRPr="00040BEC">
              <w:rPr>
                <w:b/>
                <w:color w:val="D2232A"/>
                <w:lang w:val="en-GB"/>
              </w:rPr>
              <w:t>Explanation</w:t>
            </w:r>
          </w:p>
        </w:tc>
      </w:tr>
      <w:tr w:rsidR="004D4812" w:rsidRPr="00040BEC" w14:paraId="560F8997" w14:textId="77777777" w:rsidTr="00B055B7">
        <w:trPr>
          <w:trHeight w:val="76"/>
        </w:trPr>
        <w:tc>
          <w:tcPr>
            <w:tcW w:w="2041" w:type="dxa"/>
          </w:tcPr>
          <w:p w14:paraId="6B45ACB2" w14:textId="77777777" w:rsidR="00315B67" w:rsidRPr="00040BEC" w:rsidRDefault="004D4812" w:rsidP="008A54FC">
            <w:pPr>
              <w:spacing w:line="288" w:lineRule="auto"/>
              <w:rPr>
                <w:b/>
                <w:color w:val="D2232A"/>
                <w:lang w:val="en-GB"/>
              </w:rPr>
            </w:pPr>
            <w:r w:rsidRPr="00040BEC">
              <w:rPr>
                <w:b/>
                <w:lang w:val="en-GB"/>
              </w:rPr>
              <w:t>AS</w:t>
            </w:r>
          </w:p>
        </w:tc>
        <w:tc>
          <w:tcPr>
            <w:tcW w:w="7245" w:type="dxa"/>
          </w:tcPr>
          <w:p w14:paraId="6AFF0FD7" w14:textId="77777777" w:rsidR="00315B67" w:rsidRPr="00040BEC" w:rsidRDefault="004D4812" w:rsidP="005A1553">
            <w:pPr>
              <w:spacing w:line="288" w:lineRule="auto"/>
              <w:rPr>
                <w:b/>
                <w:color w:val="D2232A"/>
                <w:lang w:val="en-GB"/>
              </w:rPr>
            </w:pPr>
            <w:r w:rsidRPr="00040BEC">
              <w:rPr>
                <w:lang w:val="en-GB"/>
              </w:rPr>
              <w:t>Aircraft Station</w:t>
            </w:r>
          </w:p>
        </w:tc>
      </w:tr>
      <w:tr w:rsidR="00AF0215" w:rsidRPr="00040BEC" w14:paraId="4A8FBACA" w14:textId="77777777" w:rsidTr="00B055B7">
        <w:tc>
          <w:tcPr>
            <w:tcW w:w="2041" w:type="dxa"/>
          </w:tcPr>
          <w:p w14:paraId="2D1E41A5" w14:textId="77777777" w:rsidR="00A43499" w:rsidRPr="00040BEC" w:rsidRDefault="00AF0215" w:rsidP="009B1F09">
            <w:pPr>
              <w:spacing w:line="288" w:lineRule="auto"/>
              <w:rPr>
                <w:b/>
                <w:lang w:val="en-GB"/>
              </w:rPr>
            </w:pPr>
            <w:r w:rsidRPr="00040BEC">
              <w:rPr>
                <w:b/>
                <w:lang w:val="en-GB"/>
              </w:rPr>
              <w:t>CAA</w:t>
            </w:r>
          </w:p>
        </w:tc>
        <w:tc>
          <w:tcPr>
            <w:tcW w:w="7245" w:type="dxa"/>
          </w:tcPr>
          <w:p w14:paraId="7CC91DF8" w14:textId="77777777" w:rsidR="00A43499" w:rsidRPr="00040BEC" w:rsidRDefault="00AF0215" w:rsidP="009B1F09">
            <w:pPr>
              <w:spacing w:line="288" w:lineRule="auto"/>
              <w:rPr>
                <w:szCs w:val="20"/>
                <w:lang w:val="en-GB"/>
              </w:rPr>
            </w:pPr>
            <w:r w:rsidRPr="00040BEC">
              <w:rPr>
                <w:lang w:val="en-GB"/>
              </w:rPr>
              <w:t>Civil Aviation Administration</w:t>
            </w:r>
          </w:p>
        </w:tc>
      </w:tr>
      <w:tr w:rsidR="009B1F09" w:rsidRPr="00040BEC" w14:paraId="1EC8DA41" w14:textId="77777777" w:rsidTr="00B055B7">
        <w:tc>
          <w:tcPr>
            <w:tcW w:w="2041" w:type="dxa"/>
          </w:tcPr>
          <w:p w14:paraId="06FDAF6D" w14:textId="77777777" w:rsidR="009B1F09" w:rsidRPr="00040BEC" w:rsidRDefault="009B1F09" w:rsidP="009B1F09">
            <w:pPr>
              <w:spacing w:line="288" w:lineRule="auto"/>
              <w:rPr>
                <w:b/>
                <w:lang w:val="en-GB"/>
              </w:rPr>
            </w:pPr>
            <w:r w:rsidRPr="00040BEC">
              <w:rPr>
                <w:b/>
                <w:lang w:val="en-GB"/>
              </w:rPr>
              <w:t>CCL</w:t>
            </w:r>
          </w:p>
        </w:tc>
        <w:tc>
          <w:tcPr>
            <w:tcW w:w="7245" w:type="dxa"/>
          </w:tcPr>
          <w:p w14:paraId="4D3FAC7B" w14:textId="77777777" w:rsidR="009B1F09" w:rsidRPr="00040BEC" w:rsidRDefault="009B1F09" w:rsidP="009B1F09">
            <w:pPr>
              <w:spacing w:line="288" w:lineRule="auto"/>
              <w:rPr>
                <w:lang w:val="en-GB"/>
              </w:rPr>
            </w:pPr>
            <w:r w:rsidRPr="00040BEC">
              <w:rPr>
                <w:lang w:val="en-GB"/>
              </w:rPr>
              <w:t>Cordless Camera Link</w:t>
            </w:r>
          </w:p>
        </w:tc>
      </w:tr>
      <w:tr w:rsidR="00E17B98" w:rsidRPr="00040BEC" w14:paraId="48869D05" w14:textId="77777777" w:rsidTr="00B055B7">
        <w:tc>
          <w:tcPr>
            <w:tcW w:w="2041" w:type="dxa"/>
          </w:tcPr>
          <w:p w14:paraId="1A69B4DA" w14:textId="77777777" w:rsidR="00E17B98" w:rsidRPr="00040BEC" w:rsidRDefault="00E17B98" w:rsidP="00E36E4C">
            <w:pPr>
              <w:spacing w:line="288" w:lineRule="auto"/>
              <w:rPr>
                <w:b/>
                <w:lang w:val="en-GB"/>
              </w:rPr>
            </w:pPr>
            <w:r w:rsidRPr="00040BEC">
              <w:rPr>
                <w:b/>
                <w:lang w:val="en-GB"/>
              </w:rPr>
              <w:t>CEPT</w:t>
            </w:r>
          </w:p>
        </w:tc>
        <w:tc>
          <w:tcPr>
            <w:tcW w:w="7245" w:type="dxa"/>
          </w:tcPr>
          <w:p w14:paraId="644BBC60" w14:textId="77777777" w:rsidR="00E17B98" w:rsidRPr="00040BEC" w:rsidRDefault="00E17B98" w:rsidP="00E36E4C">
            <w:pPr>
              <w:spacing w:line="288" w:lineRule="auto"/>
              <w:rPr>
                <w:lang w:val="en-GB"/>
              </w:rPr>
            </w:pPr>
            <w:r w:rsidRPr="00040BEC">
              <w:rPr>
                <w:lang w:val="en-GB"/>
              </w:rPr>
              <w:t>European Conference of Postal and Telecommunications Administrations</w:t>
            </w:r>
          </w:p>
        </w:tc>
      </w:tr>
      <w:tr w:rsidR="00AF0215" w:rsidRPr="00040BEC" w14:paraId="1C3AC620" w14:textId="77777777" w:rsidTr="00B055B7">
        <w:tc>
          <w:tcPr>
            <w:tcW w:w="2041" w:type="dxa"/>
          </w:tcPr>
          <w:p w14:paraId="6F42A31A" w14:textId="77777777" w:rsidR="00AF0215" w:rsidRPr="00040BEC" w:rsidRDefault="00AF0215" w:rsidP="00E17B98">
            <w:pPr>
              <w:spacing w:line="288" w:lineRule="auto"/>
              <w:rPr>
                <w:b/>
                <w:lang w:val="en-GB"/>
              </w:rPr>
            </w:pPr>
            <w:r w:rsidRPr="00040BEC">
              <w:rPr>
                <w:b/>
                <w:lang w:val="en-GB"/>
              </w:rPr>
              <w:t>CDMA</w:t>
            </w:r>
          </w:p>
        </w:tc>
        <w:tc>
          <w:tcPr>
            <w:tcW w:w="7245" w:type="dxa"/>
          </w:tcPr>
          <w:p w14:paraId="6A7817ED" w14:textId="77777777" w:rsidR="00AF0215" w:rsidRPr="00040BEC" w:rsidRDefault="00AF0215" w:rsidP="00E17B98">
            <w:pPr>
              <w:spacing w:line="288" w:lineRule="auto"/>
              <w:rPr>
                <w:szCs w:val="20"/>
                <w:lang w:val="en-GB"/>
              </w:rPr>
            </w:pPr>
            <w:r w:rsidRPr="00040BEC">
              <w:rPr>
                <w:szCs w:val="20"/>
                <w:lang w:val="en-GB"/>
              </w:rPr>
              <w:t xml:space="preserve">Code Division Multiple Access </w:t>
            </w:r>
          </w:p>
        </w:tc>
      </w:tr>
      <w:tr w:rsidR="00E17B98" w:rsidRPr="00040BEC" w14:paraId="36157BFA" w14:textId="77777777" w:rsidTr="00B055B7">
        <w:tc>
          <w:tcPr>
            <w:tcW w:w="2041" w:type="dxa"/>
          </w:tcPr>
          <w:p w14:paraId="15CF8A1A" w14:textId="77777777" w:rsidR="00E17B98" w:rsidRPr="00040BEC" w:rsidRDefault="00E17B98" w:rsidP="00E17B98">
            <w:pPr>
              <w:spacing w:line="288" w:lineRule="auto"/>
              <w:rPr>
                <w:b/>
                <w:lang w:val="en-GB"/>
              </w:rPr>
            </w:pPr>
            <w:r w:rsidRPr="00040BEC">
              <w:rPr>
                <w:b/>
                <w:lang w:val="en-GB"/>
              </w:rPr>
              <w:t>DA2GC</w:t>
            </w:r>
          </w:p>
        </w:tc>
        <w:tc>
          <w:tcPr>
            <w:tcW w:w="7245" w:type="dxa"/>
          </w:tcPr>
          <w:p w14:paraId="55F1BE11" w14:textId="77777777" w:rsidR="00E17B98" w:rsidRPr="00040BEC" w:rsidRDefault="00E17B98" w:rsidP="00E36E4C">
            <w:pPr>
              <w:spacing w:line="288" w:lineRule="auto"/>
              <w:rPr>
                <w:szCs w:val="20"/>
                <w:lang w:val="en-GB"/>
              </w:rPr>
            </w:pPr>
            <w:r w:rsidRPr="00040BEC">
              <w:rPr>
                <w:szCs w:val="20"/>
                <w:lang w:val="en-GB"/>
              </w:rPr>
              <w:t>Direct-Air-to-Ground Communications</w:t>
            </w:r>
          </w:p>
        </w:tc>
      </w:tr>
      <w:tr w:rsidR="00E17B98" w:rsidRPr="00040BEC" w14:paraId="16C63305" w14:textId="77777777" w:rsidTr="00B055B7">
        <w:tc>
          <w:tcPr>
            <w:tcW w:w="2041" w:type="dxa"/>
          </w:tcPr>
          <w:p w14:paraId="7141EB93" w14:textId="77777777" w:rsidR="00E17B98" w:rsidRPr="00040BEC" w:rsidRDefault="00E17B98" w:rsidP="00E36E4C">
            <w:pPr>
              <w:spacing w:line="288" w:lineRule="auto"/>
              <w:rPr>
                <w:b/>
                <w:lang w:val="en-GB"/>
              </w:rPr>
            </w:pPr>
            <w:r w:rsidRPr="00040BEC">
              <w:rPr>
                <w:b/>
                <w:lang w:val="en-GB"/>
              </w:rPr>
              <w:t>DECT</w:t>
            </w:r>
          </w:p>
        </w:tc>
        <w:tc>
          <w:tcPr>
            <w:tcW w:w="7245" w:type="dxa"/>
          </w:tcPr>
          <w:p w14:paraId="08F76ABB" w14:textId="77777777" w:rsidR="00E17B98" w:rsidRPr="00040BEC" w:rsidRDefault="00E17B98" w:rsidP="00E36E4C">
            <w:pPr>
              <w:spacing w:line="288" w:lineRule="auto"/>
              <w:rPr>
                <w:szCs w:val="20"/>
                <w:lang w:val="en-GB"/>
              </w:rPr>
            </w:pPr>
            <w:r w:rsidRPr="00040BEC">
              <w:rPr>
                <w:szCs w:val="20"/>
                <w:lang w:val="en-GB"/>
              </w:rPr>
              <w:t>Digital Enhanced Cordless Telecommunications</w:t>
            </w:r>
          </w:p>
        </w:tc>
      </w:tr>
      <w:tr w:rsidR="00AF0215" w:rsidRPr="00040BEC" w14:paraId="189E55F2" w14:textId="77777777" w:rsidTr="00B055B7">
        <w:tc>
          <w:tcPr>
            <w:tcW w:w="2041" w:type="dxa"/>
          </w:tcPr>
          <w:p w14:paraId="4CA00B4D" w14:textId="77777777" w:rsidR="00AF0215" w:rsidRPr="00040BEC" w:rsidRDefault="00AF0215" w:rsidP="00E36E4C">
            <w:pPr>
              <w:spacing w:line="288" w:lineRule="auto"/>
              <w:rPr>
                <w:b/>
                <w:lang w:val="en-GB"/>
              </w:rPr>
            </w:pPr>
            <w:r w:rsidRPr="00040BEC">
              <w:rPr>
                <w:b/>
                <w:lang w:val="en-GB"/>
              </w:rPr>
              <w:t>EC</w:t>
            </w:r>
          </w:p>
        </w:tc>
        <w:tc>
          <w:tcPr>
            <w:tcW w:w="7245" w:type="dxa"/>
          </w:tcPr>
          <w:p w14:paraId="32DE6390" w14:textId="77777777" w:rsidR="00AF0215" w:rsidRPr="00040BEC" w:rsidRDefault="00AF0215" w:rsidP="00E36E4C">
            <w:pPr>
              <w:pStyle w:val="ECCParagraph"/>
              <w:spacing w:after="0" w:line="288" w:lineRule="auto"/>
              <w:jc w:val="left"/>
            </w:pPr>
            <w:r w:rsidRPr="00040BEC">
              <w:rPr>
                <w:szCs w:val="20"/>
              </w:rPr>
              <w:t>European Commission</w:t>
            </w:r>
          </w:p>
        </w:tc>
      </w:tr>
      <w:tr w:rsidR="00AF0215" w:rsidRPr="00040BEC" w14:paraId="25ED1434" w14:textId="77777777" w:rsidTr="00B055B7">
        <w:tc>
          <w:tcPr>
            <w:tcW w:w="2041" w:type="dxa"/>
          </w:tcPr>
          <w:p w14:paraId="0D53D519" w14:textId="77777777" w:rsidR="00AF0215" w:rsidRPr="00040BEC" w:rsidRDefault="00AF0215" w:rsidP="00E36E4C">
            <w:pPr>
              <w:rPr>
                <w:b/>
                <w:lang w:val="en-GB"/>
              </w:rPr>
            </w:pPr>
            <w:r w:rsidRPr="00040BEC">
              <w:rPr>
                <w:b/>
                <w:lang w:val="en-GB"/>
              </w:rPr>
              <w:t>ECA</w:t>
            </w:r>
          </w:p>
        </w:tc>
        <w:tc>
          <w:tcPr>
            <w:tcW w:w="7245" w:type="dxa"/>
          </w:tcPr>
          <w:p w14:paraId="6422CBB0" w14:textId="77777777" w:rsidR="00AF0215" w:rsidRPr="00040BEC" w:rsidRDefault="00AF0215" w:rsidP="00E36E4C">
            <w:pPr>
              <w:rPr>
                <w:lang w:val="en-GB"/>
              </w:rPr>
            </w:pPr>
            <w:r w:rsidRPr="00040BEC">
              <w:rPr>
                <w:szCs w:val="20"/>
                <w:lang w:val="en-GB"/>
              </w:rPr>
              <w:t>European Common Allocation</w:t>
            </w:r>
          </w:p>
        </w:tc>
      </w:tr>
      <w:tr w:rsidR="00AF0215" w:rsidRPr="00040BEC" w14:paraId="4D4939B3" w14:textId="77777777" w:rsidTr="00B055B7">
        <w:tc>
          <w:tcPr>
            <w:tcW w:w="2041" w:type="dxa"/>
          </w:tcPr>
          <w:p w14:paraId="132CCCA2" w14:textId="77777777" w:rsidR="00AF0215" w:rsidRPr="00040BEC" w:rsidRDefault="00AF0215" w:rsidP="00E36E4C">
            <w:pPr>
              <w:spacing w:line="288" w:lineRule="auto"/>
              <w:rPr>
                <w:b/>
                <w:lang w:val="en-GB"/>
              </w:rPr>
            </w:pPr>
            <w:r w:rsidRPr="00040BEC">
              <w:rPr>
                <w:b/>
                <w:lang w:val="en-GB"/>
              </w:rPr>
              <w:t>ECC</w:t>
            </w:r>
          </w:p>
        </w:tc>
        <w:tc>
          <w:tcPr>
            <w:tcW w:w="7245" w:type="dxa"/>
          </w:tcPr>
          <w:p w14:paraId="38B3301A" w14:textId="77777777" w:rsidR="00AF0215" w:rsidRPr="00040BEC" w:rsidRDefault="00AF0215" w:rsidP="00E36E4C">
            <w:pPr>
              <w:pStyle w:val="ECCParagraph"/>
              <w:spacing w:after="0" w:line="288" w:lineRule="auto"/>
              <w:jc w:val="left"/>
            </w:pPr>
            <w:r w:rsidRPr="00040BEC">
              <w:t>Electronic Communications Committee</w:t>
            </w:r>
          </w:p>
        </w:tc>
      </w:tr>
      <w:tr w:rsidR="00AF0215" w:rsidRPr="00040BEC" w14:paraId="3526BC36" w14:textId="77777777" w:rsidTr="00B055B7">
        <w:tc>
          <w:tcPr>
            <w:tcW w:w="2041" w:type="dxa"/>
          </w:tcPr>
          <w:p w14:paraId="0D376338" w14:textId="77777777" w:rsidR="00AF0215" w:rsidRPr="00040BEC" w:rsidRDefault="00AF0215" w:rsidP="00E36E4C">
            <w:pPr>
              <w:spacing w:line="288" w:lineRule="auto"/>
              <w:rPr>
                <w:b/>
                <w:lang w:val="en-GB"/>
              </w:rPr>
            </w:pPr>
            <w:r w:rsidRPr="00040BEC">
              <w:rPr>
                <w:b/>
                <w:lang w:val="en-GB"/>
              </w:rPr>
              <w:t>ECO</w:t>
            </w:r>
          </w:p>
        </w:tc>
        <w:tc>
          <w:tcPr>
            <w:tcW w:w="7245" w:type="dxa"/>
          </w:tcPr>
          <w:p w14:paraId="20E610FF" w14:textId="77777777" w:rsidR="00AF0215" w:rsidRPr="00040BEC" w:rsidRDefault="00AF0215" w:rsidP="00E36E4C">
            <w:pPr>
              <w:pStyle w:val="ECCParagraph"/>
              <w:spacing w:after="0" w:line="288" w:lineRule="auto"/>
              <w:jc w:val="left"/>
            </w:pPr>
            <w:r w:rsidRPr="00040BEC">
              <w:t>European Communications Office</w:t>
            </w:r>
          </w:p>
        </w:tc>
      </w:tr>
      <w:tr w:rsidR="00AF0215" w:rsidRPr="00040BEC" w14:paraId="3F954BD8" w14:textId="77777777" w:rsidTr="00B055B7">
        <w:tc>
          <w:tcPr>
            <w:tcW w:w="2041" w:type="dxa"/>
          </w:tcPr>
          <w:p w14:paraId="2A0F3896" w14:textId="77777777" w:rsidR="00AF0215" w:rsidRPr="00040BEC" w:rsidRDefault="00AF0215" w:rsidP="00E36E4C">
            <w:pPr>
              <w:spacing w:line="288" w:lineRule="auto"/>
              <w:rPr>
                <w:b/>
                <w:lang w:val="en-GB"/>
              </w:rPr>
            </w:pPr>
            <w:r w:rsidRPr="00040BEC">
              <w:rPr>
                <w:b/>
                <w:lang w:val="en-GB"/>
              </w:rPr>
              <w:t>ECS</w:t>
            </w:r>
          </w:p>
        </w:tc>
        <w:tc>
          <w:tcPr>
            <w:tcW w:w="7245" w:type="dxa"/>
          </w:tcPr>
          <w:p w14:paraId="24FAAB95" w14:textId="77777777" w:rsidR="00AF0215" w:rsidRPr="00040BEC" w:rsidRDefault="00AF0215" w:rsidP="00E36E4C">
            <w:pPr>
              <w:pStyle w:val="ECCParagraph"/>
              <w:spacing w:after="0" w:line="288" w:lineRule="auto"/>
              <w:jc w:val="left"/>
            </w:pPr>
            <w:r w:rsidRPr="00040BEC">
              <w:rPr>
                <w:color w:val="000000"/>
              </w:rPr>
              <w:t>Electronic Communications Services</w:t>
            </w:r>
          </w:p>
        </w:tc>
      </w:tr>
      <w:tr w:rsidR="00E17B98" w:rsidRPr="00040BEC" w14:paraId="1728C968" w14:textId="77777777" w:rsidTr="00B055B7">
        <w:tc>
          <w:tcPr>
            <w:tcW w:w="2041" w:type="dxa"/>
          </w:tcPr>
          <w:p w14:paraId="5D8B79B4" w14:textId="77777777" w:rsidR="00E17B98" w:rsidRPr="00040BEC" w:rsidRDefault="00E17B98" w:rsidP="00E17B98">
            <w:pPr>
              <w:spacing w:line="288" w:lineRule="auto"/>
              <w:rPr>
                <w:b/>
                <w:lang w:val="en-GB"/>
              </w:rPr>
            </w:pPr>
            <w:r w:rsidRPr="00040BEC">
              <w:rPr>
                <w:b/>
                <w:lang w:val="en-GB"/>
              </w:rPr>
              <w:t>EESS</w:t>
            </w:r>
          </w:p>
        </w:tc>
        <w:tc>
          <w:tcPr>
            <w:tcW w:w="7245" w:type="dxa"/>
          </w:tcPr>
          <w:p w14:paraId="4AC8DF3B" w14:textId="77777777" w:rsidR="00E17B98" w:rsidRPr="00040BEC" w:rsidRDefault="00E17B98" w:rsidP="00E17B98">
            <w:pPr>
              <w:pStyle w:val="ECCParagraph"/>
              <w:spacing w:after="0" w:line="288" w:lineRule="auto"/>
              <w:jc w:val="left"/>
              <w:rPr>
                <w:color w:val="000000"/>
              </w:rPr>
            </w:pPr>
            <w:r w:rsidRPr="00040BEC">
              <w:rPr>
                <w:color w:val="000000"/>
              </w:rPr>
              <w:t>Earth Exploration-Satellite Service</w:t>
            </w:r>
          </w:p>
        </w:tc>
      </w:tr>
      <w:tr w:rsidR="00E17B98" w:rsidRPr="00040BEC" w14:paraId="1691CA26" w14:textId="77777777" w:rsidTr="00B055B7">
        <w:tc>
          <w:tcPr>
            <w:tcW w:w="2041" w:type="dxa"/>
          </w:tcPr>
          <w:p w14:paraId="12C34EA2" w14:textId="77777777" w:rsidR="00E17B98" w:rsidRPr="00040BEC" w:rsidRDefault="00E17B98" w:rsidP="00E17B98">
            <w:pPr>
              <w:spacing w:line="288" w:lineRule="auto"/>
              <w:rPr>
                <w:b/>
                <w:lang w:val="en-GB"/>
              </w:rPr>
            </w:pPr>
            <w:r w:rsidRPr="00040BEC">
              <w:rPr>
                <w:b/>
                <w:lang w:val="en-GB"/>
              </w:rPr>
              <w:t>EFIS</w:t>
            </w:r>
          </w:p>
        </w:tc>
        <w:tc>
          <w:tcPr>
            <w:tcW w:w="7245" w:type="dxa"/>
          </w:tcPr>
          <w:p w14:paraId="69AC6B00" w14:textId="77777777" w:rsidR="00E17B98" w:rsidRPr="00040BEC" w:rsidRDefault="00E17B98" w:rsidP="00E17B98">
            <w:pPr>
              <w:pStyle w:val="ECCParagraph"/>
              <w:spacing w:after="0" w:line="288" w:lineRule="auto"/>
              <w:jc w:val="left"/>
              <w:rPr>
                <w:color w:val="000000"/>
              </w:rPr>
            </w:pPr>
            <w:r w:rsidRPr="00040BEC">
              <w:rPr>
                <w:color w:val="000000"/>
              </w:rPr>
              <w:t>ECO Frequency Information System</w:t>
            </w:r>
          </w:p>
        </w:tc>
      </w:tr>
      <w:tr w:rsidR="00AF0215" w:rsidRPr="00040BEC" w14:paraId="067F2EA4" w14:textId="77777777" w:rsidTr="00B055B7">
        <w:tc>
          <w:tcPr>
            <w:tcW w:w="2041" w:type="dxa"/>
          </w:tcPr>
          <w:p w14:paraId="7204E3E6" w14:textId="77777777" w:rsidR="00AF0215" w:rsidRPr="00040BEC" w:rsidRDefault="00AF0215" w:rsidP="00E17B98">
            <w:pPr>
              <w:spacing w:line="288" w:lineRule="auto"/>
              <w:rPr>
                <w:b/>
                <w:lang w:val="en-GB"/>
              </w:rPr>
            </w:pPr>
            <w:r w:rsidRPr="00040BEC">
              <w:rPr>
                <w:b/>
                <w:lang w:val="en-GB"/>
              </w:rPr>
              <w:t>ERC</w:t>
            </w:r>
          </w:p>
        </w:tc>
        <w:tc>
          <w:tcPr>
            <w:tcW w:w="7245" w:type="dxa"/>
          </w:tcPr>
          <w:p w14:paraId="40A7F56D" w14:textId="77777777" w:rsidR="00AF0215" w:rsidRPr="00040BEC" w:rsidRDefault="00AF0215" w:rsidP="00E17B98">
            <w:pPr>
              <w:pStyle w:val="ECCParagraph"/>
              <w:spacing w:after="0" w:line="288" w:lineRule="auto"/>
              <w:jc w:val="left"/>
              <w:rPr>
                <w:color w:val="000000"/>
              </w:rPr>
            </w:pPr>
            <w:r w:rsidRPr="00040BEC">
              <w:rPr>
                <w:color w:val="000000"/>
              </w:rPr>
              <w:t>European Radio Committee (superseded by ECC)</w:t>
            </w:r>
          </w:p>
        </w:tc>
      </w:tr>
      <w:tr w:rsidR="00E17B98" w:rsidRPr="00040BEC" w14:paraId="31A928EC" w14:textId="77777777" w:rsidTr="00B055B7">
        <w:tc>
          <w:tcPr>
            <w:tcW w:w="2041" w:type="dxa"/>
          </w:tcPr>
          <w:p w14:paraId="582D0D76" w14:textId="77777777" w:rsidR="00E17B98" w:rsidRPr="00040BEC" w:rsidRDefault="00E17B98" w:rsidP="00E36E4C">
            <w:pPr>
              <w:spacing w:line="288" w:lineRule="auto"/>
              <w:rPr>
                <w:b/>
                <w:lang w:val="en-GB"/>
              </w:rPr>
            </w:pPr>
            <w:r w:rsidRPr="00040BEC">
              <w:rPr>
                <w:b/>
                <w:lang w:val="en-GB"/>
              </w:rPr>
              <w:t>ESOMPs</w:t>
            </w:r>
          </w:p>
        </w:tc>
        <w:tc>
          <w:tcPr>
            <w:tcW w:w="7245" w:type="dxa"/>
          </w:tcPr>
          <w:p w14:paraId="536A576F" w14:textId="77777777" w:rsidR="00E17B98" w:rsidRPr="00040BEC" w:rsidRDefault="00E17B98" w:rsidP="00E36E4C">
            <w:pPr>
              <w:pStyle w:val="ECCParagraph"/>
              <w:spacing w:after="0" w:line="288" w:lineRule="auto"/>
              <w:jc w:val="left"/>
              <w:rPr>
                <w:color w:val="000000"/>
              </w:rPr>
            </w:pPr>
            <w:r w:rsidRPr="00040BEC">
              <w:rPr>
                <w:color w:val="000000"/>
              </w:rPr>
              <w:t>Earth Stations On Mobile Platforms</w:t>
            </w:r>
          </w:p>
        </w:tc>
      </w:tr>
      <w:tr w:rsidR="00AF0215" w:rsidRPr="00040BEC" w14:paraId="05D7BF7B" w14:textId="77777777" w:rsidTr="00B055B7">
        <w:tc>
          <w:tcPr>
            <w:tcW w:w="2041" w:type="dxa"/>
          </w:tcPr>
          <w:p w14:paraId="4193B948" w14:textId="77777777" w:rsidR="00AF0215" w:rsidRPr="00040BEC" w:rsidRDefault="00AF0215" w:rsidP="00E36E4C">
            <w:pPr>
              <w:spacing w:line="288" w:lineRule="auto"/>
              <w:rPr>
                <w:b/>
                <w:lang w:val="en-GB"/>
              </w:rPr>
            </w:pPr>
            <w:r w:rsidRPr="00040BEC">
              <w:rPr>
                <w:b/>
                <w:lang w:val="en-GB"/>
              </w:rPr>
              <w:t>ETSI</w:t>
            </w:r>
          </w:p>
        </w:tc>
        <w:tc>
          <w:tcPr>
            <w:tcW w:w="7245" w:type="dxa"/>
          </w:tcPr>
          <w:p w14:paraId="5B37C6F0" w14:textId="77777777" w:rsidR="00AF0215" w:rsidRPr="00040BEC" w:rsidRDefault="00AF0215" w:rsidP="00E36E4C">
            <w:pPr>
              <w:pStyle w:val="ECCParagraph"/>
              <w:spacing w:after="0" w:line="288" w:lineRule="auto"/>
              <w:jc w:val="left"/>
              <w:rPr>
                <w:color w:val="000000"/>
              </w:rPr>
            </w:pPr>
            <w:r w:rsidRPr="00040BEC">
              <w:rPr>
                <w:color w:val="000000"/>
              </w:rPr>
              <w:t>European Telecommunications Standards Institute</w:t>
            </w:r>
          </w:p>
        </w:tc>
      </w:tr>
      <w:tr w:rsidR="00AF0215" w:rsidRPr="00040BEC" w14:paraId="5B304FF4" w14:textId="77777777" w:rsidTr="00B055B7">
        <w:tc>
          <w:tcPr>
            <w:tcW w:w="2041" w:type="dxa"/>
          </w:tcPr>
          <w:p w14:paraId="40D98070" w14:textId="77777777" w:rsidR="00AF0215" w:rsidRPr="00040BEC" w:rsidRDefault="00AF0215" w:rsidP="00E17B98">
            <w:pPr>
              <w:spacing w:line="288" w:lineRule="auto"/>
              <w:rPr>
                <w:b/>
                <w:lang w:val="en-GB"/>
              </w:rPr>
            </w:pPr>
            <w:r w:rsidRPr="00040BEC">
              <w:rPr>
                <w:b/>
                <w:lang w:val="en-GB"/>
              </w:rPr>
              <w:t>EU</w:t>
            </w:r>
          </w:p>
        </w:tc>
        <w:tc>
          <w:tcPr>
            <w:tcW w:w="7245" w:type="dxa"/>
          </w:tcPr>
          <w:p w14:paraId="73212FB6" w14:textId="77777777" w:rsidR="00AF0215" w:rsidRPr="00040BEC" w:rsidRDefault="00AF0215" w:rsidP="00E17B98">
            <w:pPr>
              <w:pStyle w:val="ECCParagraph"/>
              <w:spacing w:after="0" w:line="288" w:lineRule="auto"/>
              <w:jc w:val="left"/>
              <w:rPr>
                <w:color w:val="000000"/>
              </w:rPr>
            </w:pPr>
            <w:r w:rsidRPr="00040BEC">
              <w:t>European Union</w:t>
            </w:r>
          </w:p>
        </w:tc>
      </w:tr>
      <w:tr w:rsidR="00E17B98" w:rsidRPr="00040BEC" w14:paraId="1AC6B4A4" w14:textId="77777777" w:rsidTr="00B055B7">
        <w:tc>
          <w:tcPr>
            <w:tcW w:w="2041" w:type="dxa"/>
          </w:tcPr>
          <w:p w14:paraId="677820C6" w14:textId="77777777" w:rsidR="00E17B98" w:rsidRPr="00040BEC" w:rsidRDefault="00E17B98" w:rsidP="00E36E4C">
            <w:pPr>
              <w:spacing w:line="288" w:lineRule="auto"/>
              <w:rPr>
                <w:b/>
                <w:lang w:val="en-GB"/>
              </w:rPr>
            </w:pPr>
            <w:r w:rsidRPr="00040BEC">
              <w:rPr>
                <w:b/>
                <w:lang w:val="en-GB"/>
              </w:rPr>
              <w:t>FCC</w:t>
            </w:r>
          </w:p>
        </w:tc>
        <w:tc>
          <w:tcPr>
            <w:tcW w:w="7245" w:type="dxa"/>
          </w:tcPr>
          <w:p w14:paraId="068E43AB" w14:textId="77777777" w:rsidR="00E17B98" w:rsidRPr="00040BEC" w:rsidRDefault="00E17B98" w:rsidP="00E36E4C">
            <w:pPr>
              <w:pStyle w:val="ECCParagraph"/>
              <w:spacing w:after="0" w:line="288" w:lineRule="auto"/>
              <w:jc w:val="left"/>
            </w:pPr>
            <w:r w:rsidRPr="00040BEC">
              <w:t>Federal Communication Commission</w:t>
            </w:r>
          </w:p>
        </w:tc>
      </w:tr>
      <w:tr w:rsidR="00AF0215" w:rsidRPr="00040BEC" w14:paraId="136313C3" w14:textId="77777777" w:rsidTr="00B055B7">
        <w:tc>
          <w:tcPr>
            <w:tcW w:w="2041" w:type="dxa"/>
          </w:tcPr>
          <w:p w14:paraId="540CAFEC" w14:textId="77777777" w:rsidR="00AF0215" w:rsidRPr="00040BEC" w:rsidRDefault="00AF0215" w:rsidP="00E36E4C">
            <w:pPr>
              <w:spacing w:line="288" w:lineRule="auto"/>
              <w:rPr>
                <w:b/>
                <w:lang w:val="en-GB"/>
              </w:rPr>
            </w:pPr>
            <w:r w:rsidRPr="00040BEC">
              <w:rPr>
                <w:b/>
                <w:lang w:val="en-GB"/>
              </w:rPr>
              <w:t>FDD</w:t>
            </w:r>
          </w:p>
        </w:tc>
        <w:tc>
          <w:tcPr>
            <w:tcW w:w="7245" w:type="dxa"/>
          </w:tcPr>
          <w:p w14:paraId="05C5E15B" w14:textId="77777777" w:rsidR="00AF0215" w:rsidRPr="00040BEC" w:rsidRDefault="00AF0215" w:rsidP="00E36E4C">
            <w:pPr>
              <w:pStyle w:val="ECCParagraph"/>
              <w:spacing w:after="0" w:line="288" w:lineRule="auto"/>
              <w:jc w:val="left"/>
            </w:pPr>
            <w:r w:rsidRPr="00040BEC">
              <w:rPr>
                <w:rFonts w:cs="Arial"/>
                <w:color w:val="222222"/>
              </w:rPr>
              <w:t>Frequency Division Duplex</w:t>
            </w:r>
          </w:p>
        </w:tc>
      </w:tr>
      <w:tr w:rsidR="004D4812" w:rsidRPr="00040BEC" w14:paraId="2E2F95E3" w14:textId="77777777" w:rsidTr="00B055B7">
        <w:tc>
          <w:tcPr>
            <w:tcW w:w="2041" w:type="dxa"/>
          </w:tcPr>
          <w:p w14:paraId="5AF9E00D" w14:textId="77777777" w:rsidR="004D4812" w:rsidRPr="00040BEC" w:rsidRDefault="004D4812" w:rsidP="00E36E4C">
            <w:pPr>
              <w:spacing w:line="288" w:lineRule="auto"/>
              <w:rPr>
                <w:b/>
                <w:lang w:val="en-GB"/>
              </w:rPr>
            </w:pPr>
            <w:r w:rsidRPr="00040BEC">
              <w:rPr>
                <w:b/>
                <w:lang w:val="en-GB"/>
              </w:rPr>
              <w:t>FL</w:t>
            </w:r>
          </w:p>
        </w:tc>
        <w:tc>
          <w:tcPr>
            <w:tcW w:w="7245" w:type="dxa"/>
          </w:tcPr>
          <w:p w14:paraId="3F15461D" w14:textId="77777777" w:rsidR="004D4812" w:rsidRPr="00040BEC" w:rsidRDefault="004D4812" w:rsidP="00E36E4C">
            <w:pPr>
              <w:pStyle w:val="ECCParagraph"/>
              <w:spacing w:after="0" w:line="288" w:lineRule="auto"/>
              <w:jc w:val="left"/>
              <w:rPr>
                <w:rFonts w:cs="Arial"/>
                <w:color w:val="222222"/>
              </w:rPr>
            </w:pPr>
            <w:r w:rsidRPr="00040BEC">
              <w:rPr>
                <w:rFonts w:cs="Arial"/>
                <w:color w:val="222222"/>
              </w:rPr>
              <w:t>Forward Link</w:t>
            </w:r>
          </w:p>
        </w:tc>
      </w:tr>
      <w:tr w:rsidR="00AF0215" w:rsidRPr="00040BEC" w14:paraId="53CA8129" w14:textId="77777777" w:rsidTr="00B055B7">
        <w:tc>
          <w:tcPr>
            <w:tcW w:w="2041" w:type="dxa"/>
          </w:tcPr>
          <w:p w14:paraId="7295E6A6" w14:textId="77777777" w:rsidR="00AF0215" w:rsidRPr="00040BEC" w:rsidRDefault="00AF0215" w:rsidP="00BE3722">
            <w:pPr>
              <w:spacing w:line="288" w:lineRule="auto"/>
              <w:rPr>
                <w:b/>
                <w:lang w:val="en-GB"/>
              </w:rPr>
            </w:pPr>
            <w:r w:rsidRPr="00040BEC">
              <w:rPr>
                <w:b/>
                <w:lang w:val="en-GB"/>
              </w:rPr>
              <w:t>FS</w:t>
            </w:r>
          </w:p>
        </w:tc>
        <w:tc>
          <w:tcPr>
            <w:tcW w:w="7245" w:type="dxa"/>
          </w:tcPr>
          <w:p w14:paraId="7BBE6F8D" w14:textId="77777777" w:rsidR="00AF0215" w:rsidRPr="00040BEC" w:rsidRDefault="00AF0215" w:rsidP="00BE3722">
            <w:pPr>
              <w:spacing w:line="288" w:lineRule="auto"/>
              <w:rPr>
                <w:rFonts w:cs="Arial"/>
                <w:color w:val="222222"/>
                <w:lang w:val="en-GB"/>
              </w:rPr>
            </w:pPr>
            <w:r w:rsidRPr="00040BEC">
              <w:rPr>
                <w:rFonts w:cs="Arial"/>
                <w:color w:val="222222"/>
                <w:lang w:val="en-GB"/>
              </w:rPr>
              <w:t>Fixed Service</w:t>
            </w:r>
          </w:p>
        </w:tc>
      </w:tr>
      <w:tr w:rsidR="00BE3722" w:rsidRPr="00040BEC" w14:paraId="54E15617" w14:textId="77777777" w:rsidTr="00B055B7">
        <w:tc>
          <w:tcPr>
            <w:tcW w:w="2041" w:type="dxa"/>
          </w:tcPr>
          <w:p w14:paraId="1AC9F55D" w14:textId="77777777" w:rsidR="00BE3722" w:rsidRPr="00040BEC" w:rsidRDefault="00BE3722" w:rsidP="00E36E4C">
            <w:pPr>
              <w:spacing w:line="288" w:lineRule="auto"/>
              <w:rPr>
                <w:b/>
                <w:lang w:val="en-GB"/>
              </w:rPr>
            </w:pPr>
            <w:r w:rsidRPr="00040BEC">
              <w:rPr>
                <w:b/>
                <w:lang w:val="en-GB"/>
              </w:rPr>
              <w:t>FSS</w:t>
            </w:r>
          </w:p>
        </w:tc>
        <w:tc>
          <w:tcPr>
            <w:tcW w:w="7245" w:type="dxa"/>
          </w:tcPr>
          <w:p w14:paraId="50D6A0BD" w14:textId="77777777" w:rsidR="00BE3722" w:rsidRPr="00040BEC" w:rsidRDefault="00BE3722" w:rsidP="00E36E4C">
            <w:pPr>
              <w:spacing w:line="288" w:lineRule="auto"/>
              <w:rPr>
                <w:rFonts w:cs="Arial"/>
                <w:color w:val="222222"/>
                <w:lang w:val="en-GB"/>
              </w:rPr>
            </w:pPr>
            <w:r w:rsidRPr="00040BEC">
              <w:rPr>
                <w:rFonts w:cs="Arial"/>
                <w:color w:val="222222"/>
                <w:lang w:val="en-GB"/>
              </w:rPr>
              <w:t>Fixed Satellite Service</w:t>
            </w:r>
          </w:p>
        </w:tc>
      </w:tr>
      <w:tr w:rsidR="00BE3722" w:rsidRPr="00040BEC" w14:paraId="35FFD40E" w14:textId="77777777" w:rsidTr="00B055B7">
        <w:tc>
          <w:tcPr>
            <w:tcW w:w="2041" w:type="dxa"/>
          </w:tcPr>
          <w:p w14:paraId="63B08B9E" w14:textId="77777777" w:rsidR="00BE3722" w:rsidRPr="00040BEC" w:rsidRDefault="00BE3722" w:rsidP="00E36E4C">
            <w:pPr>
              <w:spacing w:line="288" w:lineRule="auto"/>
              <w:rPr>
                <w:b/>
                <w:lang w:val="en-GB"/>
              </w:rPr>
            </w:pPr>
            <w:r w:rsidRPr="00040BEC">
              <w:rPr>
                <w:b/>
                <w:lang w:val="en-GB"/>
              </w:rPr>
              <w:t>FWA</w:t>
            </w:r>
          </w:p>
        </w:tc>
        <w:tc>
          <w:tcPr>
            <w:tcW w:w="7245" w:type="dxa"/>
          </w:tcPr>
          <w:p w14:paraId="06E90F62" w14:textId="77777777" w:rsidR="00BE3722" w:rsidRPr="00040BEC" w:rsidRDefault="00BE3722" w:rsidP="00E36E4C">
            <w:pPr>
              <w:spacing w:line="288" w:lineRule="auto"/>
              <w:rPr>
                <w:rFonts w:cs="Arial"/>
                <w:color w:val="222222"/>
                <w:lang w:val="en-GB"/>
              </w:rPr>
            </w:pPr>
            <w:r w:rsidRPr="00040BEC">
              <w:rPr>
                <w:rFonts w:cs="Arial"/>
                <w:color w:val="222222"/>
                <w:lang w:val="en-GB"/>
              </w:rPr>
              <w:t>Fixed Wireless Access</w:t>
            </w:r>
          </w:p>
        </w:tc>
      </w:tr>
      <w:tr w:rsidR="00E17B98" w:rsidRPr="00040BEC" w14:paraId="4CDB9484" w14:textId="77777777" w:rsidTr="00B055B7">
        <w:tc>
          <w:tcPr>
            <w:tcW w:w="2041" w:type="dxa"/>
          </w:tcPr>
          <w:p w14:paraId="3276F26E" w14:textId="77777777" w:rsidR="00E17B98" w:rsidRPr="00040BEC" w:rsidRDefault="00E17B98" w:rsidP="00E36E4C">
            <w:pPr>
              <w:spacing w:line="288" w:lineRule="auto"/>
              <w:rPr>
                <w:b/>
                <w:lang w:val="en-GB"/>
              </w:rPr>
            </w:pPr>
            <w:r w:rsidRPr="00040BEC">
              <w:rPr>
                <w:b/>
                <w:lang w:val="en-GB"/>
              </w:rPr>
              <w:t>GS</w:t>
            </w:r>
          </w:p>
        </w:tc>
        <w:tc>
          <w:tcPr>
            <w:tcW w:w="7245" w:type="dxa"/>
          </w:tcPr>
          <w:p w14:paraId="183F3B88" w14:textId="77777777" w:rsidR="00E17B98" w:rsidRPr="00040BEC" w:rsidRDefault="00E17B98" w:rsidP="00E36E4C">
            <w:pPr>
              <w:spacing w:line="288" w:lineRule="auto"/>
              <w:rPr>
                <w:rFonts w:cs="Arial"/>
                <w:color w:val="222222"/>
                <w:lang w:val="en-GB"/>
              </w:rPr>
            </w:pPr>
            <w:r w:rsidRPr="00040BEC">
              <w:rPr>
                <w:rFonts w:cs="Arial"/>
                <w:color w:val="222222"/>
                <w:lang w:val="en-GB"/>
              </w:rPr>
              <w:t>Ground Station</w:t>
            </w:r>
          </w:p>
        </w:tc>
      </w:tr>
      <w:tr w:rsidR="00E17B98" w:rsidRPr="00040BEC" w14:paraId="7CF2EC06" w14:textId="77777777" w:rsidTr="00B055B7">
        <w:tc>
          <w:tcPr>
            <w:tcW w:w="2041" w:type="dxa"/>
          </w:tcPr>
          <w:p w14:paraId="1EDD6A11" w14:textId="77777777" w:rsidR="00E17B98" w:rsidRPr="00040BEC" w:rsidRDefault="00E17B98" w:rsidP="00E36E4C">
            <w:pPr>
              <w:spacing w:line="288" w:lineRule="auto"/>
              <w:rPr>
                <w:b/>
                <w:lang w:val="en-GB"/>
              </w:rPr>
            </w:pPr>
            <w:r w:rsidRPr="00040BEC">
              <w:rPr>
                <w:b/>
                <w:lang w:val="en-GB"/>
              </w:rPr>
              <w:t>GSMOBA</w:t>
            </w:r>
          </w:p>
        </w:tc>
        <w:tc>
          <w:tcPr>
            <w:tcW w:w="7245" w:type="dxa"/>
          </w:tcPr>
          <w:p w14:paraId="2F3AC70C" w14:textId="77777777" w:rsidR="00E17B98" w:rsidRPr="00040BEC" w:rsidRDefault="00E17B98" w:rsidP="00E36E4C">
            <w:pPr>
              <w:spacing w:line="288" w:lineRule="auto"/>
              <w:rPr>
                <w:rFonts w:cs="Arial"/>
                <w:color w:val="222222"/>
                <w:lang w:val="en-GB"/>
              </w:rPr>
            </w:pPr>
            <w:r w:rsidRPr="00040BEC">
              <w:rPr>
                <w:rFonts w:cs="Arial"/>
                <w:color w:val="222222"/>
                <w:lang w:val="en-GB"/>
              </w:rPr>
              <w:t>GSM On-board Aircraft</w:t>
            </w:r>
          </w:p>
        </w:tc>
      </w:tr>
      <w:tr w:rsidR="00AF0215" w:rsidRPr="00040BEC" w14:paraId="60D60B79" w14:textId="77777777" w:rsidTr="00B055B7">
        <w:tc>
          <w:tcPr>
            <w:tcW w:w="2041" w:type="dxa"/>
          </w:tcPr>
          <w:p w14:paraId="0E55AC20" w14:textId="77777777" w:rsidR="00AF0215" w:rsidRPr="00040BEC" w:rsidRDefault="00AF0215" w:rsidP="00E36E4C">
            <w:pPr>
              <w:spacing w:line="288" w:lineRule="auto"/>
              <w:rPr>
                <w:b/>
                <w:lang w:val="en-GB"/>
              </w:rPr>
            </w:pPr>
            <w:r w:rsidRPr="00040BEC">
              <w:rPr>
                <w:b/>
                <w:lang w:val="en-GB"/>
              </w:rPr>
              <w:t>IMT</w:t>
            </w:r>
          </w:p>
        </w:tc>
        <w:tc>
          <w:tcPr>
            <w:tcW w:w="7245" w:type="dxa"/>
          </w:tcPr>
          <w:p w14:paraId="07B90A8A" w14:textId="77777777" w:rsidR="00AF0215" w:rsidRPr="00040BEC" w:rsidRDefault="00AF0215" w:rsidP="00E36E4C">
            <w:pPr>
              <w:spacing w:line="288" w:lineRule="auto"/>
              <w:rPr>
                <w:rFonts w:cs="Arial"/>
                <w:color w:val="222222"/>
                <w:lang w:val="en-GB"/>
              </w:rPr>
            </w:pPr>
            <w:r w:rsidRPr="00040BEC">
              <w:rPr>
                <w:lang w:val="en-GB"/>
              </w:rPr>
              <w:t>International Mobile Telecommunications</w:t>
            </w:r>
            <w:r w:rsidRPr="00040BEC" w:rsidDel="00C1625C">
              <w:rPr>
                <w:lang w:val="en-GB"/>
              </w:rPr>
              <w:t xml:space="preserve"> </w:t>
            </w:r>
          </w:p>
        </w:tc>
      </w:tr>
      <w:tr w:rsidR="00AF0215" w:rsidRPr="00040BEC" w14:paraId="110E12F1" w14:textId="77777777" w:rsidTr="00B055B7">
        <w:tc>
          <w:tcPr>
            <w:tcW w:w="2041" w:type="dxa"/>
          </w:tcPr>
          <w:p w14:paraId="0E831BC5" w14:textId="77777777" w:rsidR="00AF0215" w:rsidRPr="00040BEC" w:rsidRDefault="00AF0215" w:rsidP="00BE3722">
            <w:pPr>
              <w:spacing w:line="288" w:lineRule="auto"/>
              <w:rPr>
                <w:b/>
                <w:lang w:val="en-GB"/>
              </w:rPr>
            </w:pPr>
            <w:r w:rsidRPr="00040BEC">
              <w:rPr>
                <w:b/>
                <w:lang w:val="en-GB"/>
              </w:rPr>
              <w:t>LTE</w:t>
            </w:r>
          </w:p>
        </w:tc>
        <w:tc>
          <w:tcPr>
            <w:tcW w:w="7245" w:type="dxa"/>
          </w:tcPr>
          <w:p w14:paraId="56CCFCE0" w14:textId="77777777" w:rsidR="00AF0215" w:rsidRPr="00040BEC" w:rsidRDefault="00AF0215" w:rsidP="00BE3722">
            <w:pPr>
              <w:spacing w:line="288" w:lineRule="auto"/>
              <w:rPr>
                <w:lang w:val="en-GB"/>
              </w:rPr>
            </w:pPr>
            <w:r w:rsidRPr="00040BEC">
              <w:rPr>
                <w:lang w:val="en-GB"/>
              </w:rPr>
              <w:t>Long Term Evolution</w:t>
            </w:r>
          </w:p>
        </w:tc>
      </w:tr>
      <w:tr w:rsidR="00BE3722" w:rsidRPr="00040BEC" w14:paraId="2F36F2B3" w14:textId="77777777" w:rsidTr="00B055B7">
        <w:tc>
          <w:tcPr>
            <w:tcW w:w="2041" w:type="dxa"/>
          </w:tcPr>
          <w:p w14:paraId="63F95ACD" w14:textId="77777777" w:rsidR="00BE3722" w:rsidRPr="00040BEC" w:rsidRDefault="00BE3722" w:rsidP="00E36E4C">
            <w:pPr>
              <w:spacing w:line="288" w:lineRule="auto"/>
              <w:rPr>
                <w:b/>
                <w:lang w:val="en-GB"/>
              </w:rPr>
            </w:pPr>
            <w:r w:rsidRPr="00040BEC">
              <w:rPr>
                <w:b/>
                <w:lang w:val="en-GB"/>
              </w:rPr>
              <w:t>MSS</w:t>
            </w:r>
          </w:p>
        </w:tc>
        <w:tc>
          <w:tcPr>
            <w:tcW w:w="7245" w:type="dxa"/>
          </w:tcPr>
          <w:p w14:paraId="701D4D9A" w14:textId="77777777" w:rsidR="00BE3722" w:rsidRPr="00040BEC" w:rsidRDefault="00BE3722" w:rsidP="00E36E4C">
            <w:pPr>
              <w:spacing w:line="288" w:lineRule="auto"/>
              <w:rPr>
                <w:lang w:val="en-GB"/>
              </w:rPr>
            </w:pPr>
            <w:r w:rsidRPr="00040BEC">
              <w:rPr>
                <w:lang w:val="en-GB"/>
              </w:rPr>
              <w:t>Mobile Satellite Service</w:t>
            </w:r>
          </w:p>
        </w:tc>
      </w:tr>
      <w:tr w:rsidR="00BE3722" w:rsidRPr="00040BEC" w14:paraId="332A698C" w14:textId="77777777" w:rsidTr="00B055B7">
        <w:tc>
          <w:tcPr>
            <w:tcW w:w="2041" w:type="dxa"/>
          </w:tcPr>
          <w:p w14:paraId="6A098A47" w14:textId="77777777" w:rsidR="00BE3722" w:rsidRPr="00040BEC" w:rsidRDefault="00BE3722" w:rsidP="00E36E4C">
            <w:pPr>
              <w:spacing w:line="288" w:lineRule="auto"/>
              <w:rPr>
                <w:b/>
                <w:lang w:val="en-GB"/>
              </w:rPr>
            </w:pPr>
            <w:r w:rsidRPr="00040BEC">
              <w:rPr>
                <w:b/>
                <w:lang w:val="en-GB"/>
              </w:rPr>
              <w:t>MVL</w:t>
            </w:r>
          </w:p>
        </w:tc>
        <w:tc>
          <w:tcPr>
            <w:tcW w:w="7245" w:type="dxa"/>
          </w:tcPr>
          <w:p w14:paraId="0B0AAA0D" w14:textId="77777777" w:rsidR="00BE3722" w:rsidRPr="00040BEC" w:rsidRDefault="00BE3722" w:rsidP="00E36E4C">
            <w:pPr>
              <w:spacing w:line="288" w:lineRule="auto"/>
              <w:rPr>
                <w:lang w:val="en-GB"/>
              </w:rPr>
            </w:pPr>
            <w:r w:rsidRPr="00040BEC">
              <w:rPr>
                <w:lang w:val="en-GB"/>
              </w:rPr>
              <w:t>Mobile Video Links</w:t>
            </w:r>
          </w:p>
        </w:tc>
      </w:tr>
      <w:tr w:rsidR="00BE3722" w:rsidRPr="00040BEC" w14:paraId="78CFC051" w14:textId="77777777" w:rsidTr="00B055B7">
        <w:tc>
          <w:tcPr>
            <w:tcW w:w="2041" w:type="dxa"/>
          </w:tcPr>
          <w:p w14:paraId="7D1FFBDE" w14:textId="77777777" w:rsidR="00BE3722" w:rsidRPr="00040BEC" w:rsidRDefault="00BE3722" w:rsidP="00E36E4C">
            <w:pPr>
              <w:spacing w:line="288" w:lineRule="auto"/>
              <w:rPr>
                <w:b/>
                <w:lang w:val="en-GB"/>
              </w:rPr>
            </w:pPr>
            <w:r w:rsidRPr="00040BEC">
              <w:rPr>
                <w:b/>
                <w:lang w:val="en-GB"/>
              </w:rPr>
              <w:t>NTFA</w:t>
            </w:r>
          </w:p>
        </w:tc>
        <w:tc>
          <w:tcPr>
            <w:tcW w:w="7245" w:type="dxa"/>
          </w:tcPr>
          <w:p w14:paraId="4F0E75F3" w14:textId="77777777" w:rsidR="00BE3722" w:rsidRPr="00040BEC" w:rsidRDefault="00BE3722" w:rsidP="00E36E4C">
            <w:pPr>
              <w:spacing w:line="288" w:lineRule="auto"/>
              <w:rPr>
                <w:lang w:val="en-GB"/>
              </w:rPr>
            </w:pPr>
            <w:r w:rsidRPr="00040BEC">
              <w:rPr>
                <w:lang w:val="en-GB"/>
              </w:rPr>
              <w:t>National Table of Frequency Allocations</w:t>
            </w:r>
          </w:p>
        </w:tc>
      </w:tr>
      <w:tr w:rsidR="00BE3722" w:rsidRPr="00040BEC" w14:paraId="10E737F4" w14:textId="77777777" w:rsidTr="00B055B7">
        <w:tc>
          <w:tcPr>
            <w:tcW w:w="2041" w:type="dxa"/>
          </w:tcPr>
          <w:p w14:paraId="5511E9D9" w14:textId="77777777" w:rsidR="00BE3722" w:rsidRPr="00040BEC" w:rsidRDefault="00BE3722" w:rsidP="00E36E4C">
            <w:pPr>
              <w:spacing w:line="288" w:lineRule="auto"/>
              <w:rPr>
                <w:b/>
                <w:lang w:val="en-GB"/>
              </w:rPr>
            </w:pPr>
            <w:r w:rsidRPr="00040BEC">
              <w:rPr>
                <w:b/>
                <w:lang w:val="en-GB"/>
              </w:rPr>
              <w:t>OFDMA</w:t>
            </w:r>
          </w:p>
        </w:tc>
        <w:tc>
          <w:tcPr>
            <w:tcW w:w="7245" w:type="dxa"/>
          </w:tcPr>
          <w:p w14:paraId="2B44FE94" w14:textId="77777777" w:rsidR="00BE3722" w:rsidRPr="00040BEC" w:rsidRDefault="00BE3722" w:rsidP="00E36E4C">
            <w:pPr>
              <w:spacing w:line="288" w:lineRule="auto"/>
              <w:rPr>
                <w:lang w:val="en-GB"/>
              </w:rPr>
            </w:pPr>
            <w:r w:rsidRPr="00040BEC">
              <w:rPr>
                <w:lang w:val="en-GB"/>
              </w:rPr>
              <w:t>Orthogonal Frequency Division Multiple Access</w:t>
            </w:r>
          </w:p>
        </w:tc>
      </w:tr>
      <w:tr w:rsidR="00BE3722" w:rsidRPr="00040BEC" w14:paraId="60ED4D07" w14:textId="77777777" w:rsidTr="00B055B7">
        <w:tc>
          <w:tcPr>
            <w:tcW w:w="2041" w:type="dxa"/>
          </w:tcPr>
          <w:p w14:paraId="115A4A5C" w14:textId="77777777" w:rsidR="00BE3722" w:rsidRPr="00040BEC" w:rsidRDefault="00BE3722" w:rsidP="00E36E4C">
            <w:pPr>
              <w:spacing w:line="288" w:lineRule="auto"/>
              <w:rPr>
                <w:b/>
                <w:lang w:val="en-GB"/>
              </w:rPr>
            </w:pPr>
            <w:r w:rsidRPr="00040BEC">
              <w:rPr>
                <w:b/>
                <w:lang w:val="en-GB"/>
              </w:rPr>
              <w:t>OPEX</w:t>
            </w:r>
          </w:p>
        </w:tc>
        <w:tc>
          <w:tcPr>
            <w:tcW w:w="7245" w:type="dxa"/>
          </w:tcPr>
          <w:p w14:paraId="4FE3602C" w14:textId="77777777" w:rsidR="00BE3722" w:rsidRPr="00040BEC" w:rsidRDefault="00BE3722" w:rsidP="00E36E4C">
            <w:pPr>
              <w:spacing w:line="288" w:lineRule="auto"/>
              <w:rPr>
                <w:lang w:val="en-GB"/>
              </w:rPr>
            </w:pPr>
            <w:r w:rsidRPr="00040BEC">
              <w:rPr>
                <w:lang w:val="en-GB"/>
              </w:rPr>
              <w:t>Operating Expenses</w:t>
            </w:r>
          </w:p>
        </w:tc>
      </w:tr>
      <w:tr w:rsidR="00AF0215" w:rsidRPr="00040BEC" w14:paraId="24919FBF" w14:textId="77777777" w:rsidTr="00B055B7">
        <w:tc>
          <w:tcPr>
            <w:tcW w:w="2041" w:type="dxa"/>
          </w:tcPr>
          <w:p w14:paraId="0AB0E59B" w14:textId="77777777" w:rsidR="00AF0215" w:rsidRPr="00040BEC" w:rsidRDefault="00AF0215" w:rsidP="00E36E4C">
            <w:pPr>
              <w:spacing w:line="288" w:lineRule="auto"/>
              <w:rPr>
                <w:b/>
                <w:lang w:val="en-GB"/>
              </w:rPr>
            </w:pPr>
            <w:r w:rsidRPr="00040BEC">
              <w:rPr>
                <w:b/>
                <w:lang w:val="en-GB"/>
              </w:rPr>
              <w:t>PHS</w:t>
            </w:r>
          </w:p>
        </w:tc>
        <w:tc>
          <w:tcPr>
            <w:tcW w:w="7245" w:type="dxa"/>
          </w:tcPr>
          <w:p w14:paraId="3F65198A" w14:textId="77777777" w:rsidR="00AF0215" w:rsidRPr="00040BEC" w:rsidRDefault="00AF0215" w:rsidP="00E36E4C">
            <w:pPr>
              <w:spacing w:line="288" w:lineRule="auto"/>
              <w:rPr>
                <w:lang w:val="en-GB"/>
              </w:rPr>
            </w:pPr>
            <w:r w:rsidRPr="00040BEC">
              <w:rPr>
                <w:lang w:val="en-GB"/>
              </w:rPr>
              <w:t xml:space="preserve">Personal </w:t>
            </w:r>
            <w:proofErr w:type="spellStart"/>
            <w:r w:rsidRPr="00040BEC">
              <w:rPr>
                <w:lang w:val="en-GB"/>
              </w:rPr>
              <w:t>Handyphone</w:t>
            </w:r>
            <w:proofErr w:type="spellEnd"/>
            <w:r w:rsidRPr="00040BEC">
              <w:rPr>
                <w:lang w:val="en-GB"/>
              </w:rPr>
              <w:t xml:space="preserve"> System</w:t>
            </w:r>
          </w:p>
        </w:tc>
      </w:tr>
      <w:tr w:rsidR="00AF0215" w:rsidRPr="00040BEC" w14:paraId="56EA6BF7" w14:textId="77777777" w:rsidTr="00B055B7">
        <w:tc>
          <w:tcPr>
            <w:tcW w:w="2041" w:type="dxa"/>
          </w:tcPr>
          <w:p w14:paraId="01AA2959" w14:textId="77777777" w:rsidR="00AF0215" w:rsidRPr="00040BEC" w:rsidRDefault="00AF0215" w:rsidP="00E36E4C">
            <w:pPr>
              <w:spacing w:line="288" w:lineRule="auto"/>
              <w:rPr>
                <w:b/>
                <w:lang w:val="en-GB"/>
              </w:rPr>
            </w:pPr>
            <w:r w:rsidRPr="00040BEC">
              <w:rPr>
                <w:b/>
                <w:lang w:val="en-GB"/>
              </w:rPr>
              <w:t>PMSE</w:t>
            </w:r>
          </w:p>
        </w:tc>
        <w:tc>
          <w:tcPr>
            <w:tcW w:w="7245" w:type="dxa"/>
          </w:tcPr>
          <w:p w14:paraId="7800EF54" w14:textId="77777777" w:rsidR="00AF0215" w:rsidRPr="00040BEC" w:rsidRDefault="00AF0215" w:rsidP="00E36E4C">
            <w:pPr>
              <w:spacing w:line="288" w:lineRule="auto"/>
              <w:rPr>
                <w:lang w:val="en-GB"/>
              </w:rPr>
            </w:pPr>
            <w:r w:rsidRPr="00040BEC">
              <w:rPr>
                <w:lang w:val="en-GB"/>
              </w:rPr>
              <w:t>Programme Making and Special Events</w:t>
            </w:r>
          </w:p>
        </w:tc>
      </w:tr>
      <w:tr w:rsidR="00AF0215" w:rsidRPr="00040BEC" w14:paraId="15948F7C" w14:textId="77777777" w:rsidTr="00B055B7">
        <w:tc>
          <w:tcPr>
            <w:tcW w:w="2041" w:type="dxa"/>
          </w:tcPr>
          <w:p w14:paraId="7A3CD13F" w14:textId="77777777" w:rsidR="00A43499" w:rsidRPr="00040BEC" w:rsidRDefault="00AF0215" w:rsidP="009B1F09">
            <w:pPr>
              <w:spacing w:line="288" w:lineRule="auto"/>
              <w:rPr>
                <w:b/>
                <w:lang w:val="en-GB"/>
              </w:rPr>
            </w:pPr>
            <w:r w:rsidRPr="00040BEC">
              <w:rPr>
                <w:b/>
                <w:lang w:val="en-GB"/>
              </w:rPr>
              <w:t>PPDR</w:t>
            </w:r>
          </w:p>
        </w:tc>
        <w:tc>
          <w:tcPr>
            <w:tcW w:w="7245" w:type="dxa"/>
          </w:tcPr>
          <w:p w14:paraId="0A345B05" w14:textId="77777777" w:rsidR="00AF0215" w:rsidRPr="00040BEC" w:rsidRDefault="00AF0215" w:rsidP="00E36E4C">
            <w:pPr>
              <w:spacing w:line="288" w:lineRule="auto"/>
              <w:rPr>
                <w:lang w:val="en-GB"/>
              </w:rPr>
            </w:pPr>
            <w:r w:rsidRPr="00040BEC">
              <w:rPr>
                <w:lang w:val="en-GB"/>
              </w:rPr>
              <w:t>Public Protection and Disaster Relief</w:t>
            </w:r>
          </w:p>
        </w:tc>
      </w:tr>
      <w:tr w:rsidR="009B1F09" w:rsidRPr="00040BEC" w14:paraId="742682D3" w14:textId="77777777" w:rsidTr="00B055B7">
        <w:tc>
          <w:tcPr>
            <w:tcW w:w="2041" w:type="dxa"/>
          </w:tcPr>
          <w:p w14:paraId="7F513227" w14:textId="77777777" w:rsidR="009B1F09" w:rsidRPr="00040BEC" w:rsidRDefault="00011441" w:rsidP="009B1F09">
            <w:pPr>
              <w:spacing w:line="288" w:lineRule="auto"/>
              <w:rPr>
                <w:b/>
                <w:lang w:val="en-GB"/>
              </w:rPr>
            </w:pPr>
            <w:r w:rsidRPr="00040BEC">
              <w:rPr>
                <w:b/>
                <w:lang w:val="en-GB"/>
              </w:rPr>
              <w:t>PVL</w:t>
            </w:r>
          </w:p>
        </w:tc>
        <w:tc>
          <w:tcPr>
            <w:tcW w:w="7245" w:type="dxa"/>
          </w:tcPr>
          <w:p w14:paraId="68FE0584" w14:textId="77777777" w:rsidR="009B1F09" w:rsidRPr="00040BEC" w:rsidRDefault="00011441" w:rsidP="00E36E4C">
            <w:pPr>
              <w:spacing w:line="288" w:lineRule="auto"/>
              <w:rPr>
                <w:lang w:val="en-GB"/>
              </w:rPr>
            </w:pPr>
            <w:r w:rsidRPr="00040BEC">
              <w:rPr>
                <w:lang w:val="en-GB"/>
              </w:rPr>
              <w:t>Portable Video Link</w:t>
            </w:r>
          </w:p>
        </w:tc>
      </w:tr>
      <w:tr w:rsidR="00600BC9" w:rsidRPr="00040BEC" w14:paraId="07B81CF6" w14:textId="77777777" w:rsidTr="00B055B7">
        <w:tc>
          <w:tcPr>
            <w:tcW w:w="2041" w:type="dxa"/>
          </w:tcPr>
          <w:p w14:paraId="0475CBBF" w14:textId="77777777" w:rsidR="00600BC9" w:rsidRPr="00040BEC" w:rsidRDefault="00600BC9" w:rsidP="00E36E4C">
            <w:pPr>
              <w:spacing w:line="288" w:lineRule="auto"/>
              <w:rPr>
                <w:b/>
                <w:lang w:val="en-GB"/>
              </w:rPr>
            </w:pPr>
            <w:r w:rsidRPr="00040BEC">
              <w:rPr>
                <w:b/>
                <w:lang w:val="en-GB"/>
              </w:rPr>
              <w:t>QAM</w:t>
            </w:r>
          </w:p>
        </w:tc>
        <w:tc>
          <w:tcPr>
            <w:tcW w:w="7245" w:type="dxa"/>
          </w:tcPr>
          <w:p w14:paraId="361611DD" w14:textId="77777777" w:rsidR="00600BC9" w:rsidRPr="00040BEC" w:rsidRDefault="00600BC9" w:rsidP="00E36E4C">
            <w:pPr>
              <w:spacing w:line="288" w:lineRule="auto"/>
              <w:rPr>
                <w:lang w:val="en-GB"/>
              </w:rPr>
            </w:pPr>
            <w:r w:rsidRPr="00040BEC">
              <w:rPr>
                <w:lang w:val="en-GB"/>
              </w:rPr>
              <w:t>Quadrature Amplitude Modulation</w:t>
            </w:r>
          </w:p>
        </w:tc>
      </w:tr>
      <w:tr w:rsidR="00AF0215" w:rsidRPr="00040BEC" w14:paraId="0BA8CF21" w14:textId="77777777" w:rsidTr="00B055B7">
        <w:tc>
          <w:tcPr>
            <w:tcW w:w="2041" w:type="dxa"/>
          </w:tcPr>
          <w:p w14:paraId="3D3BBC65" w14:textId="77777777" w:rsidR="00AF0215" w:rsidRPr="00040BEC" w:rsidRDefault="00AF0215" w:rsidP="00E36E4C">
            <w:pPr>
              <w:spacing w:line="288" w:lineRule="auto"/>
              <w:rPr>
                <w:b/>
                <w:lang w:val="en-GB"/>
              </w:rPr>
            </w:pPr>
            <w:r w:rsidRPr="00040BEC">
              <w:rPr>
                <w:b/>
                <w:lang w:val="en-GB"/>
              </w:rPr>
              <w:t>RF</w:t>
            </w:r>
          </w:p>
        </w:tc>
        <w:tc>
          <w:tcPr>
            <w:tcW w:w="7245" w:type="dxa"/>
          </w:tcPr>
          <w:p w14:paraId="37B73CEB" w14:textId="77777777" w:rsidR="00AF0215" w:rsidRPr="00040BEC" w:rsidRDefault="00AF0215" w:rsidP="00E36E4C">
            <w:pPr>
              <w:spacing w:line="288" w:lineRule="auto"/>
              <w:rPr>
                <w:lang w:val="en-GB"/>
              </w:rPr>
            </w:pPr>
            <w:r w:rsidRPr="00040BEC">
              <w:rPr>
                <w:lang w:val="en-GB"/>
              </w:rPr>
              <w:t>Radio Frequency</w:t>
            </w:r>
          </w:p>
        </w:tc>
      </w:tr>
      <w:tr w:rsidR="004D4812" w:rsidRPr="00040BEC" w14:paraId="6CC2D788" w14:textId="77777777" w:rsidTr="00B055B7">
        <w:tc>
          <w:tcPr>
            <w:tcW w:w="2041" w:type="dxa"/>
          </w:tcPr>
          <w:p w14:paraId="661ECA9A" w14:textId="77777777" w:rsidR="004D4812" w:rsidRPr="00040BEC" w:rsidRDefault="004D4812" w:rsidP="00E36E4C">
            <w:pPr>
              <w:spacing w:line="288" w:lineRule="auto"/>
              <w:rPr>
                <w:b/>
                <w:lang w:val="en-GB"/>
              </w:rPr>
            </w:pPr>
            <w:r w:rsidRPr="00040BEC">
              <w:rPr>
                <w:b/>
                <w:lang w:val="en-GB"/>
              </w:rPr>
              <w:t>RL</w:t>
            </w:r>
          </w:p>
        </w:tc>
        <w:tc>
          <w:tcPr>
            <w:tcW w:w="7245" w:type="dxa"/>
          </w:tcPr>
          <w:p w14:paraId="464F56D4" w14:textId="77777777" w:rsidR="004D4812" w:rsidRPr="00040BEC" w:rsidRDefault="004D4812" w:rsidP="00E36E4C">
            <w:pPr>
              <w:spacing w:line="288" w:lineRule="auto"/>
              <w:rPr>
                <w:lang w:val="en-GB"/>
              </w:rPr>
            </w:pPr>
            <w:r w:rsidRPr="00040BEC">
              <w:rPr>
                <w:lang w:val="en-GB"/>
              </w:rPr>
              <w:t>Reverse Link</w:t>
            </w:r>
          </w:p>
        </w:tc>
      </w:tr>
      <w:tr w:rsidR="00AF0215" w:rsidRPr="00040BEC" w14:paraId="14E0455B" w14:textId="77777777" w:rsidTr="00B055B7">
        <w:tc>
          <w:tcPr>
            <w:tcW w:w="2041" w:type="dxa"/>
          </w:tcPr>
          <w:p w14:paraId="09D3786B" w14:textId="77777777" w:rsidR="00AF0215" w:rsidRPr="00040BEC" w:rsidRDefault="00AF0215" w:rsidP="00E36E4C">
            <w:pPr>
              <w:spacing w:line="288" w:lineRule="auto"/>
              <w:rPr>
                <w:b/>
                <w:lang w:val="en-GB"/>
              </w:rPr>
            </w:pPr>
            <w:r w:rsidRPr="00040BEC">
              <w:rPr>
                <w:b/>
                <w:lang w:val="en-GB"/>
              </w:rPr>
              <w:t>RSC</w:t>
            </w:r>
          </w:p>
        </w:tc>
        <w:tc>
          <w:tcPr>
            <w:tcW w:w="7245" w:type="dxa"/>
          </w:tcPr>
          <w:p w14:paraId="10BF45AA" w14:textId="77777777" w:rsidR="00AF0215" w:rsidRPr="00040BEC" w:rsidRDefault="00AF0215" w:rsidP="00E36E4C">
            <w:pPr>
              <w:spacing w:line="288" w:lineRule="auto"/>
              <w:rPr>
                <w:lang w:val="en-GB"/>
              </w:rPr>
            </w:pPr>
            <w:r w:rsidRPr="00040BEC">
              <w:rPr>
                <w:lang w:val="en-GB"/>
              </w:rPr>
              <w:t>Radio Spectrum Committee</w:t>
            </w:r>
          </w:p>
        </w:tc>
      </w:tr>
      <w:tr w:rsidR="00AF0215" w:rsidRPr="00040BEC" w14:paraId="43F31609" w14:textId="77777777" w:rsidTr="00B055B7">
        <w:tc>
          <w:tcPr>
            <w:tcW w:w="2041" w:type="dxa"/>
          </w:tcPr>
          <w:p w14:paraId="7AD1692E" w14:textId="77777777" w:rsidR="00AF0215" w:rsidRPr="00040BEC" w:rsidRDefault="00AF0215" w:rsidP="00E36E4C">
            <w:pPr>
              <w:spacing w:line="288" w:lineRule="auto"/>
              <w:rPr>
                <w:b/>
                <w:lang w:val="en-GB"/>
              </w:rPr>
            </w:pPr>
            <w:r w:rsidRPr="00040BEC">
              <w:rPr>
                <w:b/>
                <w:lang w:val="en-GB"/>
              </w:rPr>
              <w:t>RSPG</w:t>
            </w:r>
          </w:p>
        </w:tc>
        <w:tc>
          <w:tcPr>
            <w:tcW w:w="7245" w:type="dxa"/>
          </w:tcPr>
          <w:p w14:paraId="4EBD0198" w14:textId="77777777" w:rsidR="00AF0215" w:rsidRPr="00040BEC" w:rsidRDefault="00AF0215" w:rsidP="00E36E4C">
            <w:pPr>
              <w:spacing w:line="288" w:lineRule="auto"/>
              <w:rPr>
                <w:lang w:val="en-GB"/>
              </w:rPr>
            </w:pPr>
            <w:r w:rsidRPr="00040BEC">
              <w:rPr>
                <w:lang w:val="en-GB"/>
              </w:rPr>
              <w:t>Radio Spectrum Policy Group</w:t>
            </w:r>
          </w:p>
        </w:tc>
      </w:tr>
      <w:tr w:rsidR="00AF0215" w:rsidRPr="00040BEC" w14:paraId="3A292AC7" w14:textId="77777777" w:rsidTr="00B055B7">
        <w:tc>
          <w:tcPr>
            <w:tcW w:w="2041" w:type="dxa"/>
          </w:tcPr>
          <w:p w14:paraId="5FA12DBC" w14:textId="77777777" w:rsidR="00AF0215" w:rsidRPr="00040BEC" w:rsidRDefault="00AF0215" w:rsidP="00E36E4C">
            <w:pPr>
              <w:spacing w:line="288" w:lineRule="auto"/>
              <w:rPr>
                <w:b/>
                <w:lang w:val="en-GB"/>
              </w:rPr>
            </w:pPr>
            <w:r w:rsidRPr="00040BEC">
              <w:rPr>
                <w:b/>
                <w:lang w:val="en-GB"/>
              </w:rPr>
              <w:lastRenderedPageBreak/>
              <w:t>RSPP</w:t>
            </w:r>
          </w:p>
        </w:tc>
        <w:tc>
          <w:tcPr>
            <w:tcW w:w="7245" w:type="dxa"/>
          </w:tcPr>
          <w:p w14:paraId="456476AA" w14:textId="77777777" w:rsidR="00AF0215" w:rsidRPr="00040BEC" w:rsidRDefault="00AF0215" w:rsidP="00E36E4C">
            <w:pPr>
              <w:spacing w:line="288" w:lineRule="auto"/>
              <w:rPr>
                <w:lang w:val="en-GB"/>
              </w:rPr>
            </w:pPr>
            <w:r w:rsidRPr="00040BEC">
              <w:rPr>
                <w:lang w:val="en-GB"/>
              </w:rPr>
              <w:t>Radio Spectrum Policy</w:t>
            </w:r>
            <w:r w:rsidR="009E183B" w:rsidRPr="00040BEC">
              <w:rPr>
                <w:lang w:val="en-GB"/>
              </w:rPr>
              <w:t xml:space="preserve"> </w:t>
            </w:r>
            <w:r w:rsidRPr="00040BEC">
              <w:rPr>
                <w:lang w:val="en-GB"/>
              </w:rPr>
              <w:t>Programme</w:t>
            </w:r>
          </w:p>
        </w:tc>
      </w:tr>
      <w:tr w:rsidR="00AF0215" w:rsidRPr="00040BEC" w14:paraId="08B53924" w14:textId="77777777" w:rsidTr="00B055B7">
        <w:tc>
          <w:tcPr>
            <w:tcW w:w="2041" w:type="dxa"/>
          </w:tcPr>
          <w:p w14:paraId="585AF805" w14:textId="77777777" w:rsidR="00AF0215" w:rsidRPr="00040BEC" w:rsidRDefault="00AF0215" w:rsidP="00BE3722">
            <w:pPr>
              <w:spacing w:line="288" w:lineRule="auto"/>
              <w:rPr>
                <w:b/>
                <w:lang w:val="en-GB"/>
              </w:rPr>
            </w:pPr>
            <w:r w:rsidRPr="00040BEC">
              <w:rPr>
                <w:b/>
                <w:lang w:val="en-GB"/>
              </w:rPr>
              <w:t>R&amp;TTE</w:t>
            </w:r>
          </w:p>
        </w:tc>
        <w:tc>
          <w:tcPr>
            <w:tcW w:w="7245" w:type="dxa"/>
          </w:tcPr>
          <w:p w14:paraId="34E9CEF4" w14:textId="77777777" w:rsidR="00AF0215" w:rsidRPr="00040BEC" w:rsidRDefault="00AF0215" w:rsidP="00BE3722">
            <w:pPr>
              <w:spacing w:line="288" w:lineRule="auto"/>
              <w:rPr>
                <w:lang w:val="en-GB"/>
              </w:rPr>
            </w:pPr>
            <w:r w:rsidRPr="00040BEC">
              <w:rPr>
                <w:lang w:val="en-GB"/>
              </w:rPr>
              <w:t>Radio Equipment and Telecommunications Terminal Equipment</w:t>
            </w:r>
          </w:p>
        </w:tc>
      </w:tr>
      <w:tr w:rsidR="00BE3722" w:rsidRPr="00040BEC" w14:paraId="4241E222" w14:textId="77777777" w:rsidTr="00B055B7">
        <w:tc>
          <w:tcPr>
            <w:tcW w:w="2041" w:type="dxa"/>
          </w:tcPr>
          <w:p w14:paraId="2B5DCD08" w14:textId="77777777" w:rsidR="00BE3722" w:rsidRPr="00040BEC" w:rsidRDefault="00BE3722" w:rsidP="00E36E4C">
            <w:pPr>
              <w:spacing w:line="288" w:lineRule="auto"/>
              <w:rPr>
                <w:b/>
                <w:lang w:val="en-GB"/>
              </w:rPr>
            </w:pPr>
            <w:r w:rsidRPr="00040BEC">
              <w:rPr>
                <w:b/>
                <w:lang w:val="en-GB"/>
              </w:rPr>
              <w:t>SAB/SAP</w:t>
            </w:r>
          </w:p>
        </w:tc>
        <w:tc>
          <w:tcPr>
            <w:tcW w:w="7245" w:type="dxa"/>
          </w:tcPr>
          <w:p w14:paraId="488F732A" w14:textId="77777777" w:rsidR="00BE3722" w:rsidRPr="00040BEC" w:rsidRDefault="00BE3722" w:rsidP="00E36E4C">
            <w:pPr>
              <w:spacing w:line="288" w:lineRule="auto"/>
              <w:rPr>
                <w:lang w:val="en-GB"/>
              </w:rPr>
            </w:pPr>
            <w:r w:rsidRPr="00040BEC">
              <w:rPr>
                <w:lang w:val="en-GB"/>
              </w:rPr>
              <w:t>Services Ancillary to Broadcasting / Services Ancillary to Programme making</w:t>
            </w:r>
          </w:p>
        </w:tc>
      </w:tr>
      <w:tr w:rsidR="00BE3722" w:rsidRPr="00040BEC" w14:paraId="2FDFB51F" w14:textId="77777777" w:rsidTr="00B055B7">
        <w:tc>
          <w:tcPr>
            <w:tcW w:w="2041" w:type="dxa"/>
          </w:tcPr>
          <w:p w14:paraId="748CFDF4" w14:textId="77777777" w:rsidR="00BE3722" w:rsidRPr="00040BEC" w:rsidRDefault="00BE3722" w:rsidP="00E36E4C">
            <w:pPr>
              <w:spacing w:line="288" w:lineRule="auto"/>
              <w:rPr>
                <w:b/>
                <w:lang w:val="en-GB"/>
              </w:rPr>
            </w:pPr>
            <w:r w:rsidRPr="00040BEC">
              <w:rPr>
                <w:b/>
                <w:lang w:val="en-GB"/>
              </w:rPr>
              <w:t>SOS</w:t>
            </w:r>
          </w:p>
        </w:tc>
        <w:tc>
          <w:tcPr>
            <w:tcW w:w="7245" w:type="dxa"/>
          </w:tcPr>
          <w:p w14:paraId="5FF75E0B" w14:textId="77777777" w:rsidR="00BE3722" w:rsidRPr="00040BEC" w:rsidRDefault="00BE3722" w:rsidP="00E36E4C">
            <w:pPr>
              <w:spacing w:line="288" w:lineRule="auto"/>
              <w:rPr>
                <w:lang w:val="en-GB"/>
              </w:rPr>
            </w:pPr>
            <w:r w:rsidRPr="00040BEC">
              <w:rPr>
                <w:lang w:val="en-GB"/>
              </w:rPr>
              <w:t>Space Operation Service</w:t>
            </w:r>
          </w:p>
        </w:tc>
      </w:tr>
      <w:tr w:rsidR="00BE3722" w:rsidRPr="00040BEC" w14:paraId="574C9225" w14:textId="77777777" w:rsidTr="00B055B7">
        <w:tc>
          <w:tcPr>
            <w:tcW w:w="2041" w:type="dxa"/>
          </w:tcPr>
          <w:p w14:paraId="34343A08" w14:textId="77777777" w:rsidR="00BE3722" w:rsidRPr="00040BEC" w:rsidRDefault="00BE3722" w:rsidP="00E36E4C">
            <w:pPr>
              <w:spacing w:line="288" w:lineRule="auto"/>
              <w:rPr>
                <w:b/>
                <w:lang w:val="en-GB"/>
              </w:rPr>
            </w:pPr>
            <w:r w:rsidRPr="00040BEC">
              <w:rPr>
                <w:b/>
                <w:lang w:val="en-GB"/>
              </w:rPr>
              <w:t>SRD</w:t>
            </w:r>
          </w:p>
        </w:tc>
        <w:tc>
          <w:tcPr>
            <w:tcW w:w="7245" w:type="dxa"/>
          </w:tcPr>
          <w:p w14:paraId="52A32197" w14:textId="77777777" w:rsidR="00BE3722" w:rsidRPr="00040BEC" w:rsidRDefault="00BE3722" w:rsidP="00E36E4C">
            <w:pPr>
              <w:spacing w:line="288" w:lineRule="auto"/>
              <w:rPr>
                <w:lang w:val="en-GB"/>
              </w:rPr>
            </w:pPr>
            <w:r w:rsidRPr="00040BEC">
              <w:rPr>
                <w:lang w:val="en-GB"/>
              </w:rPr>
              <w:t>Short Range Devices</w:t>
            </w:r>
          </w:p>
        </w:tc>
      </w:tr>
      <w:tr w:rsidR="00BE3722" w:rsidRPr="00040BEC" w14:paraId="541F39A7" w14:textId="77777777" w:rsidTr="00B055B7">
        <w:tc>
          <w:tcPr>
            <w:tcW w:w="2041" w:type="dxa"/>
          </w:tcPr>
          <w:p w14:paraId="2F8F6BAF" w14:textId="77777777" w:rsidR="00BE3722" w:rsidRPr="00040BEC" w:rsidRDefault="00BE3722" w:rsidP="00E36E4C">
            <w:pPr>
              <w:spacing w:line="288" w:lineRule="auto"/>
              <w:rPr>
                <w:b/>
                <w:lang w:val="en-GB"/>
              </w:rPr>
            </w:pPr>
            <w:proofErr w:type="spellStart"/>
            <w:r w:rsidRPr="00040BEC">
              <w:rPr>
                <w:b/>
                <w:lang w:val="en-GB"/>
              </w:rPr>
              <w:t>SRDoc</w:t>
            </w:r>
            <w:proofErr w:type="spellEnd"/>
          </w:p>
        </w:tc>
        <w:tc>
          <w:tcPr>
            <w:tcW w:w="7245" w:type="dxa"/>
          </w:tcPr>
          <w:p w14:paraId="2C22F50A" w14:textId="77777777" w:rsidR="00BE3722" w:rsidRPr="00040BEC" w:rsidRDefault="00BE3722" w:rsidP="00E36E4C">
            <w:pPr>
              <w:spacing w:line="288" w:lineRule="auto"/>
              <w:rPr>
                <w:lang w:val="en-GB"/>
              </w:rPr>
            </w:pPr>
            <w:r w:rsidRPr="00040BEC">
              <w:rPr>
                <w:lang w:val="en-GB"/>
              </w:rPr>
              <w:t>ETSI System Reference Document</w:t>
            </w:r>
          </w:p>
        </w:tc>
      </w:tr>
      <w:tr w:rsidR="00BE3722" w:rsidRPr="00040BEC" w14:paraId="12A24F28" w14:textId="77777777" w:rsidTr="00B055B7">
        <w:tc>
          <w:tcPr>
            <w:tcW w:w="2041" w:type="dxa"/>
          </w:tcPr>
          <w:p w14:paraId="4CF39E46" w14:textId="77777777" w:rsidR="00BE3722" w:rsidRPr="00040BEC" w:rsidRDefault="00BE3722" w:rsidP="00E36E4C">
            <w:pPr>
              <w:spacing w:line="288" w:lineRule="auto"/>
              <w:rPr>
                <w:b/>
                <w:lang w:val="en-GB"/>
              </w:rPr>
            </w:pPr>
            <w:r w:rsidRPr="00040BEC">
              <w:rPr>
                <w:b/>
                <w:lang w:val="en-GB"/>
              </w:rPr>
              <w:t>SRS</w:t>
            </w:r>
          </w:p>
        </w:tc>
        <w:tc>
          <w:tcPr>
            <w:tcW w:w="7245" w:type="dxa"/>
          </w:tcPr>
          <w:p w14:paraId="390BBEC5" w14:textId="77777777" w:rsidR="00BE3722" w:rsidRPr="00040BEC" w:rsidRDefault="00BE3722" w:rsidP="00E36E4C">
            <w:pPr>
              <w:spacing w:line="288" w:lineRule="auto"/>
              <w:rPr>
                <w:lang w:val="en-GB"/>
              </w:rPr>
            </w:pPr>
            <w:r w:rsidRPr="00040BEC">
              <w:rPr>
                <w:lang w:val="en-GB"/>
              </w:rPr>
              <w:t>Space Research Service</w:t>
            </w:r>
          </w:p>
        </w:tc>
      </w:tr>
      <w:tr w:rsidR="00BE3722" w:rsidRPr="00040BEC" w14:paraId="33C16A69" w14:textId="77777777" w:rsidTr="00B055B7">
        <w:tc>
          <w:tcPr>
            <w:tcW w:w="2041" w:type="dxa"/>
          </w:tcPr>
          <w:p w14:paraId="77C35EDC" w14:textId="77777777" w:rsidR="00BE3722" w:rsidRPr="00040BEC" w:rsidRDefault="00BE3722" w:rsidP="00E36E4C">
            <w:pPr>
              <w:spacing w:line="288" w:lineRule="auto"/>
              <w:rPr>
                <w:b/>
                <w:lang w:val="en-GB"/>
              </w:rPr>
            </w:pPr>
            <w:r w:rsidRPr="00040BEC">
              <w:rPr>
                <w:b/>
                <w:lang w:val="en-GB"/>
              </w:rPr>
              <w:t>TDD</w:t>
            </w:r>
          </w:p>
        </w:tc>
        <w:tc>
          <w:tcPr>
            <w:tcW w:w="7245" w:type="dxa"/>
          </w:tcPr>
          <w:p w14:paraId="1D1B1A01" w14:textId="77777777" w:rsidR="00BE3722" w:rsidRPr="00040BEC" w:rsidRDefault="00BE3722" w:rsidP="00E36E4C">
            <w:pPr>
              <w:spacing w:line="288" w:lineRule="auto"/>
              <w:rPr>
                <w:lang w:val="en-GB"/>
              </w:rPr>
            </w:pPr>
            <w:r w:rsidRPr="00040BEC">
              <w:rPr>
                <w:lang w:val="en-GB"/>
              </w:rPr>
              <w:t>Time Division Duplex</w:t>
            </w:r>
          </w:p>
        </w:tc>
      </w:tr>
      <w:tr w:rsidR="00BE3722" w:rsidRPr="00040BEC" w14:paraId="34088187" w14:textId="77777777" w:rsidTr="00B055B7">
        <w:tc>
          <w:tcPr>
            <w:tcW w:w="2041" w:type="dxa"/>
          </w:tcPr>
          <w:p w14:paraId="1E1C1404" w14:textId="77777777" w:rsidR="00BE3722" w:rsidRPr="00040BEC" w:rsidRDefault="00BE3722" w:rsidP="00E36E4C">
            <w:pPr>
              <w:spacing w:line="288" w:lineRule="auto"/>
              <w:rPr>
                <w:b/>
                <w:lang w:val="en-GB"/>
              </w:rPr>
            </w:pPr>
            <w:r w:rsidRPr="00040BEC">
              <w:rPr>
                <w:b/>
                <w:lang w:val="en-GB"/>
              </w:rPr>
              <w:t>TRR</w:t>
            </w:r>
          </w:p>
        </w:tc>
        <w:tc>
          <w:tcPr>
            <w:tcW w:w="7245" w:type="dxa"/>
          </w:tcPr>
          <w:p w14:paraId="36389713" w14:textId="77777777" w:rsidR="00BE3722" w:rsidRPr="00040BEC" w:rsidRDefault="00BE3722" w:rsidP="00E36E4C">
            <w:pPr>
              <w:spacing w:line="288" w:lineRule="auto"/>
              <w:rPr>
                <w:lang w:val="en-GB"/>
              </w:rPr>
            </w:pPr>
            <w:r w:rsidRPr="00040BEC">
              <w:rPr>
                <w:lang w:val="en-GB"/>
              </w:rPr>
              <w:t>Tactical Radio Relay</w:t>
            </w:r>
          </w:p>
        </w:tc>
      </w:tr>
      <w:tr w:rsidR="00BE3722" w:rsidRPr="00040BEC" w14:paraId="2B175F43" w14:textId="77777777" w:rsidTr="00B055B7">
        <w:tc>
          <w:tcPr>
            <w:tcW w:w="2041" w:type="dxa"/>
          </w:tcPr>
          <w:p w14:paraId="455DF8C7" w14:textId="77777777" w:rsidR="00BE3722" w:rsidRPr="00040BEC" w:rsidRDefault="00BE3722" w:rsidP="00E36E4C">
            <w:pPr>
              <w:spacing w:line="288" w:lineRule="auto"/>
              <w:rPr>
                <w:b/>
                <w:lang w:val="en-GB"/>
              </w:rPr>
            </w:pPr>
            <w:r w:rsidRPr="00040BEC">
              <w:rPr>
                <w:b/>
                <w:lang w:val="en-GB"/>
              </w:rPr>
              <w:t>UHF</w:t>
            </w:r>
          </w:p>
        </w:tc>
        <w:tc>
          <w:tcPr>
            <w:tcW w:w="7245" w:type="dxa"/>
          </w:tcPr>
          <w:p w14:paraId="411DB0E0" w14:textId="77777777" w:rsidR="00BE3722" w:rsidRPr="00040BEC" w:rsidRDefault="00BE3722" w:rsidP="00E36E4C">
            <w:pPr>
              <w:spacing w:line="288" w:lineRule="auto"/>
              <w:rPr>
                <w:lang w:val="en-GB"/>
              </w:rPr>
            </w:pPr>
            <w:proofErr w:type="spellStart"/>
            <w:r w:rsidRPr="00040BEC">
              <w:rPr>
                <w:lang w:val="en-GB"/>
              </w:rPr>
              <w:t>Ultra High</w:t>
            </w:r>
            <w:proofErr w:type="spellEnd"/>
            <w:r w:rsidRPr="00040BEC">
              <w:rPr>
                <w:lang w:val="en-GB"/>
              </w:rPr>
              <w:t xml:space="preserve"> Frequencies</w:t>
            </w:r>
          </w:p>
        </w:tc>
      </w:tr>
      <w:tr w:rsidR="00BE3722" w:rsidRPr="00040BEC" w14:paraId="6152E69F" w14:textId="77777777" w:rsidTr="00B055B7">
        <w:tc>
          <w:tcPr>
            <w:tcW w:w="2041" w:type="dxa"/>
          </w:tcPr>
          <w:p w14:paraId="3AAE57AB" w14:textId="77777777" w:rsidR="00BE3722" w:rsidRPr="00040BEC" w:rsidRDefault="00BE3722" w:rsidP="00E36E4C">
            <w:pPr>
              <w:spacing w:line="288" w:lineRule="auto"/>
              <w:rPr>
                <w:b/>
                <w:lang w:val="en-GB"/>
              </w:rPr>
            </w:pPr>
            <w:r w:rsidRPr="00040BEC">
              <w:rPr>
                <w:b/>
                <w:lang w:val="en-GB"/>
              </w:rPr>
              <w:t>ULE</w:t>
            </w:r>
          </w:p>
        </w:tc>
        <w:tc>
          <w:tcPr>
            <w:tcW w:w="7245" w:type="dxa"/>
          </w:tcPr>
          <w:p w14:paraId="4D661C27" w14:textId="77777777" w:rsidR="00BE3722" w:rsidRPr="00040BEC" w:rsidRDefault="00BE3722" w:rsidP="00E36E4C">
            <w:pPr>
              <w:spacing w:line="288" w:lineRule="auto"/>
              <w:rPr>
                <w:lang w:val="en-GB"/>
              </w:rPr>
            </w:pPr>
            <w:proofErr w:type="spellStart"/>
            <w:r w:rsidRPr="00040BEC">
              <w:rPr>
                <w:lang w:val="en-GB"/>
              </w:rPr>
              <w:t>Ultra Low</w:t>
            </w:r>
            <w:proofErr w:type="spellEnd"/>
            <w:r w:rsidRPr="00040BEC">
              <w:rPr>
                <w:lang w:val="en-GB"/>
              </w:rPr>
              <w:t xml:space="preserve"> Energy</w:t>
            </w:r>
          </w:p>
        </w:tc>
      </w:tr>
      <w:tr w:rsidR="00BE3722" w:rsidRPr="00040BEC" w14:paraId="092B28F6" w14:textId="77777777" w:rsidTr="00B055B7">
        <w:tc>
          <w:tcPr>
            <w:tcW w:w="2041" w:type="dxa"/>
          </w:tcPr>
          <w:p w14:paraId="44665587" w14:textId="77777777" w:rsidR="00BE3722" w:rsidRPr="00040BEC" w:rsidRDefault="00BE3722" w:rsidP="00E36E4C">
            <w:pPr>
              <w:spacing w:line="288" w:lineRule="auto"/>
              <w:rPr>
                <w:b/>
                <w:lang w:val="en-GB"/>
              </w:rPr>
            </w:pPr>
            <w:r w:rsidRPr="00040BEC">
              <w:rPr>
                <w:b/>
                <w:lang w:val="en-GB"/>
              </w:rPr>
              <w:t>UMTS</w:t>
            </w:r>
          </w:p>
        </w:tc>
        <w:tc>
          <w:tcPr>
            <w:tcW w:w="7245" w:type="dxa"/>
          </w:tcPr>
          <w:p w14:paraId="24EBE7DF" w14:textId="77777777" w:rsidR="00BE3722" w:rsidRPr="00040BEC" w:rsidRDefault="00BE3722" w:rsidP="00E36E4C">
            <w:pPr>
              <w:spacing w:line="288" w:lineRule="auto"/>
              <w:rPr>
                <w:lang w:val="en-GB"/>
              </w:rPr>
            </w:pPr>
            <w:r w:rsidRPr="00040BEC">
              <w:rPr>
                <w:lang w:val="en-GB"/>
              </w:rPr>
              <w:t>Universal Mobile Telecommunications System</w:t>
            </w:r>
          </w:p>
        </w:tc>
      </w:tr>
      <w:tr w:rsidR="00AF0215" w:rsidRPr="00040BEC" w14:paraId="3AA8A834" w14:textId="77777777" w:rsidTr="00B055B7">
        <w:tc>
          <w:tcPr>
            <w:tcW w:w="2041" w:type="dxa"/>
          </w:tcPr>
          <w:p w14:paraId="57CF1BC4" w14:textId="77777777" w:rsidR="00E60BEC" w:rsidRPr="00040BEC" w:rsidRDefault="00BE3722" w:rsidP="00E36E4C">
            <w:pPr>
              <w:spacing w:line="288" w:lineRule="auto"/>
              <w:rPr>
                <w:b/>
                <w:lang w:val="en-GB"/>
              </w:rPr>
            </w:pPr>
            <w:r w:rsidRPr="00040BEC">
              <w:rPr>
                <w:b/>
                <w:lang w:val="en-GB"/>
              </w:rPr>
              <w:t>VLCC</w:t>
            </w:r>
          </w:p>
        </w:tc>
        <w:tc>
          <w:tcPr>
            <w:tcW w:w="7245" w:type="dxa"/>
          </w:tcPr>
          <w:p w14:paraId="3F690319" w14:textId="77777777" w:rsidR="00E60BEC" w:rsidRPr="00040BEC" w:rsidRDefault="00BE3722" w:rsidP="00E36E4C">
            <w:pPr>
              <w:spacing w:line="288" w:lineRule="auto"/>
              <w:rPr>
                <w:lang w:val="en-GB"/>
              </w:rPr>
            </w:pPr>
            <w:r w:rsidRPr="00040BEC">
              <w:rPr>
                <w:lang w:val="en-GB"/>
              </w:rPr>
              <w:t>Video links and cordless cameras</w:t>
            </w:r>
          </w:p>
        </w:tc>
      </w:tr>
      <w:tr w:rsidR="00BE3722" w:rsidRPr="00040BEC" w14:paraId="00B8C67B" w14:textId="77777777" w:rsidTr="00B055B7">
        <w:tc>
          <w:tcPr>
            <w:tcW w:w="2041" w:type="dxa"/>
          </w:tcPr>
          <w:p w14:paraId="7349AFB9" w14:textId="77777777" w:rsidR="00BE3722" w:rsidRPr="00040BEC" w:rsidRDefault="00BE3722" w:rsidP="00E36E4C">
            <w:pPr>
              <w:spacing w:line="288" w:lineRule="auto"/>
              <w:rPr>
                <w:b/>
                <w:lang w:val="en-GB"/>
              </w:rPr>
            </w:pPr>
            <w:r w:rsidRPr="00040BEC">
              <w:rPr>
                <w:b/>
                <w:lang w:val="en-GB"/>
              </w:rPr>
              <w:t>WAN</w:t>
            </w:r>
          </w:p>
        </w:tc>
        <w:tc>
          <w:tcPr>
            <w:tcW w:w="7245" w:type="dxa"/>
          </w:tcPr>
          <w:p w14:paraId="6CE74E6E" w14:textId="77777777" w:rsidR="00BE3722" w:rsidRPr="00040BEC" w:rsidRDefault="00BE3722" w:rsidP="00E36E4C">
            <w:pPr>
              <w:spacing w:line="288" w:lineRule="auto"/>
              <w:rPr>
                <w:lang w:val="en-GB"/>
              </w:rPr>
            </w:pPr>
            <w:r w:rsidRPr="00040BEC">
              <w:rPr>
                <w:lang w:val="en-GB"/>
              </w:rPr>
              <w:t>Wireless Area Networks</w:t>
            </w:r>
          </w:p>
        </w:tc>
      </w:tr>
      <w:tr w:rsidR="00BE3722" w:rsidRPr="00040BEC" w14:paraId="5A5DBC24" w14:textId="77777777" w:rsidTr="00B055B7">
        <w:tc>
          <w:tcPr>
            <w:tcW w:w="2041" w:type="dxa"/>
          </w:tcPr>
          <w:p w14:paraId="4BA2FB2E" w14:textId="77777777" w:rsidR="00BE3722" w:rsidRPr="00040BEC" w:rsidRDefault="00BE3722" w:rsidP="00E36E4C">
            <w:pPr>
              <w:spacing w:line="288" w:lineRule="auto"/>
              <w:rPr>
                <w:b/>
                <w:lang w:val="en-GB"/>
              </w:rPr>
            </w:pPr>
            <w:r w:rsidRPr="00040BEC">
              <w:rPr>
                <w:b/>
                <w:lang w:val="en-GB"/>
              </w:rPr>
              <w:t>WG FM</w:t>
            </w:r>
          </w:p>
        </w:tc>
        <w:tc>
          <w:tcPr>
            <w:tcW w:w="7245" w:type="dxa"/>
          </w:tcPr>
          <w:p w14:paraId="468AEAC7" w14:textId="77777777" w:rsidR="00BE3722" w:rsidRPr="00040BEC" w:rsidRDefault="00BE3722" w:rsidP="00E36E4C">
            <w:pPr>
              <w:spacing w:line="288" w:lineRule="auto"/>
              <w:rPr>
                <w:lang w:val="en-GB"/>
              </w:rPr>
            </w:pPr>
            <w:r w:rsidRPr="00040BEC">
              <w:rPr>
                <w:lang w:val="en-GB"/>
              </w:rPr>
              <w:t>Working Group Frequency Management</w:t>
            </w:r>
          </w:p>
        </w:tc>
      </w:tr>
      <w:tr w:rsidR="00AF0215" w:rsidRPr="00040BEC" w14:paraId="50D0C82E" w14:textId="77777777" w:rsidTr="00B055B7">
        <w:tc>
          <w:tcPr>
            <w:tcW w:w="2041" w:type="dxa"/>
          </w:tcPr>
          <w:p w14:paraId="5907A7D7" w14:textId="77777777" w:rsidR="00AF0215" w:rsidRPr="00040BEC" w:rsidRDefault="00AF0215" w:rsidP="00E36E4C">
            <w:pPr>
              <w:spacing w:line="288" w:lineRule="auto"/>
              <w:rPr>
                <w:b/>
                <w:lang w:val="en-GB"/>
              </w:rPr>
            </w:pPr>
            <w:r w:rsidRPr="00040BEC">
              <w:rPr>
                <w:b/>
                <w:lang w:val="en-GB"/>
              </w:rPr>
              <w:t>WLL</w:t>
            </w:r>
          </w:p>
        </w:tc>
        <w:tc>
          <w:tcPr>
            <w:tcW w:w="7245" w:type="dxa"/>
          </w:tcPr>
          <w:p w14:paraId="15BEB920" w14:textId="77777777" w:rsidR="00AF0215" w:rsidRPr="00040BEC" w:rsidRDefault="00AF0215" w:rsidP="00E36E4C">
            <w:pPr>
              <w:spacing w:line="288" w:lineRule="auto"/>
              <w:rPr>
                <w:lang w:val="en-GB"/>
              </w:rPr>
            </w:pPr>
            <w:r w:rsidRPr="00040BEC">
              <w:rPr>
                <w:lang w:val="en-GB"/>
              </w:rPr>
              <w:t>Wireless Local Loop</w:t>
            </w:r>
          </w:p>
        </w:tc>
      </w:tr>
      <w:tr w:rsidR="00E72505" w:rsidRPr="00040BEC" w14:paraId="14470687" w14:textId="77777777" w:rsidTr="00B055B7">
        <w:tc>
          <w:tcPr>
            <w:tcW w:w="2041" w:type="dxa"/>
          </w:tcPr>
          <w:p w14:paraId="749C7874" w14:textId="77777777" w:rsidR="00E72505" w:rsidRPr="00040BEC" w:rsidRDefault="00E72505" w:rsidP="00E72505">
            <w:pPr>
              <w:spacing w:line="288" w:lineRule="auto"/>
              <w:rPr>
                <w:b/>
                <w:lang w:val="en-GB"/>
              </w:rPr>
            </w:pPr>
            <w:r w:rsidRPr="00040BEC">
              <w:rPr>
                <w:b/>
                <w:lang w:val="en-GB"/>
              </w:rPr>
              <w:t>WRC</w:t>
            </w:r>
          </w:p>
        </w:tc>
        <w:tc>
          <w:tcPr>
            <w:tcW w:w="7245" w:type="dxa"/>
          </w:tcPr>
          <w:p w14:paraId="31C601FD" w14:textId="77777777" w:rsidR="00E72505" w:rsidRPr="00040BEC" w:rsidRDefault="00E72505" w:rsidP="00E72505">
            <w:pPr>
              <w:spacing w:line="288" w:lineRule="auto"/>
              <w:rPr>
                <w:lang w:val="en-GB"/>
              </w:rPr>
            </w:pPr>
            <w:r w:rsidRPr="00040BEC">
              <w:rPr>
                <w:lang w:val="en-GB"/>
              </w:rPr>
              <w:t xml:space="preserve">World </w:t>
            </w:r>
            <w:proofErr w:type="spellStart"/>
            <w:r w:rsidRPr="00040BEC">
              <w:rPr>
                <w:lang w:val="en-GB"/>
              </w:rPr>
              <w:t>Radio</w:t>
            </w:r>
            <w:r w:rsidR="00366A01" w:rsidRPr="00040BEC">
              <w:rPr>
                <w:lang w:val="en-GB"/>
              </w:rPr>
              <w:t>communication</w:t>
            </w:r>
            <w:proofErr w:type="spellEnd"/>
            <w:r w:rsidRPr="00040BEC">
              <w:rPr>
                <w:lang w:val="en-GB"/>
              </w:rPr>
              <w:t xml:space="preserve"> Conference</w:t>
            </w:r>
          </w:p>
        </w:tc>
      </w:tr>
    </w:tbl>
    <w:p w14:paraId="03D224B1" w14:textId="77777777" w:rsidR="000A4122" w:rsidRPr="00040BEC" w:rsidRDefault="000A4122" w:rsidP="00176CF0">
      <w:pPr>
        <w:pStyle w:val="Heading1"/>
      </w:pPr>
      <w:bookmarkStart w:id="2" w:name="_Toc396903988"/>
      <w:bookmarkStart w:id="3" w:name="_Toc445129305"/>
      <w:r w:rsidRPr="00040BEC">
        <w:lastRenderedPageBreak/>
        <w:t>introduction</w:t>
      </w:r>
      <w:bookmarkEnd w:id="2"/>
      <w:bookmarkEnd w:id="3"/>
    </w:p>
    <w:p w14:paraId="2FD63DE5" w14:textId="77777777" w:rsidR="00FE409E" w:rsidRPr="00040BEC" w:rsidRDefault="005370F0" w:rsidP="005370F0">
      <w:pPr>
        <w:pStyle w:val="ECCParagraph"/>
      </w:pPr>
      <w:r w:rsidRPr="00040BEC">
        <w:t>The use of the unpaired terrestrial 2 GHz frequency bands</w:t>
      </w:r>
      <w:r w:rsidR="00F11CC8" w:rsidRPr="00040BEC">
        <w:t xml:space="preserve">, </w:t>
      </w:r>
      <w:r w:rsidR="00F11CC8" w:rsidRPr="00040BEC">
        <w:rPr>
          <w:szCs w:val="20"/>
        </w:rPr>
        <w:t>1900-1920 MHz and 2010-2025 MHz</w:t>
      </w:r>
      <w:r w:rsidR="00F11CC8" w:rsidRPr="00040BEC">
        <w:t>,</w:t>
      </w:r>
      <w:r w:rsidR="00FA208E" w:rsidRPr="00040BEC">
        <w:t xml:space="preserve"> </w:t>
      </w:r>
      <w:proofErr w:type="gramStart"/>
      <w:r w:rsidR="00616B79" w:rsidRPr="00040BEC">
        <w:t>was established</w:t>
      </w:r>
      <w:proofErr w:type="gramEnd"/>
      <w:r w:rsidRPr="00040BEC">
        <w:t xml:space="preserve"> within CEPT for IMT-2000/UMTS</w:t>
      </w:r>
      <w:r w:rsidR="00FE409E" w:rsidRPr="00040BEC">
        <w:t xml:space="preserve"> more than 10 years ago. These frequency bands, originally planned for TDD use</w:t>
      </w:r>
      <w:r w:rsidR="00F11CC8" w:rsidRPr="00040BEC">
        <w:t>,</w:t>
      </w:r>
      <w:r w:rsidR="00FE409E" w:rsidRPr="00040BEC">
        <w:t xml:space="preserve"> w</w:t>
      </w:r>
      <w:r w:rsidR="00F11CC8" w:rsidRPr="00040BEC">
        <w:t>ere</w:t>
      </w:r>
      <w:r w:rsidR="00FE409E" w:rsidRPr="00040BEC">
        <w:t xml:space="preserve"> later harmonised </w:t>
      </w:r>
      <w:r w:rsidR="00FE409E" w:rsidRPr="00040BEC">
        <w:rPr>
          <w:szCs w:val="20"/>
        </w:rPr>
        <w:t>to allow greater flexibility in the use of the bands 1900-1920 MHz and 2010-2025 MHz</w:t>
      </w:r>
      <w:r w:rsidRPr="00040BEC">
        <w:t xml:space="preserve"> for either TDD or FDD uplink (to </w:t>
      </w:r>
      <w:proofErr w:type="gramStart"/>
      <w:r w:rsidRPr="00040BEC">
        <w:t>be paired</w:t>
      </w:r>
      <w:proofErr w:type="gramEnd"/>
      <w:r w:rsidRPr="00040BEC">
        <w:t xml:space="preserve"> with another band). </w:t>
      </w:r>
      <w:r w:rsidR="00695A17" w:rsidRPr="00040BEC">
        <w:t>This harmonisation</w:t>
      </w:r>
      <w:r w:rsidR="00845409" w:rsidRPr="00040BEC">
        <w:t>,</w:t>
      </w:r>
      <w:r w:rsidR="00695A17" w:rsidRPr="00040BEC">
        <w:t xml:space="preserve"> </w:t>
      </w:r>
      <w:r w:rsidRPr="00040BEC">
        <w:t>as part of a process of making available spectrum for future mobile telecommunications systems within CEPT</w:t>
      </w:r>
      <w:r w:rsidR="00845409" w:rsidRPr="00040BEC">
        <w:t>, ha</w:t>
      </w:r>
      <w:r w:rsidR="00F11CC8" w:rsidRPr="00040BEC">
        <w:t>s</w:t>
      </w:r>
      <w:r w:rsidR="00845409" w:rsidRPr="00040BEC">
        <w:t xml:space="preserve"> been the basis of a number </w:t>
      </w:r>
      <w:r w:rsidR="0008497E" w:rsidRPr="00040BEC">
        <w:rPr>
          <w:szCs w:val="20"/>
        </w:rPr>
        <w:t xml:space="preserve">of </w:t>
      </w:r>
      <w:r w:rsidR="00845409" w:rsidRPr="00040BEC">
        <w:rPr>
          <w:szCs w:val="20"/>
        </w:rPr>
        <w:t xml:space="preserve">authorisations that </w:t>
      </w:r>
      <w:proofErr w:type="gramStart"/>
      <w:r w:rsidR="00845409" w:rsidRPr="00040BEC">
        <w:rPr>
          <w:szCs w:val="20"/>
        </w:rPr>
        <w:t>have been granted</w:t>
      </w:r>
      <w:proofErr w:type="gramEnd"/>
      <w:r w:rsidR="00845409" w:rsidRPr="00040BEC">
        <w:rPr>
          <w:szCs w:val="20"/>
        </w:rPr>
        <w:t xml:space="preserve"> for the bands 1900-1920 MHz and 2010-2025 </w:t>
      </w:r>
      <w:proofErr w:type="spellStart"/>
      <w:r w:rsidR="00845409" w:rsidRPr="00040BEC">
        <w:rPr>
          <w:szCs w:val="20"/>
        </w:rPr>
        <w:t>MHz</w:t>
      </w:r>
      <w:r w:rsidRPr="00040BEC">
        <w:t>.</w:t>
      </w:r>
      <w:proofErr w:type="spellEnd"/>
    </w:p>
    <w:p w14:paraId="49113862" w14:textId="77777777" w:rsidR="00AE7183" w:rsidRPr="00040BEC" w:rsidRDefault="005370F0" w:rsidP="005370F0">
      <w:pPr>
        <w:pStyle w:val="ECCParagraph"/>
      </w:pPr>
      <w:r w:rsidRPr="00040BEC">
        <w:t xml:space="preserve">CEPT </w:t>
      </w:r>
      <w:r w:rsidR="00FA208E" w:rsidRPr="00040BEC">
        <w:t xml:space="preserve">analysed the usage of </w:t>
      </w:r>
      <w:r w:rsidRPr="00040BEC">
        <w:t xml:space="preserve">the unpaired </w:t>
      </w:r>
      <w:r w:rsidR="00FA208E" w:rsidRPr="00040BEC">
        <w:t xml:space="preserve">terrestrial </w:t>
      </w:r>
      <w:r w:rsidRPr="00040BEC">
        <w:t xml:space="preserve">2 GHz bands </w:t>
      </w:r>
      <w:r w:rsidR="00FA208E" w:rsidRPr="00040BEC">
        <w:t xml:space="preserve">and </w:t>
      </w:r>
      <w:proofErr w:type="gramStart"/>
      <w:r w:rsidR="00FA208E" w:rsidRPr="00040BEC">
        <w:t>came to the conclusion</w:t>
      </w:r>
      <w:proofErr w:type="gramEnd"/>
      <w:r w:rsidR="00FA208E" w:rsidRPr="00040BEC">
        <w:t xml:space="preserve"> that those bands </w:t>
      </w:r>
      <w:r w:rsidRPr="00040BEC">
        <w:t>were mostly unused. In summary, the band 1900-1920 MHz, although licensed in many countries, remained largely unused, and the use of frequencies in the band 2010-2025 MHz had only been authorised in few countries.</w:t>
      </w:r>
    </w:p>
    <w:p w14:paraId="34ACD84D" w14:textId="77777777" w:rsidR="00AE7183" w:rsidRPr="00040BEC" w:rsidRDefault="00AE7183" w:rsidP="00AE7183">
      <w:pPr>
        <w:pStyle w:val="ECCParagraph"/>
        <w:rPr>
          <w:color w:val="000000"/>
        </w:rPr>
      </w:pPr>
      <w:r w:rsidRPr="00040BEC">
        <w:t xml:space="preserve">The pairing of </w:t>
      </w:r>
      <w:r w:rsidRPr="00040BEC">
        <w:rPr>
          <w:color w:val="000000"/>
        </w:rPr>
        <w:t xml:space="preserve">1900/1905-1920 MHz with 2090/2095-2110 MHz, as well as </w:t>
      </w:r>
      <w:r w:rsidR="00227D9E" w:rsidRPr="00040BEC">
        <w:rPr>
          <w:color w:val="000000"/>
        </w:rPr>
        <w:t xml:space="preserve">an internal pairing of </w:t>
      </w:r>
      <w:r w:rsidRPr="00040BEC">
        <w:rPr>
          <w:color w:val="000000"/>
        </w:rPr>
        <w:t xml:space="preserve">1900-1920 MHz with 2010-2025 MHz (limiting the pairing to 2x15 MHz), or even external pairing, were investigated within CEPT </w:t>
      </w:r>
      <w:r w:rsidR="00227D9E" w:rsidRPr="00040BEC">
        <w:rPr>
          <w:color w:val="000000"/>
        </w:rPr>
        <w:t xml:space="preserve">for cellular mobile mass market applications </w:t>
      </w:r>
      <w:r w:rsidRPr="00040BEC">
        <w:rPr>
          <w:color w:val="000000"/>
        </w:rPr>
        <w:t>but considered inappropriate.</w:t>
      </w:r>
      <w:r w:rsidR="00CD37D6" w:rsidRPr="00040BEC">
        <w:rPr>
          <w:color w:val="000000"/>
        </w:rPr>
        <w:t xml:space="preserve"> </w:t>
      </w:r>
      <w:r w:rsidR="00CD37D6" w:rsidRPr="00040BEC">
        <w:t>Increased complexity (additional bands) in User Equipment (UE) design compared to very limited benefits for the cellular mobile community led to lack of support from Industry.</w:t>
      </w:r>
    </w:p>
    <w:p w14:paraId="65F2CD80" w14:textId="77777777" w:rsidR="00AE7183" w:rsidRPr="00040BEC" w:rsidRDefault="00AE7183" w:rsidP="00FA208E">
      <w:pPr>
        <w:pStyle w:val="ECCParagraph"/>
      </w:pPr>
      <w:r w:rsidRPr="00040BEC">
        <w:t xml:space="preserve">Thus, further investigations </w:t>
      </w:r>
      <w:proofErr w:type="gramStart"/>
      <w:r w:rsidRPr="00040BEC">
        <w:t>were considered</w:t>
      </w:r>
      <w:proofErr w:type="gramEnd"/>
      <w:r w:rsidRPr="00040BEC">
        <w:t xml:space="preserve"> </w:t>
      </w:r>
      <w:r w:rsidR="00973D30" w:rsidRPr="00040BEC">
        <w:t xml:space="preserve">as </w:t>
      </w:r>
      <w:r w:rsidRPr="00040BEC">
        <w:t xml:space="preserve">needed to develop a suitable ECC framework for those bands, focusing on alternative uses in the unpaired sub-bands (1900-1920 MHz and 2010-2025 MHz) other than for the provision of mobile electronic communications services through terrestrial cellular networks. </w:t>
      </w:r>
    </w:p>
    <w:p w14:paraId="2EC284F0" w14:textId="77777777" w:rsidR="00FA208E" w:rsidRPr="00040BEC" w:rsidRDefault="00993867" w:rsidP="00FA208E">
      <w:pPr>
        <w:pStyle w:val="ECCParagraph"/>
      </w:pPr>
      <w:proofErr w:type="gramStart"/>
      <w:r w:rsidRPr="00040BEC">
        <w:t xml:space="preserve">At the end of 2012, CEPT was mandated </w:t>
      </w:r>
      <w:r w:rsidR="00FA208E" w:rsidRPr="00040BEC">
        <w:t>to assess and identify alternative uses of the unpaired terrestrial</w:t>
      </w:r>
      <w:r w:rsidR="00FC5716" w:rsidRPr="00040BEC">
        <w:t xml:space="preserve"> </w:t>
      </w:r>
      <w:r w:rsidR="00FA208E" w:rsidRPr="00040BEC">
        <w:t xml:space="preserve">2 GHz frequency bands (1900-1920 MHz and 2010-2025 MHz) other than for the provision of mobile electronic communications services through terrestrial cellular networks (as introduced by the UMTS Decision) as well as to develop least restrictive </w:t>
      </w:r>
      <w:r w:rsidR="007330AF" w:rsidRPr="00040BEC">
        <w:t xml:space="preserve">technical </w:t>
      </w:r>
      <w:r w:rsidR="00FA208E" w:rsidRPr="00040BEC">
        <w:t>conditions for their deployment while ensuring co-existence with the electronic communications services in the paired 2 GHz spectrum.</w:t>
      </w:r>
      <w:proofErr w:type="gramEnd"/>
    </w:p>
    <w:p w14:paraId="7772B211" w14:textId="77777777" w:rsidR="000D6787" w:rsidRPr="00040BEC" w:rsidRDefault="00E81D76" w:rsidP="007C5F6C">
      <w:pPr>
        <w:pStyle w:val="ECCParagraph"/>
      </w:pPr>
      <w:r w:rsidRPr="00040BEC">
        <w:t>T</w:t>
      </w:r>
      <w:r w:rsidR="006A6ED1" w:rsidRPr="00040BEC">
        <w:rPr>
          <w:szCs w:val="20"/>
        </w:rPr>
        <w:t>h</w:t>
      </w:r>
      <w:r w:rsidR="00BC13CB" w:rsidRPr="00040BEC">
        <w:rPr>
          <w:szCs w:val="20"/>
        </w:rPr>
        <w:t xml:space="preserve">is Report </w:t>
      </w:r>
      <w:r w:rsidR="00CF626A" w:rsidRPr="00040BEC">
        <w:t>gives</w:t>
      </w:r>
      <w:r w:rsidRPr="00040BEC">
        <w:t xml:space="preserve"> an overview of CEPT investigations on </w:t>
      </w:r>
      <w:r w:rsidR="000D6787" w:rsidRPr="00040BEC">
        <w:t>alternative uses of bands 1900-1920 MHz and 2010-2025 MHz</w:t>
      </w:r>
      <w:r w:rsidR="00CF626A" w:rsidRPr="00040BEC">
        <w:t>,</w:t>
      </w:r>
      <w:r w:rsidR="000D6787" w:rsidRPr="00040BEC">
        <w:t xml:space="preserve"> </w:t>
      </w:r>
      <w:r w:rsidR="00CF626A" w:rsidRPr="00040BEC">
        <w:t>other than for the provision of mobile electronic communications services through terrestrial cellular networks</w:t>
      </w:r>
      <w:r w:rsidR="00BC13CB" w:rsidRPr="00040BEC">
        <w:t>, as follows:</w:t>
      </w:r>
    </w:p>
    <w:p w14:paraId="06262FF0" w14:textId="77777777" w:rsidR="00BC13CB" w:rsidRPr="00040BEC" w:rsidRDefault="00BC13CB" w:rsidP="00BE115C">
      <w:pPr>
        <w:pStyle w:val="ECCParagraph"/>
        <w:numPr>
          <w:ilvl w:val="0"/>
          <w:numId w:val="36"/>
        </w:numPr>
      </w:pPr>
      <w:r w:rsidRPr="00040BEC">
        <w:t xml:space="preserve">Section </w:t>
      </w:r>
      <w:r w:rsidR="000A5980" w:rsidRPr="00040BEC">
        <w:fldChar w:fldCharType="begin"/>
      </w:r>
      <w:r w:rsidRPr="00040BEC">
        <w:instrText xml:space="preserve"> REF _Ref355341784 \r \h </w:instrText>
      </w:r>
      <w:r w:rsidR="000A5980" w:rsidRPr="00040BEC">
        <w:fldChar w:fldCharType="separate"/>
      </w:r>
      <w:r w:rsidR="002327BB">
        <w:t>2</w:t>
      </w:r>
      <w:r w:rsidR="000A5980" w:rsidRPr="00040BEC">
        <w:fldChar w:fldCharType="end"/>
      </w:r>
      <w:r w:rsidRPr="00040BEC">
        <w:t xml:space="preserve"> supplies background information within and outside CEPT;</w:t>
      </w:r>
    </w:p>
    <w:p w14:paraId="0209C41C" w14:textId="77777777" w:rsidR="00BC13CB" w:rsidRPr="00040BEC" w:rsidRDefault="00BC13CB" w:rsidP="00BE115C">
      <w:pPr>
        <w:pStyle w:val="ECCParagraph"/>
        <w:numPr>
          <w:ilvl w:val="0"/>
          <w:numId w:val="36"/>
        </w:numPr>
      </w:pPr>
      <w:r w:rsidRPr="00040BEC">
        <w:t xml:space="preserve">Section </w:t>
      </w:r>
      <w:r w:rsidR="00C14173" w:rsidRPr="00040BEC">
        <w:t>3</w:t>
      </w:r>
      <w:r w:rsidRPr="00040BEC">
        <w:t xml:space="preserve"> describes alternative uses, including its spectrum requirements;</w:t>
      </w:r>
    </w:p>
    <w:p w14:paraId="4BB5294F" w14:textId="77777777" w:rsidR="00BC13CB" w:rsidRPr="00040BEC" w:rsidRDefault="00BC13CB" w:rsidP="00BE115C">
      <w:pPr>
        <w:pStyle w:val="ECCParagraph"/>
        <w:numPr>
          <w:ilvl w:val="0"/>
          <w:numId w:val="36"/>
        </w:numPr>
      </w:pPr>
      <w:r w:rsidRPr="00040BEC">
        <w:t xml:space="preserve">Section </w:t>
      </w:r>
      <w:r w:rsidR="00531617" w:rsidRPr="00040BEC">
        <w:fldChar w:fldCharType="begin"/>
      </w:r>
      <w:r w:rsidR="00531617" w:rsidRPr="00040BEC">
        <w:instrText xml:space="preserve"> REF _Ref366594951 \r \h  \* MERGEFORMAT </w:instrText>
      </w:r>
      <w:r w:rsidR="00531617" w:rsidRPr="00040BEC">
        <w:fldChar w:fldCharType="separate"/>
      </w:r>
      <w:r w:rsidR="002327BB">
        <w:t>4</w:t>
      </w:r>
      <w:r w:rsidR="00531617" w:rsidRPr="00040BEC">
        <w:fldChar w:fldCharType="end"/>
      </w:r>
      <w:r w:rsidRPr="00040BEC">
        <w:t xml:space="preserve"> examines </w:t>
      </w:r>
      <w:r w:rsidR="008A2021" w:rsidRPr="00040BEC">
        <w:t xml:space="preserve">compatibility with existing services/applications in the bands </w:t>
      </w:r>
      <w:r w:rsidRPr="00040BEC">
        <w:t xml:space="preserve">adjacent </w:t>
      </w:r>
      <w:r w:rsidR="008A2021" w:rsidRPr="00040BEC">
        <w:t>to the unpaired 2 GHz bands</w:t>
      </w:r>
      <w:r w:rsidRPr="00040BEC">
        <w:t>;</w:t>
      </w:r>
    </w:p>
    <w:p w14:paraId="7FFE8BF2" w14:textId="77777777" w:rsidR="00BC13CB" w:rsidRPr="00040BEC" w:rsidRDefault="00BC13CB" w:rsidP="00BE115C">
      <w:pPr>
        <w:pStyle w:val="ECCParagraph"/>
        <w:numPr>
          <w:ilvl w:val="0"/>
          <w:numId w:val="36"/>
        </w:numPr>
      </w:pPr>
      <w:r w:rsidRPr="00040BEC">
        <w:t xml:space="preserve">Section </w:t>
      </w:r>
      <w:r w:rsidR="00531617" w:rsidRPr="00040BEC">
        <w:fldChar w:fldCharType="begin"/>
      </w:r>
      <w:r w:rsidR="00531617" w:rsidRPr="00040BEC">
        <w:instrText xml:space="preserve"> REF _Ref367891521 \r \h  \* MERGEFORMAT </w:instrText>
      </w:r>
      <w:r w:rsidR="00531617" w:rsidRPr="00040BEC">
        <w:fldChar w:fldCharType="separate"/>
      </w:r>
      <w:r w:rsidR="002327BB">
        <w:t>5</w:t>
      </w:r>
      <w:r w:rsidR="00531617" w:rsidRPr="00040BEC">
        <w:fldChar w:fldCharType="end"/>
      </w:r>
      <w:r w:rsidRPr="00040BEC">
        <w:t xml:space="preserve"> presents possibilities</w:t>
      </w:r>
      <w:r w:rsidR="008A2021" w:rsidRPr="00040BEC">
        <w:t xml:space="preserve"> for co-channel and adjacent channel coexistence within the unpaired 2 GHz bands</w:t>
      </w:r>
      <w:r w:rsidRPr="00040BEC">
        <w:t>;</w:t>
      </w:r>
    </w:p>
    <w:p w14:paraId="634BC85C" w14:textId="77777777" w:rsidR="00BC13CB" w:rsidRPr="00040BEC" w:rsidRDefault="00BC13CB" w:rsidP="00BE115C">
      <w:pPr>
        <w:pStyle w:val="ECCParagraph"/>
        <w:numPr>
          <w:ilvl w:val="0"/>
          <w:numId w:val="36"/>
        </w:numPr>
      </w:pPr>
      <w:r w:rsidRPr="00040BEC">
        <w:t xml:space="preserve">Section </w:t>
      </w:r>
      <w:r w:rsidR="000A5980" w:rsidRPr="00040BEC">
        <w:fldChar w:fldCharType="begin"/>
      </w:r>
      <w:r w:rsidRPr="00040BEC">
        <w:instrText xml:space="preserve"> REF _Ref355341882 \r \h </w:instrText>
      </w:r>
      <w:r w:rsidR="000A5980" w:rsidRPr="00040BEC">
        <w:fldChar w:fldCharType="separate"/>
      </w:r>
      <w:r w:rsidR="002327BB">
        <w:t>6</w:t>
      </w:r>
      <w:r w:rsidR="000A5980" w:rsidRPr="00040BEC">
        <w:fldChar w:fldCharType="end"/>
      </w:r>
      <w:r w:rsidRPr="00040BEC">
        <w:t xml:space="preserve"> indicates </w:t>
      </w:r>
      <w:r w:rsidRPr="00040BEC">
        <w:rPr>
          <w:rFonts w:cs="Arial"/>
        </w:rPr>
        <w:t>common minimal (least restrictive) technical conditions, in particular spectrum access rules, channelling arrangements or power emission limits;</w:t>
      </w:r>
    </w:p>
    <w:p w14:paraId="6D525E97" w14:textId="77777777" w:rsidR="00BC13CB" w:rsidRPr="00040BEC" w:rsidRDefault="00BC13CB" w:rsidP="00BE115C">
      <w:pPr>
        <w:pStyle w:val="ECCParagraph"/>
        <w:numPr>
          <w:ilvl w:val="0"/>
          <w:numId w:val="36"/>
        </w:numPr>
      </w:pPr>
      <w:r w:rsidRPr="00040BEC">
        <w:t xml:space="preserve">Section </w:t>
      </w:r>
      <w:r w:rsidR="000A5980" w:rsidRPr="00040BEC">
        <w:rPr>
          <w:rFonts w:cs="Arial"/>
        </w:rPr>
        <w:fldChar w:fldCharType="begin"/>
      </w:r>
      <w:r w:rsidRPr="00040BEC">
        <w:rPr>
          <w:rFonts w:cs="Arial"/>
        </w:rPr>
        <w:instrText xml:space="preserve"> REF _Ref355341901 \r \h </w:instrText>
      </w:r>
      <w:r w:rsidR="000A5980" w:rsidRPr="00040BEC">
        <w:rPr>
          <w:rFonts w:cs="Arial"/>
        </w:rPr>
      </w:r>
      <w:r w:rsidR="000A5980" w:rsidRPr="00040BEC">
        <w:rPr>
          <w:rFonts w:cs="Arial"/>
        </w:rPr>
        <w:fldChar w:fldCharType="separate"/>
      </w:r>
      <w:r w:rsidR="002327BB">
        <w:rPr>
          <w:rFonts w:cs="Arial"/>
        </w:rPr>
        <w:t>7</w:t>
      </w:r>
      <w:r w:rsidR="000A5980" w:rsidRPr="00040BEC">
        <w:rPr>
          <w:rFonts w:cs="Arial"/>
        </w:rPr>
        <w:fldChar w:fldCharType="end"/>
      </w:r>
      <w:r w:rsidRPr="00040BEC">
        <w:t xml:space="preserve"> provides an insight on harmonisation possibilities;</w:t>
      </w:r>
    </w:p>
    <w:p w14:paraId="0C03B9A6" w14:textId="77777777" w:rsidR="00BC13CB" w:rsidRPr="00040BEC" w:rsidRDefault="00BC13CB" w:rsidP="00BE115C">
      <w:pPr>
        <w:pStyle w:val="ECCParagraph"/>
        <w:numPr>
          <w:ilvl w:val="0"/>
          <w:numId w:val="36"/>
        </w:numPr>
      </w:pPr>
      <w:r w:rsidRPr="00040BEC">
        <w:t xml:space="preserve">Section </w:t>
      </w:r>
      <w:r w:rsidR="000A5980" w:rsidRPr="00040BEC">
        <w:fldChar w:fldCharType="begin"/>
      </w:r>
      <w:r w:rsidRPr="00040BEC">
        <w:instrText xml:space="preserve"> REF _Ref366598622 \r \h </w:instrText>
      </w:r>
      <w:r w:rsidR="000A5980" w:rsidRPr="00040BEC">
        <w:fldChar w:fldCharType="separate"/>
      </w:r>
      <w:r w:rsidR="002327BB">
        <w:t>8</w:t>
      </w:r>
      <w:r w:rsidR="000A5980" w:rsidRPr="00040BEC">
        <w:fldChar w:fldCharType="end"/>
      </w:r>
      <w:r w:rsidRPr="00040BEC">
        <w:t xml:space="preserve"> contains conclusions.</w:t>
      </w:r>
    </w:p>
    <w:p w14:paraId="05F5D346" w14:textId="77777777" w:rsidR="00CD51AD" w:rsidRPr="00040BEC" w:rsidRDefault="00CD51AD" w:rsidP="00176CF0">
      <w:pPr>
        <w:pStyle w:val="Heading1"/>
      </w:pPr>
      <w:bookmarkStart w:id="4" w:name="_Ref355341784"/>
      <w:bookmarkStart w:id="5" w:name="_Ref355341786"/>
      <w:bookmarkStart w:id="6" w:name="_Toc396903989"/>
      <w:bookmarkStart w:id="7" w:name="_Toc445129306"/>
      <w:r w:rsidRPr="00040BEC">
        <w:lastRenderedPageBreak/>
        <w:t>BACKGROUND INFORMATION</w:t>
      </w:r>
      <w:bookmarkEnd w:id="4"/>
      <w:bookmarkEnd w:id="5"/>
      <w:bookmarkEnd w:id="6"/>
      <w:bookmarkEnd w:id="7"/>
    </w:p>
    <w:p w14:paraId="42B6E039" w14:textId="77777777" w:rsidR="00CD51AD" w:rsidRPr="00040BEC" w:rsidRDefault="00CD51AD" w:rsidP="008E5B81">
      <w:pPr>
        <w:pStyle w:val="Heading2"/>
        <w:rPr>
          <w:lang w:val="en-GB"/>
        </w:rPr>
      </w:pPr>
      <w:bookmarkStart w:id="8" w:name="_Ref355881011"/>
      <w:bookmarkStart w:id="9" w:name="_Toc396903990"/>
      <w:bookmarkStart w:id="10" w:name="_Toc445129307"/>
      <w:r w:rsidRPr="00040BEC">
        <w:rPr>
          <w:lang w:val="en-GB"/>
        </w:rPr>
        <w:t>Current regulatory framework in CEPT</w:t>
      </w:r>
      <w:bookmarkEnd w:id="8"/>
      <w:bookmarkEnd w:id="9"/>
      <w:bookmarkEnd w:id="10"/>
    </w:p>
    <w:p w14:paraId="7CC4C298" w14:textId="77777777" w:rsidR="00605C2B" w:rsidRPr="00040BEC" w:rsidRDefault="004B74DF" w:rsidP="00605C2B">
      <w:pPr>
        <w:pStyle w:val="ECCParagraph"/>
      </w:pPr>
      <w:r w:rsidRPr="00040BEC">
        <w:t>The bands 1885-</w:t>
      </w:r>
      <w:r w:rsidR="00CD51AD" w:rsidRPr="00040BEC">
        <w:t>2025 MHz and 2110</w:t>
      </w:r>
      <w:r w:rsidRPr="00040BEC">
        <w:t>-</w:t>
      </w:r>
      <w:r w:rsidR="00CD51AD" w:rsidRPr="00040BEC">
        <w:t xml:space="preserve">2170 MHz </w:t>
      </w:r>
      <w:proofErr w:type="gramStart"/>
      <w:r w:rsidR="00CD51AD" w:rsidRPr="00040BEC">
        <w:t>were identified</w:t>
      </w:r>
      <w:proofErr w:type="gramEnd"/>
      <w:r w:rsidR="00CD51AD" w:rsidRPr="00040BEC">
        <w:t xml:space="preserve"> for </w:t>
      </w:r>
      <w:r w:rsidR="003E27E2" w:rsidRPr="00040BEC">
        <w:t>International Mobile Telecommunications – 2000</w:t>
      </w:r>
      <w:r w:rsidR="00324157" w:rsidRPr="00040BEC">
        <w:t xml:space="preserve"> (IMT-2000</w:t>
      </w:r>
      <w:r w:rsidR="003E27E2" w:rsidRPr="00040BEC">
        <w:t xml:space="preserve">) </w:t>
      </w:r>
      <w:r w:rsidR="006A1783" w:rsidRPr="00040BEC">
        <w:t>in</w:t>
      </w:r>
      <w:r w:rsidR="00CD51AD" w:rsidRPr="00040BEC">
        <w:t xml:space="preserve"> </w:t>
      </w:r>
      <w:r w:rsidR="00C415DE" w:rsidRPr="00040BEC">
        <w:t xml:space="preserve">the </w:t>
      </w:r>
      <w:r w:rsidR="00CD51AD" w:rsidRPr="00040BEC">
        <w:t>W</w:t>
      </w:r>
      <w:r w:rsidR="00324157" w:rsidRPr="00040BEC">
        <w:t xml:space="preserve">orld </w:t>
      </w:r>
      <w:r w:rsidR="00CD51AD" w:rsidRPr="00040BEC">
        <w:t>A</w:t>
      </w:r>
      <w:r w:rsidR="00324157" w:rsidRPr="00040BEC">
        <w:t xml:space="preserve">dministrative </w:t>
      </w:r>
      <w:proofErr w:type="spellStart"/>
      <w:r w:rsidR="00CD51AD" w:rsidRPr="00040BEC">
        <w:t>R</w:t>
      </w:r>
      <w:r w:rsidR="00324157" w:rsidRPr="00040BEC">
        <w:t>adiocommunications</w:t>
      </w:r>
      <w:proofErr w:type="spellEnd"/>
      <w:r w:rsidR="00324157" w:rsidRPr="00040BEC">
        <w:t xml:space="preserve"> </w:t>
      </w:r>
      <w:r w:rsidR="00CD51AD" w:rsidRPr="00040BEC">
        <w:t>C</w:t>
      </w:r>
      <w:r w:rsidR="00324157" w:rsidRPr="00040BEC">
        <w:t>onference held in 19</w:t>
      </w:r>
      <w:r w:rsidR="00CD51AD" w:rsidRPr="00040BEC">
        <w:t>92</w:t>
      </w:r>
      <w:r w:rsidR="003E27E2" w:rsidRPr="00040BEC">
        <w:t xml:space="preserve"> </w:t>
      </w:r>
      <w:r w:rsidR="00324157" w:rsidRPr="00040BEC">
        <w:t xml:space="preserve">(WARC-92) through footnote </w:t>
      </w:r>
      <w:r w:rsidR="003E27E2" w:rsidRPr="00040BEC">
        <w:t>5.388</w:t>
      </w:r>
      <w:r w:rsidR="00324157" w:rsidRPr="00040BEC">
        <w:t xml:space="preserve"> of the Radio Regulations (RR)</w:t>
      </w:r>
      <w:r w:rsidR="003E27E2" w:rsidRPr="00040BEC">
        <w:t xml:space="preserve">. These </w:t>
      </w:r>
      <w:r w:rsidR="00CD51AD" w:rsidRPr="00040BEC">
        <w:t>bands include the satellite co</w:t>
      </w:r>
      <w:r w:rsidR="003E27E2" w:rsidRPr="00040BEC">
        <w:t>mponent of IMT-2000.</w:t>
      </w:r>
    </w:p>
    <w:p w14:paraId="236A43E5" w14:textId="77777777" w:rsidR="00324157" w:rsidRPr="00040BEC" w:rsidRDefault="00324157" w:rsidP="00324157">
      <w:pPr>
        <w:pStyle w:val="ECCParagraph"/>
      </w:pPr>
      <w:r w:rsidRPr="00040BEC">
        <w:t xml:space="preserve">Within the IMT-2000 family, the Universal Mobile Telecommunications Systems (UMTS) terrestrial radio access (UTRA) has been developed with </w:t>
      </w:r>
      <w:proofErr w:type="gramStart"/>
      <w:r w:rsidRPr="00040BEC">
        <w:t>2</w:t>
      </w:r>
      <w:proofErr w:type="gramEnd"/>
      <w:r w:rsidRPr="00040BEC">
        <w:t xml:space="preserve"> modes of operation</w:t>
      </w:r>
      <w:r w:rsidR="00EE215A" w:rsidRPr="00040BEC">
        <w:t xml:space="preserve"> (</w:t>
      </w:r>
      <w:hyperlink r:id="rId11" w:history="1">
        <w:r w:rsidR="00EE215A" w:rsidRPr="00040BEC">
          <w:rPr>
            <w:rStyle w:val="Hyperlink"/>
          </w:rPr>
          <w:t>http://www.itu.int/osg/spu/ni/3G/technology/#Cellular</w:t>
        </w:r>
      </w:hyperlink>
      <w:r w:rsidR="00EE215A" w:rsidRPr="00040BEC">
        <w:t xml:space="preserve"> Standards for the Third Generation)</w:t>
      </w:r>
      <w:r w:rsidRPr="00040BEC">
        <w:t>; a Frequency Division Duplex (FDD) mode and a Time Division Duplex (TDD) mode. The FDD mode provides efficient operation in many UMTS environments, providing wide area coverage and full mobility applications. The TDD mode however may allow operators flexibility in network deployment and support traffic asymmetry in an efficient way.</w:t>
      </w:r>
    </w:p>
    <w:p w14:paraId="3EBB79A4" w14:textId="77777777" w:rsidR="003E27E2" w:rsidRPr="00040BEC" w:rsidRDefault="003E27E2" w:rsidP="003E27E2">
      <w:pPr>
        <w:pStyle w:val="ECCParagraph"/>
      </w:pPr>
      <w:r w:rsidRPr="00040BEC">
        <w:t>In 1997, CEPT identified in ERC/DEC</w:t>
      </w:r>
      <w:proofErr w:type="gramStart"/>
      <w:r w:rsidRPr="00040BEC">
        <w:t>/(</w:t>
      </w:r>
      <w:proofErr w:type="gramEnd"/>
      <w:r w:rsidRPr="00040BEC">
        <w:t>97)07</w:t>
      </w:r>
      <w:r w:rsidR="003752B5" w:rsidRPr="00040BEC">
        <w:t xml:space="preserve"> </w:t>
      </w:r>
      <w:r w:rsidR="000A5980" w:rsidRPr="00040BEC">
        <w:fldChar w:fldCharType="begin"/>
      </w:r>
      <w:r w:rsidR="003752B5" w:rsidRPr="00040BEC">
        <w:instrText xml:space="preserve"> REF _Ref356388427 \n \h </w:instrText>
      </w:r>
      <w:r w:rsidR="000A5980" w:rsidRPr="00040BEC">
        <w:fldChar w:fldCharType="separate"/>
      </w:r>
      <w:r w:rsidR="002327BB">
        <w:t>[5]</w:t>
      </w:r>
      <w:r w:rsidR="000A5980" w:rsidRPr="00040BEC">
        <w:fldChar w:fldCharType="end"/>
      </w:r>
      <w:r w:rsidRPr="00040BEC">
        <w:t xml:space="preserve"> the core frequency bands for </w:t>
      </w:r>
      <w:r w:rsidR="00C415DE" w:rsidRPr="00040BEC">
        <w:t>UMTS</w:t>
      </w:r>
      <w:r w:rsidRPr="00040BEC">
        <w:t xml:space="preserve"> in Europe. This Decision designated 155 MHz of spectrum to terrestrial UMTS applications with an additional 60 MHz for UMTS satellite services. In Europe, the 15 MHz spectrum at 1885-1900 MHz identified by WARC-92 for IMT-2000 was not designated for UMTS in ERC/DEC/(97)07</w:t>
      </w:r>
      <w:r w:rsidR="003752B5" w:rsidRPr="00040BEC">
        <w:t xml:space="preserve"> </w:t>
      </w:r>
      <w:r w:rsidR="000A5980" w:rsidRPr="00040BEC">
        <w:fldChar w:fldCharType="begin"/>
      </w:r>
      <w:r w:rsidR="003752B5" w:rsidRPr="00040BEC">
        <w:instrText xml:space="preserve"> REF _Ref356388427 \n \h </w:instrText>
      </w:r>
      <w:r w:rsidR="000A5980" w:rsidRPr="00040BEC">
        <w:fldChar w:fldCharType="separate"/>
      </w:r>
      <w:r w:rsidR="002327BB">
        <w:t>[5]</w:t>
      </w:r>
      <w:r w:rsidR="000A5980" w:rsidRPr="00040BEC">
        <w:fldChar w:fldCharType="end"/>
      </w:r>
      <w:r w:rsidRPr="00040BEC">
        <w:t xml:space="preserve"> due to current usage of this band by </w:t>
      </w:r>
      <w:r w:rsidR="00FF5DE3" w:rsidRPr="00040BEC">
        <w:t>Digital Enhanced Cordless Telecommunications (</w:t>
      </w:r>
      <w:r w:rsidRPr="00040BEC">
        <w:t>DECT</w:t>
      </w:r>
      <w:r w:rsidR="00FF5DE3" w:rsidRPr="00040BEC">
        <w:t>)</w:t>
      </w:r>
      <w:r w:rsidRPr="00040BEC">
        <w:t xml:space="preserve">. The Decision required that administrations make available at least 2x40 MHz from within these bands by 2002. </w:t>
      </w:r>
    </w:p>
    <w:p w14:paraId="39364D10" w14:textId="77777777" w:rsidR="00C415DE" w:rsidRPr="00040BEC" w:rsidRDefault="00C415DE" w:rsidP="00C415DE">
      <w:pPr>
        <w:pStyle w:val="ECCParagraph"/>
      </w:pPr>
      <w:proofErr w:type="gramStart"/>
      <w:r w:rsidRPr="00040BEC">
        <w:t xml:space="preserve">Decision </w:t>
      </w:r>
      <w:r w:rsidR="001A6067" w:rsidRPr="00040BEC">
        <w:t>128/1999/EC</w:t>
      </w:r>
      <w:r w:rsidR="003752B5" w:rsidRPr="00040BEC">
        <w:t xml:space="preserve"> </w:t>
      </w:r>
      <w:r w:rsidR="000A5980" w:rsidRPr="00040BEC">
        <w:fldChar w:fldCharType="begin"/>
      </w:r>
      <w:r w:rsidR="003752B5" w:rsidRPr="00040BEC">
        <w:instrText xml:space="preserve"> REF _Ref356388490 \n \h </w:instrText>
      </w:r>
      <w:r w:rsidR="000A5980" w:rsidRPr="00040BEC">
        <w:fldChar w:fldCharType="separate"/>
      </w:r>
      <w:r w:rsidR="002327BB">
        <w:t>[8]</w:t>
      </w:r>
      <w:r w:rsidR="000A5980" w:rsidRPr="00040BEC">
        <w:fldChar w:fldCharType="end"/>
      </w:r>
      <w:r w:rsidR="001A6067" w:rsidRPr="00040BEC">
        <w:t xml:space="preserve"> of the European Parliament and the Council</w:t>
      </w:r>
      <w:r w:rsidR="00FF5DE3" w:rsidRPr="00040BEC">
        <w:t xml:space="preserve">, </w:t>
      </w:r>
      <w:r w:rsidR="001A6067" w:rsidRPr="00040BEC">
        <w:t xml:space="preserve">dated </w:t>
      </w:r>
      <w:r w:rsidR="00FF5DE3" w:rsidRPr="00040BEC">
        <w:t>14 December 1998,</w:t>
      </w:r>
      <w:r w:rsidR="001A6067" w:rsidRPr="00040BEC">
        <w:t xml:space="preserve"> on the coordinated introduction of a third-generation mobile and wireless communications system (UMTS) in the Community,</w:t>
      </w:r>
      <w:r w:rsidR="00FF5DE3" w:rsidRPr="00040BEC">
        <w:t xml:space="preserve"> </w:t>
      </w:r>
      <w:r w:rsidR="001A6067" w:rsidRPr="00040BEC">
        <w:t xml:space="preserve">came into force at the begin of 1999 with the </w:t>
      </w:r>
      <w:r w:rsidR="00FF5DE3" w:rsidRPr="00040BEC">
        <w:t>aim to facilitate the rapid and coordinated introduction of compatible UMTS networks and services in the Community on the basis of internal market principles and in accordance with commercial demand</w:t>
      </w:r>
      <w:r w:rsidRPr="00040BEC">
        <w:t>.</w:t>
      </w:r>
      <w:proofErr w:type="gramEnd"/>
    </w:p>
    <w:p w14:paraId="73373966" w14:textId="77777777" w:rsidR="0024751B" w:rsidRPr="00040BEC" w:rsidRDefault="00513029" w:rsidP="0024751B">
      <w:pPr>
        <w:pStyle w:val="ECCParagraph"/>
      </w:pPr>
      <w:r w:rsidRPr="00040BEC">
        <w:t xml:space="preserve">In </w:t>
      </w:r>
      <w:r w:rsidR="00FF5DE3" w:rsidRPr="00040BEC">
        <w:t xml:space="preserve">November </w:t>
      </w:r>
      <w:r w:rsidRPr="00040BEC">
        <w:t xml:space="preserve">1999, ERC adopted </w:t>
      </w:r>
      <w:r w:rsidR="0024751B" w:rsidRPr="00040BEC">
        <w:t xml:space="preserve">Decision </w:t>
      </w:r>
      <w:r w:rsidRPr="00040BEC">
        <w:t>ERC/DEC/(99)25</w:t>
      </w:r>
      <w:r w:rsidR="003752B5" w:rsidRPr="00040BEC">
        <w:t xml:space="preserve"> </w:t>
      </w:r>
      <w:r w:rsidR="000A5980" w:rsidRPr="00040BEC">
        <w:fldChar w:fldCharType="begin"/>
      </w:r>
      <w:r w:rsidR="003752B5" w:rsidRPr="00040BEC">
        <w:instrText xml:space="preserve"> REF _Ref356388536 \n \h </w:instrText>
      </w:r>
      <w:r w:rsidR="000A5980" w:rsidRPr="00040BEC">
        <w:fldChar w:fldCharType="separate"/>
      </w:r>
      <w:r w:rsidR="002327BB">
        <w:t>[3]</w:t>
      </w:r>
      <w:r w:rsidR="000A5980" w:rsidRPr="00040BEC">
        <w:fldChar w:fldCharType="end"/>
      </w:r>
      <w:r w:rsidRPr="00040BEC">
        <w:t xml:space="preserve">, on the harmonised utilisation of spectrum for terrestrial UMTS operating within the bands 1900-1980 MHz, 2010-2025 MHz and 2110-2170 </w:t>
      </w:r>
      <w:proofErr w:type="spellStart"/>
      <w:r w:rsidRPr="00040BEC">
        <w:t>MHz.</w:t>
      </w:r>
      <w:proofErr w:type="spellEnd"/>
      <w:r w:rsidRPr="00040BEC">
        <w:t xml:space="preserve"> </w:t>
      </w:r>
      <w:r w:rsidR="00A924ED" w:rsidRPr="00040BEC">
        <w:t>This Decision requested t</w:t>
      </w:r>
      <w:r w:rsidR="000863D0" w:rsidRPr="00040BEC">
        <w:t>hat, subject to market demand, a</w:t>
      </w:r>
      <w:r w:rsidR="00A924ED" w:rsidRPr="00040BEC">
        <w:t xml:space="preserve">dministrations make provisions to allow the operation of UMTS </w:t>
      </w:r>
      <w:r w:rsidR="00B84FF4" w:rsidRPr="00040BEC">
        <w:t>self-provided</w:t>
      </w:r>
      <w:r w:rsidR="00A924ED" w:rsidRPr="00040BEC">
        <w:t xml:space="preserve"> applications in a </w:t>
      </w:r>
      <w:r w:rsidR="000863D0" w:rsidRPr="00040BEC">
        <w:t>self-coordinating</w:t>
      </w:r>
      <w:r w:rsidR="00A924ED" w:rsidRPr="00040BEC">
        <w:t xml:space="preserve"> mode in the frequency band 2010-2020 </w:t>
      </w:r>
      <w:r w:rsidR="00B84FF4" w:rsidRPr="00040BEC">
        <w:t>MHz</w:t>
      </w:r>
      <w:r w:rsidR="00A924ED" w:rsidRPr="00040BEC">
        <w:t xml:space="preserve"> It also indicated that the designa</w:t>
      </w:r>
      <w:r w:rsidR="00B84FF4" w:rsidRPr="00040BEC">
        <w:t>tion of this band for UMTS self-</w:t>
      </w:r>
      <w:r w:rsidR="00A924ED" w:rsidRPr="00040BEC">
        <w:t xml:space="preserve">provided applications </w:t>
      </w:r>
      <w:proofErr w:type="gramStart"/>
      <w:r w:rsidR="00A924ED" w:rsidRPr="00040BEC">
        <w:t>may</w:t>
      </w:r>
      <w:proofErr w:type="gramEnd"/>
      <w:r w:rsidR="00A924ED" w:rsidRPr="00040BEC">
        <w:t xml:space="preserve"> be reviewed two years after the date of entry into force. </w:t>
      </w:r>
    </w:p>
    <w:p w14:paraId="28A1EF0C" w14:textId="77777777" w:rsidR="003E27E2" w:rsidRPr="00040BEC" w:rsidRDefault="0024751B" w:rsidP="003E27E2">
      <w:pPr>
        <w:pStyle w:val="ECCParagraph"/>
      </w:pPr>
      <w:r w:rsidRPr="00040BEC">
        <w:t>I</w:t>
      </w:r>
      <w:r w:rsidR="003E27E2" w:rsidRPr="00040BEC">
        <w:t>n response to Mandate 1 of the European Commission to CEPT, ERC/DEC/(00)01</w:t>
      </w:r>
      <w:r w:rsidR="003752B5" w:rsidRPr="00040BEC">
        <w:t xml:space="preserve"> </w:t>
      </w:r>
      <w:r w:rsidR="000A5980" w:rsidRPr="00040BEC">
        <w:fldChar w:fldCharType="begin"/>
      </w:r>
      <w:r w:rsidR="003752B5" w:rsidRPr="00040BEC">
        <w:instrText xml:space="preserve"> REF _Ref356388551 \n \h </w:instrText>
      </w:r>
      <w:r w:rsidR="000A5980" w:rsidRPr="00040BEC">
        <w:fldChar w:fldCharType="separate"/>
      </w:r>
      <w:r w:rsidR="002327BB">
        <w:t>[4]</w:t>
      </w:r>
      <w:r w:rsidR="000A5980" w:rsidRPr="00040BEC">
        <w:fldChar w:fldCharType="end"/>
      </w:r>
      <w:r w:rsidR="003E27E2" w:rsidRPr="00040BEC">
        <w:t xml:space="preserve"> extended ERC/DEC/(97)07 </w:t>
      </w:r>
      <w:r w:rsidR="000A5980" w:rsidRPr="00040BEC">
        <w:fldChar w:fldCharType="begin"/>
      </w:r>
      <w:r w:rsidR="003752B5" w:rsidRPr="00040BEC">
        <w:instrText xml:space="preserve"> REF _Ref356388427 \n \h </w:instrText>
      </w:r>
      <w:r w:rsidR="000A5980" w:rsidRPr="00040BEC">
        <w:fldChar w:fldCharType="separate"/>
      </w:r>
      <w:r w:rsidR="002327BB">
        <w:t>[5]</w:t>
      </w:r>
      <w:r w:rsidR="000A5980" w:rsidRPr="00040BEC">
        <w:fldChar w:fldCharType="end"/>
      </w:r>
      <w:r w:rsidR="003752B5" w:rsidRPr="00040BEC">
        <w:t xml:space="preserve"> </w:t>
      </w:r>
      <w:r w:rsidR="003E27E2" w:rsidRPr="00040BEC">
        <w:t>to require that administrations make available the entire 155 MHz of terrestrial spectrum for UMTS and other systems included in the IMT-2000 family by 1 January 2002, subject to geographical spread market demand and national licensing schemes.</w:t>
      </w:r>
    </w:p>
    <w:p w14:paraId="675C75E6" w14:textId="77777777" w:rsidR="008B32AC" w:rsidRPr="00040BEC" w:rsidRDefault="008B32AC" w:rsidP="008B32AC">
      <w:pPr>
        <w:pStyle w:val="ECCParagraph"/>
      </w:pPr>
      <w:r w:rsidRPr="00040BEC">
        <w:t>More than five years after the entry into force of ERC/DEC</w:t>
      </w:r>
      <w:proofErr w:type="gramStart"/>
      <w:r w:rsidRPr="00040BEC">
        <w:t>/(</w:t>
      </w:r>
      <w:proofErr w:type="gramEnd"/>
      <w:r w:rsidRPr="00040BEC">
        <w:t>99)25</w:t>
      </w:r>
      <w:r w:rsidR="003752B5" w:rsidRPr="00040BEC">
        <w:t xml:space="preserve"> </w:t>
      </w:r>
      <w:r w:rsidR="000A5980" w:rsidRPr="00040BEC">
        <w:fldChar w:fldCharType="begin"/>
      </w:r>
      <w:r w:rsidR="003752B5" w:rsidRPr="00040BEC">
        <w:instrText xml:space="preserve"> REF _Ref356388536 \n \h </w:instrText>
      </w:r>
      <w:r w:rsidR="000A5980" w:rsidRPr="00040BEC">
        <w:fldChar w:fldCharType="separate"/>
      </w:r>
      <w:r w:rsidR="002327BB">
        <w:t>[3]</w:t>
      </w:r>
      <w:r w:rsidR="000A5980" w:rsidRPr="00040BEC">
        <w:fldChar w:fldCharType="end"/>
      </w:r>
      <w:r w:rsidRPr="00040BEC">
        <w:t xml:space="preserve">, it has become clear that the anticipated market for UMTS </w:t>
      </w:r>
      <w:r w:rsidR="00B84FF4" w:rsidRPr="00040BEC">
        <w:t>self-provided</w:t>
      </w:r>
      <w:r w:rsidRPr="00040BEC">
        <w:t xml:space="preserve"> applications has not materialised. It </w:t>
      </w:r>
      <w:proofErr w:type="gramStart"/>
      <w:r w:rsidRPr="00040BEC">
        <w:t>was also noted</w:t>
      </w:r>
      <w:proofErr w:type="gramEnd"/>
      <w:r w:rsidRPr="00040BEC">
        <w:t xml:space="preserve"> that there was a desire amongst some administrations and operators to allow greater flexibility in the use of the bands 1900-1920 MHz and 2010-2025 MHz, with the choice between FDD uplink and TDD mode being made subject to market demand</w:t>
      </w:r>
      <w:r w:rsidR="007E6CC4" w:rsidRPr="00040BEC">
        <w:t xml:space="preserve"> on a national basis. In Decembe</w:t>
      </w:r>
      <w:r w:rsidRPr="00040BEC">
        <w:t xml:space="preserve">r 2004 the European Union sent a liaison statement to CEPT highlighting the results of a questionnaire to Member States on use of the band 2010-2025 MHz, indicating “… that there does not seem to be any interest for </w:t>
      </w:r>
      <w:r w:rsidR="00B84FF4" w:rsidRPr="00040BEC">
        <w:t>self-provided</w:t>
      </w:r>
      <w:r w:rsidRPr="00040BEC">
        <w:t xml:space="preserve"> applications which are currently foreseen in the band 2010-2020 MHz…”.</w:t>
      </w:r>
    </w:p>
    <w:p w14:paraId="6123F0E3" w14:textId="77777777" w:rsidR="00815638" w:rsidRPr="00040BEC" w:rsidRDefault="00815638" w:rsidP="00815638">
      <w:pPr>
        <w:pStyle w:val="ECCParagraph"/>
      </w:pPr>
      <w:r w:rsidRPr="00040BEC">
        <w:t xml:space="preserve">In 2006 a new ECC </w:t>
      </w:r>
      <w:r w:rsidR="009A57B5" w:rsidRPr="00040BEC">
        <w:t>Decision</w:t>
      </w:r>
      <w:r w:rsidRPr="00040BEC">
        <w:t>,</w:t>
      </w:r>
      <w:r w:rsidR="009A57B5" w:rsidRPr="00040BEC">
        <w:t xml:space="preserve"> ECC/DEC/(06)01</w:t>
      </w:r>
      <w:r w:rsidR="003752B5" w:rsidRPr="00040BEC">
        <w:t xml:space="preserve"> </w:t>
      </w:r>
      <w:r w:rsidR="000A5980" w:rsidRPr="00040BEC">
        <w:fldChar w:fldCharType="begin"/>
      </w:r>
      <w:r w:rsidR="003752B5" w:rsidRPr="00040BEC">
        <w:instrText xml:space="preserve"> REF _Ref356388591 \n \h </w:instrText>
      </w:r>
      <w:r w:rsidR="000A5980" w:rsidRPr="00040BEC">
        <w:fldChar w:fldCharType="separate"/>
      </w:r>
      <w:r w:rsidR="002327BB">
        <w:t>[6]</w:t>
      </w:r>
      <w:r w:rsidR="000A5980" w:rsidRPr="00040BEC">
        <w:fldChar w:fldCharType="end"/>
      </w:r>
      <w:r w:rsidR="009A57B5" w:rsidRPr="00040BEC">
        <w:t xml:space="preserve">, </w:t>
      </w:r>
      <w:r w:rsidR="009A57B5" w:rsidRPr="00040BEC">
        <w:rPr>
          <w:i/>
        </w:rPr>
        <w:t>on the harmonised utilisation of spectrum for terrestrial IMT-2000/UMTS systems operating within the bands 1900-1980 MHz, 2010-2025 MHz and 2110-2170 MHz</w:t>
      </w:r>
      <w:r w:rsidR="009A57B5" w:rsidRPr="00040BEC">
        <w:t xml:space="preserve">, </w:t>
      </w:r>
      <w:r w:rsidRPr="00040BEC">
        <w:t xml:space="preserve">came into force, </w:t>
      </w:r>
      <w:r w:rsidR="009A57B5" w:rsidRPr="00040BEC">
        <w:t xml:space="preserve">aiming at facilitating efficiency in utilisation of the IMT-2000/UMTS bands across CEPT by identifying a common approach to spectrum planning. It </w:t>
      </w:r>
      <w:r w:rsidR="009A57B5" w:rsidRPr="00040BEC">
        <w:rPr>
          <w:rFonts w:cs="Arial"/>
          <w:szCs w:val="20"/>
        </w:rPr>
        <w:t xml:space="preserve">entered into force on 24 March 2006 and addressed </w:t>
      </w:r>
      <w:r w:rsidR="00483946" w:rsidRPr="00040BEC">
        <w:rPr>
          <w:rFonts w:cs="Arial"/>
          <w:szCs w:val="20"/>
        </w:rPr>
        <w:t>initially</w:t>
      </w:r>
      <w:r w:rsidR="009A57B5" w:rsidRPr="00040BEC">
        <w:rPr>
          <w:rFonts w:cs="Arial"/>
          <w:szCs w:val="20"/>
        </w:rPr>
        <w:t xml:space="preserve"> both paired (1920-1980 MHz and 2110-2170 MHz) and unpaired (1900-1920 MHz and 2010-2025 MHz) frequency bands. In addition, it </w:t>
      </w:r>
      <w:r w:rsidR="009A57B5" w:rsidRPr="00040BEC">
        <w:t>replaced the earlier Decisions ERC/DEC/(97)07</w:t>
      </w:r>
      <w:r w:rsidR="003752B5" w:rsidRPr="00040BEC">
        <w:t xml:space="preserve"> </w:t>
      </w:r>
      <w:r w:rsidR="000A5980" w:rsidRPr="00040BEC">
        <w:fldChar w:fldCharType="begin"/>
      </w:r>
      <w:r w:rsidR="003752B5" w:rsidRPr="00040BEC">
        <w:instrText xml:space="preserve"> REF _Ref356388427 \n \h </w:instrText>
      </w:r>
      <w:r w:rsidR="000A5980" w:rsidRPr="00040BEC">
        <w:fldChar w:fldCharType="separate"/>
      </w:r>
      <w:r w:rsidR="002327BB">
        <w:t>[5]</w:t>
      </w:r>
      <w:r w:rsidR="000A5980" w:rsidRPr="00040BEC">
        <w:fldChar w:fldCharType="end"/>
      </w:r>
      <w:r w:rsidR="009A57B5" w:rsidRPr="00040BEC">
        <w:t>, ERC/DEC/(99)25</w:t>
      </w:r>
      <w:r w:rsidR="003752B5" w:rsidRPr="00040BEC">
        <w:t xml:space="preserve"> </w:t>
      </w:r>
      <w:r w:rsidR="000A5980" w:rsidRPr="00040BEC">
        <w:fldChar w:fldCharType="begin"/>
      </w:r>
      <w:r w:rsidR="003752B5" w:rsidRPr="00040BEC">
        <w:instrText xml:space="preserve"> REF _Ref356388536 \n \h </w:instrText>
      </w:r>
      <w:r w:rsidR="000A5980" w:rsidRPr="00040BEC">
        <w:fldChar w:fldCharType="separate"/>
      </w:r>
      <w:r w:rsidR="002327BB">
        <w:t>[3]</w:t>
      </w:r>
      <w:r w:rsidR="000A5980" w:rsidRPr="00040BEC">
        <w:fldChar w:fldCharType="end"/>
      </w:r>
      <w:r w:rsidR="009A57B5" w:rsidRPr="00040BEC">
        <w:t xml:space="preserve"> and ERC/DEC/(00)01</w:t>
      </w:r>
      <w:r w:rsidR="003752B5" w:rsidRPr="00040BEC">
        <w:t xml:space="preserve"> </w:t>
      </w:r>
      <w:r w:rsidR="000A5980" w:rsidRPr="00040BEC">
        <w:fldChar w:fldCharType="begin"/>
      </w:r>
      <w:r w:rsidR="003752B5" w:rsidRPr="00040BEC">
        <w:instrText xml:space="preserve"> REF _Ref356388551 \n \h </w:instrText>
      </w:r>
      <w:r w:rsidR="000A5980" w:rsidRPr="00040BEC">
        <w:fldChar w:fldCharType="separate"/>
      </w:r>
      <w:r w:rsidR="002327BB">
        <w:t>[4]</w:t>
      </w:r>
      <w:r w:rsidR="000A5980" w:rsidRPr="00040BEC">
        <w:fldChar w:fldCharType="end"/>
      </w:r>
      <w:r w:rsidR="009A57B5" w:rsidRPr="00040BEC">
        <w:t>, consolidating and updating their provisions, removing references to self</w:t>
      </w:r>
      <w:r w:rsidR="000863D0" w:rsidRPr="00040BEC">
        <w:t>-</w:t>
      </w:r>
      <w:r w:rsidR="009A57B5" w:rsidRPr="00040BEC">
        <w:t xml:space="preserve">provided applications operating in </w:t>
      </w:r>
      <w:proofErr w:type="spellStart"/>
      <w:r w:rsidR="009A57B5" w:rsidRPr="00040BEC">
        <w:t>self coordinating</w:t>
      </w:r>
      <w:proofErr w:type="spellEnd"/>
      <w:r w:rsidR="009A57B5" w:rsidRPr="00040BEC">
        <w:t xml:space="preserve"> mode, and allowing flexibility between FDD uplink and TDD modes of operation in the bands 1900-1920 MHz and 2010-2025 </w:t>
      </w:r>
      <w:proofErr w:type="spellStart"/>
      <w:r w:rsidR="009A57B5" w:rsidRPr="00040BEC">
        <w:t>MHz.</w:t>
      </w:r>
      <w:proofErr w:type="spellEnd"/>
      <w:r w:rsidRPr="00040BEC">
        <w:t xml:space="preserve"> The values used in Annex 1 of </w:t>
      </w:r>
      <w:r w:rsidRPr="00040BEC">
        <w:lastRenderedPageBreak/>
        <w:t>Decision ECC/DEC</w:t>
      </w:r>
      <w:proofErr w:type="gramStart"/>
      <w:r w:rsidRPr="00040BEC">
        <w:t>/(</w:t>
      </w:r>
      <w:proofErr w:type="gramEnd"/>
      <w:r w:rsidRPr="00040BEC">
        <w:t>06)01</w:t>
      </w:r>
      <w:r w:rsidR="003752B5" w:rsidRPr="00040BEC">
        <w:t xml:space="preserve"> </w:t>
      </w:r>
      <w:r w:rsidR="000A5980" w:rsidRPr="00040BEC">
        <w:fldChar w:fldCharType="begin"/>
      </w:r>
      <w:r w:rsidR="003752B5" w:rsidRPr="00040BEC">
        <w:instrText xml:space="preserve"> REF _Ref356388591 \n \h </w:instrText>
      </w:r>
      <w:r w:rsidR="000A5980" w:rsidRPr="00040BEC">
        <w:fldChar w:fldCharType="separate"/>
      </w:r>
      <w:r w:rsidR="002327BB">
        <w:t>[6]</w:t>
      </w:r>
      <w:r w:rsidR="000A5980" w:rsidRPr="00040BEC">
        <w:fldChar w:fldCharType="end"/>
      </w:r>
      <w:r w:rsidRPr="00040BEC">
        <w:t xml:space="preserve"> have been based on the inter-service compatibility studies from ERC Report 65</w:t>
      </w:r>
      <w:r w:rsidR="003752B5" w:rsidRPr="00040BEC">
        <w:t xml:space="preserve"> </w:t>
      </w:r>
      <w:r w:rsidR="000A5980" w:rsidRPr="00040BEC">
        <w:fldChar w:fldCharType="begin"/>
      </w:r>
      <w:r w:rsidR="003752B5" w:rsidRPr="00040BEC">
        <w:instrText xml:space="preserve"> REF _Ref356388677 \n \h </w:instrText>
      </w:r>
      <w:r w:rsidR="000A5980" w:rsidRPr="00040BEC">
        <w:fldChar w:fldCharType="separate"/>
      </w:r>
      <w:r w:rsidR="002327BB">
        <w:t>[13]</w:t>
      </w:r>
      <w:r w:rsidR="000A5980" w:rsidRPr="00040BEC">
        <w:fldChar w:fldCharType="end"/>
      </w:r>
      <w:r w:rsidRPr="00040BEC">
        <w:t xml:space="preserve">, and intra-service carrier spacing studies undertaken within ETSI SMG02. </w:t>
      </w:r>
    </w:p>
    <w:p w14:paraId="3ADD29BA" w14:textId="77777777" w:rsidR="00CD51AD" w:rsidRPr="00040BEC" w:rsidRDefault="00CD51AD" w:rsidP="00605C2B">
      <w:pPr>
        <w:pStyle w:val="ECCParagraph"/>
      </w:pPr>
      <w:r w:rsidRPr="00040BEC">
        <w:t>ECC conducted in 2010-2011 a review of this ECC</w:t>
      </w:r>
      <w:r w:rsidR="004B74DF" w:rsidRPr="00040BEC">
        <w:t>/</w:t>
      </w:r>
      <w:r w:rsidRPr="00040BEC">
        <w:t>D</w:t>
      </w:r>
      <w:r w:rsidR="004B74DF" w:rsidRPr="00040BEC">
        <w:t>EC</w:t>
      </w:r>
      <w:proofErr w:type="gramStart"/>
      <w:r w:rsidR="004B74DF" w:rsidRPr="00040BEC">
        <w:t>/</w:t>
      </w:r>
      <w:r w:rsidRPr="00040BEC">
        <w:t>(</w:t>
      </w:r>
      <w:proofErr w:type="gramEnd"/>
      <w:r w:rsidRPr="00040BEC">
        <w:t>06)01</w:t>
      </w:r>
      <w:r w:rsidR="003752B5" w:rsidRPr="00040BEC">
        <w:t xml:space="preserve"> </w:t>
      </w:r>
      <w:r w:rsidR="000A5980" w:rsidRPr="00040BEC">
        <w:fldChar w:fldCharType="begin"/>
      </w:r>
      <w:r w:rsidR="003752B5" w:rsidRPr="00040BEC">
        <w:instrText xml:space="preserve"> REF _Ref356388591 \n \h </w:instrText>
      </w:r>
      <w:r w:rsidR="000A5980" w:rsidRPr="00040BEC">
        <w:fldChar w:fldCharType="separate"/>
      </w:r>
      <w:r w:rsidR="002327BB">
        <w:t>[6]</w:t>
      </w:r>
      <w:r w:rsidR="000A5980" w:rsidRPr="00040BEC">
        <w:fldChar w:fldCharType="end"/>
      </w:r>
      <w:r w:rsidRPr="00040BEC">
        <w:t xml:space="preserve"> taking into account the information on the practical implementation and authorisations in force. </w:t>
      </w:r>
      <w:r w:rsidR="00815638" w:rsidRPr="00040BEC">
        <w:t xml:space="preserve">During the revision process, CEPT </w:t>
      </w:r>
      <w:r w:rsidR="008712B6" w:rsidRPr="00040BEC">
        <w:t xml:space="preserve">has </w:t>
      </w:r>
      <w:proofErr w:type="gramStart"/>
      <w:r w:rsidR="008712B6" w:rsidRPr="00040BEC">
        <w:t xml:space="preserve">come </w:t>
      </w:r>
      <w:r w:rsidR="00815638" w:rsidRPr="00040BEC">
        <w:t>to the conclusion</w:t>
      </w:r>
      <w:proofErr w:type="gramEnd"/>
      <w:r w:rsidR="00815638" w:rsidRPr="00040BEC">
        <w:t xml:space="preserve"> that the unpaired 2 GHz bands were mostly unused and there was absence of equipment from manufacturers; the band 1900-1920 MHz, although licensed in many countries, remained largely unused, and the use of frequencies in the band 2010-2025 MHz had only been authorised in few countries</w:t>
      </w:r>
      <w:r w:rsidR="004346D6" w:rsidRPr="00040BEC">
        <w:t xml:space="preserve">. </w:t>
      </w:r>
      <w:r w:rsidRPr="00040BEC">
        <w:t xml:space="preserve">Frequency arrangements for the </w:t>
      </w:r>
      <w:r w:rsidR="00815638" w:rsidRPr="00040BEC">
        <w:t xml:space="preserve">unpaired 2 GHz </w:t>
      </w:r>
      <w:r w:rsidRPr="00040BEC">
        <w:t>bands have been r</w:t>
      </w:r>
      <w:r w:rsidR="004B74DF" w:rsidRPr="00040BEC">
        <w:t>emoved from the revision of ECC/</w:t>
      </w:r>
      <w:r w:rsidRPr="00040BEC">
        <w:t>D</w:t>
      </w:r>
      <w:r w:rsidR="004B74DF" w:rsidRPr="00040BEC">
        <w:t>EC</w:t>
      </w:r>
      <w:proofErr w:type="gramStart"/>
      <w:r w:rsidR="004B74DF" w:rsidRPr="00040BEC">
        <w:t>/</w:t>
      </w:r>
      <w:r w:rsidRPr="00040BEC">
        <w:t>(</w:t>
      </w:r>
      <w:proofErr w:type="gramEnd"/>
      <w:r w:rsidRPr="00040BEC">
        <w:t>06)01</w:t>
      </w:r>
      <w:r w:rsidR="003752B5" w:rsidRPr="00040BEC">
        <w:t xml:space="preserve"> </w:t>
      </w:r>
      <w:r w:rsidR="000A5980" w:rsidRPr="00040BEC">
        <w:fldChar w:fldCharType="begin"/>
      </w:r>
      <w:r w:rsidR="003752B5" w:rsidRPr="00040BEC">
        <w:instrText xml:space="preserve"> REF _Ref356388591 \n \h </w:instrText>
      </w:r>
      <w:r w:rsidR="000A5980" w:rsidRPr="00040BEC">
        <w:fldChar w:fldCharType="separate"/>
      </w:r>
      <w:r w:rsidR="002327BB">
        <w:t>[6]</w:t>
      </w:r>
      <w:r w:rsidR="000A5980" w:rsidRPr="00040BEC">
        <w:fldChar w:fldCharType="end"/>
      </w:r>
      <w:r w:rsidRPr="00040BEC">
        <w:t xml:space="preserve"> and it was concluded that further investigations </w:t>
      </w:r>
      <w:r w:rsidR="00483946" w:rsidRPr="00040BEC">
        <w:t>were</w:t>
      </w:r>
      <w:r w:rsidRPr="00040BEC">
        <w:t xml:space="preserve"> needed to develop a suitable ECC framework for those bands.</w:t>
      </w:r>
    </w:p>
    <w:p w14:paraId="5196A8AC" w14:textId="77777777" w:rsidR="00CD51AD" w:rsidRPr="00040BEC" w:rsidRDefault="00CD51AD" w:rsidP="00605C2B">
      <w:pPr>
        <w:pStyle w:val="ECCParagraph"/>
      </w:pPr>
      <w:r w:rsidRPr="00040BEC">
        <w:t>The European Common Allocations Table (ECA)</w:t>
      </w:r>
      <w:r w:rsidR="004B74DF" w:rsidRPr="00040BEC">
        <w:t xml:space="preserve"> </w:t>
      </w:r>
      <w:r w:rsidR="000A5980" w:rsidRPr="00040BEC">
        <w:fldChar w:fldCharType="begin"/>
      </w:r>
      <w:r w:rsidR="003752B5" w:rsidRPr="00040BEC">
        <w:instrText xml:space="preserve"> REF _Ref356388705 \n \h </w:instrText>
      </w:r>
      <w:r w:rsidR="000A5980" w:rsidRPr="00040BEC">
        <w:fldChar w:fldCharType="separate"/>
      </w:r>
      <w:r w:rsidR="002327BB">
        <w:t>[14]</w:t>
      </w:r>
      <w:r w:rsidR="000A5980" w:rsidRPr="00040BEC">
        <w:fldChar w:fldCharType="end"/>
      </w:r>
      <w:r w:rsidR="003752B5" w:rsidRPr="00040BEC">
        <w:t xml:space="preserve"> </w:t>
      </w:r>
      <w:r w:rsidRPr="00040BEC">
        <w:t>of frequency allocations and applications in the frequency range 8.3 kHz to 3000 GHz</w:t>
      </w:r>
      <w:r w:rsidR="00483946" w:rsidRPr="00040BEC">
        <w:t>,</w:t>
      </w:r>
      <w:r w:rsidRPr="00040BEC">
        <w:t xml:space="preserve"> in its latest version from March 2013</w:t>
      </w:r>
      <w:r w:rsidR="00483946" w:rsidRPr="00040BEC">
        <w:t>,</w:t>
      </w:r>
      <w:r w:rsidRPr="00040BEC">
        <w:t xml:space="preserve"> includes for the bands 1900-1930 MHz and 2010-2025 MHz the MOBILE service and the Fixed </w:t>
      </w:r>
      <w:r w:rsidR="0037312B" w:rsidRPr="00040BEC">
        <w:t>s</w:t>
      </w:r>
      <w:r w:rsidRPr="00040BEC">
        <w:t xml:space="preserve">ervice (secondary status in </w:t>
      </w:r>
      <w:r w:rsidR="0056016E" w:rsidRPr="00040BEC">
        <w:t xml:space="preserve">the </w:t>
      </w:r>
      <w:r w:rsidRPr="00040BEC">
        <w:t xml:space="preserve">ECA). The ECA already indicates that CEPT is investigating alternative usage for the unpaired </w:t>
      </w:r>
      <w:r w:rsidR="00AE7183" w:rsidRPr="00040BEC">
        <w:t xml:space="preserve">2 GHz </w:t>
      </w:r>
      <w:r w:rsidRPr="00040BEC">
        <w:t>bands.</w:t>
      </w:r>
    </w:p>
    <w:p w14:paraId="1BD1C21A" w14:textId="77777777" w:rsidR="00CD51AD" w:rsidRPr="00040BEC" w:rsidRDefault="00CD51AD" w:rsidP="008E5B81">
      <w:pPr>
        <w:pStyle w:val="Heading2"/>
        <w:rPr>
          <w:lang w:val="en-GB"/>
        </w:rPr>
      </w:pPr>
      <w:bookmarkStart w:id="11" w:name="_Ref355881055"/>
      <w:bookmarkStart w:id="12" w:name="_Ref355888233"/>
      <w:bookmarkStart w:id="13" w:name="_Toc396903991"/>
      <w:bookmarkStart w:id="14" w:name="_Toc445129308"/>
      <w:r w:rsidRPr="00040BEC">
        <w:rPr>
          <w:lang w:val="en-GB"/>
        </w:rPr>
        <w:t>Current authorisations and uses of the unpaired 2 GH</w:t>
      </w:r>
      <w:r w:rsidRPr="00040BEC">
        <w:rPr>
          <w:sz w:val="16"/>
          <w:lang w:val="en-GB"/>
        </w:rPr>
        <w:t>z</w:t>
      </w:r>
      <w:r w:rsidRPr="00040BEC">
        <w:rPr>
          <w:lang w:val="en-GB"/>
        </w:rPr>
        <w:t xml:space="preserve"> bands</w:t>
      </w:r>
      <w:bookmarkEnd w:id="11"/>
      <w:bookmarkEnd w:id="12"/>
      <w:bookmarkEnd w:id="13"/>
      <w:bookmarkEnd w:id="14"/>
      <w:r w:rsidRPr="00040BEC">
        <w:rPr>
          <w:lang w:val="en-GB"/>
        </w:rPr>
        <w:t xml:space="preserve"> </w:t>
      </w:r>
    </w:p>
    <w:p w14:paraId="59101D56" w14:textId="6EE52B66" w:rsidR="006E5FA0" w:rsidRPr="00040BEC" w:rsidRDefault="006E5FA0" w:rsidP="000A0505">
      <w:pPr>
        <w:pStyle w:val="ECCParagraph"/>
      </w:pPr>
      <w:r w:rsidRPr="00040BEC">
        <w:t>Currently, all or parts of the frequency band 1900-1920 MHz is licensed to mobile operators for the provision of electronic communications services in 3</w:t>
      </w:r>
      <w:r w:rsidR="001243CA" w:rsidRPr="00040BEC">
        <w:t>3</w:t>
      </w:r>
      <w:r w:rsidRPr="00040BEC">
        <w:t xml:space="preserve"> CEPT countries, whereby the licences are mainly limited to UMTS/IMT-2000 TDD technology. On the other hand, the frequency band 2010-2025 MHz, or parts of it, is licensed to mobile operators in 1</w:t>
      </w:r>
      <w:r w:rsidR="00903696" w:rsidRPr="00040BEC">
        <w:t>4</w:t>
      </w:r>
      <w:r w:rsidRPr="00040BEC">
        <w:t xml:space="preserve"> CEPT countries for the provision of electronic communications services, mainly limited to UMTS/IMT-2000 TDD technology and in some cases in a technology-neutral way. Existing licences in the unpaired 2 GHz bands </w:t>
      </w:r>
      <w:proofErr w:type="gramStart"/>
      <w:r w:rsidRPr="00040BEC">
        <w:t>have been awarded</w:t>
      </w:r>
      <w:proofErr w:type="gramEnd"/>
      <w:r w:rsidRPr="00040BEC">
        <w:t xml:space="preserve"> on an exclusive basis in some countries. In addition, some administrations use the band 2010-2025 MHz for short-term licences, in particular for PMSE video links and cordless cameras. Annex 3 shows the current authorisations in the bands 1900-1920 MHz and 2010-2025 MHz and the corresponding duration. </w:t>
      </w:r>
    </w:p>
    <w:p w14:paraId="5A42476E" w14:textId="77777777" w:rsidR="006E5FA0" w:rsidRPr="00040BEC" w:rsidRDefault="006E5FA0" w:rsidP="000A0505">
      <w:pPr>
        <w:pStyle w:val="ECCParagraph"/>
      </w:pPr>
      <w:r w:rsidRPr="00040BEC">
        <w:t xml:space="preserve">The mobile licences (UMTS TDD) in force on the unpaired 2 GHz bands are not in use in Europe, noting also that the lack of interest of mobile operators for spectrum in the unpaired terrestrial 2 GHz band </w:t>
      </w:r>
      <w:proofErr w:type="gramStart"/>
      <w:r w:rsidRPr="00040BEC">
        <w:t>has been demonstrated</w:t>
      </w:r>
      <w:proofErr w:type="gramEnd"/>
      <w:r w:rsidRPr="00040BEC">
        <w:t xml:space="preserve"> during the auctions in some CEPT countries in 2011. The duration of those licences vary from country to country, from 2014 - 2029 (or even unlimited duration, in United Kingdom).In addition it has to be mentioned that some licences have already been surrendered in a number of countries.</w:t>
      </w:r>
    </w:p>
    <w:p w14:paraId="3BBB22F9" w14:textId="77777777" w:rsidR="00976055" w:rsidRPr="00040BEC" w:rsidRDefault="006E5FA0" w:rsidP="000A0505">
      <w:pPr>
        <w:pStyle w:val="ECCParagraph"/>
      </w:pPr>
      <w:r w:rsidRPr="00040BEC">
        <w:t xml:space="preserve">Some of the licences </w:t>
      </w:r>
      <w:proofErr w:type="gramStart"/>
      <w:r w:rsidRPr="00040BEC">
        <w:t>were awarded</w:t>
      </w:r>
      <w:proofErr w:type="gramEnd"/>
      <w:r w:rsidRPr="00040BEC">
        <w:t xml:space="preserve"> </w:t>
      </w:r>
      <w:r w:rsidR="007056C8" w:rsidRPr="00040BEC">
        <w:t>through</w:t>
      </w:r>
      <w:r w:rsidRPr="00040BEC">
        <w:t xml:space="preserve"> spectrum auction processes and, as a result, considerable auction prices were achieved. </w:t>
      </w:r>
      <w:proofErr w:type="gramStart"/>
      <w:r w:rsidRPr="00040BEC">
        <w:t xml:space="preserve">In some countries, a licence repeal process might be possible in case of continued non-implementation, whereas in other countries this will not be possible due to specific conditions and obligations which are part of the licence (e.g. </w:t>
      </w:r>
      <w:r w:rsidR="00B1245B" w:rsidRPr="00040BEC">
        <w:t xml:space="preserve">in some countries, </w:t>
      </w:r>
      <w:r w:rsidRPr="00040BEC">
        <w:t xml:space="preserve">coverage obligations are </w:t>
      </w:r>
      <w:r w:rsidR="00B1245B" w:rsidRPr="00040BEC">
        <w:t>considered</w:t>
      </w:r>
      <w:r w:rsidRPr="00040BEC">
        <w:t xml:space="preserve"> as fulfilled when providing services via other spectrum where the same licensee has also a licence and for which the network is implemented).Other options for making the spectrum available for new usage need to be considered (e.g. liberalisation, transfer, interim licence conditions for new licensee until the end of the existing licence duration(s)).</w:t>
      </w:r>
      <w:proofErr w:type="gramEnd"/>
      <w:r w:rsidRPr="00040BEC">
        <w:t xml:space="preserve"> Liberalisation frameworks would permit incumbent licensees in many of these countries to enable alternative service deployment, but the frameworks in some countries would or may maintain restrictions with regard to technology or use. A number of administrations may not be in a position to withdraw the existing licences and may seek agreements between the existing licence holder and possible new service operator(s). Possible use of the 2 GHz unpaired bands for PMSE video links and cordless cameras </w:t>
      </w:r>
      <w:proofErr w:type="gramStart"/>
      <w:r w:rsidRPr="00040BEC">
        <w:t>was proposed</w:t>
      </w:r>
      <w:proofErr w:type="gramEnd"/>
      <w:r w:rsidRPr="00040BEC">
        <w:t xml:space="preserve"> in CEPT Report </w:t>
      </w:r>
      <w:r w:rsidR="00E2014B" w:rsidRPr="00040BEC">
        <w:t>0</w:t>
      </w:r>
      <w:r w:rsidRPr="00040BEC">
        <w:t xml:space="preserve">51 [36]. According to the results of a CEPT questionnaire on authorisation issues regarding the candidate bands for Broadband Direct-Air-to-Ground Communications (DA2GC) in 2013, the prospects for change of use through liberalisation appear in general promising for the 2 GHz unpaired bands, whereby the precise liberalisation framework may need to be found by the individual administration. </w:t>
      </w:r>
      <w:proofErr w:type="gramStart"/>
      <w:r w:rsidRPr="00040BEC">
        <w:t>It may be helpful to describe more in detail the options for a precise liberalisation framework in accordance with the needs of the new foreseen spectrum usages (e.g. pan-European service coverage in case of DA2GC, or progressive introduction as licenses expire in case of PMSE) and to set up a common European implementation schedule for future harmonised and efficient use of the 2 GHz unpaired bands.</w:t>
      </w:r>
      <w:proofErr w:type="gramEnd"/>
      <w:r w:rsidRPr="00040BEC">
        <w:t xml:space="preserve"> The difficulties related to current regulations and possible options for a liberalisation framework are described in the present Report from CEPT, which details the work undertaken and presents </w:t>
      </w:r>
      <w:proofErr w:type="gramStart"/>
      <w:r w:rsidRPr="00040BEC">
        <w:t>final results</w:t>
      </w:r>
      <w:proofErr w:type="gramEnd"/>
      <w:r w:rsidRPr="00040BEC">
        <w:t xml:space="preserve"> under this Mandate.</w:t>
      </w:r>
    </w:p>
    <w:p w14:paraId="15398666" w14:textId="77777777" w:rsidR="00943F1E" w:rsidRPr="00040BEC" w:rsidRDefault="00943F1E" w:rsidP="004775B2">
      <w:pPr>
        <w:spacing w:after="240"/>
        <w:jc w:val="both"/>
        <w:rPr>
          <w:b/>
          <w:lang w:val="en-GB"/>
        </w:rPr>
      </w:pPr>
      <w:r w:rsidRPr="00040BEC">
        <w:rPr>
          <w:lang w:val="en-GB"/>
        </w:rPr>
        <w:lastRenderedPageBreak/>
        <w:t xml:space="preserve">Updated information on the </w:t>
      </w:r>
      <w:proofErr w:type="gramStart"/>
      <w:r w:rsidRPr="00040BEC">
        <w:rPr>
          <w:lang w:val="en-GB"/>
        </w:rPr>
        <w:t>current status</w:t>
      </w:r>
      <w:proofErr w:type="gramEnd"/>
      <w:r w:rsidRPr="00040BEC">
        <w:rPr>
          <w:lang w:val="en-GB"/>
        </w:rPr>
        <w:t xml:space="preserve"> of individual authorisations in force on the unpaired 2 GHz bands can be found in ECO Report 03 </w:t>
      </w:r>
      <w:r w:rsidR="00531617" w:rsidRPr="00040BEC">
        <w:rPr>
          <w:lang w:val="en-GB"/>
        </w:rPr>
        <w:fldChar w:fldCharType="begin"/>
      </w:r>
      <w:r w:rsidR="00531617" w:rsidRPr="00040BEC">
        <w:rPr>
          <w:lang w:val="en-GB"/>
        </w:rPr>
        <w:instrText xml:space="preserve"> REF _Ref356388747 \n \h  \* MERGEFORMAT </w:instrText>
      </w:r>
      <w:r w:rsidR="00531617" w:rsidRPr="00040BEC">
        <w:rPr>
          <w:lang w:val="en-GB"/>
        </w:rPr>
      </w:r>
      <w:r w:rsidR="00531617" w:rsidRPr="00040BEC">
        <w:rPr>
          <w:lang w:val="en-GB"/>
        </w:rPr>
        <w:fldChar w:fldCharType="separate"/>
      </w:r>
      <w:r w:rsidR="002327BB">
        <w:rPr>
          <w:lang w:val="en-GB"/>
        </w:rPr>
        <w:t>[9]</w:t>
      </w:r>
      <w:r w:rsidR="00531617" w:rsidRPr="00040BEC">
        <w:rPr>
          <w:lang w:val="en-GB"/>
        </w:rPr>
        <w:fldChar w:fldCharType="end"/>
      </w:r>
      <w:r w:rsidRPr="00040BEC">
        <w:rPr>
          <w:lang w:val="en-GB"/>
        </w:rPr>
        <w:t xml:space="preserve"> (</w:t>
      </w:r>
      <w:hyperlink r:id="rId12" w:history="1">
        <w:r w:rsidRPr="00040BEC">
          <w:rPr>
            <w:color w:val="0000FF"/>
            <w:u w:val="single"/>
            <w:lang w:val="en-GB"/>
          </w:rPr>
          <w:t>http://www.cept.org/eco/deliverables/eco-reports</w:t>
        </w:r>
      </w:hyperlink>
      <w:r w:rsidRPr="00040BEC">
        <w:rPr>
          <w:lang w:val="en-GB"/>
        </w:rPr>
        <w:t>) and EFIS (</w:t>
      </w:r>
      <w:hyperlink r:id="rId13" w:history="1">
        <w:r w:rsidRPr="00040BEC">
          <w:rPr>
            <w:color w:val="0000FF"/>
            <w:u w:val="single"/>
            <w:lang w:val="en-GB"/>
          </w:rPr>
          <w:t>http://www.efis.dk/</w:t>
        </w:r>
      </w:hyperlink>
      <w:r w:rsidRPr="00040BEC">
        <w:rPr>
          <w:lang w:val="en-GB"/>
        </w:rPr>
        <w:t>).</w:t>
      </w:r>
    </w:p>
    <w:p w14:paraId="5AE5A5A9" w14:textId="77777777" w:rsidR="00CD51AD" w:rsidRPr="00040BEC" w:rsidRDefault="00CD51AD" w:rsidP="008E5B81">
      <w:pPr>
        <w:pStyle w:val="Heading2"/>
        <w:rPr>
          <w:lang w:val="en-GB"/>
        </w:rPr>
      </w:pPr>
      <w:bookmarkStart w:id="15" w:name="_Toc396903992"/>
      <w:bookmarkStart w:id="16" w:name="_Toc445129309"/>
      <w:r w:rsidRPr="00040BEC">
        <w:rPr>
          <w:lang w:val="en-GB"/>
        </w:rPr>
        <w:t>Current use and regulatory framework outside CEPT</w:t>
      </w:r>
      <w:bookmarkEnd w:id="15"/>
      <w:bookmarkEnd w:id="16"/>
      <w:r w:rsidRPr="00040BEC">
        <w:rPr>
          <w:lang w:val="en-GB"/>
        </w:rPr>
        <w:t xml:space="preserve"> </w:t>
      </w:r>
    </w:p>
    <w:p w14:paraId="37111D7C" w14:textId="77777777" w:rsidR="00AA3FFA" w:rsidRPr="00040BEC" w:rsidRDefault="00CD51AD" w:rsidP="004B74DF">
      <w:pPr>
        <w:pStyle w:val="ECCParagraph"/>
        <w:keepNext/>
      </w:pPr>
      <w:r w:rsidRPr="00040BEC">
        <w:t xml:space="preserve">The following information </w:t>
      </w:r>
      <w:proofErr w:type="gramStart"/>
      <w:r w:rsidRPr="00040BEC">
        <w:t>has been collected</w:t>
      </w:r>
      <w:proofErr w:type="gramEnd"/>
      <w:r w:rsidRPr="00040BEC">
        <w:t xml:space="preserve"> on the current use and regulatory framework outside of CEPT as shown in </w:t>
      </w:r>
      <w:r w:rsidR="000A5980" w:rsidRPr="00040BEC">
        <w:fldChar w:fldCharType="begin"/>
      </w:r>
      <w:r w:rsidR="004B74DF" w:rsidRPr="00040BEC">
        <w:instrText xml:space="preserve"> REF _Ref355340217 \h </w:instrText>
      </w:r>
      <w:r w:rsidR="000A5980" w:rsidRPr="00040BEC">
        <w:fldChar w:fldCharType="separate"/>
      </w:r>
      <w:r w:rsidR="002327BB" w:rsidRPr="00040BEC">
        <w:t xml:space="preserve">Table </w:t>
      </w:r>
      <w:r w:rsidR="002327BB">
        <w:rPr>
          <w:noProof/>
        </w:rPr>
        <w:t>1</w:t>
      </w:r>
      <w:r w:rsidR="000A5980" w:rsidRPr="00040BEC">
        <w:fldChar w:fldCharType="end"/>
      </w:r>
      <w:r w:rsidR="004B74DF" w:rsidRPr="00040BEC">
        <w:t>.</w:t>
      </w:r>
    </w:p>
    <w:p w14:paraId="26A4F6C4" w14:textId="77777777" w:rsidR="00CD51AD" w:rsidRPr="00040BEC" w:rsidRDefault="004B74DF" w:rsidP="004B74DF">
      <w:pPr>
        <w:pStyle w:val="Caption"/>
        <w:keepNext/>
        <w:rPr>
          <w:lang w:val="en-GB"/>
        </w:rPr>
      </w:pPr>
      <w:bookmarkStart w:id="17" w:name="_Ref355340217"/>
      <w:r w:rsidRPr="00040BEC">
        <w:rPr>
          <w:lang w:val="en-GB"/>
        </w:rPr>
        <w:t xml:space="preserve">Table </w:t>
      </w:r>
      <w:r w:rsidR="000A5980" w:rsidRPr="00040BEC">
        <w:rPr>
          <w:lang w:val="en-GB"/>
        </w:rPr>
        <w:fldChar w:fldCharType="begin"/>
      </w:r>
      <w:r w:rsidRPr="00040BEC">
        <w:rPr>
          <w:lang w:val="en-GB"/>
        </w:rPr>
        <w:instrText xml:space="preserve"> SEQ Table \* ARABIC </w:instrText>
      </w:r>
      <w:r w:rsidR="000A5980" w:rsidRPr="00040BEC">
        <w:rPr>
          <w:lang w:val="en-GB"/>
        </w:rPr>
        <w:fldChar w:fldCharType="separate"/>
      </w:r>
      <w:r w:rsidR="002327BB">
        <w:rPr>
          <w:noProof/>
          <w:lang w:val="en-GB"/>
        </w:rPr>
        <w:t>1</w:t>
      </w:r>
      <w:r w:rsidR="000A5980" w:rsidRPr="00040BEC">
        <w:rPr>
          <w:lang w:val="en-GB"/>
        </w:rPr>
        <w:fldChar w:fldCharType="end"/>
      </w:r>
      <w:bookmarkEnd w:id="17"/>
      <w:r w:rsidR="00CD51AD" w:rsidRPr="00040BEC">
        <w:rPr>
          <w:lang w:val="en-GB"/>
        </w:rPr>
        <w:t>: Current Use and Regulatory Framework in Countries outside of the CEPT</w:t>
      </w: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 w:type="dxa"/>
          <w:bottom w:w="11" w:type="dxa"/>
        </w:tblCellMar>
        <w:tblLook w:val="01E0" w:firstRow="1" w:lastRow="1" w:firstColumn="1" w:lastColumn="1" w:noHBand="0" w:noVBand="0"/>
      </w:tblPr>
      <w:tblGrid>
        <w:gridCol w:w="1809"/>
        <w:gridCol w:w="4253"/>
        <w:gridCol w:w="3969"/>
      </w:tblGrid>
      <w:tr w:rsidR="006F331F" w:rsidRPr="00040BEC" w14:paraId="5F32657C" w14:textId="77777777" w:rsidTr="00B54858">
        <w:trPr>
          <w:tblHeader/>
        </w:trPr>
        <w:tc>
          <w:tcPr>
            <w:tcW w:w="1809" w:type="dxa"/>
            <w:tcBorders>
              <w:top w:val="single" w:sz="4" w:space="0" w:color="D2232A"/>
              <w:left w:val="single" w:sz="4" w:space="0" w:color="D2232A"/>
              <w:bottom w:val="single" w:sz="4" w:space="0" w:color="D2232A"/>
              <w:right w:val="single" w:sz="4" w:space="0" w:color="FFFFFF" w:themeColor="background1"/>
            </w:tcBorders>
            <w:shd w:val="clear" w:color="auto" w:fill="D2232A"/>
          </w:tcPr>
          <w:p w14:paraId="219B7314" w14:textId="77777777" w:rsidR="006F331F" w:rsidRPr="00040BEC" w:rsidRDefault="006F331F" w:rsidP="006F331F">
            <w:pPr>
              <w:keepNext/>
              <w:spacing w:before="120" w:after="120"/>
              <w:jc w:val="center"/>
              <w:rPr>
                <w:rFonts w:cs="Arial"/>
                <w:b/>
                <w:color w:val="FFFFFF" w:themeColor="background1"/>
                <w:lang w:val="en-GB"/>
              </w:rPr>
            </w:pPr>
          </w:p>
        </w:tc>
        <w:tc>
          <w:tcPr>
            <w:tcW w:w="4253" w:type="dxa"/>
            <w:tcBorders>
              <w:top w:val="single" w:sz="4" w:space="0" w:color="D2232A"/>
              <w:left w:val="single" w:sz="4" w:space="0" w:color="FFFFFF" w:themeColor="background1"/>
              <w:bottom w:val="single" w:sz="4" w:space="0" w:color="D2232A"/>
              <w:right w:val="single" w:sz="4" w:space="0" w:color="FFFFFF" w:themeColor="background1"/>
            </w:tcBorders>
            <w:shd w:val="clear" w:color="auto" w:fill="D2232A"/>
          </w:tcPr>
          <w:p w14:paraId="639A90BE" w14:textId="77777777" w:rsidR="006F331F" w:rsidRPr="00040BEC" w:rsidRDefault="006F331F" w:rsidP="006F331F">
            <w:pPr>
              <w:keepNext/>
              <w:spacing w:before="120" w:after="120"/>
              <w:jc w:val="center"/>
              <w:rPr>
                <w:rFonts w:cs="Arial"/>
                <w:b/>
                <w:color w:val="FFFFFF" w:themeColor="background1"/>
                <w:lang w:val="en-GB"/>
              </w:rPr>
            </w:pPr>
            <w:r w:rsidRPr="00040BEC">
              <w:rPr>
                <w:rFonts w:cs="Arial"/>
                <w:b/>
                <w:color w:val="FFFFFF" w:themeColor="background1"/>
                <w:lang w:val="en-GB"/>
              </w:rPr>
              <w:t>1900-1920</w:t>
            </w:r>
            <w:r w:rsidR="00400623" w:rsidRPr="00040BEC">
              <w:rPr>
                <w:rFonts w:cs="Arial"/>
                <w:b/>
                <w:color w:val="FFFFFF" w:themeColor="background1"/>
                <w:lang w:val="en-GB"/>
              </w:rPr>
              <w:t xml:space="preserve"> MHz</w:t>
            </w:r>
          </w:p>
        </w:tc>
        <w:tc>
          <w:tcPr>
            <w:tcW w:w="3969" w:type="dxa"/>
            <w:tcBorders>
              <w:top w:val="single" w:sz="4" w:space="0" w:color="D2232A"/>
              <w:left w:val="single" w:sz="4" w:space="0" w:color="FFFFFF" w:themeColor="background1"/>
              <w:bottom w:val="single" w:sz="4" w:space="0" w:color="D2232A"/>
              <w:right w:val="single" w:sz="4" w:space="0" w:color="D2232A"/>
            </w:tcBorders>
            <w:shd w:val="clear" w:color="auto" w:fill="D2232A"/>
          </w:tcPr>
          <w:p w14:paraId="3BAFB7FE" w14:textId="77777777" w:rsidR="006F331F" w:rsidRPr="00040BEC" w:rsidRDefault="006F331F" w:rsidP="006F331F">
            <w:pPr>
              <w:keepNext/>
              <w:spacing w:before="120" w:after="120"/>
              <w:jc w:val="center"/>
              <w:rPr>
                <w:rFonts w:cs="Arial"/>
                <w:b/>
                <w:color w:val="FFFFFF" w:themeColor="background1"/>
                <w:lang w:val="en-GB"/>
              </w:rPr>
            </w:pPr>
            <w:r w:rsidRPr="00040BEC">
              <w:rPr>
                <w:rFonts w:cs="Arial"/>
                <w:b/>
                <w:color w:val="FFFFFF" w:themeColor="background1"/>
                <w:lang w:val="en-GB"/>
              </w:rPr>
              <w:t>2010-2025</w:t>
            </w:r>
            <w:r w:rsidR="00400623" w:rsidRPr="00040BEC">
              <w:rPr>
                <w:rFonts w:cs="Arial"/>
                <w:b/>
                <w:color w:val="FFFFFF" w:themeColor="background1"/>
                <w:lang w:val="en-GB"/>
              </w:rPr>
              <w:t xml:space="preserve"> MHz</w:t>
            </w:r>
          </w:p>
        </w:tc>
      </w:tr>
      <w:tr w:rsidR="006F331F" w:rsidRPr="00040BEC" w14:paraId="0007C46E" w14:textId="77777777" w:rsidTr="00B54858">
        <w:tc>
          <w:tcPr>
            <w:tcW w:w="1809" w:type="dxa"/>
            <w:tcBorders>
              <w:top w:val="single" w:sz="4" w:space="0" w:color="D2232A"/>
              <w:left w:val="single" w:sz="4" w:space="0" w:color="D2232A"/>
              <w:bottom w:val="single" w:sz="4" w:space="0" w:color="D2232A"/>
              <w:right w:val="single" w:sz="4" w:space="0" w:color="D2232A"/>
            </w:tcBorders>
          </w:tcPr>
          <w:p w14:paraId="2B6C3A90" w14:textId="77777777" w:rsidR="006F331F" w:rsidRPr="00040BEC" w:rsidRDefault="006F331F" w:rsidP="00FE7E27">
            <w:pPr>
              <w:keepNext/>
              <w:rPr>
                <w:b/>
                <w:lang w:val="en-GB"/>
              </w:rPr>
            </w:pPr>
            <w:r w:rsidRPr="00040BEC">
              <w:rPr>
                <w:b/>
                <w:lang w:val="en-GB"/>
              </w:rPr>
              <w:t>Australia</w:t>
            </w:r>
          </w:p>
        </w:tc>
        <w:tc>
          <w:tcPr>
            <w:tcW w:w="4253" w:type="dxa"/>
            <w:tcBorders>
              <w:top w:val="single" w:sz="4" w:space="0" w:color="D2232A"/>
              <w:left w:val="single" w:sz="4" w:space="0" w:color="D2232A"/>
              <w:bottom w:val="single" w:sz="4" w:space="0" w:color="D2232A"/>
              <w:right w:val="single" w:sz="4" w:space="0" w:color="D2232A"/>
            </w:tcBorders>
          </w:tcPr>
          <w:p w14:paraId="720F6B18" w14:textId="77777777" w:rsidR="006F331F" w:rsidRPr="00040BEC" w:rsidRDefault="006F331F" w:rsidP="00FE7E27">
            <w:pPr>
              <w:keepNext/>
              <w:rPr>
                <w:lang w:val="en-GB"/>
              </w:rPr>
            </w:pPr>
            <w:r w:rsidRPr="00040BEC">
              <w:rPr>
                <w:lang w:val="en-GB"/>
              </w:rPr>
              <w:t>Mobile telephony – licence expiry 2017</w:t>
            </w:r>
          </w:p>
          <w:p w14:paraId="548C6E2E" w14:textId="77777777" w:rsidR="006F331F" w:rsidRPr="00040BEC" w:rsidRDefault="007B0C01" w:rsidP="00FE7E27">
            <w:pPr>
              <w:keepNext/>
              <w:rPr>
                <w:lang w:val="en-GB"/>
              </w:rPr>
            </w:pPr>
            <w:proofErr w:type="gramStart"/>
            <w:r w:rsidRPr="00040BEC">
              <w:rPr>
                <w:lang w:val="en-GB"/>
              </w:rPr>
              <w:t xml:space="preserve">Capital cities only – </w:t>
            </w:r>
            <w:r w:rsidR="006F331F" w:rsidRPr="00040BEC">
              <w:rPr>
                <w:lang w:val="en-GB"/>
              </w:rPr>
              <w:t>3G and BWA services.</w:t>
            </w:r>
            <w:proofErr w:type="gramEnd"/>
          </w:p>
          <w:p w14:paraId="2A6BBB4C" w14:textId="77777777" w:rsidR="006F331F" w:rsidRPr="00040BEC" w:rsidRDefault="007B0C01" w:rsidP="00FE7E27">
            <w:pPr>
              <w:keepNext/>
              <w:rPr>
                <w:lang w:val="en-GB"/>
              </w:rPr>
            </w:pPr>
            <w:proofErr w:type="gramStart"/>
            <w:r w:rsidRPr="00040BEC">
              <w:rPr>
                <w:lang w:val="en-GB"/>
              </w:rPr>
              <w:t xml:space="preserve">Regional and remote areas only – </w:t>
            </w:r>
            <w:r w:rsidR="006F331F" w:rsidRPr="00040BEC">
              <w:rPr>
                <w:lang w:val="en-GB"/>
              </w:rPr>
              <w:t>BWA.</w:t>
            </w:r>
            <w:proofErr w:type="gramEnd"/>
          </w:p>
          <w:p w14:paraId="01FD0B42" w14:textId="77777777" w:rsidR="006F331F" w:rsidRPr="00040BEC" w:rsidRDefault="006F331F" w:rsidP="00FE7E27">
            <w:pPr>
              <w:keepNext/>
              <w:rPr>
                <w:lang w:val="en-GB"/>
              </w:rPr>
            </w:pPr>
            <w:r w:rsidRPr="00040BEC">
              <w:rPr>
                <w:lang w:val="en-GB"/>
              </w:rPr>
              <w:t>Review initiated.</w:t>
            </w:r>
          </w:p>
        </w:tc>
        <w:tc>
          <w:tcPr>
            <w:tcW w:w="3969" w:type="dxa"/>
            <w:tcBorders>
              <w:top w:val="single" w:sz="4" w:space="0" w:color="D2232A"/>
              <w:left w:val="single" w:sz="4" w:space="0" w:color="D2232A"/>
              <w:bottom w:val="single" w:sz="4" w:space="0" w:color="D2232A"/>
              <w:right w:val="single" w:sz="4" w:space="0" w:color="D2232A"/>
            </w:tcBorders>
          </w:tcPr>
          <w:p w14:paraId="63A5A2BD" w14:textId="77777777" w:rsidR="006F331F" w:rsidRPr="00040BEC" w:rsidRDefault="006F331F" w:rsidP="00FE7E27">
            <w:pPr>
              <w:keepNext/>
              <w:rPr>
                <w:lang w:val="en-GB"/>
              </w:rPr>
            </w:pPr>
            <w:r w:rsidRPr="00040BEC">
              <w:rPr>
                <w:lang w:val="en-GB"/>
              </w:rPr>
              <w:t>Mobile telephony – licence expiry 2017</w:t>
            </w:r>
          </w:p>
          <w:p w14:paraId="64611C9A" w14:textId="77777777" w:rsidR="006F331F" w:rsidRPr="00040BEC" w:rsidRDefault="007B0C01" w:rsidP="00FE7E27">
            <w:pPr>
              <w:keepNext/>
              <w:rPr>
                <w:lang w:val="en-GB"/>
              </w:rPr>
            </w:pPr>
            <w:proofErr w:type="gramStart"/>
            <w:r w:rsidRPr="00040BEC">
              <w:rPr>
                <w:lang w:val="en-GB"/>
              </w:rPr>
              <w:t xml:space="preserve">Capital cities only – </w:t>
            </w:r>
            <w:r w:rsidR="006F331F" w:rsidRPr="00040BEC">
              <w:rPr>
                <w:lang w:val="en-GB"/>
              </w:rPr>
              <w:t>3G and BWA services.</w:t>
            </w:r>
            <w:proofErr w:type="gramEnd"/>
          </w:p>
          <w:p w14:paraId="7C933F05" w14:textId="77777777" w:rsidR="006F331F" w:rsidRPr="00040BEC" w:rsidRDefault="007B0C01" w:rsidP="00FE7E27">
            <w:pPr>
              <w:keepNext/>
              <w:rPr>
                <w:lang w:val="en-GB"/>
              </w:rPr>
            </w:pPr>
            <w:proofErr w:type="gramStart"/>
            <w:r w:rsidRPr="00040BEC">
              <w:rPr>
                <w:lang w:val="en-GB"/>
              </w:rPr>
              <w:t xml:space="preserve">Regional and remote areas only – </w:t>
            </w:r>
            <w:r w:rsidR="006F331F" w:rsidRPr="00040BEC">
              <w:rPr>
                <w:lang w:val="en-GB"/>
              </w:rPr>
              <w:t>BWA.</w:t>
            </w:r>
            <w:proofErr w:type="gramEnd"/>
          </w:p>
          <w:p w14:paraId="37E5A56B" w14:textId="092C78D9" w:rsidR="006F331F" w:rsidRPr="00040BEC" w:rsidRDefault="004F12A1" w:rsidP="00FE7E27">
            <w:pPr>
              <w:keepNext/>
              <w:rPr>
                <w:lang w:val="en-GB"/>
              </w:rPr>
            </w:pPr>
            <w:r w:rsidRPr="00040BEC">
              <w:rPr>
                <w:lang w:val="en-GB"/>
              </w:rPr>
              <w:t>Review initiated</w:t>
            </w:r>
          </w:p>
        </w:tc>
      </w:tr>
      <w:tr w:rsidR="006F331F" w:rsidRPr="00040BEC" w14:paraId="0135AE42" w14:textId="77777777" w:rsidTr="00B54858">
        <w:tc>
          <w:tcPr>
            <w:tcW w:w="1809" w:type="dxa"/>
            <w:tcBorders>
              <w:top w:val="single" w:sz="4" w:space="0" w:color="D2232A"/>
              <w:left w:val="single" w:sz="4" w:space="0" w:color="D2232A"/>
              <w:bottom w:val="single" w:sz="4" w:space="0" w:color="D2232A"/>
              <w:right w:val="single" w:sz="4" w:space="0" w:color="D2232A"/>
            </w:tcBorders>
          </w:tcPr>
          <w:p w14:paraId="4507592C" w14:textId="77777777" w:rsidR="006F331F" w:rsidRPr="00040BEC" w:rsidRDefault="006F331F" w:rsidP="00FE7E27">
            <w:pPr>
              <w:rPr>
                <w:b/>
                <w:lang w:val="en-GB"/>
              </w:rPr>
            </w:pPr>
            <w:r w:rsidRPr="00040BEC">
              <w:rPr>
                <w:b/>
                <w:lang w:val="en-GB"/>
              </w:rPr>
              <w:t>Canada</w:t>
            </w:r>
          </w:p>
        </w:tc>
        <w:tc>
          <w:tcPr>
            <w:tcW w:w="4253" w:type="dxa"/>
            <w:tcBorders>
              <w:top w:val="single" w:sz="4" w:space="0" w:color="D2232A"/>
              <w:left w:val="single" w:sz="4" w:space="0" w:color="D2232A"/>
              <w:bottom w:val="single" w:sz="4" w:space="0" w:color="D2232A"/>
              <w:right w:val="single" w:sz="4" w:space="0" w:color="D2232A"/>
            </w:tcBorders>
          </w:tcPr>
          <w:p w14:paraId="45F4C314" w14:textId="77777777" w:rsidR="006F331F" w:rsidRPr="00040BEC" w:rsidRDefault="0077609E" w:rsidP="00FE7E27">
            <w:pPr>
              <w:rPr>
                <w:lang w:val="en-GB"/>
              </w:rPr>
            </w:pPr>
            <w:r w:rsidRPr="00040BEC">
              <w:rPr>
                <w:lang w:val="en-GB"/>
              </w:rPr>
              <w:t>1850-2</w:t>
            </w:r>
            <w:r w:rsidR="006F331F" w:rsidRPr="00040BEC">
              <w:rPr>
                <w:lang w:val="en-GB"/>
              </w:rPr>
              <w:t>000</w:t>
            </w:r>
          </w:p>
          <w:p w14:paraId="59ECB26D" w14:textId="77777777" w:rsidR="006F331F" w:rsidRPr="00040BEC" w:rsidRDefault="006F331F" w:rsidP="00FE7E27">
            <w:pPr>
              <w:rPr>
                <w:lang w:val="en-GB"/>
              </w:rPr>
            </w:pPr>
            <w:r w:rsidRPr="00040BEC">
              <w:rPr>
                <w:lang w:val="en-GB"/>
              </w:rPr>
              <w:t>FIXED</w:t>
            </w:r>
          </w:p>
          <w:p w14:paraId="6885E978" w14:textId="77777777" w:rsidR="006F331F" w:rsidRPr="00040BEC" w:rsidRDefault="006F331F" w:rsidP="00FE7E27">
            <w:pPr>
              <w:rPr>
                <w:lang w:val="en-GB"/>
              </w:rPr>
            </w:pPr>
            <w:r w:rsidRPr="00040BEC">
              <w:rPr>
                <w:lang w:val="en-GB"/>
              </w:rPr>
              <w:t>MOBILE 5.384A 5.388A</w:t>
            </w:r>
          </w:p>
          <w:p w14:paraId="745A93AE" w14:textId="77777777" w:rsidR="006F331F" w:rsidRPr="00040BEC" w:rsidRDefault="006F331F" w:rsidP="00FE7E27">
            <w:pPr>
              <w:rPr>
                <w:lang w:val="en-GB"/>
              </w:rPr>
            </w:pPr>
            <w:r w:rsidRPr="00040BEC">
              <w:rPr>
                <w:lang w:val="en-GB"/>
              </w:rPr>
              <w:t>5.388 5.389B C35:</w:t>
            </w:r>
          </w:p>
          <w:p w14:paraId="51E07A6A" w14:textId="1CA224CD" w:rsidR="006F331F" w:rsidRPr="00040BEC" w:rsidRDefault="00B54858" w:rsidP="006F331F">
            <w:pPr>
              <w:rPr>
                <w:lang w:val="en-GB"/>
              </w:rPr>
            </w:pPr>
            <w:r>
              <w:rPr>
                <w:lang w:val="en-GB"/>
              </w:rPr>
              <w:t>In the band 1850-1</w:t>
            </w:r>
            <w:r w:rsidR="006F331F" w:rsidRPr="00040BEC">
              <w:rPr>
                <w:lang w:val="en-GB"/>
              </w:rPr>
              <w:t>990 MHz, stations of the mobile service have priority over those of the fixed service with displacement of fixed assignments governed by</w:t>
            </w:r>
            <w:r w:rsidR="00692A8E" w:rsidRPr="00040BEC">
              <w:rPr>
                <w:lang w:val="en-GB"/>
              </w:rPr>
              <w:t xml:space="preserve"> the appropriate spectrum utilis</w:t>
            </w:r>
            <w:r w:rsidR="006F331F" w:rsidRPr="00040BEC">
              <w:rPr>
                <w:lang w:val="en-GB"/>
              </w:rPr>
              <w:t>ation policy.</w:t>
            </w:r>
          </w:p>
        </w:tc>
        <w:tc>
          <w:tcPr>
            <w:tcW w:w="3969" w:type="dxa"/>
            <w:tcBorders>
              <w:top w:val="single" w:sz="4" w:space="0" w:color="D2232A"/>
              <w:left w:val="single" w:sz="4" w:space="0" w:color="D2232A"/>
              <w:bottom w:val="single" w:sz="4" w:space="0" w:color="D2232A"/>
              <w:right w:val="single" w:sz="4" w:space="0" w:color="D2232A"/>
            </w:tcBorders>
          </w:tcPr>
          <w:p w14:paraId="2BC50642" w14:textId="77777777" w:rsidR="006F331F" w:rsidRPr="00040BEC" w:rsidRDefault="0077609E" w:rsidP="00FE7E27">
            <w:pPr>
              <w:rPr>
                <w:lang w:val="en-GB"/>
              </w:rPr>
            </w:pPr>
            <w:r w:rsidRPr="00040BEC">
              <w:rPr>
                <w:lang w:val="en-GB"/>
              </w:rPr>
              <w:t>2</w:t>
            </w:r>
            <w:r w:rsidR="006F331F" w:rsidRPr="00040BEC">
              <w:rPr>
                <w:lang w:val="en-GB"/>
              </w:rPr>
              <w:t>020-2025</w:t>
            </w:r>
          </w:p>
          <w:p w14:paraId="408DCBF9" w14:textId="77777777" w:rsidR="006F331F" w:rsidRPr="00040BEC" w:rsidRDefault="006F331F" w:rsidP="00FE7E27">
            <w:pPr>
              <w:rPr>
                <w:lang w:val="en-GB"/>
              </w:rPr>
            </w:pPr>
            <w:r w:rsidRPr="00040BEC">
              <w:rPr>
                <w:lang w:val="en-GB"/>
              </w:rPr>
              <w:t>FIXED</w:t>
            </w:r>
          </w:p>
          <w:p w14:paraId="1AD6D990" w14:textId="77777777" w:rsidR="006F331F" w:rsidRPr="00040BEC" w:rsidRDefault="006F331F" w:rsidP="00FE7E27">
            <w:pPr>
              <w:rPr>
                <w:lang w:val="en-GB"/>
              </w:rPr>
            </w:pPr>
            <w:r w:rsidRPr="00040BEC">
              <w:rPr>
                <w:lang w:val="en-GB"/>
              </w:rPr>
              <w:t>MOBILE</w:t>
            </w:r>
          </w:p>
          <w:p w14:paraId="3F653571" w14:textId="77777777" w:rsidR="006F331F" w:rsidRPr="00040BEC" w:rsidRDefault="006F331F" w:rsidP="00FE7E27">
            <w:pPr>
              <w:rPr>
                <w:lang w:val="en-GB"/>
              </w:rPr>
            </w:pPr>
            <w:r w:rsidRPr="00040BEC">
              <w:rPr>
                <w:lang w:val="en-GB"/>
              </w:rPr>
              <w:t>5.388 C37:</w:t>
            </w:r>
          </w:p>
          <w:p w14:paraId="28BFF882" w14:textId="77777777" w:rsidR="006F331F" w:rsidRPr="00040BEC" w:rsidRDefault="006F331F" w:rsidP="00FE7E27">
            <w:pPr>
              <w:rPr>
                <w:lang w:val="en-GB"/>
              </w:rPr>
            </w:pPr>
            <w:r w:rsidRPr="00040BEC">
              <w:rPr>
                <w:lang w:val="en-GB"/>
              </w:rPr>
              <w:t xml:space="preserve">The designation of the band </w:t>
            </w:r>
          </w:p>
          <w:p w14:paraId="67AD5F80" w14:textId="3D970A6F" w:rsidR="006F331F" w:rsidRPr="00040BEC" w:rsidRDefault="006F331F" w:rsidP="00FE7E27">
            <w:pPr>
              <w:rPr>
                <w:lang w:val="en-GB"/>
              </w:rPr>
            </w:pPr>
            <w:r w:rsidRPr="00040BEC">
              <w:rPr>
                <w:lang w:val="en-GB"/>
              </w:rPr>
              <w:t>2 020-2 025 MHz for Advanced Wireless Services may be the subject of a future p</w:t>
            </w:r>
            <w:r w:rsidR="004F12A1" w:rsidRPr="00040BEC">
              <w:rPr>
                <w:lang w:val="en-GB"/>
              </w:rPr>
              <w:t>ublic consultation</w:t>
            </w:r>
            <w:r w:rsidR="00B54858">
              <w:rPr>
                <w:lang w:val="en-GB"/>
              </w:rPr>
              <w:t>.</w:t>
            </w:r>
          </w:p>
        </w:tc>
      </w:tr>
      <w:tr w:rsidR="006F331F" w:rsidRPr="00040BEC" w14:paraId="78FC29DB" w14:textId="77777777" w:rsidTr="00B54858">
        <w:tc>
          <w:tcPr>
            <w:tcW w:w="1809" w:type="dxa"/>
            <w:tcBorders>
              <w:top w:val="single" w:sz="4" w:space="0" w:color="D2232A"/>
              <w:left w:val="single" w:sz="4" w:space="0" w:color="D2232A"/>
              <w:bottom w:val="single" w:sz="4" w:space="0" w:color="D2232A"/>
              <w:right w:val="single" w:sz="4" w:space="0" w:color="D2232A"/>
            </w:tcBorders>
          </w:tcPr>
          <w:p w14:paraId="036ADE04" w14:textId="77777777" w:rsidR="006F331F" w:rsidRPr="00040BEC" w:rsidRDefault="006F331F" w:rsidP="00FE7E27">
            <w:pPr>
              <w:rPr>
                <w:b/>
                <w:lang w:val="en-GB"/>
              </w:rPr>
            </w:pPr>
            <w:r w:rsidRPr="00040BEC">
              <w:rPr>
                <w:b/>
                <w:lang w:val="en-GB"/>
              </w:rPr>
              <w:t>China</w:t>
            </w:r>
          </w:p>
        </w:tc>
        <w:tc>
          <w:tcPr>
            <w:tcW w:w="4253" w:type="dxa"/>
            <w:tcBorders>
              <w:top w:val="single" w:sz="4" w:space="0" w:color="D2232A"/>
              <w:left w:val="single" w:sz="4" w:space="0" w:color="D2232A"/>
              <w:bottom w:val="single" w:sz="4" w:space="0" w:color="D2232A"/>
              <w:right w:val="single" w:sz="4" w:space="0" w:color="D2232A"/>
            </w:tcBorders>
          </w:tcPr>
          <w:p w14:paraId="35D3F03C" w14:textId="77777777" w:rsidR="006F331F" w:rsidRPr="00040BEC" w:rsidRDefault="00400623" w:rsidP="00FE7E27">
            <w:pPr>
              <w:rPr>
                <w:lang w:val="en-GB"/>
              </w:rPr>
            </w:pPr>
            <w:r w:rsidRPr="00040BEC">
              <w:rPr>
                <w:lang w:val="en-GB"/>
              </w:rPr>
              <w:t xml:space="preserve">1880-1920MHz </w:t>
            </w:r>
            <w:proofErr w:type="gramStart"/>
            <w:r w:rsidRPr="00040BEC">
              <w:rPr>
                <w:lang w:val="en-GB"/>
              </w:rPr>
              <w:t>is allocated</w:t>
            </w:r>
            <w:proofErr w:type="gramEnd"/>
            <w:r w:rsidRPr="00040BEC">
              <w:rPr>
                <w:lang w:val="en-GB"/>
              </w:rPr>
              <w:t xml:space="preserve"> for IMT TDD system. In 1880-1900MHz, commercially deployed TD-SCDMA and TD-LTE networks are available by one Chinese operator (China Mobile). 1900-1920MHz </w:t>
            </w:r>
            <w:proofErr w:type="gramStart"/>
            <w:r w:rsidRPr="00040BEC">
              <w:rPr>
                <w:lang w:val="en-GB"/>
              </w:rPr>
              <w:t>may be used</w:t>
            </w:r>
            <w:proofErr w:type="gramEnd"/>
            <w:r w:rsidRPr="00040BEC">
              <w:rPr>
                <w:lang w:val="en-GB"/>
              </w:rPr>
              <w:t xml:space="preserve"> for commercial TD-LTE network in the future when the band will be freed.</w:t>
            </w:r>
          </w:p>
        </w:tc>
        <w:tc>
          <w:tcPr>
            <w:tcW w:w="3969" w:type="dxa"/>
            <w:tcBorders>
              <w:top w:val="single" w:sz="4" w:space="0" w:color="D2232A"/>
              <w:left w:val="single" w:sz="4" w:space="0" w:color="D2232A"/>
              <w:bottom w:val="single" w:sz="4" w:space="0" w:color="D2232A"/>
              <w:right w:val="single" w:sz="4" w:space="0" w:color="D2232A"/>
            </w:tcBorders>
          </w:tcPr>
          <w:p w14:paraId="1EB3F64A" w14:textId="452A1E45" w:rsidR="006F331F" w:rsidRPr="00040BEC" w:rsidRDefault="00400623" w:rsidP="002A5856">
            <w:pPr>
              <w:rPr>
                <w:lang w:val="en-GB"/>
              </w:rPr>
            </w:pPr>
            <w:r w:rsidRPr="00040BEC">
              <w:rPr>
                <w:lang w:val="en-GB"/>
              </w:rPr>
              <w:t xml:space="preserve">2010-2025MHz </w:t>
            </w:r>
            <w:proofErr w:type="gramStart"/>
            <w:r w:rsidRPr="00040BEC">
              <w:rPr>
                <w:lang w:val="en-GB"/>
              </w:rPr>
              <w:t>is allocated</w:t>
            </w:r>
            <w:proofErr w:type="gramEnd"/>
            <w:r w:rsidRPr="00040BEC">
              <w:rPr>
                <w:lang w:val="en-GB"/>
              </w:rPr>
              <w:t xml:space="preserve"> for IMT TDD system. Currently it is used for commercial TD-SCDMA network by one </w:t>
            </w:r>
            <w:r w:rsidR="004F12A1" w:rsidRPr="00040BEC">
              <w:rPr>
                <w:lang w:val="en-GB"/>
              </w:rPr>
              <w:t>Chinese operator (China Mobile)</w:t>
            </w:r>
          </w:p>
        </w:tc>
      </w:tr>
      <w:tr w:rsidR="006F331F" w:rsidRPr="00040BEC" w14:paraId="1C08AEFF" w14:textId="77777777" w:rsidTr="00B54858">
        <w:tc>
          <w:tcPr>
            <w:tcW w:w="1809" w:type="dxa"/>
            <w:tcBorders>
              <w:top w:val="single" w:sz="4" w:space="0" w:color="D2232A"/>
              <w:left w:val="single" w:sz="4" w:space="0" w:color="D2232A"/>
              <w:bottom w:val="single" w:sz="4" w:space="0" w:color="D2232A"/>
              <w:right w:val="single" w:sz="4" w:space="0" w:color="D2232A"/>
            </w:tcBorders>
          </w:tcPr>
          <w:p w14:paraId="7CDEA081" w14:textId="77777777" w:rsidR="006F331F" w:rsidRPr="00040BEC" w:rsidRDefault="006F331F" w:rsidP="00FE7E27">
            <w:pPr>
              <w:rPr>
                <w:b/>
                <w:lang w:val="en-GB"/>
              </w:rPr>
            </w:pPr>
            <w:r w:rsidRPr="00040BEC">
              <w:rPr>
                <w:b/>
                <w:lang w:val="en-GB"/>
              </w:rPr>
              <w:t>CITEL</w:t>
            </w:r>
          </w:p>
        </w:tc>
        <w:tc>
          <w:tcPr>
            <w:tcW w:w="4253" w:type="dxa"/>
            <w:tcBorders>
              <w:top w:val="single" w:sz="4" w:space="0" w:color="D2232A"/>
              <w:left w:val="single" w:sz="4" w:space="0" w:color="D2232A"/>
              <w:bottom w:val="single" w:sz="4" w:space="0" w:color="D2232A"/>
              <w:right w:val="single" w:sz="4" w:space="0" w:color="D2232A"/>
            </w:tcBorders>
          </w:tcPr>
          <w:p w14:paraId="03C06F13" w14:textId="77777777" w:rsidR="006F331F" w:rsidRPr="00040BEC" w:rsidRDefault="006F331F" w:rsidP="00FE7E27">
            <w:pPr>
              <w:rPr>
                <w:lang w:val="en-GB"/>
              </w:rPr>
            </w:pPr>
            <w:r w:rsidRPr="00040BEC">
              <w:rPr>
                <w:lang w:val="en-GB"/>
              </w:rPr>
              <w:t>DECT usage is allowed in many countries administered by CITEL, within the frequency band 1910-1930 MHz allocated in:</w:t>
            </w:r>
          </w:p>
          <w:p w14:paraId="0871E946" w14:textId="77777777" w:rsidR="006F331F" w:rsidRPr="00040BEC" w:rsidRDefault="006F331F" w:rsidP="00FE7E27">
            <w:pPr>
              <w:rPr>
                <w:lang w:val="en-GB"/>
              </w:rPr>
            </w:pPr>
            <w:r w:rsidRPr="00040BEC">
              <w:rPr>
                <w:lang w:val="en-GB"/>
              </w:rPr>
              <w:t>Argentina</w:t>
            </w:r>
          </w:p>
          <w:p w14:paraId="150ECCD8" w14:textId="77777777" w:rsidR="006F331F" w:rsidRPr="00040BEC" w:rsidRDefault="006F331F" w:rsidP="00FE7E27">
            <w:pPr>
              <w:rPr>
                <w:lang w:val="en-GB"/>
              </w:rPr>
            </w:pPr>
            <w:r w:rsidRPr="00040BEC">
              <w:rPr>
                <w:lang w:val="en-GB"/>
              </w:rPr>
              <w:t>Bahamas</w:t>
            </w:r>
          </w:p>
          <w:p w14:paraId="73D52699" w14:textId="77777777" w:rsidR="006F331F" w:rsidRPr="00040BEC" w:rsidRDefault="006F331F" w:rsidP="00FE7E27">
            <w:pPr>
              <w:rPr>
                <w:lang w:val="en-GB"/>
              </w:rPr>
            </w:pPr>
            <w:r w:rsidRPr="00040BEC">
              <w:rPr>
                <w:lang w:val="en-GB"/>
              </w:rPr>
              <w:t>Bolivia</w:t>
            </w:r>
          </w:p>
          <w:p w14:paraId="5336BB42" w14:textId="77777777" w:rsidR="006F331F" w:rsidRPr="00040BEC" w:rsidRDefault="006F331F" w:rsidP="00FE7E27">
            <w:pPr>
              <w:rPr>
                <w:lang w:val="en-GB"/>
              </w:rPr>
            </w:pPr>
            <w:r w:rsidRPr="00040BEC">
              <w:rPr>
                <w:lang w:val="en-GB"/>
              </w:rPr>
              <w:t>Brazil</w:t>
            </w:r>
          </w:p>
          <w:p w14:paraId="75BAC098" w14:textId="77777777" w:rsidR="006F331F" w:rsidRPr="00040BEC" w:rsidRDefault="006F331F" w:rsidP="00FE7E27">
            <w:pPr>
              <w:rPr>
                <w:lang w:val="en-GB"/>
              </w:rPr>
            </w:pPr>
            <w:r w:rsidRPr="00040BEC">
              <w:rPr>
                <w:lang w:val="en-GB"/>
              </w:rPr>
              <w:t>Chile</w:t>
            </w:r>
          </w:p>
          <w:p w14:paraId="187B7D75" w14:textId="77777777" w:rsidR="006F331F" w:rsidRPr="00040BEC" w:rsidRDefault="006F331F" w:rsidP="00FE7E27">
            <w:pPr>
              <w:rPr>
                <w:lang w:val="en-GB"/>
              </w:rPr>
            </w:pPr>
            <w:r w:rsidRPr="00040BEC">
              <w:rPr>
                <w:lang w:val="en-GB"/>
              </w:rPr>
              <w:t>Colombia</w:t>
            </w:r>
          </w:p>
          <w:p w14:paraId="5488BD41" w14:textId="77777777" w:rsidR="006F331F" w:rsidRPr="00040BEC" w:rsidRDefault="006F331F" w:rsidP="00FE7E27">
            <w:pPr>
              <w:rPr>
                <w:lang w:val="en-GB"/>
              </w:rPr>
            </w:pPr>
            <w:r w:rsidRPr="00040BEC">
              <w:rPr>
                <w:lang w:val="en-GB"/>
              </w:rPr>
              <w:t>Costa Rica</w:t>
            </w:r>
          </w:p>
          <w:p w14:paraId="1CD158F5" w14:textId="77777777" w:rsidR="006F331F" w:rsidRPr="00040BEC" w:rsidRDefault="006F331F" w:rsidP="00FE7E27">
            <w:pPr>
              <w:rPr>
                <w:lang w:val="en-GB"/>
              </w:rPr>
            </w:pPr>
            <w:r w:rsidRPr="00040BEC">
              <w:rPr>
                <w:lang w:val="en-GB"/>
              </w:rPr>
              <w:t>Dominican Republic</w:t>
            </w:r>
          </w:p>
          <w:p w14:paraId="264E6986" w14:textId="77777777" w:rsidR="006F331F" w:rsidRPr="00040BEC" w:rsidRDefault="006F331F" w:rsidP="00FE7E27">
            <w:pPr>
              <w:rPr>
                <w:lang w:val="en-GB"/>
              </w:rPr>
            </w:pPr>
            <w:r w:rsidRPr="00040BEC">
              <w:rPr>
                <w:lang w:val="en-GB"/>
              </w:rPr>
              <w:t>El Salvador</w:t>
            </w:r>
          </w:p>
          <w:p w14:paraId="29330E33" w14:textId="77777777" w:rsidR="006F331F" w:rsidRPr="00040BEC" w:rsidRDefault="006F331F" w:rsidP="00FE7E27">
            <w:pPr>
              <w:rPr>
                <w:lang w:val="en-GB"/>
              </w:rPr>
            </w:pPr>
            <w:proofErr w:type="spellStart"/>
            <w:r w:rsidRPr="00040BEC">
              <w:rPr>
                <w:lang w:val="en-GB"/>
              </w:rPr>
              <w:t>Equador</w:t>
            </w:r>
            <w:proofErr w:type="spellEnd"/>
          </w:p>
          <w:p w14:paraId="26B4902C" w14:textId="77777777" w:rsidR="006F331F" w:rsidRPr="00040BEC" w:rsidRDefault="006F331F" w:rsidP="00FE7E27">
            <w:pPr>
              <w:rPr>
                <w:lang w:val="en-GB"/>
              </w:rPr>
            </w:pPr>
            <w:r w:rsidRPr="00040BEC">
              <w:rPr>
                <w:lang w:val="en-GB"/>
              </w:rPr>
              <w:t>Honduras</w:t>
            </w:r>
          </w:p>
          <w:p w14:paraId="780BB30F" w14:textId="77777777" w:rsidR="006F331F" w:rsidRPr="00040BEC" w:rsidRDefault="006F331F" w:rsidP="00FE7E27">
            <w:pPr>
              <w:rPr>
                <w:lang w:val="en-GB"/>
              </w:rPr>
            </w:pPr>
            <w:r w:rsidRPr="00040BEC">
              <w:rPr>
                <w:lang w:val="en-GB"/>
              </w:rPr>
              <w:t>Mexico</w:t>
            </w:r>
          </w:p>
          <w:p w14:paraId="73E146CC" w14:textId="77777777" w:rsidR="006F331F" w:rsidRPr="00040BEC" w:rsidRDefault="006F331F" w:rsidP="00FE7E27">
            <w:pPr>
              <w:rPr>
                <w:lang w:val="en-GB"/>
              </w:rPr>
            </w:pPr>
            <w:r w:rsidRPr="00040BEC">
              <w:rPr>
                <w:lang w:val="en-GB"/>
              </w:rPr>
              <w:t>Panama</w:t>
            </w:r>
          </w:p>
          <w:p w14:paraId="24660628" w14:textId="77777777" w:rsidR="006F331F" w:rsidRPr="00040BEC" w:rsidRDefault="006F331F" w:rsidP="00FE7E27">
            <w:pPr>
              <w:rPr>
                <w:lang w:val="en-GB"/>
              </w:rPr>
            </w:pPr>
            <w:r w:rsidRPr="00040BEC">
              <w:rPr>
                <w:lang w:val="en-GB"/>
              </w:rPr>
              <w:t>Paraguay</w:t>
            </w:r>
          </w:p>
          <w:p w14:paraId="790704B8" w14:textId="77777777" w:rsidR="006F331F" w:rsidRPr="00040BEC" w:rsidRDefault="006F331F" w:rsidP="00FE7E27">
            <w:pPr>
              <w:rPr>
                <w:lang w:val="en-GB"/>
              </w:rPr>
            </w:pPr>
            <w:r w:rsidRPr="00040BEC">
              <w:rPr>
                <w:lang w:val="en-GB"/>
              </w:rPr>
              <w:t>Peru</w:t>
            </w:r>
          </w:p>
          <w:p w14:paraId="1D4CFF08" w14:textId="77777777" w:rsidR="006F331F" w:rsidRPr="00040BEC" w:rsidRDefault="006F331F" w:rsidP="00FE7E27">
            <w:pPr>
              <w:rPr>
                <w:lang w:val="en-GB"/>
              </w:rPr>
            </w:pPr>
            <w:r w:rsidRPr="00040BEC">
              <w:rPr>
                <w:lang w:val="en-GB"/>
              </w:rPr>
              <w:t>Uruguay</w:t>
            </w:r>
          </w:p>
        </w:tc>
        <w:tc>
          <w:tcPr>
            <w:tcW w:w="3969" w:type="dxa"/>
            <w:tcBorders>
              <w:top w:val="single" w:sz="4" w:space="0" w:color="D2232A"/>
              <w:left w:val="single" w:sz="4" w:space="0" w:color="D2232A"/>
              <w:bottom w:val="single" w:sz="4" w:space="0" w:color="D2232A"/>
              <w:right w:val="single" w:sz="4" w:space="0" w:color="D2232A"/>
            </w:tcBorders>
            <w:vAlign w:val="center"/>
          </w:tcPr>
          <w:p w14:paraId="2DE096DF" w14:textId="77777777" w:rsidR="006F331F" w:rsidRPr="00040BEC" w:rsidRDefault="006F331F" w:rsidP="00FE7E27">
            <w:pPr>
              <w:spacing w:line="288" w:lineRule="auto"/>
              <w:rPr>
                <w:lang w:val="en-GB"/>
              </w:rPr>
            </w:pPr>
          </w:p>
        </w:tc>
      </w:tr>
      <w:tr w:rsidR="006F331F" w:rsidRPr="00040BEC" w14:paraId="5F955F1A" w14:textId="77777777" w:rsidTr="00B54858">
        <w:tc>
          <w:tcPr>
            <w:tcW w:w="1809" w:type="dxa"/>
            <w:tcBorders>
              <w:top w:val="single" w:sz="4" w:space="0" w:color="D2232A"/>
              <w:left w:val="single" w:sz="4" w:space="0" w:color="D2232A"/>
              <w:bottom w:val="single" w:sz="4" w:space="0" w:color="D2232A"/>
              <w:right w:val="single" w:sz="4" w:space="0" w:color="D2232A"/>
            </w:tcBorders>
          </w:tcPr>
          <w:p w14:paraId="142E3924" w14:textId="77777777" w:rsidR="006F331F" w:rsidRPr="00040BEC" w:rsidRDefault="006F331F" w:rsidP="00FE7E27">
            <w:pPr>
              <w:rPr>
                <w:b/>
                <w:lang w:val="en-GB"/>
              </w:rPr>
            </w:pPr>
            <w:r w:rsidRPr="00040BEC">
              <w:rPr>
                <w:b/>
                <w:lang w:val="en-GB"/>
              </w:rPr>
              <w:t>Africa CRASA</w:t>
            </w:r>
          </w:p>
          <w:p w14:paraId="4C52DF03" w14:textId="77777777" w:rsidR="006F331F" w:rsidRPr="00040BEC" w:rsidRDefault="006F331F" w:rsidP="00FE7E27">
            <w:pPr>
              <w:rPr>
                <w:b/>
                <w:lang w:val="en-GB"/>
              </w:rPr>
            </w:pPr>
            <w:r w:rsidRPr="00040BEC">
              <w:rPr>
                <w:b/>
                <w:lang w:val="en-GB"/>
              </w:rPr>
              <w:t xml:space="preserve">CRASA groups together the 14 Southern African Development Community </w:t>
            </w:r>
            <w:r w:rsidRPr="00040BEC">
              <w:rPr>
                <w:b/>
                <w:lang w:val="en-GB"/>
              </w:rPr>
              <w:lastRenderedPageBreak/>
              <w:t>(SADC) countries</w:t>
            </w:r>
          </w:p>
        </w:tc>
        <w:tc>
          <w:tcPr>
            <w:tcW w:w="4253" w:type="dxa"/>
            <w:tcBorders>
              <w:top w:val="single" w:sz="4" w:space="0" w:color="D2232A"/>
              <w:left w:val="single" w:sz="4" w:space="0" w:color="D2232A"/>
              <w:bottom w:val="single" w:sz="4" w:space="0" w:color="D2232A"/>
              <w:right w:val="single" w:sz="4" w:space="0" w:color="D2232A"/>
            </w:tcBorders>
          </w:tcPr>
          <w:p w14:paraId="22425421" w14:textId="77777777" w:rsidR="006F331F" w:rsidRPr="00040BEC" w:rsidRDefault="006F331F" w:rsidP="00FE7E27">
            <w:pPr>
              <w:rPr>
                <w:lang w:val="en-GB"/>
              </w:rPr>
            </w:pPr>
            <w:r w:rsidRPr="00040BEC">
              <w:rPr>
                <w:lang w:val="en-GB"/>
              </w:rPr>
              <w:lastRenderedPageBreak/>
              <w:t>1 900-1 920 MHz</w:t>
            </w:r>
          </w:p>
          <w:p w14:paraId="65A227E3" w14:textId="77777777" w:rsidR="006F331F" w:rsidRPr="00040BEC" w:rsidRDefault="006F331F" w:rsidP="00FE7E27">
            <w:pPr>
              <w:rPr>
                <w:lang w:val="en-GB"/>
              </w:rPr>
            </w:pPr>
            <w:r w:rsidRPr="00040BEC">
              <w:rPr>
                <w:lang w:val="en-GB"/>
              </w:rPr>
              <w:t>FWA</w:t>
            </w:r>
          </w:p>
          <w:p w14:paraId="18E12E9F" w14:textId="77777777" w:rsidR="006F331F" w:rsidRPr="00040BEC" w:rsidRDefault="006F331F" w:rsidP="00FE7E27">
            <w:pPr>
              <w:rPr>
                <w:lang w:val="en-GB"/>
              </w:rPr>
            </w:pPr>
            <w:r w:rsidRPr="00040BEC">
              <w:rPr>
                <w:lang w:val="en-GB"/>
              </w:rPr>
              <w:t>IMT (terrestrial)</w:t>
            </w:r>
          </w:p>
        </w:tc>
        <w:tc>
          <w:tcPr>
            <w:tcW w:w="3969" w:type="dxa"/>
            <w:tcBorders>
              <w:top w:val="single" w:sz="4" w:space="0" w:color="D2232A"/>
              <w:left w:val="single" w:sz="4" w:space="0" w:color="D2232A"/>
              <w:bottom w:val="single" w:sz="4" w:space="0" w:color="D2232A"/>
              <w:right w:val="single" w:sz="4" w:space="0" w:color="D2232A"/>
            </w:tcBorders>
          </w:tcPr>
          <w:p w14:paraId="11C6469B" w14:textId="77777777" w:rsidR="006F331F" w:rsidRPr="00040BEC" w:rsidRDefault="006F331F" w:rsidP="00FE7E27">
            <w:pPr>
              <w:rPr>
                <w:lang w:val="en-GB"/>
              </w:rPr>
            </w:pPr>
            <w:r w:rsidRPr="00040BEC">
              <w:rPr>
                <w:lang w:val="en-GB"/>
              </w:rPr>
              <w:t>IMT (terrestrial) (2010-2025 MHz)</w:t>
            </w:r>
          </w:p>
          <w:p w14:paraId="7E8F6EAA" w14:textId="77777777" w:rsidR="006F331F" w:rsidRPr="00040BEC" w:rsidRDefault="006F331F" w:rsidP="00FE7E27">
            <w:pPr>
              <w:rPr>
                <w:lang w:val="en-GB"/>
              </w:rPr>
            </w:pPr>
            <w:r w:rsidRPr="00040BEC">
              <w:rPr>
                <w:lang w:val="en-GB"/>
              </w:rPr>
              <w:t>TDD</w:t>
            </w:r>
          </w:p>
        </w:tc>
      </w:tr>
      <w:tr w:rsidR="006F331F" w:rsidRPr="00040BEC" w14:paraId="065C126C" w14:textId="77777777" w:rsidTr="00B54858">
        <w:tc>
          <w:tcPr>
            <w:tcW w:w="1809" w:type="dxa"/>
            <w:tcBorders>
              <w:top w:val="single" w:sz="4" w:space="0" w:color="D2232A"/>
              <w:left w:val="single" w:sz="4" w:space="0" w:color="D2232A"/>
              <w:bottom w:val="single" w:sz="4" w:space="0" w:color="D2232A"/>
              <w:right w:val="single" w:sz="4" w:space="0" w:color="D2232A"/>
            </w:tcBorders>
          </w:tcPr>
          <w:p w14:paraId="006E3F4B" w14:textId="77777777" w:rsidR="006F331F" w:rsidRPr="00040BEC" w:rsidRDefault="006F331F" w:rsidP="00FE7E27">
            <w:pPr>
              <w:rPr>
                <w:b/>
                <w:lang w:val="en-GB"/>
              </w:rPr>
            </w:pPr>
            <w:r w:rsidRPr="00040BEC">
              <w:rPr>
                <w:b/>
                <w:lang w:val="en-GB"/>
              </w:rPr>
              <w:lastRenderedPageBreak/>
              <w:t>India</w:t>
            </w:r>
          </w:p>
        </w:tc>
        <w:tc>
          <w:tcPr>
            <w:tcW w:w="4253" w:type="dxa"/>
            <w:tcBorders>
              <w:top w:val="single" w:sz="4" w:space="0" w:color="D2232A"/>
              <w:left w:val="single" w:sz="4" w:space="0" w:color="D2232A"/>
              <w:bottom w:val="single" w:sz="4" w:space="0" w:color="D2232A"/>
              <w:right w:val="single" w:sz="4" w:space="0" w:color="D2232A"/>
            </w:tcBorders>
          </w:tcPr>
          <w:p w14:paraId="207EC15E" w14:textId="77777777" w:rsidR="006F331F" w:rsidRPr="00040BEC" w:rsidRDefault="006F331F" w:rsidP="00FE7E27">
            <w:pPr>
              <w:rPr>
                <w:lang w:val="en-GB"/>
              </w:rPr>
            </w:pPr>
            <w:r w:rsidRPr="00040BEC">
              <w:rPr>
                <w:lang w:val="en-GB"/>
              </w:rPr>
              <w:t>1900-1910 MHz paired with 1980-1990 MHz may be considered for cellular systems</w:t>
            </w:r>
          </w:p>
        </w:tc>
        <w:tc>
          <w:tcPr>
            <w:tcW w:w="3969" w:type="dxa"/>
            <w:tcBorders>
              <w:top w:val="single" w:sz="4" w:space="0" w:color="D2232A"/>
              <w:left w:val="single" w:sz="4" w:space="0" w:color="D2232A"/>
              <w:bottom w:val="single" w:sz="4" w:space="0" w:color="D2232A"/>
              <w:right w:val="single" w:sz="4" w:space="0" w:color="D2232A"/>
            </w:tcBorders>
          </w:tcPr>
          <w:p w14:paraId="39CCF191" w14:textId="77777777" w:rsidR="006F331F" w:rsidRPr="00040BEC" w:rsidRDefault="006F331F" w:rsidP="00FE7E27">
            <w:pPr>
              <w:rPr>
                <w:lang w:val="en-GB"/>
              </w:rPr>
            </w:pPr>
            <w:r w:rsidRPr="00040BEC">
              <w:rPr>
                <w:lang w:val="en-GB"/>
              </w:rPr>
              <w:t>2010-2025 MHz (TDD mode)</w:t>
            </w:r>
          </w:p>
        </w:tc>
      </w:tr>
      <w:tr w:rsidR="006F331F" w:rsidRPr="00040BEC" w14:paraId="468C366D" w14:textId="77777777" w:rsidTr="00B548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809" w:type="dxa"/>
            <w:tcBorders>
              <w:top w:val="single" w:sz="4" w:space="0" w:color="D2232A"/>
              <w:left w:val="single" w:sz="4" w:space="0" w:color="D2232A"/>
              <w:bottom w:val="single" w:sz="4" w:space="0" w:color="D2232A"/>
              <w:right w:val="single" w:sz="4" w:space="0" w:color="D2232A"/>
            </w:tcBorders>
          </w:tcPr>
          <w:p w14:paraId="153B60A6" w14:textId="77777777" w:rsidR="006F331F" w:rsidRPr="00040BEC" w:rsidRDefault="006F331F" w:rsidP="00FE7E27">
            <w:pPr>
              <w:rPr>
                <w:b/>
                <w:lang w:val="en-GB"/>
              </w:rPr>
            </w:pPr>
            <w:r w:rsidRPr="00040BEC">
              <w:rPr>
                <w:b/>
                <w:lang w:val="en-GB"/>
              </w:rPr>
              <w:t>Japan</w:t>
            </w:r>
          </w:p>
        </w:tc>
        <w:tc>
          <w:tcPr>
            <w:tcW w:w="4253" w:type="dxa"/>
            <w:tcBorders>
              <w:top w:val="single" w:sz="4" w:space="0" w:color="D2232A"/>
              <w:left w:val="single" w:sz="4" w:space="0" w:color="D2232A"/>
              <w:bottom w:val="single" w:sz="4" w:space="0" w:color="D2232A"/>
              <w:right w:val="single" w:sz="4" w:space="0" w:color="D2232A"/>
            </w:tcBorders>
          </w:tcPr>
          <w:p w14:paraId="21F7889D" w14:textId="77777777" w:rsidR="006F331F" w:rsidRPr="00040BEC" w:rsidRDefault="006F331F" w:rsidP="00FE7E27">
            <w:pPr>
              <w:rPr>
                <w:lang w:val="en-GB"/>
              </w:rPr>
            </w:pPr>
            <w:r w:rsidRPr="00040BEC">
              <w:rPr>
                <w:lang w:val="en-GB"/>
              </w:rPr>
              <w:t>1885-1980 MHz</w:t>
            </w:r>
          </w:p>
          <w:p w14:paraId="3040AD60" w14:textId="77777777" w:rsidR="006F331F" w:rsidRPr="00040BEC" w:rsidRDefault="006F331F" w:rsidP="00FE7E27">
            <w:pPr>
              <w:rPr>
                <w:lang w:val="en-GB"/>
              </w:rPr>
            </w:pPr>
            <w:r w:rsidRPr="00040BEC">
              <w:rPr>
                <w:lang w:val="en-GB"/>
              </w:rPr>
              <w:t>J99</w:t>
            </w:r>
          </w:p>
          <w:p w14:paraId="3C481A83" w14:textId="77777777" w:rsidR="006F331F" w:rsidRPr="00040BEC" w:rsidRDefault="006F331F" w:rsidP="00FE7E27">
            <w:pPr>
              <w:rPr>
                <w:lang w:val="en-GB"/>
              </w:rPr>
            </w:pPr>
            <w:r w:rsidRPr="00040BEC">
              <w:rPr>
                <w:lang w:val="en-GB"/>
              </w:rPr>
              <w:t>FIXED</w:t>
            </w:r>
          </w:p>
          <w:p w14:paraId="352DD6E0" w14:textId="77777777" w:rsidR="006F331F" w:rsidRPr="00040BEC" w:rsidRDefault="006F331F" w:rsidP="00FE7E27">
            <w:pPr>
              <w:rPr>
                <w:lang w:val="en-GB"/>
              </w:rPr>
            </w:pPr>
            <w:r w:rsidRPr="00040BEC">
              <w:rPr>
                <w:lang w:val="en-GB"/>
              </w:rPr>
              <w:t>Commercial Telecommunications Service (Fixed Wireless Access Communications in 1900MHz)</w:t>
            </w:r>
          </w:p>
          <w:p w14:paraId="3A992D8F" w14:textId="77777777" w:rsidR="006F331F" w:rsidRPr="00040BEC" w:rsidRDefault="006F331F" w:rsidP="00FE7E27">
            <w:pPr>
              <w:rPr>
                <w:lang w:val="en-GB"/>
              </w:rPr>
            </w:pPr>
            <w:r w:rsidRPr="00040BEC">
              <w:rPr>
                <w:lang w:val="en-GB"/>
              </w:rPr>
              <w:t xml:space="preserve">The band 1885-2025MHz </w:t>
            </w:r>
            <w:proofErr w:type="gramStart"/>
            <w:r w:rsidRPr="00040BEC">
              <w:rPr>
                <w:lang w:val="en-GB"/>
              </w:rPr>
              <w:t>is intended</w:t>
            </w:r>
            <w:proofErr w:type="gramEnd"/>
            <w:r w:rsidRPr="00040BEC">
              <w:rPr>
                <w:lang w:val="en-GB"/>
              </w:rPr>
              <w:t xml:space="preserve"> for use by IMT-2000. Such use does not preclude the use of these bands by other services to which they are allocated (see also PHS- Personal </w:t>
            </w:r>
            <w:proofErr w:type="spellStart"/>
            <w:r w:rsidRPr="00040BEC">
              <w:rPr>
                <w:lang w:val="en-GB"/>
              </w:rPr>
              <w:t>Handyphone</w:t>
            </w:r>
            <w:proofErr w:type="spellEnd"/>
            <w:r w:rsidRPr="00040BEC">
              <w:rPr>
                <w:lang w:val="en-GB"/>
              </w:rPr>
              <w:t xml:space="preserve"> System – a cordless </w:t>
            </w:r>
            <w:proofErr w:type="spellStart"/>
            <w:r w:rsidRPr="00040BEC">
              <w:rPr>
                <w:lang w:val="en-GB"/>
              </w:rPr>
              <w:t>telephony</w:t>
            </w:r>
            <w:proofErr w:type="spellEnd"/>
            <w:r w:rsidRPr="00040BEC">
              <w:rPr>
                <w:lang w:val="en-GB"/>
              </w:rPr>
              <w:t xml:space="preserve"> system)</w:t>
            </w:r>
          </w:p>
          <w:p w14:paraId="2175AD27" w14:textId="77777777" w:rsidR="006F331F" w:rsidRPr="00040BEC" w:rsidRDefault="006F331F" w:rsidP="00FE7E27">
            <w:pPr>
              <w:rPr>
                <w:lang w:val="en-GB"/>
              </w:rPr>
            </w:pPr>
            <w:r w:rsidRPr="00040BEC">
              <w:rPr>
                <w:rStyle w:val="st1"/>
                <w:lang w:val="en-GB"/>
              </w:rPr>
              <w:t xml:space="preserve">The band 1893 – 1906 MHz is used by DECT in </w:t>
            </w:r>
            <w:r w:rsidRPr="00040BEC">
              <w:rPr>
                <w:rStyle w:val="Emphasis"/>
                <w:b w:val="0"/>
                <w:bCs w:val="0"/>
                <w:lang w:val="en-GB"/>
              </w:rPr>
              <w:t>Japan (sharing the band with PHS)</w:t>
            </w:r>
          </w:p>
        </w:tc>
        <w:tc>
          <w:tcPr>
            <w:tcW w:w="3969" w:type="dxa"/>
            <w:tcBorders>
              <w:top w:val="single" w:sz="4" w:space="0" w:color="D2232A"/>
              <w:left w:val="single" w:sz="4" w:space="0" w:color="D2232A"/>
              <w:bottom w:val="single" w:sz="4" w:space="0" w:color="D2232A"/>
              <w:right w:val="single" w:sz="4" w:space="0" w:color="D2232A"/>
            </w:tcBorders>
          </w:tcPr>
          <w:p w14:paraId="3A8081B7" w14:textId="77777777" w:rsidR="006F331F" w:rsidRPr="00FB555C" w:rsidRDefault="006F331F" w:rsidP="006F331F">
            <w:pPr>
              <w:rPr>
                <w:lang w:val="fr-FR"/>
              </w:rPr>
            </w:pPr>
            <w:r w:rsidRPr="00FB555C">
              <w:rPr>
                <w:lang w:val="fr-FR"/>
              </w:rPr>
              <w:t>2010-2025 J99</w:t>
            </w:r>
          </w:p>
          <w:p w14:paraId="6EFD2D6F" w14:textId="77777777" w:rsidR="006F331F" w:rsidRPr="00FB555C" w:rsidRDefault="006F331F" w:rsidP="006F331F">
            <w:pPr>
              <w:rPr>
                <w:lang w:val="fr-FR"/>
              </w:rPr>
            </w:pPr>
            <w:r w:rsidRPr="00FB555C">
              <w:rPr>
                <w:lang w:val="fr-FR"/>
              </w:rPr>
              <w:t>MOBILE J99A J99B</w:t>
            </w:r>
          </w:p>
          <w:p w14:paraId="01C4E102" w14:textId="77777777" w:rsidR="006F331F" w:rsidRPr="00FB555C" w:rsidRDefault="006F331F" w:rsidP="006F331F">
            <w:pPr>
              <w:rPr>
                <w:lang w:val="fr-FR"/>
              </w:rPr>
            </w:pPr>
            <w:r w:rsidRPr="00FB555C">
              <w:rPr>
                <w:lang w:val="fr-FR"/>
              </w:rPr>
              <w:t xml:space="preserve">Commercial </w:t>
            </w:r>
            <w:proofErr w:type="spellStart"/>
            <w:r w:rsidRPr="00FB555C">
              <w:rPr>
                <w:lang w:val="fr-FR"/>
              </w:rPr>
              <w:t>Telecommunications</w:t>
            </w:r>
            <w:proofErr w:type="spellEnd"/>
            <w:r w:rsidRPr="00FB555C">
              <w:rPr>
                <w:lang w:val="fr-FR"/>
              </w:rPr>
              <w:t xml:space="preserve"> Service (Portable Radio Communications)</w:t>
            </w:r>
          </w:p>
          <w:p w14:paraId="78F8A991" w14:textId="77777777" w:rsidR="006F331F" w:rsidRPr="00040BEC" w:rsidRDefault="006F331F" w:rsidP="00FE7E27">
            <w:pPr>
              <w:rPr>
                <w:lang w:val="en-GB"/>
              </w:rPr>
            </w:pPr>
            <w:r w:rsidRPr="00040BEC">
              <w:rPr>
                <w:lang w:val="en-GB"/>
              </w:rPr>
              <w:t>An assignment to the Portable Radio Communications is subject to Annex 7-3.</w:t>
            </w:r>
          </w:p>
          <w:p w14:paraId="768E2772" w14:textId="77777777" w:rsidR="006F331F" w:rsidRPr="00040BEC" w:rsidRDefault="006F331F" w:rsidP="00FE7E27">
            <w:pPr>
              <w:rPr>
                <w:lang w:val="en-GB"/>
              </w:rPr>
            </w:pPr>
            <w:r w:rsidRPr="00040BEC">
              <w:rPr>
                <w:lang w:val="en-GB"/>
              </w:rPr>
              <w:t xml:space="preserve">The bands 1885-1980MHz, 2010-2025MHz </w:t>
            </w:r>
            <w:proofErr w:type="gramStart"/>
            <w:r w:rsidRPr="00040BEC">
              <w:rPr>
                <w:lang w:val="en-GB"/>
              </w:rPr>
              <w:t>may be used</w:t>
            </w:r>
            <w:proofErr w:type="gramEnd"/>
            <w:r w:rsidRPr="00040BEC">
              <w:rPr>
                <w:lang w:val="en-GB"/>
              </w:rPr>
              <w:t xml:space="preserve"> by high altitude platform stations as base stations to provide IMT-2000.</w:t>
            </w:r>
          </w:p>
        </w:tc>
      </w:tr>
      <w:tr w:rsidR="006F331F" w:rsidRPr="00040BEC" w14:paraId="3482BE1A" w14:textId="77777777" w:rsidTr="00B548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809" w:type="dxa"/>
            <w:tcBorders>
              <w:top w:val="single" w:sz="4" w:space="0" w:color="D2232A"/>
              <w:left w:val="single" w:sz="4" w:space="0" w:color="D2232A"/>
              <w:bottom w:val="single" w:sz="4" w:space="0" w:color="D2232A"/>
              <w:right w:val="single" w:sz="4" w:space="0" w:color="D2232A"/>
            </w:tcBorders>
          </w:tcPr>
          <w:p w14:paraId="0C10D0BD" w14:textId="77777777" w:rsidR="006F331F" w:rsidRPr="00040BEC" w:rsidRDefault="006F331F" w:rsidP="00FE7E27">
            <w:pPr>
              <w:rPr>
                <w:b/>
                <w:lang w:val="en-GB"/>
              </w:rPr>
            </w:pPr>
            <w:r w:rsidRPr="00040BEC">
              <w:rPr>
                <w:b/>
                <w:lang w:val="en-GB"/>
              </w:rPr>
              <w:t>United States</w:t>
            </w:r>
          </w:p>
        </w:tc>
        <w:tc>
          <w:tcPr>
            <w:tcW w:w="4253" w:type="dxa"/>
            <w:tcBorders>
              <w:top w:val="single" w:sz="4" w:space="0" w:color="D2232A"/>
              <w:left w:val="single" w:sz="4" w:space="0" w:color="D2232A"/>
              <w:bottom w:val="single" w:sz="4" w:space="0" w:color="D2232A"/>
              <w:right w:val="single" w:sz="4" w:space="0" w:color="D2232A"/>
            </w:tcBorders>
          </w:tcPr>
          <w:p w14:paraId="7C248DAA" w14:textId="77777777" w:rsidR="006F331F" w:rsidRPr="00FB555C" w:rsidRDefault="006F331F" w:rsidP="00FE7E27">
            <w:pPr>
              <w:tabs>
                <w:tab w:val="center" w:pos="4320"/>
                <w:tab w:val="right" w:pos="8640"/>
              </w:tabs>
              <w:rPr>
                <w:lang w:val="fr-FR"/>
              </w:rPr>
            </w:pPr>
            <w:r w:rsidRPr="00FB555C">
              <w:rPr>
                <w:lang w:val="fr-FR"/>
              </w:rPr>
              <w:t>1850-2000</w:t>
            </w:r>
          </w:p>
          <w:p w14:paraId="215BBD01" w14:textId="77777777" w:rsidR="006F331F" w:rsidRPr="00FB555C" w:rsidRDefault="006F331F" w:rsidP="00FE7E27">
            <w:pPr>
              <w:tabs>
                <w:tab w:val="center" w:pos="4320"/>
                <w:tab w:val="right" w:pos="8640"/>
              </w:tabs>
              <w:rPr>
                <w:lang w:val="fr-FR"/>
              </w:rPr>
            </w:pPr>
            <w:r w:rsidRPr="00FB555C">
              <w:rPr>
                <w:lang w:val="fr-FR"/>
              </w:rPr>
              <w:t>FIXED</w:t>
            </w:r>
          </w:p>
          <w:p w14:paraId="576E87C8" w14:textId="77777777" w:rsidR="006F331F" w:rsidRPr="00FB555C" w:rsidRDefault="006F331F" w:rsidP="00FE7E27">
            <w:pPr>
              <w:tabs>
                <w:tab w:val="center" w:pos="4320"/>
                <w:tab w:val="right" w:pos="8640"/>
              </w:tabs>
              <w:rPr>
                <w:lang w:val="fr-FR"/>
              </w:rPr>
            </w:pPr>
            <w:r w:rsidRPr="00FB555C">
              <w:rPr>
                <w:lang w:val="fr-FR"/>
              </w:rPr>
              <w:t>MOBILE</w:t>
            </w:r>
          </w:p>
          <w:p w14:paraId="465BFB3E" w14:textId="77777777" w:rsidR="006F331F" w:rsidRPr="00FB555C" w:rsidRDefault="006F331F" w:rsidP="00FE7E27">
            <w:pPr>
              <w:tabs>
                <w:tab w:val="center" w:pos="4320"/>
                <w:tab w:val="right" w:pos="8640"/>
              </w:tabs>
              <w:rPr>
                <w:lang w:val="fr-FR"/>
              </w:rPr>
            </w:pPr>
            <w:r w:rsidRPr="00FB555C">
              <w:rPr>
                <w:lang w:val="fr-FR"/>
              </w:rPr>
              <w:t xml:space="preserve">RF </w:t>
            </w:r>
            <w:proofErr w:type="spellStart"/>
            <w:r w:rsidRPr="00FB555C">
              <w:rPr>
                <w:lang w:val="fr-FR"/>
              </w:rPr>
              <w:t>Devices</w:t>
            </w:r>
            <w:proofErr w:type="spellEnd"/>
            <w:r w:rsidRPr="00FB555C">
              <w:rPr>
                <w:lang w:val="fr-FR"/>
              </w:rPr>
              <w:t xml:space="preserve"> (Part 15)</w:t>
            </w:r>
          </w:p>
          <w:p w14:paraId="51C24F77" w14:textId="77777777" w:rsidR="006F331F" w:rsidRPr="00040BEC" w:rsidRDefault="006F331F" w:rsidP="00FE7E27">
            <w:pPr>
              <w:rPr>
                <w:lang w:val="en-GB"/>
              </w:rPr>
            </w:pPr>
            <w:r w:rsidRPr="00040BEC">
              <w:rPr>
                <w:lang w:val="en-GB"/>
              </w:rPr>
              <w:t>Personal Communications (Part 24)</w:t>
            </w:r>
          </w:p>
          <w:p w14:paraId="266F6F2F" w14:textId="77777777" w:rsidR="006F331F" w:rsidRPr="00040BEC" w:rsidRDefault="006F331F" w:rsidP="00FE7E27">
            <w:pPr>
              <w:rPr>
                <w:lang w:val="en-GB"/>
              </w:rPr>
            </w:pPr>
            <w:r w:rsidRPr="00040BEC">
              <w:rPr>
                <w:lang w:val="en-GB"/>
              </w:rPr>
              <w:t>Fixed Microwave (Part 101)</w:t>
            </w:r>
          </w:p>
          <w:p w14:paraId="1C092795" w14:textId="77777777" w:rsidR="006F331F" w:rsidRPr="00040BEC" w:rsidRDefault="006F331F" w:rsidP="00FE7E27">
            <w:pPr>
              <w:rPr>
                <w:lang w:val="en-GB"/>
              </w:rPr>
            </w:pPr>
            <w:r w:rsidRPr="00040BEC">
              <w:rPr>
                <w:lang w:val="en-GB"/>
              </w:rPr>
              <w:t>1980-2010 MHz</w:t>
            </w:r>
          </w:p>
          <w:p w14:paraId="264039E0" w14:textId="77777777" w:rsidR="006F331F" w:rsidRPr="00040BEC" w:rsidRDefault="006F331F" w:rsidP="00FE7E27">
            <w:pPr>
              <w:rPr>
                <w:lang w:val="en-GB"/>
              </w:rPr>
            </w:pPr>
            <w:r w:rsidRPr="00040BEC">
              <w:rPr>
                <w:lang w:val="en-GB"/>
              </w:rPr>
              <w:t>NG177</w:t>
            </w:r>
          </w:p>
          <w:p w14:paraId="08F90971" w14:textId="77777777" w:rsidR="006F331F" w:rsidRPr="00040BEC" w:rsidRDefault="006F331F" w:rsidP="00B53384">
            <w:pPr>
              <w:rPr>
                <w:lang w:val="en-GB"/>
              </w:rPr>
            </w:pPr>
            <w:proofErr w:type="gramStart"/>
            <w:r w:rsidRPr="00040BEC">
              <w:rPr>
                <w:lang w:val="en-GB"/>
              </w:rPr>
              <w:t>NG177 In the bands 1990-2000 MHz and 2020-2025 MHz, where the receipt date of the initial application for facilities in the fixed and mobile services was prior to June 27, 2000, said facilities shall operate on a primary basis and all later-applied-for facilities shall operate on a secondary basis to any service licensed pursuant to the allocation adopted in FCC 03-16, 68 FR 11986, March 13, 2003 (“Advanced Wireless Services”).</w:t>
            </w:r>
            <w:proofErr w:type="gramEnd"/>
            <w:r w:rsidRPr="00040BEC">
              <w:rPr>
                <w:lang w:val="en-GB"/>
              </w:rPr>
              <w:t xml:space="preserve"> </w:t>
            </w:r>
            <w:proofErr w:type="gramStart"/>
            <w:r w:rsidRPr="00040BEC">
              <w:rPr>
                <w:lang w:val="en-GB"/>
              </w:rPr>
              <w:t>Not</w:t>
            </w:r>
            <w:proofErr w:type="gramEnd"/>
            <w:r w:rsidRPr="00040BEC">
              <w:rPr>
                <w:lang w:val="en-GB"/>
              </w:rPr>
              <w:t xml:space="preserve"> </w:t>
            </w:r>
            <w:proofErr w:type="gramStart"/>
            <w:r w:rsidRPr="00040BEC">
              <w:rPr>
                <w:lang w:val="en-GB"/>
              </w:rPr>
              <w:t>later</w:t>
            </w:r>
            <w:proofErr w:type="gramEnd"/>
            <w:r w:rsidRPr="00040BEC">
              <w:rPr>
                <w:lang w:val="en-GB"/>
              </w:rPr>
              <w:t xml:space="preserve"> than December 9, 2013, all such facilities in the bands 1990-2000 MHz and 2020-2025 MHz shall operate on a secondary basis to Advanced Wireless Services.</w:t>
            </w:r>
          </w:p>
        </w:tc>
        <w:tc>
          <w:tcPr>
            <w:tcW w:w="3969" w:type="dxa"/>
            <w:tcBorders>
              <w:top w:val="single" w:sz="4" w:space="0" w:color="D2232A"/>
              <w:left w:val="single" w:sz="4" w:space="0" w:color="D2232A"/>
              <w:bottom w:val="single" w:sz="4" w:space="0" w:color="D2232A"/>
              <w:right w:val="single" w:sz="4" w:space="0" w:color="D2232A"/>
            </w:tcBorders>
          </w:tcPr>
          <w:p w14:paraId="54EBD6F7" w14:textId="77777777" w:rsidR="006F331F" w:rsidRPr="00040BEC" w:rsidRDefault="006F331F" w:rsidP="00FE7E27">
            <w:pPr>
              <w:rPr>
                <w:lang w:val="en-GB"/>
              </w:rPr>
            </w:pPr>
            <w:r w:rsidRPr="00040BEC">
              <w:rPr>
                <w:lang w:val="en-GB"/>
              </w:rPr>
              <w:t>2000-2020 MHz</w:t>
            </w:r>
          </w:p>
          <w:p w14:paraId="76A2B44B" w14:textId="77777777" w:rsidR="006F331F" w:rsidRPr="00040BEC" w:rsidRDefault="006F331F" w:rsidP="00FE7E27">
            <w:pPr>
              <w:rPr>
                <w:lang w:val="en-GB"/>
              </w:rPr>
            </w:pPr>
            <w:r w:rsidRPr="00040BEC">
              <w:rPr>
                <w:lang w:val="en-GB"/>
              </w:rPr>
              <w:t>FIXED</w:t>
            </w:r>
          </w:p>
          <w:p w14:paraId="5AEB9708" w14:textId="77777777" w:rsidR="006F331F" w:rsidRPr="00040BEC" w:rsidRDefault="006F331F" w:rsidP="00FE7E27">
            <w:pPr>
              <w:rPr>
                <w:lang w:val="en-GB"/>
              </w:rPr>
            </w:pPr>
            <w:r w:rsidRPr="00040BEC">
              <w:rPr>
                <w:lang w:val="en-GB"/>
              </w:rPr>
              <w:t>MOBILE</w:t>
            </w:r>
          </w:p>
          <w:p w14:paraId="1B0DFC6E" w14:textId="77777777" w:rsidR="006F331F" w:rsidRPr="00040BEC" w:rsidRDefault="006F331F" w:rsidP="00FE7E27">
            <w:pPr>
              <w:rPr>
                <w:lang w:val="en-GB"/>
              </w:rPr>
            </w:pPr>
            <w:r w:rsidRPr="00040BEC">
              <w:rPr>
                <w:lang w:val="en-GB"/>
              </w:rPr>
              <w:t>MOBILE-SATELLITE</w:t>
            </w:r>
          </w:p>
          <w:p w14:paraId="0299B85E" w14:textId="77777777" w:rsidR="006F331F" w:rsidRPr="00040BEC" w:rsidRDefault="006F331F" w:rsidP="00FE7E27">
            <w:pPr>
              <w:rPr>
                <w:lang w:val="en-GB"/>
              </w:rPr>
            </w:pPr>
            <w:r w:rsidRPr="00040BEC">
              <w:rPr>
                <w:lang w:val="en-GB"/>
              </w:rPr>
              <w:t>(Earth-to-space)</w:t>
            </w:r>
          </w:p>
          <w:p w14:paraId="5E42AEA9" w14:textId="77777777" w:rsidR="006F331F" w:rsidRPr="00FB555C" w:rsidRDefault="006F331F" w:rsidP="00FE7E27">
            <w:pPr>
              <w:tabs>
                <w:tab w:val="center" w:pos="4320"/>
                <w:tab w:val="right" w:pos="8640"/>
              </w:tabs>
              <w:rPr>
                <w:lang w:val="fr-FR"/>
              </w:rPr>
            </w:pPr>
            <w:r w:rsidRPr="00FB555C">
              <w:rPr>
                <w:lang w:val="fr-FR"/>
              </w:rPr>
              <w:t>Satellite Communications (Part 25)</w:t>
            </w:r>
          </w:p>
          <w:p w14:paraId="3F33724C" w14:textId="77777777" w:rsidR="006F331F" w:rsidRPr="00FB555C" w:rsidRDefault="006F331F" w:rsidP="00FE7E27">
            <w:pPr>
              <w:tabs>
                <w:tab w:val="center" w:pos="4320"/>
                <w:tab w:val="right" w:pos="8640"/>
              </w:tabs>
              <w:rPr>
                <w:lang w:val="fr-FR"/>
              </w:rPr>
            </w:pPr>
            <w:r w:rsidRPr="00FB555C">
              <w:rPr>
                <w:lang w:val="fr-FR"/>
              </w:rPr>
              <w:t>2020-2025 MHz</w:t>
            </w:r>
          </w:p>
          <w:p w14:paraId="33B4A37A" w14:textId="77777777" w:rsidR="006F331F" w:rsidRPr="00FB555C" w:rsidRDefault="006F331F" w:rsidP="00FE7E27">
            <w:pPr>
              <w:tabs>
                <w:tab w:val="center" w:pos="4320"/>
                <w:tab w:val="right" w:pos="8640"/>
              </w:tabs>
              <w:rPr>
                <w:lang w:val="fr-FR"/>
              </w:rPr>
            </w:pPr>
            <w:r w:rsidRPr="00FB555C">
              <w:rPr>
                <w:lang w:val="fr-FR"/>
              </w:rPr>
              <w:t>FIXED</w:t>
            </w:r>
          </w:p>
          <w:p w14:paraId="33F05F4E" w14:textId="77777777" w:rsidR="006F331F" w:rsidRPr="00FB555C" w:rsidRDefault="006F331F" w:rsidP="00FE7E27">
            <w:pPr>
              <w:tabs>
                <w:tab w:val="center" w:pos="4320"/>
                <w:tab w:val="right" w:pos="8640"/>
              </w:tabs>
              <w:rPr>
                <w:lang w:val="fr-FR"/>
              </w:rPr>
            </w:pPr>
            <w:r w:rsidRPr="00FB555C">
              <w:rPr>
                <w:lang w:val="fr-FR"/>
              </w:rPr>
              <w:t>MOBILE</w:t>
            </w:r>
          </w:p>
          <w:p w14:paraId="278500F7" w14:textId="77777777" w:rsidR="006F331F" w:rsidRPr="00040BEC" w:rsidRDefault="006F331F" w:rsidP="00FE7E27">
            <w:pPr>
              <w:rPr>
                <w:lang w:val="en-GB"/>
              </w:rPr>
            </w:pPr>
            <w:r w:rsidRPr="00040BEC">
              <w:rPr>
                <w:lang w:val="en-GB"/>
              </w:rPr>
              <w:t>NG177</w:t>
            </w:r>
          </w:p>
        </w:tc>
      </w:tr>
    </w:tbl>
    <w:p w14:paraId="16C3B208" w14:textId="77777777" w:rsidR="00AF0215" w:rsidRPr="00040BEC" w:rsidRDefault="00AF0215" w:rsidP="00CD51AD">
      <w:pPr>
        <w:rPr>
          <w:lang w:val="en-GB"/>
        </w:rPr>
      </w:pPr>
    </w:p>
    <w:p w14:paraId="6C91946D" w14:textId="32333E15" w:rsidR="00A910F6" w:rsidRPr="00040BEC" w:rsidRDefault="001C7BBC" w:rsidP="00CD51AD">
      <w:pPr>
        <w:rPr>
          <w:lang w:val="en-GB"/>
        </w:rPr>
      </w:pPr>
      <w:r w:rsidRPr="00040BEC">
        <w:rPr>
          <w:lang w:val="en-GB"/>
        </w:rPr>
        <w:t>From</w:t>
      </w:r>
      <w:r w:rsidR="004B74DF" w:rsidRPr="00040BEC">
        <w:rPr>
          <w:lang w:val="en-GB"/>
        </w:rPr>
        <w:t xml:space="preserve"> </w:t>
      </w:r>
      <w:r w:rsidR="00190B71" w:rsidRPr="00040BEC">
        <w:rPr>
          <w:lang w:val="en-GB"/>
        </w:rPr>
        <w:fldChar w:fldCharType="begin"/>
      </w:r>
      <w:r w:rsidR="00190B71" w:rsidRPr="00040BEC">
        <w:rPr>
          <w:lang w:val="en-GB"/>
        </w:rPr>
        <w:instrText xml:space="preserve"> REF _Ref412119774 \h </w:instrText>
      </w:r>
      <w:r w:rsidR="00190B71" w:rsidRPr="00040BEC">
        <w:rPr>
          <w:lang w:val="en-GB"/>
        </w:rPr>
      </w:r>
      <w:r w:rsidR="00190B71" w:rsidRPr="00040BEC">
        <w:rPr>
          <w:lang w:val="en-GB"/>
        </w:rPr>
        <w:fldChar w:fldCharType="separate"/>
      </w:r>
      <w:r w:rsidR="002327BB" w:rsidRPr="00040BEC">
        <w:rPr>
          <w:lang w:val="en-GB"/>
        </w:rPr>
        <w:t xml:space="preserve">Figure </w:t>
      </w:r>
      <w:r w:rsidR="002327BB">
        <w:rPr>
          <w:noProof/>
          <w:lang w:val="en-GB"/>
        </w:rPr>
        <w:t>5</w:t>
      </w:r>
      <w:r w:rsidR="00190B71" w:rsidRPr="00040BEC">
        <w:rPr>
          <w:lang w:val="en-GB"/>
        </w:rPr>
        <w:fldChar w:fldCharType="end"/>
      </w:r>
      <w:r w:rsidRPr="00040BEC">
        <w:rPr>
          <w:lang w:val="en-GB"/>
        </w:rPr>
        <w:t xml:space="preserve"> it </w:t>
      </w:r>
      <w:proofErr w:type="gramStart"/>
      <w:r w:rsidRPr="00040BEC">
        <w:rPr>
          <w:lang w:val="en-GB"/>
        </w:rPr>
        <w:t>can be concluded</w:t>
      </w:r>
      <w:proofErr w:type="gramEnd"/>
      <w:r w:rsidRPr="00040BEC">
        <w:rPr>
          <w:lang w:val="en-GB"/>
        </w:rPr>
        <w:t xml:space="preserve"> that </w:t>
      </w:r>
      <w:r w:rsidR="00CD51AD" w:rsidRPr="00040BEC">
        <w:rPr>
          <w:lang w:val="en-GB"/>
        </w:rPr>
        <w:t xml:space="preserve">there is </w:t>
      </w:r>
      <w:r w:rsidRPr="00040BEC">
        <w:rPr>
          <w:lang w:val="en-GB"/>
        </w:rPr>
        <w:t xml:space="preserve">an </w:t>
      </w:r>
      <w:r w:rsidR="00CD51AD" w:rsidRPr="00040BEC">
        <w:rPr>
          <w:lang w:val="en-GB"/>
        </w:rPr>
        <w:t>extensive use by PHS services outside of Europe.</w:t>
      </w:r>
    </w:p>
    <w:p w14:paraId="27F80A4B" w14:textId="77777777" w:rsidR="000A0505" w:rsidRPr="00040BEC" w:rsidRDefault="000A0505" w:rsidP="00CD51AD">
      <w:pPr>
        <w:rPr>
          <w:lang w:val="en-GB"/>
        </w:rPr>
      </w:pPr>
    </w:p>
    <w:p w14:paraId="71AF99EA" w14:textId="77777777" w:rsidR="004B74DF" w:rsidRPr="00040BEC" w:rsidRDefault="004B74DF" w:rsidP="00CD51AD">
      <w:pPr>
        <w:rPr>
          <w:lang w:val="en-GB"/>
        </w:rPr>
      </w:pPr>
    </w:p>
    <w:p w14:paraId="78B08876" w14:textId="77777777" w:rsidR="00CD51AD" w:rsidRPr="00040BEC" w:rsidRDefault="00CD51AD" w:rsidP="00C7591B">
      <w:pPr>
        <w:jc w:val="center"/>
        <w:rPr>
          <w:lang w:val="en-GB"/>
        </w:rPr>
      </w:pPr>
      <w:r w:rsidRPr="00040BEC">
        <w:rPr>
          <w:noProof/>
          <w:lang w:val="da-DK" w:eastAsia="da-DK"/>
        </w:rPr>
        <w:lastRenderedPageBreak/>
        <w:drawing>
          <wp:inline distT="0" distB="0" distL="0" distR="0" wp14:anchorId="2179C49E" wp14:editId="5778964C">
            <wp:extent cx="6120130" cy="4236333"/>
            <wp:effectExtent l="0" t="0" r="0" b="0"/>
            <wp:docPr id="2" name="Picture 2" descr="C:\Users\weber\Documents\DeploymentMap PH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weber\Documents\DeploymentMap PHS.gif"/>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120130" cy="4236333"/>
                    </a:xfrm>
                    <a:prstGeom prst="rect">
                      <a:avLst/>
                    </a:prstGeom>
                    <a:noFill/>
                    <a:ln>
                      <a:noFill/>
                    </a:ln>
                  </pic:spPr>
                </pic:pic>
              </a:graphicData>
            </a:graphic>
          </wp:inline>
        </w:drawing>
      </w:r>
    </w:p>
    <w:p w14:paraId="27700AC8" w14:textId="77777777" w:rsidR="007B7A5C" w:rsidRPr="00040BEC" w:rsidRDefault="004B74DF" w:rsidP="004B74DF">
      <w:pPr>
        <w:pStyle w:val="Caption"/>
        <w:rPr>
          <w:lang w:val="en-GB"/>
        </w:rPr>
      </w:pPr>
      <w:bookmarkStart w:id="18" w:name="_Ref412119774"/>
      <w:r w:rsidRPr="00040BEC">
        <w:rPr>
          <w:lang w:val="en-GB"/>
        </w:rPr>
        <w:t xml:space="preserve">Figure </w:t>
      </w:r>
      <w:r w:rsidR="000A5980" w:rsidRPr="00040BEC">
        <w:rPr>
          <w:lang w:val="en-GB"/>
        </w:rPr>
        <w:fldChar w:fldCharType="begin"/>
      </w:r>
      <w:r w:rsidR="009E6E11" w:rsidRPr="00040BEC">
        <w:rPr>
          <w:lang w:val="en-GB"/>
        </w:rPr>
        <w:instrText xml:space="preserve"> SEQ Figure \* ARABIC </w:instrText>
      </w:r>
      <w:r w:rsidR="000A5980" w:rsidRPr="00040BEC">
        <w:rPr>
          <w:lang w:val="en-GB"/>
        </w:rPr>
        <w:fldChar w:fldCharType="separate"/>
      </w:r>
      <w:r w:rsidR="002327BB">
        <w:rPr>
          <w:noProof/>
          <w:lang w:val="en-GB"/>
        </w:rPr>
        <w:t>5</w:t>
      </w:r>
      <w:r w:rsidR="000A5980" w:rsidRPr="00040BEC">
        <w:rPr>
          <w:lang w:val="en-GB"/>
        </w:rPr>
        <w:fldChar w:fldCharType="end"/>
      </w:r>
      <w:bookmarkEnd w:id="18"/>
      <w:r w:rsidR="007B7A5C" w:rsidRPr="00040BEC">
        <w:rPr>
          <w:lang w:val="en-GB"/>
        </w:rPr>
        <w:t>: PHS Deployment</w:t>
      </w:r>
    </w:p>
    <w:p w14:paraId="105A7480" w14:textId="77777777" w:rsidR="00A910F6" w:rsidRPr="00040BEC" w:rsidRDefault="00A910F6" w:rsidP="00A910F6">
      <w:pPr>
        <w:rPr>
          <w:lang w:val="en-GB"/>
        </w:rPr>
      </w:pPr>
    </w:p>
    <w:p w14:paraId="7933FDCE" w14:textId="77777777" w:rsidR="007B7A5C" w:rsidRPr="00040BEC" w:rsidRDefault="00A910F6" w:rsidP="004B74DF">
      <w:pPr>
        <w:pStyle w:val="Caption"/>
        <w:rPr>
          <w:lang w:val="en-GB"/>
        </w:rPr>
      </w:pPr>
      <w:r w:rsidRPr="00040BEC">
        <w:rPr>
          <w:lang w:val="en-GB"/>
        </w:rPr>
        <w:br w:type="page"/>
      </w:r>
      <w:r w:rsidR="004B74DF" w:rsidRPr="00040BEC">
        <w:rPr>
          <w:lang w:val="en-GB"/>
        </w:rPr>
        <w:lastRenderedPageBreak/>
        <w:t xml:space="preserve">Table </w:t>
      </w:r>
      <w:r w:rsidR="000A5980" w:rsidRPr="00040BEC">
        <w:rPr>
          <w:lang w:val="en-GB"/>
        </w:rPr>
        <w:fldChar w:fldCharType="begin"/>
      </w:r>
      <w:r w:rsidR="004B74DF" w:rsidRPr="00040BEC">
        <w:rPr>
          <w:lang w:val="en-GB"/>
        </w:rPr>
        <w:instrText xml:space="preserve"> SEQ Table \* ARABIC </w:instrText>
      </w:r>
      <w:r w:rsidR="000A5980" w:rsidRPr="00040BEC">
        <w:rPr>
          <w:lang w:val="en-GB"/>
        </w:rPr>
        <w:fldChar w:fldCharType="separate"/>
      </w:r>
      <w:r w:rsidR="002327BB">
        <w:rPr>
          <w:noProof/>
          <w:lang w:val="en-GB"/>
        </w:rPr>
        <w:t>2</w:t>
      </w:r>
      <w:r w:rsidR="000A5980" w:rsidRPr="00040BEC">
        <w:rPr>
          <w:lang w:val="en-GB"/>
        </w:rPr>
        <w:fldChar w:fldCharType="end"/>
      </w:r>
      <w:r w:rsidR="007B7A5C" w:rsidRPr="00040BEC">
        <w:rPr>
          <w:lang w:val="en-GB"/>
        </w:rPr>
        <w:t xml:space="preserve">: </w:t>
      </w:r>
      <w:r w:rsidR="002369EA" w:rsidRPr="00040BEC">
        <w:rPr>
          <w:lang w:val="en-GB"/>
        </w:rPr>
        <w:t>Frequency bands usable for PHS</w:t>
      </w:r>
    </w:p>
    <w:tbl>
      <w:tblPr>
        <w:tblW w:w="0" w:type="auto"/>
        <w:tblCellSpacing w:w="0" w:type="dxa"/>
        <w:tblInd w:w="1194" w:type="dxa"/>
        <w:tblBorders>
          <w:top w:val="outset" w:sz="6" w:space="0" w:color="auto"/>
          <w:left w:val="outset" w:sz="6" w:space="0" w:color="auto"/>
          <w:bottom w:val="outset" w:sz="6" w:space="0" w:color="auto"/>
          <w:right w:val="outset" w:sz="6" w:space="0" w:color="auto"/>
        </w:tblBorders>
        <w:tblCellMar>
          <w:top w:w="45" w:type="dxa"/>
          <w:left w:w="45" w:type="dxa"/>
          <w:bottom w:w="45" w:type="dxa"/>
          <w:right w:w="45" w:type="dxa"/>
        </w:tblCellMar>
        <w:tblLook w:val="04A0" w:firstRow="1" w:lastRow="0" w:firstColumn="1" w:lastColumn="0" w:noHBand="0" w:noVBand="1"/>
      </w:tblPr>
      <w:tblGrid>
        <w:gridCol w:w="3888"/>
        <w:gridCol w:w="3402"/>
      </w:tblGrid>
      <w:tr w:rsidR="00CD51AD" w:rsidRPr="00040BEC" w14:paraId="166F6341" w14:textId="77777777" w:rsidTr="004B74DF">
        <w:trPr>
          <w:tblCellSpacing w:w="0" w:type="dxa"/>
        </w:trPr>
        <w:tc>
          <w:tcPr>
            <w:tcW w:w="3888" w:type="dxa"/>
            <w:tcBorders>
              <w:top w:val="outset" w:sz="6" w:space="0" w:color="auto"/>
              <w:left w:val="outset" w:sz="6" w:space="0" w:color="auto"/>
              <w:bottom w:val="outset" w:sz="6" w:space="0" w:color="auto"/>
              <w:right w:val="outset" w:sz="6" w:space="0" w:color="auto"/>
            </w:tcBorders>
            <w:vAlign w:val="center"/>
            <w:hideMark/>
          </w:tcPr>
          <w:p w14:paraId="5A9CC796" w14:textId="77777777" w:rsidR="00CD51AD" w:rsidRPr="00040BEC" w:rsidRDefault="00CD51AD" w:rsidP="004B74DF">
            <w:pPr>
              <w:jc w:val="center"/>
              <w:rPr>
                <w:rFonts w:ascii="Verdana" w:hAnsi="Verdana"/>
                <w:sz w:val="18"/>
                <w:szCs w:val="18"/>
                <w:lang w:val="en-GB" w:eastAsia="da-DK"/>
              </w:rPr>
            </w:pPr>
            <w:r w:rsidRPr="00040BEC">
              <w:rPr>
                <w:rFonts w:cs="Arial"/>
                <w:szCs w:val="20"/>
                <w:lang w:val="en-GB" w:eastAsia="da-DK"/>
              </w:rPr>
              <w:t>Country/Area</w:t>
            </w:r>
          </w:p>
        </w:tc>
        <w:tc>
          <w:tcPr>
            <w:tcW w:w="3402" w:type="dxa"/>
            <w:tcBorders>
              <w:top w:val="outset" w:sz="6" w:space="0" w:color="auto"/>
              <w:left w:val="outset" w:sz="6" w:space="0" w:color="auto"/>
              <w:bottom w:val="outset" w:sz="6" w:space="0" w:color="auto"/>
              <w:right w:val="outset" w:sz="6" w:space="0" w:color="auto"/>
            </w:tcBorders>
            <w:vAlign w:val="center"/>
            <w:hideMark/>
          </w:tcPr>
          <w:p w14:paraId="4BA1BA28" w14:textId="77777777" w:rsidR="00CD51AD" w:rsidRPr="00040BEC" w:rsidRDefault="00CD51AD" w:rsidP="00CD51AD">
            <w:pPr>
              <w:jc w:val="center"/>
              <w:rPr>
                <w:rFonts w:ascii="Verdana" w:hAnsi="Verdana"/>
                <w:sz w:val="18"/>
                <w:szCs w:val="18"/>
                <w:lang w:val="en-GB" w:eastAsia="da-DK"/>
              </w:rPr>
            </w:pPr>
            <w:r w:rsidRPr="00040BEC">
              <w:rPr>
                <w:rFonts w:cs="Arial"/>
                <w:szCs w:val="20"/>
                <w:lang w:val="en-GB" w:eastAsia="da-DK"/>
              </w:rPr>
              <w:t>Frequency Band</w:t>
            </w:r>
          </w:p>
        </w:tc>
      </w:tr>
      <w:tr w:rsidR="00CD51AD" w:rsidRPr="00040BEC" w14:paraId="0096E8DB" w14:textId="77777777" w:rsidTr="004B74DF">
        <w:trPr>
          <w:tblCellSpacing w:w="0" w:type="dxa"/>
        </w:trPr>
        <w:tc>
          <w:tcPr>
            <w:tcW w:w="7290" w:type="dxa"/>
            <w:gridSpan w:val="2"/>
            <w:tcBorders>
              <w:top w:val="outset" w:sz="6" w:space="0" w:color="auto"/>
              <w:left w:val="outset" w:sz="6" w:space="0" w:color="auto"/>
              <w:bottom w:val="outset" w:sz="6" w:space="0" w:color="auto"/>
              <w:right w:val="outset" w:sz="6" w:space="0" w:color="auto"/>
            </w:tcBorders>
            <w:shd w:val="clear" w:color="auto" w:fill="FF9900"/>
            <w:vAlign w:val="center"/>
            <w:hideMark/>
          </w:tcPr>
          <w:p w14:paraId="4A3F7C78" w14:textId="77777777" w:rsidR="00CD51AD" w:rsidRPr="00040BEC" w:rsidRDefault="00CD51AD" w:rsidP="00CD51AD">
            <w:pPr>
              <w:rPr>
                <w:rFonts w:ascii="Verdana" w:hAnsi="Verdana"/>
                <w:sz w:val="18"/>
                <w:szCs w:val="18"/>
                <w:lang w:val="en-GB" w:eastAsia="da-DK"/>
              </w:rPr>
            </w:pPr>
            <w:r w:rsidRPr="00040BEC">
              <w:rPr>
                <w:rFonts w:cs="Arial"/>
                <w:szCs w:val="20"/>
                <w:lang w:val="en-GB" w:eastAsia="da-DK"/>
              </w:rPr>
              <w:t>Asia</w:t>
            </w:r>
          </w:p>
        </w:tc>
      </w:tr>
      <w:tr w:rsidR="00CD51AD" w:rsidRPr="00040BEC" w14:paraId="023E6A4F" w14:textId="77777777" w:rsidTr="004B74DF">
        <w:trPr>
          <w:tblCellSpacing w:w="0" w:type="dxa"/>
        </w:trPr>
        <w:tc>
          <w:tcPr>
            <w:tcW w:w="3888" w:type="dxa"/>
            <w:tcBorders>
              <w:top w:val="outset" w:sz="6" w:space="0" w:color="auto"/>
              <w:left w:val="outset" w:sz="6" w:space="0" w:color="auto"/>
              <w:bottom w:val="outset" w:sz="6" w:space="0" w:color="auto"/>
              <w:right w:val="outset" w:sz="6" w:space="0" w:color="auto"/>
            </w:tcBorders>
            <w:vAlign w:val="center"/>
            <w:hideMark/>
          </w:tcPr>
          <w:p w14:paraId="386FC432" w14:textId="77777777" w:rsidR="00CD51AD" w:rsidRPr="00040BEC" w:rsidRDefault="00CD51AD" w:rsidP="00CD51AD">
            <w:pPr>
              <w:rPr>
                <w:rFonts w:ascii="Verdana" w:hAnsi="Verdana"/>
                <w:sz w:val="18"/>
                <w:szCs w:val="18"/>
                <w:lang w:val="en-GB" w:eastAsia="da-DK"/>
              </w:rPr>
            </w:pPr>
            <w:r w:rsidRPr="00040BEC">
              <w:rPr>
                <w:rFonts w:cs="Arial"/>
                <w:szCs w:val="20"/>
                <w:lang w:val="en-GB" w:eastAsia="da-DK"/>
              </w:rPr>
              <w:t>Bangladesh</w:t>
            </w:r>
          </w:p>
        </w:tc>
        <w:tc>
          <w:tcPr>
            <w:tcW w:w="3402" w:type="dxa"/>
            <w:tcBorders>
              <w:top w:val="outset" w:sz="6" w:space="0" w:color="auto"/>
              <w:left w:val="outset" w:sz="6" w:space="0" w:color="auto"/>
              <w:bottom w:val="outset" w:sz="6" w:space="0" w:color="auto"/>
              <w:right w:val="outset" w:sz="6" w:space="0" w:color="auto"/>
            </w:tcBorders>
            <w:vAlign w:val="center"/>
            <w:hideMark/>
          </w:tcPr>
          <w:p w14:paraId="32C67334" w14:textId="77777777" w:rsidR="00CD51AD" w:rsidRPr="00040BEC" w:rsidRDefault="00CD51AD" w:rsidP="00CD51AD">
            <w:pPr>
              <w:jc w:val="center"/>
              <w:rPr>
                <w:rFonts w:ascii="Verdana" w:hAnsi="Verdana"/>
                <w:sz w:val="18"/>
                <w:szCs w:val="18"/>
                <w:lang w:val="en-GB" w:eastAsia="da-DK"/>
              </w:rPr>
            </w:pPr>
            <w:r w:rsidRPr="00040BEC">
              <w:rPr>
                <w:rFonts w:cs="Arial"/>
                <w:szCs w:val="20"/>
                <w:lang w:val="en-GB" w:eastAsia="da-DK"/>
              </w:rPr>
              <w:t>1895.0 - 1915.0</w:t>
            </w:r>
          </w:p>
        </w:tc>
      </w:tr>
      <w:tr w:rsidR="00CD51AD" w:rsidRPr="00040BEC" w14:paraId="76069166" w14:textId="77777777" w:rsidTr="004B74DF">
        <w:trPr>
          <w:tblCellSpacing w:w="0" w:type="dxa"/>
        </w:trPr>
        <w:tc>
          <w:tcPr>
            <w:tcW w:w="3888" w:type="dxa"/>
            <w:tcBorders>
              <w:top w:val="outset" w:sz="6" w:space="0" w:color="auto"/>
              <w:left w:val="outset" w:sz="6" w:space="0" w:color="auto"/>
              <w:bottom w:val="outset" w:sz="6" w:space="0" w:color="auto"/>
              <w:right w:val="outset" w:sz="6" w:space="0" w:color="auto"/>
            </w:tcBorders>
            <w:vAlign w:val="center"/>
            <w:hideMark/>
          </w:tcPr>
          <w:p w14:paraId="2F811910" w14:textId="77777777" w:rsidR="00CD51AD" w:rsidRPr="00040BEC" w:rsidRDefault="00CD51AD" w:rsidP="00CD51AD">
            <w:pPr>
              <w:rPr>
                <w:rFonts w:ascii="Verdana" w:hAnsi="Verdana"/>
                <w:sz w:val="18"/>
                <w:szCs w:val="18"/>
                <w:lang w:val="en-GB" w:eastAsia="da-DK"/>
              </w:rPr>
            </w:pPr>
            <w:r w:rsidRPr="00040BEC">
              <w:rPr>
                <w:rFonts w:cs="Arial"/>
                <w:szCs w:val="20"/>
                <w:lang w:val="en-GB" w:eastAsia="da-DK"/>
              </w:rPr>
              <w:t>China</w:t>
            </w:r>
          </w:p>
        </w:tc>
        <w:tc>
          <w:tcPr>
            <w:tcW w:w="3402" w:type="dxa"/>
            <w:tcBorders>
              <w:top w:val="outset" w:sz="6" w:space="0" w:color="auto"/>
              <w:left w:val="outset" w:sz="6" w:space="0" w:color="auto"/>
              <w:bottom w:val="outset" w:sz="6" w:space="0" w:color="auto"/>
              <w:right w:val="outset" w:sz="6" w:space="0" w:color="auto"/>
            </w:tcBorders>
            <w:vAlign w:val="center"/>
            <w:hideMark/>
          </w:tcPr>
          <w:p w14:paraId="06AB55C8" w14:textId="77777777" w:rsidR="00CD51AD" w:rsidRPr="00040BEC" w:rsidRDefault="00CD51AD" w:rsidP="00CD51AD">
            <w:pPr>
              <w:jc w:val="center"/>
              <w:rPr>
                <w:rFonts w:ascii="Verdana" w:hAnsi="Verdana"/>
                <w:sz w:val="18"/>
                <w:szCs w:val="18"/>
                <w:lang w:val="en-GB" w:eastAsia="da-DK"/>
              </w:rPr>
            </w:pPr>
            <w:r w:rsidRPr="00040BEC">
              <w:rPr>
                <w:rFonts w:cs="Arial"/>
                <w:szCs w:val="20"/>
                <w:lang w:val="en-GB" w:eastAsia="da-DK"/>
              </w:rPr>
              <w:t>1900.0 - 1920.0</w:t>
            </w:r>
          </w:p>
        </w:tc>
      </w:tr>
      <w:tr w:rsidR="00CD51AD" w:rsidRPr="00040BEC" w14:paraId="699748C4" w14:textId="77777777" w:rsidTr="004B74DF">
        <w:trPr>
          <w:tblCellSpacing w:w="0" w:type="dxa"/>
        </w:trPr>
        <w:tc>
          <w:tcPr>
            <w:tcW w:w="3888" w:type="dxa"/>
            <w:tcBorders>
              <w:top w:val="outset" w:sz="6" w:space="0" w:color="auto"/>
              <w:left w:val="outset" w:sz="6" w:space="0" w:color="auto"/>
              <w:bottom w:val="outset" w:sz="6" w:space="0" w:color="auto"/>
              <w:right w:val="outset" w:sz="6" w:space="0" w:color="auto"/>
            </w:tcBorders>
            <w:vAlign w:val="center"/>
            <w:hideMark/>
          </w:tcPr>
          <w:p w14:paraId="7504FBA6" w14:textId="77777777" w:rsidR="00CD51AD" w:rsidRPr="00040BEC" w:rsidRDefault="00CD51AD" w:rsidP="00CD51AD">
            <w:pPr>
              <w:rPr>
                <w:rFonts w:ascii="Verdana" w:hAnsi="Verdana"/>
                <w:sz w:val="18"/>
                <w:szCs w:val="18"/>
                <w:lang w:val="en-GB" w:eastAsia="da-DK"/>
              </w:rPr>
            </w:pPr>
            <w:r w:rsidRPr="00040BEC">
              <w:rPr>
                <w:rFonts w:cs="Arial"/>
                <w:szCs w:val="20"/>
                <w:lang w:val="en-GB" w:eastAsia="da-DK"/>
              </w:rPr>
              <w:t>India</w:t>
            </w:r>
          </w:p>
        </w:tc>
        <w:tc>
          <w:tcPr>
            <w:tcW w:w="3402" w:type="dxa"/>
            <w:tcBorders>
              <w:top w:val="outset" w:sz="6" w:space="0" w:color="auto"/>
              <w:left w:val="outset" w:sz="6" w:space="0" w:color="auto"/>
              <w:bottom w:val="outset" w:sz="6" w:space="0" w:color="auto"/>
              <w:right w:val="outset" w:sz="6" w:space="0" w:color="auto"/>
            </w:tcBorders>
            <w:vAlign w:val="center"/>
            <w:hideMark/>
          </w:tcPr>
          <w:p w14:paraId="5B370A69" w14:textId="77777777" w:rsidR="00CD51AD" w:rsidRPr="00040BEC" w:rsidRDefault="00CD51AD" w:rsidP="00CD51AD">
            <w:pPr>
              <w:jc w:val="center"/>
              <w:rPr>
                <w:rFonts w:ascii="Verdana" w:hAnsi="Verdana"/>
                <w:sz w:val="18"/>
                <w:szCs w:val="18"/>
                <w:lang w:val="en-GB" w:eastAsia="da-DK"/>
              </w:rPr>
            </w:pPr>
            <w:r w:rsidRPr="00040BEC">
              <w:rPr>
                <w:rFonts w:cs="Arial"/>
                <w:szCs w:val="20"/>
                <w:lang w:val="en-GB" w:eastAsia="da-DK"/>
              </w:rPr>
              <w:t>1880.0 - 1900.0</w:t>
            </w:r>
          </w:p>
        </w:tc>
      </w:tr>
      <w:tr w:rsidR="00CD51AD" w:rsidRPr="00040BEC" w14:paraId="61586104" w14:textId="77777777" w:rsidTr="004B74DF">
        <w:trPr>
          <w:tblCellSpacing w:w="0" w:type="dxa"/>
        </w:trPr>
        <w:tc>
          <w:tcPr>
            <w:tcW w:w="3888" w:type="dxa"/>
            <w:tcBorders>
              <w:top w:val="outset" w:sz="6" w:space="0" w:color="auto"/>
              <w:left w:val="outset" w:sz="6" w:space="0" w:color="auto"/>
              <w:bottom w:val="outset" w:sz="6" w:space="0" w:color="auto"/>
              <w:right w:val="outset" w:sz="6" w:space="0" w:color="auto"/>
            </w:tcBorders>
            <w:vAlign w:val="center"/>
            <w:hideMark/>
          </w:tcPr>
          <w:p w14:paraId="6BCF733F" w14:textId="77777777" w:rsidR="00CD51AD" w:rsidRPr="00040BEC" w:rsidRDefault="00CD51AD" w:rsidP="00CD51AD">
            <w:pPr>
              <w:rPr>
                <w:rFonts w:ascii="Verdana" w:hAnsi="Verdana"/>
                <w:sz w:val="18"/>
                <w:szCs w:val="18"/>
                <w:lang w:val="en-GB" w:eastAsia="da-DK"/>
              </w:rPr>
            </w:pPr>
            <w:r w:rsidRPr="00040BEC">
              <w:rPr>
                <w:rFonts w:cs="Arial"/>
                <w:szCs w:val="20"/>
                <w:lang w:val="en-GB" w:eastAsia="da-DK"/>
              </w:rPr>
              <w:t>Indonesia</w:t>
            </w:r>
          </w:p>
        </w:tc>
        <w:tc>
          <w:tcPr>
            <w:tcW w:w="3402" w:type="dxa"/>
            <w:tcBorders>
              <w:top w:val="outset" w:sz="6" w:space="0" w:color="auto"/>
              <w:left w:val="outset" w:sz="6" w:space="0" w:color="auto"/>
              <w:bottom w:val="outset" w:sz="6" w:space="0" w:color="auto"/>
              <w:right w:val="outset" w:sz="6" w:space="0" w:color="auto"/>
            </w:tcBorders>
            <w:vAlign w:val="center"/>
            <w:hideMark/>
          </w:tcPr>
          <w:p w14:paraId="1085353F" w14:textId="77777777" w:rsidR="00CD51AD" w:rsidRPr="00040BEC" w:rsidRDefault="00CD51AD" w:rsidP="00CD51AD">
            <w:pPr>
              <w:jc w:val="center"/>
              <w:rPr>
                <w:rFonts w:ascii="Verdana" w:hAnsi="Verdana"/>
                <w:sz w:val="18"/>
                <w:szCs w:val="18"/>
                <w:lang w:val="en-GB" w:eastAsia="da-DK"/>
              </w:rPr>
            </w:pPr>
            <w:r w:rsidRPr="00040BEC">
              <w:rPr>
                <w:rFonts w:cs="Arial"/>
                <w:szCs w:val="20"/>
                <w:lang w:val="en-GB" w:eastAsia="da-DK"/>
              </w:rPr>
              <w:t>1895.0 - 1918.1</w:t>
            </w:r>
          </w:p>
        </w:tc>
      </w:tr>
      <w:tr w:rsidR="00CD51AD" w:rsidRPr="00040BEC" w14:paraId="7474B2A7" w14:textId="77777777" w:rsidTr="004B74DF">
        <w:trPr>
          <w:tblCellSpacing w:w="0" w:type="dxa"/>
        </w:trPr>
        <w:tc>
          <w:tcPr>
            <w:tcW w:w="3888" w:type="dxa"/>
            <w:tcBorders>
              <w:top w:val="outset" w:sz="6" w:space="0" w:color="auto"/>
              <w:left w:val="outset" w:sz="6" w:space="0" w:color="auto"/>
              <w:bottom w:val="outset" w:sz="6" w:space="0" w:color="auto"/>
              <w:right w:val="outset" w:sz="6" w:space="0" w:color="auto"/>
            </w:tcBorders>
            <w:vAlign w:val="center"/>
            <w:hideMark/>
          </w:tcPr>
          <w:p w14:paraId="168EB9F6" w14:textId="77777777" w:rsidR="00CD51AD" w:rsidRPr="00040BEC" w:rsidRDefault="00CD51AD" w:rsidP="00CD51AD">
            <w:pPr>
              <w:rPr>
                <w:rFonts w:ascii="Verdana" w:hAnsi="Verdana"/>
                <w:sz w:val="18"/>
                <w:szCs w:val="18"/>
                <w:lang w:val="en-GB" w:eastAsia="da-DK"/>
              </w:rPr>
            </w:pPr>
            <w:r w:rsidRPr="00040BEC">
              <w:rPr>
                <w:rFonts w:cs="Arial"/>
                <w:szCs w:val="20"/>
                <w:lang w:val="en-GB" w:eastAsia="da-DK"/>
              </w:rPr>
              <w:t>Japan</w:t>
            </w:r>
          </w:p>
        </w:tc>
        <w:tc>
          <w:tcPr>
            <w:tcW w:w="3402" w:type="dxa"/>
            <w:tcBorders>
              <w:top w:val="outset" w:sz="6" w:space="0" w:color="auto"/>
              <w:left w:val="outset" w:sz="6" w:space="0" w:color="auto"/>
              <w:bottom w:val="outset" w:sz="6" w:space="0" w:color="auto"/>
              <w:right w:val="outset" w:sz="6" w:space="0" w:color="auto"/>
            </w:tcBorders>
            <w:vAlign w:val="center"/>
            <w:hideMark/>
          </w:tcPr>
          <w:p w14:paraId="7C80CE3B" w14:textId="77777777" w:rsidR="00CD51AD" w:rsidRPr="00040BEC" w:rsidRDefault="00CD51AD" w:rsidP="00CD51AD">
            <w:pPr>
              <w:jc w:val="center"/>
              <w:rPr>
                <w:rFonts w:ascii="Verdana" w:hAnsi="Verdana"/>
                <w:sz w:val="18"/>
                <w:szCs w:val="18"/>
                <w:lang w:val="en-GB" w:eastAsia="da-DK"/>
              </w:rPr>
            </w:pPr>
            <w:r w:rsidRPr="00040BEC">
              <w:rPr>
                <w:rFonts w:cs="Arial"/>
                <w:szCs w:val="20"/>
                <w:lang w:val="en-GB" w:eastAsia="da-DK"/>
              </w:rPr>
              <w:t>1884.5 - 1919.6</w:t>
            </w:r>
          </w:p>
        </w:tc>
      </w:tr>
      <w:tr w:rsidR="00CD51AD" w:rsidRPr="00040BEC" w14:paraId="3EFDA905" w14:textId="77777777" w:rsidTr="004B74DF">
        <w:trPr>
          <w:tblCellSpacing w:w="0" w:type="dxa"/>
        </w:trPr>
        <w:tc>
          <w:tcPr>
            <w:tcW w:w="3888" w:type="dxa"/>
            <w:tcBorders>
              <w:top w:val="outset" w:sz="6" w:space="0" w:color="auto"/>
              <w:left w:val="outset" w:sz="6" w:space="0" w:color="auto"/>
              <w:bottom w:val="outset" w:sz="6" w:space="0" w:color="auto"/>
              <w:right w:val="outset" w:sz="6" w:space="0" w:color="auto"/>
            </w:tcBorders>
            <w:vAlign w:val="center"/>
            <w:hideMark/>
          </w:tcPr>
          <w:p w14:paraId="3BF6AF5F" w14:textId="77777777" w:rsidR="00CD51AD" w:rsidRPr="00040BEC" w:rsidRDefault="00CD51AD" w:rsidP="00CD51AD">
            <w:pPr>
              <w:rPr>
                <w:rFonts w:ascii="Verdana" w:hAnsi="Verdana"/>
                <w:sz w:val="18"/>
                <w:szCs w:val="18"/>
                <w:lang w:val="en-GB" w:eastAsia="da-DK"/>
              </w:rPr>
            </w:pPr>
            <w:r w:rsidRPr="00040BEC">
              <w:rPr>
                <w:rFonts w:cs="Arial"/>
                <w:szCs w:val="20"/>
                <w:lang w:val="en-GB" w:eastAsia="da-DK"/>
              </w:rPr>
              <w:t>Philippines</w:t>
            </w:r>
          </w:p>
        </w:tc>
        <w:tc>
          <w:tcPr>
            <w:tcW w:w="3402" w:type="dxa"/>
            <w:tcBorders>
              <w:top w:val="outset" w:sz="6" w:space="0" w:color="auto"/>
              <w:left w:val="outset" w:sz="6" w:space="0" w:color="auto"/>
              <w:bottom w:val="outset" w:sz="6" w:space="0" w:color="auto"/>
              <w:right w:val="outset" w:sz="6" w:space="0" w:color="auto"/>
            </w:tcBorders>
            <w:vAlign w:val="center"/>
            <w:hideMark/>
          </w:tcPr>
          <w:p w14:paraId="01B2AF59" w14:textId="77777777" w:rsidR="00CD51AD" w:rsidRPr="00040BEC" w:rsidRDefault="00CD51AD" w:rsidP="00CD51AD">
            <w:pPr>
              <w:jc w:val="center"/>
              <w:rPr>
                <w:rFonts w:ascii="Verdana" w:hAnsi="Verdana"/>
                <w:sz w:val="18"/>
                <w:szCs w:val="18"/>
                <w:lang w:val="en-GB" w:eastAsia="da-DK"/>
              </w:rPr>
            </w:pPr>
            <w:r w:rsidRPr="00040BEC">
              <w:rPr>
                <w:rFonts w:cs="Arial"/>
                <w:szCs w:val="20"/>
                <w:lang w:val="en-GB" w:eastAsia="da-DK"/>
              </w:rPr>
              <w:t>1908.0 - 1918.0</w:t>
            </w:r>
          </w:p>
        </w:tc>
      </w:tr>
      <w:tr w:rsidR="00CD51AD" w:rsidRPr="00040BEC" w14:paraId="43498CFE" w14:textId="77777777" w:rsidTr="004B74DF">
        <w:trPr>
          <w:tblCellSpacing w:w="0" w:type="dxa"/>
        </w:trPr>
        <w:tc>
          <w:tcPr>
            <w:tcW w:w="3888" w:type="dxa"/>
            <w:tcBorders>
              <w:top w:val="outset" w:sz="6" w:space="0" w:color="auto"/>
              <w:left w:val="outset" w:sz="6" w:space="0" w:color="auto"/>
              <w:bottom w:val="outset" w:sz="6" w:space="0" w:color="auto"/>
              <w:right w:val="outset" w:sz="6" w:space="0" w:color="auto"/>
            </w:tcBorders>
            <w:vAlign w:val="center"/>
            <w:hideMark/>
          </w:tcPr>
          <w:p w14:paraId="244A0DCC" w14:textId="77777777" w:rsidR="00CD51AD" w:rsidRPr="00040BEC" w:rsidRDefault="00CD51AD" w:rsidP="00CD51AD">
            <w:pPr>
              <w:rPr>
                <w:rFonts w:ascii="Verdana" w:hAnsi="Verdana"/>
                <w:sz w:val="18"/>
                <w:szCs w:val="18"/>
                <w:lang w:val="en-GB" w:eastAsia="da-DK"/>
              </w:rPr>
            </w:pPr>
            <w:r w:rsidRPr="00040BEC">
              <w:rPr>
                <w:rFonts w:cs="Arial"/>
                <w:szCs w:val="20"/>
                <w:lang w:val="en-GB" w:eastAsia="da-DK"/>
              </w:rPr>
              <w:t>Singapore</w:t>
            </w:r>
          </w:p>
        </w:tc>
        <w:tc>
          <w:tcPr>
            <w:tcW w:w="3402" w:type="dxa"/>
            <w:tcBorders>
              <w:top w:val="outset" w:sz="6" w:space="0" w:color="auto"/>
              <w:left w:val="outset" w:sz="6" w:space="0" w:color="auto"/>
              <w:bottom w:val="outset" w:sz="6" w:space="0" w:color="auto"/>
              <w:right w:val="outset" w:sz="6" w:space="0" w:color="auto"/>
            </w:tcBorders>
            <w:vAlign w:val="center"/>
            <w:hideMark/>
          </w:tcPr>
          <w:p w14:paraId="48000195" w14:textId="77777777" w:rsidR="00CD51AD" w:rsidRPr="00040BEC" w:rsidRDefault="00CD51AD" w:rsidP="00CD51AD">
            <w:pPr>
              <w:jc w:val="center"/>
              <w:rPr>
                <w:rFonts w:ascii="Verdana" w:hAnsi="Verdana"/>
                <w:sz w:val="18"/>
                <w:szCs w:val="18"/>
                <w:lang w:val="en-GB" w:eastAsia="da-DK"/>
              </w:rPr>
            </w:pPr>
            <w:r w:rsidRPr="00040BEC">
              <w:rPr>
                <w:rFonts w:cs="Arial"/>
                <w:szCs w:val="20"/>
                <w:lang w:val="en-GB" w:eastAsia="da-DK"/>
              </w:rPr>
              <w:t>1895.0 - 1906.1</w:t>
            </w:r>
          </w:p>
        </w:tc>
      </w:tr>
      <w:tr w:rsidR="00CD51AD" w:rsidRPr="00040BEC" w14:paraId="1EA327EC" w14:textId="77777777" w:rsidTr="004B74DF">
        <w:trPr>
          <w:tblCellSpacing w:w="0" w:type="dxa"/>
        </w:trPr>
        <w:tc>
          <w:tcPr>
            <w:tcW w:w="3888" w:type="dxa"/>
            <w:tcBorders>
              <w:top w:val="outset" w:sz="6" w:space="0" w:color="auto"/>
              <w:left w:val="outset" w:sz="6" w:space="0" w:color="auto"/>
              <w:bottom w:val="outset" w:sz="6" w:space="0" w:color="auto"/>
              <w:right w:val="outset" w:sz="6" w:space="0" w:color="auto"/>
            </w:tcBorders>
            <w:vAlign w:val="center"/>
            <w:hideMark/>
          </w:tcPr>
          <w:p w14:paraId="77B2BA45" w14:textId="77777777" w:rsidR="00CD51AD" w:rsidRPr="00040BEC" w:rsidRDefault="00CD51AD" w:rsidP="00CD51AD">
            <w:pPr>
              <w:rPr>
                <w:rFonts w:ascii="Verdana" w:hAnsi="Verdana"/>
                <w:sz w:val="18"/>
                <w:szCs w:val="18"/>
                <w:lang w:val="en-GB" w:eastAsia="da-DK"/>
              </w:rPr>
            </w:pPr>
            <w:r w:rsidRPr="00040BEC">
              <w:rPr>
                <w:rFonts w:cs="Arial"/>
                <w:szCs w:val="20"/>
                <w:lang w:val="en-GB" w:eastAsia="da-DK"/>
              </w:rPr>
              <w:t>Taiwan</w:t>
            </w:r>
          </w:p>
        </w:tc>
        <w:tc>
          <w:tcPr>
            <w:tcW w:w="3402" w:type="dxa"/>
            <w:tcBorders>
              <w:top w:val="outset" w:sz="6" w:space="0" w:color="auto"/>
              <w:left w:val="outset" w:sz="6" w:space="0" w:color="auto"/>
              <w:bottom w:val="outset" w:sz="6" w:space="0" w:color="auto"/>
              <w:right w:val="outset" w:sz="6" w:space="0" w:color="auto"/>
            </w:tcBorders>
            <w:vAlign w:val="center"/>
            <w:hideMark/>
          </w:tcPr>
          <w:p w14:paraId="1EA0ECA5" w14:textId="77777777" w:rsidR="00CD51AD" w:rsidRPr="00040BEC" w:rsidRDefault="00CD51AD" w:rsidP="00CD51AD">
            <w:pPr>
              <w:jc w:val="center"/>
              <w:rPr>
                <w:rFonts w:ascii="Verdana" w:hAnsi="Verdana"/>
                <w:sz w:val="18"/>
                <w:szCs w:val="18"/>
                <w:lang w:val="en-GB" w:eastAsia="da-DK"/>
              </w:rPr>
            </w:pPr>
            <w:r w:rsidRPr="00040BEC">
              <w:rPr>
                <w:rFonts w:cs="Arial"/>
                <w:szCs w:val="20"/>
                <w:lang w:val="en-GB" w:eastAsia="da-DK"/>
              </w:rPr>
              <w:t>1905.0 - 1915.0</w:t>
            </w:r>
          </w:p>
        </w:tc>
      </w:tr>
      <w:tr w:rsidR="00CD51AD" w:rsidRPr="00040BEC" w14:paraId="4CF35EB6" w14:textId="77777777" w:rsidTr="004B74DF">
        <w:trPr>
          <w:tblCellSpacing w:w="0" w:type="dxa"/>
        </w:trPr>
        <w:tc>
          <w:tcPr>
            <w:tcW w:w="3888" w:type="dxa"/>
            <w:tcBorders>
              <w:top w:val="outset" w:sz="6" w:space="0" w:color="auto"/>
              <w:left w:val="outset" w:sz="6" w:space="0" w:color="auto"/>
              <w:bottom w:val="outset" w:sz="6" w:space="0" w:color="auto"/>
              <w:right w:val="outset" w:sz="6" w:space="0" w:color="auto"/>
            </w:tcBorders>
            <w:vAlign w:val="center"/>
            <w:hideMark/>
          </w:tcPr>
          <w:p w14:paraId="743F4220" w14:textId="77777777" w:rsidR="00CD51AD" w:rsidRPr="00040BEC" w:rsidRDefault="00CD51AD" w:rsidP="00CD51AD">
            <w:pPr>
              <w:rPr>
                <w:rFonts w:ascii="Verdana" w:hAnsi="Verdana"/>
                <w:sz w:val="18"/>
                <w:szCs w:val="18"/>
                <w:lang w:val="en-GB" w:eastAsia="da-DK"/>
              </w:rPr>
            </w:pPr>
            <w:r w:rsidRPr="00040BEC">
              <w:rPr>
                <w:rFonts w:cs="Arial"/>
                <w:szCs w:val="20"/>
                <w:lang w:val="en-GB" w:eastAsia="da-DK"/>
              </w:rPr>
              <w:t>Thailand</w:t>
            </w:r>
          </w:p>
        </w:tc>
        <w:tc>
          <w:tcPr>
            <w:tcW w:w="3402" w:type="dxa"/>
            <w:tcBorders>
              <w:top w:val="outset" w:sz="6" w:space="0" w:color="auto"/>
              <w:left w:val="outset" w:sz="6" w:space="0" w:color="auto"/>
              <w:bottom w:val="outset" w:sz="6" w:space="0" w:color="auto"/>
              <w:right w:val="outset" w:sz="6" w:space="0" w:color="auto"/>
            </w:tcBorders>
            <w:vAlign w:val="center"/>
            <w:hideMark/>
          </w:tcPr>
          <w:p w14:paraId="39D8CB13" w14:textId="77777777" w:rsidR="00CD51AD" w:rsidRPr="00040BEC" w:rsidRDefault="00CD51AD" w:rsidP="00CD51AD">
            <w:pPr>
              <w:jc w:val="center"/>
              <w:rPr>
                <w:rFonts w:ascii="Verdana" w:hAnsi="Verdana"/>
                <w:sz w:val="18"/>
                <w:szCs w:val="18"/>
                <w:lang w:val="en-GB" w:eastAsia="da-DK"/>
              </w:rPr>
            </w:pPr>
            <w:r w:rsidRPr="00040BEC">
              <w:rPr>
                <w:rFonts w:cs="Arial"/>
                <w:szCs w:val="20"/>
                <w:lang w:val="en-GB" w:eastAsia="da-DK"/>
              </w:rPr>
              <w:t>1900.0 - 1918.1</w:t>
            </w:r>
          </w:p>
        </w:tc>
      </w:tr>
      <w:tr w:rsidR="00CD51AD" w:rsidRPr="00040BEC" w14:paraId="69AD50CE" w14:textId="77777777" w:rsidTr="004B74DF">
        <w:trPr>
          <w:tblCellSpacing w:w="0" w:type="dxa"/>
        </w:trPr>
        <w:tc>
          <w:tcPr>
            <w:tcW w:w="3888" w:type="dxa"/>
            <w:tcBorders>
              <w:top w:val="outset" w:sz="6" w:space="0" w:color="auto"/>
              <w:left w:val="outset" w:sz="6" w:space="0" w:color="auto"/>
              <w:bottom w:val="outset" w:sz="6" w:space="0" w:color="auto"/>
              <w:right w:val="outset" w:sz="6" w:space="0" w:color="auto"/>
            </w:tcBorders>
            <w:vAlign w:val="center"/>
            <w:hideMark/>
          </w:tcPr>
          <w:p w14:paraId="2F85388C" w14:textId="77777777" w:rsidR="00CD51AD" w:rsidRPr="00040BEC" w:rsidRDefault="00CD51AD" w:rsidP="00CD51AD">
            <w:pPr>
              <w:rPr>
                <w:rFonts w:ascii="Verdana" w:hAnsi="Verdana"/>
                <w:sz w:val="18"/>
                <w:szCs w:val="18"/>
                <w:lang w:val="en-GB" w:eastAsia="da-DK"/>
              </w:rPr>
            </w:pPr>
            <w:r w:rsidRPr="00040BEC">
              <w:rPr>
                <w:rFonts w:cs="Arial"/>
                <w:szCs w:val="20"/>
                <w:lang w:val="en-GB" w:eastAsia="da-DK"/>
              </w:rPr>
              <w:t>Vietnam</w:t>
            </w:r>
          </w:p>
        </w:tc>
        <w:tc>
          <w:tcPr>
            <w:tcW w:w="3402" w:type="dxa"/>
            <w:tcBorders>
              <w:top w:val="outset" w:sz="6" w:space="0" w:color="auto"/>
              <w:left w:val="outset" w:sz="6" w:space="0" w:color="auto"/>
              <w:bottom w:val="outset" w:sz="6" w:space="0" w:color="auto"/>
              <w:right w:val="outset" w:sz="6" w:space="0" w:color="auto"/>
            </w:tcBorders>
            <w:vAlign w:val="center"/>
            <w:hideMark/>
          </w:tcPr>
          <w:p w14:paraId="24D710D4" w14:textId="77777777" w:rsidR="00CD51AD" w:rsidRPr="00040BEC" w:rsidRDefault="00CD51AD" w:rsidP="00CD51AD">
            <w:pPr>
              <w:jc w:val="center"/>
              <w:rPr>
                <w:rFonts w:ascii="Verdana" w:hAnsi="Verdana"/>
                <w:sz w:val="18"/>
                <w:szCs w:val="18"/>
                <w:lang w:val="en-GB" w:eastAsia="da-DK"/>
              </w:rPr>
            </w:pPr>
            <w:r w:rsidRPr="00040BEC">
              <w:rPr>
                <w:rFonts w:cs="Arial"/>
                <w:szCs w:val="20"/>
                <w:lang w:val="en-GB" w:eastAsia="da-DK"/>
              </w:rPr>
              <w:t>1895.0 - 1900.0</w:t>
            </w:r>
          </w:p>
        </w:tc>
      </w:tr>
      <w:tr w:rsidR="00CD51AD" w:rsidRPr="00040BEC" w14:paraId="19F167AB" w14:textId="77777777" w:rsidTr="004B74DF">
        <w:trPr>
          <w:tblCellSpacing w:w="0" w:type="dxa"/>
        </w:trPr>
        <w:tc>
          <w:tcPr>
            <w:tcW w:w="7290" w:type="dxa"/>
            <w:gridSpan w:val="2"/>
            <w:tcBorders>
              <w:top w:val="outset" w:sz="6" w:space="0" w:color="auto"/>
              <w:left w:val="outset" w:sz="6" w:space="0" w:color="auto"/>
              <w:bottom w:val="outset" w:sz="6" w:space="0" w:color="auto"/>
              <w:right w:val="outset" w:sz="6" w:space="0" w:color="auto"/>
            </w:tcBorders>
            <w:shd w:val="clear" w:color="auto" w:fill="FF9900"/>
            <w:vAlign w:val="center"/>
            <w:hideMark/>
          </w:tcPr>
          <w:p w14:paraId="3901ED17" w14:textId="77777777" w:rsidR="00CD51AD" w:rsidRPr="00040BEC" w:rsidRDefault="00CD51AD" w:rsidP="00CD51AD">
            <w:pPr>
              <w:rPr>
                <w:rFonts w:ascii="Verdana" w:hAnsi="Verdana"/>
                <w:sz w:val="18"/>
                <w:szCs w:val="18"/>
                <w:lang w:val="en-GB" w:eastAsia="da-DK"/>
              </w:rPr>
            </w:pPr>
            <w:r w:rsidRPr="00040BEC">
              <w:rPr>
                <w:rFonts w:cs="Arial"/>
                <w:szCs w:val="20"/>
                <w:lang w:val="en-GB" w:eastAsia="da-DK"/>
              </w:rPr>
              <w:t>Pacific</w:t>
            </w:r>
          </w:p>
        </w:tc>
      </w:tr>
      <w:tr w:rsidR="00CD51AD" w:rsidRPr="00040BEC" w14:paraId="1BFF9C45" w14:textId="77777777" w:rsidTr="004B74DF">
        <w:trPr>
          <w:tblCellSpacing w:w="0" w:type="dxa"/>
        </w:trPr>
        <w:tc>
          <w:tcPr>
            <w:tcW w:w="3888" w:type="dxa"/>
            <w:tcBorders>
              <w:top w:val="outset" w:sz="6" w:space="0" w:color="auto"/>
              <w:left w:val="outset" w:sz="6" w:space="0" w:color="auto"/>
              <w:bottom w:val="outset" w:sz="6" w:space="0" w:color="auto"/>
              <w:right w:val="outset" w:sz="6" w:space="0" w:color="auto"/>
            </w:tcBorders>
            <w:vAlign w:val="center"/>
            <w:hideMark/>
          </w:tcPr>
          <w:p w14:paraId="5D22DC91" w14:textId="77777777" w:rsidR="00CD51AD" w:rsidRPr="00040BEC" w:rsidRDefault="00CD51AD" w:rsidP="00CD51AD">
            <w:pPr>
              <w:rPr>
                <w:rFonts w:ascii="Verdana" w:hAnsi="Verdana"/>
                <w:sz w:val="18"/>
                <w:szCs w:val="18"/>
                <w:lang w:val="en-GB" w:eastAsia="da-DK"/>
              </w:rPr>
            </w:pPr>
            <w:r w:rsidRPr="00040BEC">
              <w:rPr>
                <w:rFonts w:cs="Arial"/>
                <w:szCs w:val="20"/>
                <w:lang w:val="en-GB" w:eastAsia="da-DK"/>
              </w:rPr>
              <w:t>Australia</w:t>
            </w:r>
          </w:p>
        </w:tc>
        <w:tc>
          <w:tcPr>
            <w:tcW w:w="3402" w:type="dxa"/>
            <w:tcBorders>
              <w:top w:val="outset" w:sz="6" w:space="0" w:color="auto"/>
              <w:left w:val="outset" w:sz="6" w:space="0" w:color="auto"/>
              <w:bottom w:val="outset" w:sz="6" w:space="0" w:color="auto"/>
              <w:right w:val="outset" w:sz="6" w:space="0" w:color="auto"/>
            </w:tcBorders>
            <w:vAlign w:val="center"/>
            <w:hideMark/>
          </w:tcPr>
          <w:p w14:paraId="1D749187" w14:textId="77777777" w:rsidR="00CD51AD" w:rsidRPr="00040BEC" w:rsidRDefault="00CD51AD" w:rsidP="00CD51AD">
            <w:pPr>
              <w:jc w:val="center"/>
              <w:rPr>
                <w:rFonts w:ascii="Verdana" w:hAnsi="Verdana"/>
                <w:sz w:val="18"/>
                <w:szCs w:val="18"/>
                <w:lang w:val="en-GB" w:eastAsia="da-DK"/>
              </w:rPr>
            </w:pPr>
            <w:r w:rsidRPr="00040BEC">
              <w:rPr>
                <w:rFonts w:cs="Arial"/>
                <w:szCs w:val="20"/>
                <w:lang w:val="en-GB" w:eastAsia="da-DK"/>
              </w:rPr>
              <w:t>1880.0 - 1900.0</w:t>
            </w:r>
          </w:p>
        </w:tc>
      </w:tr>
      <w:tr w:rsidR="00CD51AD" w:rsidRPr="00040BEC" w14:paraId="1F454F3A" w14:textId="77777777" w:rsidTr="004B74DF">
        <w:trPr>
          <w:tblCellSpacing w:w="0" w:type="dxa"/>
        </w:trPr>
        <w:tc>
          <w:tcPr>
            <w:tcW w:w="3888" w:type="dxa"/>
            <w:tcBorders>
              <w:top w:val="outset" w:sz="6" w:space="0" w:color="auto"/>
              <w:left w:val="outset" w:sz="6" w:space="0" w:color="auto"/>
              <w:bottom w:val="outset" w:sz="6" w:space="0" w:color="auto"/>
              <w:right w:val="outset" w:sz="6" w:space="0" w:color="auto"/>
            </w:tcBorders>
            <w:vAlign w:val="center"/>
            <w:hideMark/>
          </w:tcPr>
          <w:p w14:paraId="381ACDB2" w14:textId="77777777" w:rsidR="00CD51AD" w:rsidRPr="00040BEC" w:rsidRDefault="00CD51AD" w:rsidP="00CD51AD">
            <w:pPr>
              <w:rPr>
                <w:rFonts w:ascii="Verdana" w:hAnsi="Verdana"/>
                <w:sz w:val="18"/>
                <w:szCs w:val="18"/>
                <w:lang w:val="en-GB" w:eastAsia="da-DK"/>
              </w:rPr>
            </w:pPr>
            <w:r w:rsidRPr="00040BEC">
              <w:rPr>
                <w:rFonts w:cs="Arial"/>
                <w:szCs w:val="20"/>
                <w:lang w:val="en-GB" w:eastAsia="da-DK"/>
              </w:rPr>
              <w:t>New Zealand</w:t>
            </w:r>
          </w:p>
        </w:tc>
        <w:tc>
          <w:tcPr>
            <w:tcW w:w="3402" w:type="dxa"/>
            <w:tcBorders>
              <w:top w:val="outset" w:sz="6" w:space="0" w:color="auto"/>
              <w:left w:val="outset" w:sz="6" w:space="0" w:color="auto"/>
              <w:bottom w:val="outset" w:sz="6" w:space="0" w:color="auto"/>
              <w:right w:val="outset" w:sz="6" w:space="0" w:color="auto"/>
            </w:tcBorders>
            <w:vAlign w:val="center"/>
            <w:hideMark/>
          </w:tcPr>
          <w:p w14:paraId="7751FC34" w14:textId="77777777" w:rsidR="00CD51AD" w:rsidRPr="00040BEC" w:rsidRDefault="00CD51AD" w:rsidP="00CD51AD">
            <w:pPr>
              <w:jc w:val="center"/>
              <w:rPr>
                <w:rFonts w:ascii="Verdana" w:hAnsi="Verdana"/>
                <w:sz w:val="18"/>
                <w:szCs w:val="18"/>
                <w:lang w:val="en-GB" w:eastAsia="da-DK"/>
              </w:rPr>
            </w:pPr>
            <w:r w:rsidRPr="00040BEC">
              <w:rPr>
                <w:rFonts w:cs="Arial"/>
                <w:szCs w:val="20"/>
                <w:lang w:val="en-GB" w:eastAsia="da-DK"/>
              </w:rPr>
              <w:t>1895 - 1920</w:t>
            </w:r>
          </w:p>
        </w:tc>
      </w:tr>
      <w:tr w:rsidR="00CD51AD" w:rsidRPr="00040BEC" w14:paraId="4C9EF7F0" w14:textId="77777777" w:rsidTr="004B74DF">
        <w:trPr>
          <w:tblCellSpacing w:w="0" w:type="dxa"/>
        </w:trPr>
        <w:tc>
          <w:tcPr>
            <w:tcW w:w="7290" w:type="dxa"/>
            <w:gridSpan w:val="2"/>
            <w:tcBorders>
              <w:top w:val="outset" w:sz="6" w:space="0" w:color="auto"/>
              <w:left w:val="outset" w:sz="6" w:space="0" w:color="auto"/>
              <w:bottom w:val="outset" w:sz="6" w:space="0" w:color="auto"/>
              <w:right w:val="outset" w:sz="6" w:space="0" w:color="auto"/>
            </w:tcBorders>
            <w:shd w:val="clear" w:color="auto" w:fill="FF9900"/>
            <w:vAlign w:val="center"/>
            <w:hideMark/>
          </w:tcPr>
          <w:p w14:paraId="40FD331F" w14:textId="77777777" w:rsidR="00CD51AD" w:rsidRPr="00040BEC" w:rsidRDefault="00CD51AD" w:rsidP="00CD51AD">
            <w:pPr>
              <w:rPr>
                <w:rFonts w:ascii="Verdana" w:hAnsi="Verdana"/>
                <w:sz w:val="18"/>
                <w:szCs w:val="18"/>
                <w:lang w:val="en-GB" w:eastAsia="da-DK"/>
              </w:rPr>
            </w:pPr>
            <w:r w:rsidRPr="00040BEC">
              <w:rPr>
                <w:rFonts w:cs="Arial"/>
                <w:szCs w:val="20"/>
                <w:lang w:val="en-GB" w:eastAsia="da-DK"/>
              </w:rPr>
              <w:t>Middle East &amp; Africa</w:t>
            </w:r>
          </w:p>
        </w:tc>
      </w:tr>
      <w:tr w:rsidR="00CD51AD" w:rsidRPr="00040BEC" w14:paraId="622373C9" w14:textId="77777777" w:rsidTr="004B74DF">
        <w:trPr>
          <w:tblCellSpacing w:w="0" w:type="dxa"/>
        </w:trPr>
        <w:tc>
          <w:tcPr>
            <w:tcW w:w="3888" w:type="dxa"/>
            <w:tcBorders>
              <w:top w:val="outset" w:sz="6" w:space="0" w:color="auto"/>
              <w:left w:val="outset" w:sz="6" w:space="0" w:color="auto"/>
              <w:bottom w:val="outset" w:sz="6" w:space="0" w:color="auto"/>
              <w:right w:val="outset" w:sz="6" w:space="0" w:color="auto"/>
            </w:tcBorders>
            <w:vAlign w:val="center"/>
            <w:hideMark/>
          </w:tcPr>
          <w:p w14:paraId="099A9D90" w14:textId="77777777" w:rsidR="00CD51AD" w:rsidRPr="00040BEC" w:rsidRDefault="00CD51AD" w:rsidP="00CD51AD">
            <w:pPr>
              <w:rPr>
                <w:rFonts w:ascii="Verdana" w:hAnsi="Verdana"/>
                <w:sz w:val="18"/>
                <w:szCs w:val="18"/>
                <w:lang w:val="en-GB" w:eastAsia="da-DK"/>
              </w:rPr>
            </w:pPr>
            <w:r w:rsidRPr="00040BEC">
              <w:rPr>
                <w:rFonts w:cs="Arial"/>
                <w:szCs w:val="20"/>
                <w:lang w:val="en-GB" w:eastAsia="da-DK"/>
              </w:rPr>
              <w:t>Cameroon</w:t>
            </w:r>
          </w:p>
        </w:tc>
        <w:tc>
          <w:tcPr>
            <w:tcW w:w="3402" w:type="dxa"/>
            <w:tcBorders>
              <w:top w:val="outset" w:sz="6" w:space="0" w:color="auto"/>
              <w:left w:val="outset" w:sz="6" w:space="0" w:color="auto"/>
              <w:bottom w:val="outset" w:sz="6" w:space="0" w:color="auto"/>
              <w:right w:val="outset" w:sz="6" w:space="0" w:color="auto"/>
            </w:tcBorders>
            <w:vAlign w:val="center"/>
            <w:hideMark/>
          </w:tcPr>
          <w:p w14:paraId="0B9B5BF5" w14:textId="77777777" w:rsidR="00CD51AD" w:rsidRPr="00040BEC" w:rsidRDefault="00CD51AD" w:rsidP="00CD51AD">
            <w:pPr>
              <w:jc w:val="center"/>
              <w:rPr>
                <w:rFonts w:ascii="Verdana" w:hAnsi="Verdana"/>
                <w:sz w:val="18"/>
                <w:szCs w:val="18"/>
                <w:lang w:val="en-GB" w:eastAsia="da-DK"/>
              </w:rPr>
            </w:pPr>
            <w:r w:rsidRPr="00040BEC">
              <w:rPr>
                <w:rFonts w:cs="Arial"/>
                <w:szCs w:val="20"/>
                <w:lang w:val="en-GB" w:eastAsia="da-DK"/>
              </w:rPr>
              <w:t>1905.0 - 1920.0</w:t>
            </w:r>
          </w:p>
        </w:tc>
      </w:tr>
      <w:tr w:rsidR="00CD51AD" w:rsidRPr="00040BEC" w14:paraId="617FE397" w14:textId="77777777" w:rsidTr="004B74DF">
        <w:trPr>
          <w:tblCellSpacing w:w="0" w:type="dxa"/>
        </w:trPr>
        <w:tc>
          <w:tcPr>
            <w:tcW w:w="3888" w:type="dxa"/>
            <w:tcBorders>
              <w:top w:val="outset" w:sz="6" w:space="0" w:color="auto"/>
              <w:left w:val="outset" w:sz="6" w:space="0" w:color="auto"/>
              <w:bottom w:val="outset" w:sz="6" w:space="0" w:color="auto"/>
              <w:right w:val="outset" w:sz="6" w:space="0" w:color="auto"/>
            </w:tcBorders>
            <w:vAlign w:val="center"/>
            <w:hideMark/>
          </w:tcPr>
          <w:p w14:paraId="051DBF30" w14:textId="77777777" w:rsidR="00CD51AD" w:rsidRPr="00040BEC" w:rsidRDefault="00CD51AD" w:rsidP="00CD51AD">
            <w:pPr>
              <w:rPr>
                <w:rFonts w:ascii="Verdana" w:hAnsi="Verdana"/>
                <w:sz w:val="18"/>
                <w:szCs w:val="18"/>
                <w:lang w:val="en-GB" w:eastAsia="da-DK"/>
              </w:rPr>
            </w:pPr>
            <w:r w:rsidRPr="00040BEC">
              <w:rPr>
                <w:rFonts w:cs="Arial"/>
                <w:szCs w:val="20"/>
                <w:lang w:val="en-GB" w:eastAsia="da-DK"/>
              </w:rPr>
              <w:t>Ethiopia</w:t>
            </w:r>
          </w:p>
        </w:tc>
        <w:tc>
          <w:tcPr>
            <w:tcW w:w="3402" w:type="dxa"/>
            <w:tcBorders>
              <w:top w:val="outset" w:sz="6" w:space="0" w:color="auto"/>
              <w:left w:val="outset" w:sz="6" w:space="0" w:color="auto"/>
              <w:bottom w:val="outset" w:sz="6" w:space="0" w:color="auto"/>
              <w:right w:val="outset" w:sz="6" w:space="0" w:color="auto"/>
            </w:tcBorders>
            <w:vAlign w:val="center"/>
            <w:hideMark/>
          </w:tcPr>
          <w:p w14:paraId="613C4DC2" w14:textId="77777777" w:rsidR="00CD51AD" w:rsidRPr="00040BEC" w:rsidRDefault="00CD51AD" w:rsidP="00CD51AD">
            <w:pPr>
              <w:jc w:val="center"/>
              <w:rPr>
                <w:rFonts w:ascii="Verdana" w:hAnsi="Verdana"/>
                <w:sz w:val="18"/>
                <w:szCs w:val="18"/>
                <w:lang w:val="en-GB" w:eastAsia="da-DK"/>
              </w:rPr>
            </w:pPr>
            <w:r w:rsidRPr="00040BEC">
              <w:rPr>
                <w:rFonts w:cs="Arial"/>
                <w:szCs w:val="20"/>
                <w:lang w:val="en-GB" w:eastAsia="da-DK"/>
              </w:rPr>
              <w:t>1905.0 - 1925.0</w:t>
            </w:r>
          </w:p>
        </w:tc>
      </w:tr>
      <w:tr w:rsidR="00CD51AD" w:rsidRPr="00040BEC" w14:paraId="2ABBC986" w14:textId="77777777" w:rsidTr="004B74DF">
        <w:trPr>
          <w:tblCellSpacing w:w="0" w:type="dxa"/>
        </w:trPr>
        <w:tc>
          <w:tcPr>
            <w:tcW w:w="3888" w:type="dxa"/>
            <w:tcBorders>
              <w:top w:val="outset" w:sz="6" w:space="0" w:color="auto"/>
              <w:left w:val="outset" w:sz="6" w:space="0" w:color="auto"/>
              <w:bottom w:val="outset" w:sz="6" w:space="0" w:color="auto"/>
              <w:right w:val="outset" w:sz="6" w:space="0" w:color="auto"/>
            </w:tcBorders>
            <w:vAlign w:val="center"/>
            <w:hideMark/>
          </w:tcPr>
          <w:p w14:paraId="024B0914" w14:textId="77777777" w:rsidR="00CD51AD" w:rsidRPr="00040BEC" w:rsidRDefault="00CD51AD" w:rsidP="00CD51AD">
            <w:pPr>
              <w:rPr>
                <w:rFonts w:ascii="Verdana" w:hAnsi="Verdana"/>
                <w:sz w:val="18"/>
                <w:szCs w:val="18"/>
                <w:lang w:val="en-GB" w:eastAsia="da-DK"/>
              </w:rPr>
            </w:pPr>
            <w:r w:rsidRPr="00040BEC">
              <w:rPr>
                <w:rFonts w:cs="Arial"/>
                <w:szCs w:val="20"/>
                <w:lang w:val="en-GB" w:eastAsia="da-DK"/>
              </w:rPr>
              <w:t>Mali</w:t>
            </w:r>
          </w:p>
        </w:tc>
        <w:tc>
          <w:tcPr>
            <w:tcW w:w="3402" w:type="dxa"/>
            <w:tcBorders>
              <w:top w:val="outset" w:sz="6" w:space="0" w:color="auto"/>
              <w:left w:val="outset" w:sz="6" w:space="0" w:color="auto"/>
              <w:bottom w:val="outset" w:sz="6" w:space="0" w:color="auto"/>
              <w:right w:val="outset" w:sz="6" w:space="0" w:color="auto"/>
            </w:tcBorders>
            <w:vAlign w:val="center"/>
            <w:hideMark/>
          </w:tcPr>
          <w:p w14:paraId="13A7E2FD" w14:textId="77777777" w:rsidR="00CD51AD" w:rsidRPr="00040BEC" w:rsidRDefault="00CD51AD" w:rsidP="00CD51AD">
            <w:pPr>
              <w:jc w:val="center"/>
              <w:rPr>
                <w:rFonts w:ascii="Verdana" w:hAnsi="Verdana"/>
                <w:sz w:val="18"/>
                <w:szCs w:val="18"/>
                <w:lang w:val="en-GB" w:eastAsia="da-DK"/>
              </w:rPr>
            </w:pPr>
            <w:r w:rsidRPr="00040BEC">
              <w:rPr>
                <w:rFonts w:cs="Arial"/>
                <w:szCs w:val="20"/>
                <w:lang w:val="en-GB" w:eastAsia="da-DK"/>
              </w:rPr>
              <w:t>1885.0 - 1930.0</w:t>
            </w:r>
          </w:p>
        </w:tc>
      </w:tr>
      <w:tr w:rsidR="00CD51AD" w:rsidRPr="00040BEC" w14:paraId="7A4AF609" w14:textId="77777777" w:rsidTr="004B74DF">
        <w:trPr>
          <w:tblCellSpacing w:w="0" w:type="dxa"/>
        </w:trPr>
        <w:tc>
          <w:tcPr>
            <w:tcW w:w="3888" w:type="dxa"/>
            <w:tcBorders>
              <w:top w:val="outset" w:sz="6" w:space="0" w:color="auto"/>
              <w:left w:val="outset" w:sz="6" w:space="0" w:color="auto"/>
              <w:bottom w:val="outset" w:sz="6" w:space="0" w:color="auto"/>
              <w:right w:val="outset" w:sz="6" w:space="0" w:color="auto"/>
            </w:tcBorders>
            <w:vAlign w:val="center"/>
            <w:hideMark/>
          </w:tcPr>
          <w:p w14:paraId="012EDA59" w14:textId="77777777" w:rsidR="00CD51AD" w:rsidRPr="00040BEC" w:rsidRDefault="00CD51AD" w:rsidP="00CD51AD">
            <w:pPr>
              <w:rPr>
                <w:rFonts w:ascii="Verdana" w:hAnsi="Verdana"/>
                <w:sz w:val="18"/>
                <w:szCs w:val="18"/>
                <w:lang w:val="en-GB" w:eastAsia="da-DK"/>
              </w:rPr>
            </w:pPr>
            <w:r w:rsidRPr="00040BEC">
              <w:rPr>
                <w:rFonts w:cs="Arial"/>
                <w:szCs w:val="20"/>
                <w:lang w:val="en-GB" w:eastAsia="da-DK"/>
              </w:rPr>
              <w:t>Swaziland</w:t>
            </w:r>
          </w:p>
        </w:tc>
        <w:tc>
          <w:tcPr>
            <w:tcW w:w="3402" w:type="dxa"/>
            <w:tcBorders>
              <w:top w:val="outset" w:sz="6" w:space="0" w:color="auto"/>
              <w:left w:val="outset" w:sz="6" w:space="0" w:color="auto"/>
              <w:bottom w:val="outset" w:sz="6" w:space="0" w:color="auto"/>
              <w:right w:val="outset" w:sz="6" w:space="0" w:color="auto"/>
            </w:tcBorders>
            <w:vAlign w:val="center"/>
            <w:hideMark/>
          </w:tcPr>
          <w:p w14:paraId="7D7B3270" w14:textId="77777777" w:rsidR="00CD51AD" w:rsidRPr="00040BEC" w:rsidRDefault="00CD51AD" w:rsidP="00CD51AD">
            <w:pPr>
              <w:jc w:val="center"/>
              <w:rPr>
                <w:rFonts w:ascii="Verdana" w:hAnsi="Verdana"/>
                <w:sz w:val="18"/>
                <w:szCs w:val="18"/>
                <w:lang w:val="en-GB" w:eastAsia="da-DK"/>
              </w:rPr>
            </w:pPr>
            <w:r w:rsidRPr="00040BEC">
              <w:rPr>
                <w:rFonts w:cs="Arial"/>
                <w:szCs w:val="20"/>
                <w:lang w:val="en-GB" w:eastAsia="da-DK"/>
              </w:rPr>
              <w:t>1895.0 - 1905.2</w:t>
            </w:r>
          </w:p>
        </w:tc>
      </w:tr>
      <w:tr w:rsidR="00CD51AD" w:rsidRPr="00040BEC" w14:paraId="787C3F7D" w14:textId="77777777" w:rsidTr="004B74DF">
        <w:trPr>
          <w:tblCellSpacing w:w="0" w:type="dxa"/>
        </w:trPr>
        <w:tc>
          <w:tcPr>
            <w:tcW w:w="3888" w:type="dxa"/>
            <w:tcBorders>
              <w:top w:val="outset" w:sz="6" w:space="0" w:color="auto"/>
              <w:left w:val="outset" w:sz="6" w:space="0" w:color="auto"/>
              <w:bottom w:val="outset" w:sz="6" w:space="0" w:color="auto"/>
              <w:right w:val="outset" w:sz="6" w:space="0" w:color="auto"/>
            </w:tcBorders>
            <w:vAlign w:val="center"/>
            <w:hideMark/>
          </w:tcPr>
          <w:p w14:paraId="28CDACAF" w14:textId="77777777" w:rsidR="00CD51AD" w:rsidRPr="00040BEC" w:rsidRDefault="00CD51AD" w:rsidP="00CD51AD">
            <w:pPr>
              <w:rPr>
                <w:rFonts w:ascii="Verdana" w:hAnsi="Verdana"/>
                <w:sz w:val="18"/>
                <w:szCs w:val="18"/>
                <w:lang w:val="en-GB" w:eastAsia="da-DK"/>
              </w:rPr>
            </w:pPr>
            <w:r w:rsidRPr="00040BEC">
              <w:rPr>
                <w:rFonts w:cs="Arial"/>
                <w:szCs w:val="20"/>
                <w:lang w:val="en-GB" w:eastAsia="da-DK"/>
              </w:rPr>
              <w:t>U. A. E.</w:t>
            </w:r>
          </w:p>
        </w:tc>
        <w:tc>
          <w:tcPr>
            <w:tcW w:w="3402" w:type="dxa"/>
            <w:tcBorders>
              <w:top w:val="outset" w:sz="6" w:space="0" w:color="auto"/>
              <w:left w:val="outset" w:sz="6" w:space="0" w:color="auto"/>
              <w:bottom w:val="outset" w:sz="6" w:space="0" w:color="auto"/>
              <w:right w:val="outset" w:sz="6" w:space="0" w:color="auto"/>
            </w:tcBorders>
            <w:vAlign w:val="center"/>
            <w:hideMark/>
          </w:tcPr>
          <w:p w14:paraId="75668153" w14:textId="77777777" w:rsidR="00CD51AD" w:rsidRPr="00040BEC" w:rsidRDefault="00CD51AD" w:rsidP="00CD51AD">
            <w:pPr>
              <w:jc w:val="center"/>
              <w:rPr>
                <w:rFonts w:ascii="Verdana" w:hAnsi="Verdana"/>
                <w:sz w:val="18"/>
                <w:szCs w:val="18"/>
                <w:lang w:val="en-GB" w:eastAsia="da-DK"/>
              </w:rPr>
            </w:pPr>
            <w:r w:rsidRPr="00040BEC">
              <w:rPr>
                <w:rFonts w:cs="Arial"/>
                <w:szCs w:val="20"/>
                <w:lang w:val="en-GB" w:eastAsia="da-DK"/>
              </w:rPr>
              <w:t>1895.0 - 1905.0</w:t>
            </w:r>
          </w:p>
        </w:tc>
      </w:tr>
      <w:tr w:rsidR="00CD51AD" w:rsidRPr="00040BEC" w14:paraId="0191B25F" w14:textId="77777777" w:rsidTr="004B74DF">
        <w:trPr>
          <w:tblCellSpacing w:w="0" w:type="dxa"/>
        </w:trPr>
        <w:tc>
          <w:tcPr>
            <w:tcW w:w="7290" w:type="dxa"/>
            <w:gridSpan w:val="2"/>
            <w:tcBorders>
              <w:top w:val="outset" w:sz="6" w:space="0" w:color="auto"/>
              <w:left w:val="outset" w:sz="6" w:space="0" w:color="auto"/>
              <w:bottom w:val="outset" w:sz="6" w:space="0" w:color="auto"/>
              <w:right w:val="outset" w:sz="6" w:space="0" w:color="auto"/>
            </w:tcBorders>
            <w:shd w:val="clear" w:color="auto" w:fill="FF9900"/>
            <w:vAlign w:val="center"/>
            <w:hideMark/>
          </w:tcPr>
          <w:p w14:paraId="519CA5CE" w14:textId="77777777" w:rsidR="00CD51AD" w:rsidRPr="00040BEC" w:rsidRDefault="00CD51AD" w:rsidP="00CD51AD">
            <w:pPr>
              <w:rPr>
                <w:rFonts w:ascii="Verdana" w:hAnsi="Verdana"/>
                <w:sz w:val="18"/>
                <w:szCs w:val="18"/>
                <w:lang w:val="en-GB" w:eastAsia="da-DK"/>
              </w:rPr>
            </w:pPr>
            <w:r w:rsidRPr="00040BEC">
              <w:rPr>
                <w:rFonts w:cs="Arial"/>
                <w:szCs w:val="20"/>
                <w:lang w:val="en-GB" w:eastAsia="da-DK"/>
              </w:rPr>
              <w:t>North America</w:t>
            </w:r>
          </w:p>
        </w:tc>
      </w:tr>
      <w:tr w:rsidR="00CD51AD" w:rsidRPr="00040BEC" w14:paraId="1EC016F7" w14:textId="77777777" w:rsidTr="004B74DF">
        <w:trPr>
          <w:tblCellSpacing w:w="0" w:type="dxa"/>
        </w:trPr>
        <w:tc>
          <w:tcPr>
            <w:tcW w:w="3888" w:type="dxa"/>
            <w:tcBorders>
              <w:top w:val="outset" w:sz="6" w:space="0" w:color="auto"/>
              <w:left w:val="outset" w:sz="6" w:space="0" w:color="auto"/>
              <w:bottom w:val="outset" w:sz="6" w:space="0" w:color="auto"/>
              <w:right w:val="outset" w:sz="6" w:space="0" w:color="auto"/>
            </w:tcBorders>
            <w:vAlign w:val="center"/>
            <w:hideMark/>
          </w:tcPr>
          <w:p w14:paraId="4D749484" w14:textId="77777777" w:rsidR="00CD51AD" w:rsidRPr="00040BEC" w:rsidRDefault="00CD51AD" w:rsidP="00CD51AD">
            <w:pPr>
              <w:rPr>
                <w:rFonts w:ascii="Verdana" w:hAnsi="Verdana"/>
                <w:sz w:val="18"/>
                <w:szCs w:val="18"/>
                <w:lang w:val="en-GB" w:eastAsia="da-DK"/>
              </w:rPr>
            </w:pPr>
            <w:r w:rsidRPr="00040BEC">
              <w:rPr>
                <w:rFonts w:cs="Arial"/>
                <w:szCs w:val="20"/>
                <w:lang w:val="en-GB" w:eastAsia="da-DK"/>
              </w:rPr>
              <w:t>USA</w:t>
            </w:r>
          </w:p>
        </w:tc>
        <w:tc>
          <w:tcPr>
            <w:tcW w:w="3402" w:type="dxa"/>
            <w:tcBorders>
              <w:top w:val="outset" w:sz="6" w:space="0" w:color="auto"/>
              <w:left w:val="outset" w:sz="6" w:space="0" w:color="auto"/>
              <w:bottom w:val="outset" w:sz="6" w:space="0" w:color="auto"/>
              <w:right w:val="outset" w:sz="6" w:space="0" w:color="auto"/>
            </w:tcBorders>
            <w:vAlign w:val="center"/>
            <w:hideMark/>
          </w:tcPr>
          <w:p w14:paraId="0C727A07" w14:textId="77777777" w:rsidR="00CD51AD" w:rsidRPr="00040BEC" w:rsidRDefault="00CD51AD" w:rsidP="00CD51AD">
            <w:pPr>
              <w:jc w:val="center"/>
              <w:rPr>
                <w:rFonts w:ascii="Verdana" w:hAnsi="Verdana"/>
                <w:sz w:val="18"/>
                <w:szCs w:val="18"/>
                <w:lang w:val="en-GB" w:eastAsia="da-DK"/>
              </w:rPr>
            </w:pPr>
            <w:r w:rsidRPr="00040BEC">
              <w:rPr>
                <w:rFonts w:cs="Arial"/>
                <w:szCs w:val="20"/>
                <w:lang w:val="en-GB" w:eastAsia="da-DK"/>
              </w:rPr>
              <w:t>1880.0 - 1910.0</w:t>
            </w:r>
            <w:r w:rsidRPr="00040BEC">
              <w:rPr>
                <w:rFonts w:cs="Arial"/>
                <w:szCs w:val="20"/>
                <w:lang w:val="en-GB" w:eastAsia="da-DK"/>
              </w:rPr>
              <w:br/>
              <w:t>1915.0 -1920.0</w:t>
            </w:r>
          </w:p>
        </w:tc>
      </w:tr>
      <w:tr w:rsidR="00CD51AD" w:rsidRPr="00040BEC" w14:paraId="40D2B095" w14:textId="77777777" w:rsidTr="004B74DF">
        <w:trPr>
          <w:tblCellSpacing w:w="0" w:type="dxa"/>
        </w:trPr>
        <w:tc>
          <w:tcPr>
            <w:tcW w:w="7290" w:type="dxa"/>
            <w:gridSpan w:val="2"/>
            <w:tcBorders>
              <w:top w:val="outset" w:sz="6" w:space="0" w:color="auto"/>
              <w:left w:val="outset" w:sz="6" w:space="0" w:color="auto"/>
              <w:bottom w:val="outset" w:sz="6" w:space="0" w:color="auto"/>
              <w:right w:val="outset" w:sz="6" w:space="0" w:color="auto"/>
            </w:tcBorders>
            <w:shd w:val="clear" w:color="auto" w:fill="FF9900"/>
            <w:vAlign w:val="center"/>
            <w:hideMark/>
          </w:tcPr>
          <w:p w14:paraId="4A3DD2F4" w14:textId="77777777" w:rsidR="00CD51AD" w:rsidRPr="00040BEC" w:rsidRDefault="00CD51AD" w:rsidP="00CD51AD">
            <w:pPr>
              <w:rPr>
                <w:rFonts w:ascii="Verdana" w:hAnsi="Verdana"/>
                <w:sz w:val="18"/>
                <w:szCs w:val="18"/>
                <w:lang w:val="en-GB" w:eastAsia="da-DK"/>
              </w:rPr>
            </w:pPr>
            <w:r w:rsidRPr="00040BEC">
              <w:rPr>
                <w:rFonts w:cs="Arial"/>
                <w:szCs w:val="20"/>
                <w:lang w:val="en-GB" w:eastAsia="da-DK"/>
              </w:rPr>
              <w:t>Latin America</w:t>
            </w:r>
          </w:p>
        </w:tc>
      </w:tr>
      <w:tr w:rsidR="00CD51AD" w:rsidRPr="00040BEC" w14:paraId="112B8F89" w14:textId="77777777" w:rsidTr="004B74DF">
        <w:trPr>
          <w:tblCellSpacing w:w="0" w:type="dxa"/>
        </w:trPr>
        <w:tc>
          <w:tcPr>
            <w:tcW w:w="3888" w:type="dxa"/>
            <w:tcBorders>
              <w:top w:val="outset" w:sz="6" w:space="0" w:color="auto"/>
              <w:left w:val="outset" w:sz="6" w:space="0" w:color="auto"/>
              <w:bottom w:val="outset" w:sz="6" w:space="0" w:color="auto"/>
              <w:right w:val="outset" w:sz="6" w:space="0" w:color="auto"/>
            </w:tcBorders>
            <w:vAlign w:val="center"/>
            <w:hideMark/>
          </w:tcPr>
          <w:p w14:paraId="6DCD2B14" w14:textId="77777777" w:rsidR="00CD51AD" w:rsidRPr="00040BEC" w:rsidRDefault="00CD51AD" w:rsidP="00CD51AD">
            <w:pPr>
              <w:rPr>
                <w:rFonts w:ascii="Verdana" w:hAnsi="Verdana"/>
                <w:sz w:val="18"/>
                <w:szCs w:val="18"/>
                <w:lang w:val="en-GB" w:eastAsia="da-DK"/>
              </w:rPr>
            </w:pPr>
            <w:r w:rsidRPr="00040BEC">
              <w:rPr>
                <w:rFonts w:cs="Arial"/>
                <w:szCs w:val="20"/>
                <w:lang w:val="en-GB" w:eastAsia="da-DK"/>
              </w:rPr>
              <w:t>Argentina</w:t>
            </w:r>
          </w:p>
        </w:tc>
        <w:tc>
          <w:tcPr>
            <w:tcW w:w="3402" w:type="dxa"/>
            <w:tcBorders>
              <w:top w:val="outset" w:sz="6" w:space="0" w:color="auto"/>
              <w:left w:val="outset" w:sz="6" w:space="0" w:color="auto"/>
              <w:bottom w:val="outset" w:sz="6" w:space="0" w:color="auto"/>
              <w:right w:val="outset" w:sz="6" w:space="0" w:color="auto"/>
            </w:tcBorders>
            <w:vAlign w:val="center"/>
            <w:hideMark/>
          </w:tcPr>
          <w:p w14:paraId="72FA8E21" w14:textId="77777777" w:rsidR="00CD51AD" w:rsidRPr="00040BEC" w:rsidRDefault="00CD51AD" w:rsidP="00CD51AD">
            <w:pPr>
              <w:jc w:val="center"/>
              <w:rPr>
                <w:rFonts w:ascii="Verdana" w:hAnsi="Verdana"/>
                <w:sz w:val="18"/>
                <w:szCs w:val="18"/>
                <w:lang w:val="en-GB" w:eastAsia="da-DK"/>
              </w:rPr>
            </w:pPr>
            <w:r w:rsidRPr="00040BEC">
              <w:rPr>
                <w:rFonts w:cs="Arial"/>
                <w:szCs w:val="20"/>
                <w:lang w:val="en-GB" w:eastAsia="da-DK"/>
              </w:rPr>
              <w:t>1880.0 - 1910.0(mobile)</w:t>
            </w:r>
            <w:r w:rsidRPr="00040BEC">
              <w:rPr>
                <w:rFonts w:cs="Arial"/>
                <w:szCs w:val="20"/>
                <w:lang w:val="en-GB" w:eastAsia="da-DK"/>
              </w:rPr>
              <w:br/>
              <w:t>1910.0 - 1930.0(fixed)</w:t>
            </w:r>
          </w:p>
        </w:tc>
      </w:tr>
      <w:tr w:rsidR="00CD51AD" w:rsidRPr="00040BEC" w14:paraId="6C4D4A51" w14:textId="77777777" w:rsidTr="004B74DF">
        <w:trPr>
          <w:tblCellSpacing w:w="0" w:type="dxa"/>
        </w:trPr>
        <w:tc>
          <w:tcPr>
            <w:tcW w:w="3888" w:type="dxa"/>
            <w:tcBorders>
              <w:top w:val="outset" w:sz="6" w:space="0" w:color="auto"/>
              <w:left w:val="outset" w:sz="6" w:space="0" w:color="auto"/>
              <w:bottom w:val="outset" w:sz="6" w:space="0" w:color="auto"/>
              <w:right w:val="outset" w:sz="6" w:space="0" w:color="auto"/>
            </w:tcBorders>
            <w:vAlign w:val="center"/>
            <w:hideMark/>
          </w:tcPr>
          <w:p w14:paraId="4F2E44DF" w14:textId="77777777" w:rsidR="00CD51AD" w:rsidRPr="00040BEC" w:rsidRDefault="00CD51AD" w:rsidP="00CD51AD">
            <w:pPr>
              <w:rPr>
                <w:rFonts w:ascii="Verdana" w:hAnsi="Verdana"/>
                <w:sz w:val="18"/>
                <w:szCs w:val="18"/>
                <w:lang w:val="en-GB" w:eastAsia="da-DK"/>
              </w:rPr>
            </w:pPr>
            <w:r w:rsidRPr="00040BEC">
              <w:rPr>
                <w:rFonts w:cs="Arial"/>
                <w:szCs w:val="20"/>
                <w:lang w:val="en-GB" w:eastAsia="da-DK"/>
              </w:rPr>
              <w:t>Brazil</w:t>
            </w:r>
          </w:p>
        </w:tc>
        <w:tc>
          <w:tcPr>
            <w:tcW w:w="3402" w:type="dxa"/>
            <w:tcBorders>
              <w:top w:val="outset" w:sz="6" w:space="0" w:color="auto"/>
              <w:left w:val="outset" w:sz="6" w:space="0" w:color="auto"/>
              <w:bottom w:val="outset" w:sz="6" w:space="0" w:color="auto"/>
              <w:right w:val="outset" w:sz="6" w:space="0" w:color="auto"/>
            </w:tcBorders>
            <w:vAlign w:val="center"/>
            <w:hideMark/>
          </w:tcPr>
          <w:p w14:paraId="3D151181" w14:textId="77777777" w:rsidR="00CD51AD" w:rsidRPr="00040BEC" w:rsidRDefault="00CD51AD" w:rsidP="00CD51AD">
            <w:pPr>
              <w:jc w:val="center"/>
              <w:rPr>
                <w:rFonts w:ascii="Verdana" w:hAnsi="Verdana"/>
                <w:sz w:val="18"/>
                <w:szCs w:val="18"/>
                <w:lang w:val="en-GB" w:eastAsia="da-DK"/>
              </w:rPr>
            </w:pPr>
            <w:r w:rsidRPr="00040BEC">
              <w:rPr>
                <w:rFonts w:cs="Arial"/>
                <w:szCs w:val="20"/>
                <w:lang w:val="en-GB" w:eastAsia="da-DK"/>
              </w:rPr>
              <w:t>1880.0 - 1900.0</w:t>
            </w:r>
          </w:p>
        </w:tc>
      </w:tr>
      <w:tr w:rsidR="00CD51AD" w:rsidRPr="00040BEC" w14:paraId="6B8DB6E3" w14:textId="77777777" w:rsidTr="004B74DF">
        <w:trPr>
          <w:tblCellSpacing w:w="0" w:type="dxa"/>
        </w:trPr>
        <w:tc>
          <w:tcPr>
            <w:tcW w:w="3888" w:type="dxa"/>
            <w:tcBorders>
              <w:top w:val="outset" w:sz="6" w:space="0" w:color="auto"/>
              <w:left w:val="outset" w:sz="6" w:space="0" w:color="auto"/>
              <w:bottom w:val="outset" w:sz="6" w:space="0" w:color="auto"/>
              <w:right w:val="outset" w:sz="6" w:space="0" w:color="auto"/>
            </w:tcBorders>
            <w:vAlign w:val="center"/>
            <w:hideMark/>
          </w:tcPr>
          <w:p w14:paraId="6C28F810" w14:textId="77777777" w:rsidR="00CD51AD" w:rsidRPr="00040BEC" w:rsidRDefault="00CD51AD" w:rsidP="00CD51AD">
            <w:pPr>
              <w:rPr>
                <w:rFonts w:ascii="Verdana" w:hAnsi="Verdana"/>
                <w:sz w:val="18"/>
                <w:szCs w:val="18"/>
                <w:lang w:val="en-GB" w:eastAsia="da-DK"/>
              </w:rPr>
            </w:pPr>
            <w:r w:rsidRPr="00040BEC">
              <w:rPr>
                <w:rFonts w:cs="Arial"/>
                <w:szCs w:val="20"/>
                <w:lang w:val="en-GB" w:eastAsia="da-DK"/>
              </w:rPr>
              <w:t>Chile</w:t>
            </w:r>
          </w:p>
        </w:tc>
        <w:tc>
          <w:tcPr>
            <w:tcW w:w="3402" w:type="dxa"/>
            <w:tcBorders>
              <w:top w:val="outset" w:sz="6" w:space="0" w:color="auto"/>
              <w:left w:val="outset" w:sz="6" w:space="0" w:color="auto"/>
              <w:bottom w:val="outset" w:sz="6" w:space="0" w:color="auto"/>
              <w:right w:val="outset" w:sz="6" w:space="0" w:color="auto"/>
            </w:tcBorders>
            <w:vAlign w:val="center"/>
            <w:hideMark/>
          </w:tcPr>
          <w:p w14:paraId="7AC17AB7" w14:textId="77777777" w:rsidR="00CD51AD" w:rsidRPr="00040BEC" w:rsidRDefault="00CD51AD" w:rsidP="00CD51AD">
            <w:pPr>
              <w:jc w:val="center"/>
              <w:rPr>
                <w:rFonts w:ascii="Verdana" w:hAnsi="Verdana"/>
                <w:sz w:val="18"/>
                <w:szCs w:val="18"/>
                <w:lang w:val="en-GB" w:eastAsia="da-DK"/>
              </w:rPr>
            </w:pPr>
            <w:r w:rsidRPr="00040BEC">
              <w:rPr>
                <w:rFonts w:cs="Arial"/>
                <w:szCs w:val="20"/>
                <w:lang w:val="en-GB" w:eastAsia="da-DK"/>
              </w:rPr>
              <w:t>1880.0 - 1910.0(mobile)</w:t>
            </w:r>
            <w:r w:rsidRPr="00040BEC">
              <w:rPr>
                <w:rFonts w:cs="Arial"/>
                <w:szCs w:val="20"/>
                <w:lang w:val="en-GB" w:eastAsia="da-DK"/>
              </w:rPr>
              <w:br/>
              <w:t>1910.0 - 1930.0(fixed)</w:t>
            </w:r>
          </w:p>
        </w:tc>
      </w:tr>
      <w:tr w:rsidR="00CD51AD" w:rsidRPr="00040BEC" w14:paraId="227061B2" w14:textId="77777777" w:rsidTr="004B74DF">
        <w:trPr>
          <w:tblCellSpacing w:w="0" w:type="dxa"/>
        </w:trPr>
        <w:tc>
          <w:tcPr>
            <w:tcW w:w="3888" w:type="dxa"/>
            <w:tcBorders>
              <w:top w:val="outset" w:sz="6" w:space="0" w:color="auto"/>
              <w:left w:val="outset" w:sz="6" w:space="0" w:color="auto"/>
              <w:bottom w:val="outset" w:sz="6" w:space="0" w:color="auto"/>
              <w:right w:val="outset" w:sz="6" w:space="0" w:color="auto"/>
            </w:tcBorders>
            <w:vAlign w:val="center"/>
            <w:hideMark/>
          </w:tcPr>
          <w:p w14:paraId="36AE1EC6" w14:textId="77777777" w:rsidR="00CD51AD" w:rsidRPr="00040BEC" w:rsidRDefault="00CD51AD" w:rsidP="00CD51AD">
            <w:pPr>
              <w:rPr>
                <w:rFonts w:ascii="Verdana" w:hAnsi="Verdana"/>
                <w:sz w:val="18"/>
                <w:szCs w:val="18"/>
                <w:lang w:val="en-GB" w:eastAsia="da-DK"/>
              </w:rPr>
            </w:pPr>
            <w:r w:rsidRPr="00040BEC">
              <w:rPr>
                <w:rFonts w:cs="Arial"/>
                <w:szCs w:val="20"/>
                <w:lang w:val="en-GB" w:eastAsia="da-DK"/>
              </w:rPr>
              <w:t>Columbia</w:t>
            </w:r>
          </w:p>
        </w:tc>
        <w:tc>
          <w:tcPr>
            <w:tcW w:w="3402" w:type="dxa"/>
            <w:tcBorders>
              <w:top w:val="outset" w:sz="6" w:space="0" w:color="auto"/>
              <w:left w:val="outset" w:sz="6" w:space="0" w:color="auto"/>
              <w:bottom w:val="outset" w:sz="6" w:space="0" w:color="auto"/>
              <w:right w:val="outset" w:sz="6" w:space="0" w:color="auto"/>
            </w:tcBorders>
            <w:vAlign w:val="center"/>
            <w:hideMark/>
          </w:tcPr>
          <w:p w14:paraId="50DF5298" w14:textId="77777777" w:rsidR="00CD51AD" w:rsidRPr="00040BEC" w:rsidRDefault="00CD51AD" w:rsidP="00CD51AD">
            <w:pPr>
              <w:jc w:val="center"/>
              <w:rPr>
                <w:rFonts w:ascii="Verdana" w:hAnsi="Verdana"/>
                <w:sz w:val="18"/>
                <w:szCs w:val="18"/>
                <w:lang w:val="en-GB" w:eastAsia="da-DK"/>
              </w:rPr>
            </w:pPr>
            <w:r w:rsidRPr="00040BEC">
              <w:rPr>
                <w:rFonts w:cs="Arial"/>
                <w:szCs w:val="20"/>
                <w:lang w:val="en-GB" w:eastAsia="da-DK"/>
              </w:rPr>
              <w:t>1880.0 - 1910.0(mobile)</w:t>
            </w:r>
            <w:r w:rsidRPr="00040BEC">
              <w:rPr>
                <w:rFonts w:cs="Arial"/>
                <w:szCs w:val="20"/>
                <w:lang w:val="en-GB" w:eastAsia="da-DK"/>
              </w:rPr>
              <w:br/>
              <w:t>1910.0 - 1930.0(fixed)</w:t>
            </w:r>
          </w:p>
        </w:tc>
      </w:tr>
      <w:tr w:rsidR="00CD51AD" w:rsidRPr="00040BEC" w14:paraId="2B1CE18D" w14:textId="77777777" w:rsidTr="004B74DF">
        <w:trPr>
          <w:tblCellSpacing w:w="0" w:type="dxa"/>
        </w:trPr>
        <w:tc>
          <w:tcPr>
            <w:tcW w:w="3888" w:type="dxa"/>
            <w:tcBorders>
              <w:top w:val="outset" w:sz="6" w:space="0" w:color="auto"/>
              <w:left w:val="outset" w:sz="6" w:space="0" w:color="auto"/>
              <w:bottom w:val="outset" w:sz="6" w:space="0" w:color="auto"/>
              <w:right w:val="outset" w:sz="6" w:space="0" w:color="auto"/>
            </w:tcBorders>
            <w:vAlign w:val="center"/>
            <w:hideMark/>
          </w:tcPr>
          <w:p w14:paraId="4C60A049" w14:textId="77777777" w:rsidR="00CD51AD" w:rsidRPr="00040BEC" w:rsidRDefault="00CD51AD" w:rsidP="00CD51AD">
            <w:pPr>
              <w:rPr>
                <w:rFonts w:ascii="Verdana" w:hAnsi="Verdana"/>
                <w:sz w:val="18"/>
                <w:szCs w:val="18"/>
                <w:lang w:val="en-GB" w:eastAsia="da-DK"/>
              </w:rPr>
            </w:pPr>
            <w:r w:rsidRPr="00040BEC">
              <w:rPr>
                <w:rFonts w:cs="Arial"/>
                <w:szCs w:val="20"/>
                <w:lang w:val="en-GB" w:eastAsia="da-DK"/>
              </w:rPr>
              <w:t>Costa Rica (Fixed)</w:t>
            </w:r>
          </w:p>
        </w:tc>
        <w:tc>
          <w:tcPr>
            <w:tcW w:w="3402" w:type="dxa"/>
            <w:tcBorders>
              <w:top w:val="outset" w:sz="6" w:space="0" w:color="auto"/>
              <w:left w:val="outset" w:sz="6" w:space="0" w:color="auto"/>
              <w:bottom w:val="outset" w:sz="6" w:space="0" w:color="auto"/>
              <w:right w:val="outset" w:sz="6" w:space="0" w:color="auto"/>
            </w:tcBorders>
            <w:vAlign w:val="center"/>
            <w:hideMark/>
          </w:tcPr>
          <w:p w14:paraId="31F1FA52" w14:textId="77777777" w:rsidR="00CD51AD" w:rsidRPr="00040BEC" w:rsidRDefault="00CD51AD" w:rsidP="00CD51AD">
            <w:pPr>
              <w:jc w:val="center"/>
              <w:rPr>
                <w:rFonts w:ascii="Verdana" w:hAnsi="Verdana"/>
                <w:sz w:val="18"/>
                <w:szCs w:val="18"/>
                <w:lang w:val="en-GB" w:eastAsia="da-DK"/>
              </w:rPr>
            </w:pPr>
            <w:r w:rsidRPr="00040BEC">
              <w:rPr>
                <w:rFonts w:cs="Arial"/>
                <w:szCs w:val="20"/>
                <w:lang w:val="en-GB" w:eastAsia="da-DK"/>
              </w:rPr>
              <w:t>1910.0 - 1930.0(fixed)</w:t>
            </w:r>
          </w:p>
        </w:tc>
      </w:tr>
      <w:tr w:rsidR="00CD51AD" w:rsidRPr="00040BEC" w14:paraId="5972D967" w14:textId="77777777" w:rsidTr="004B74DF">
        <w:trPr>
          <w:tblCellSpacing w:w="0" w:type="dxa"/>
        </w:trPr>
        <w:tc>
          <w:tcPr>
            <w:tcW w:w="3888" w:type="dxa"/>
            <w:tcBorders>
              <w:top w:val="outset" w:sz="6" w:space="0" w:color="auto"/>
              <w:left w:val="outset" w:sz="6" w:space="0" w:color="auto"/>
              <w:bottom w:val="outset" w:sz="6" w:space="0" w:color="auto"/>
              <w:right w:val="outset" w:sz="6" w:space="0" w:color="auto"/>
            </w:tcBorders>
            <w:vAlign w:val="center"/>
            <w:hideMark/>
          </w:tcPr>
          <w:p w14:paraId="0E0595D3" w14:textId="77777777" w:rsidR="00CD51AD" w:rsidRPr="00040BEC" w:rsidRDefault="00CD51AD" w:rsidP="00CD51AD">
            <w:pPr>
              <w:rPr>
                <w:rFonts w:ascii="Verdana" w:hAnsi="Verdana"/>
                <w:sz w:val="18"/>
                <w:szCs w:val="18"/>
                <w:lang w:val="en-GB" w:eastAsia="da-DK"/>
              </w:rPr>
            </w:pPr>
            <w:r w:rsidRPr="00040BEC">
              <w:rPr>
                <w:rFonts w:cs="Arial"/>
                <w:szCs w:val="20"/>
                <w:lang w:val="en-GB" w:eastAsia="da-DK"/>
              </w:rPr>
              <w:t>Guatemala</w:t>
            </w:r>
          </w:p>
        </w:tc>
        <w:tc>
          <w:tcPr>
            <w:tcW w:w="3402" w:type="dxa"/>
            <w:tcBorders>
              <w:top w:val="outset" w:sz="6" w:space="0" w:color="auto"/>
              <w:left w:val="outset" w:sz="6" w:space="0" w:color="auto"/>
              <w:bottom w:val="outset" w:sz="6" w:space="0" w:color="auto"/>
              <w:right w:val="outset" w:sz="6" w:space="0" w:color="auto"/>
            </w:tcBorders>
            <w:vAlign w:val="center"/>
            <w:hideMark/>
          </w:tcPr>
          <w:p w14:paraId="07516A97" w14:textId="77777777" w:rsidR="00CD51AD" w:rsidRPr="00040BEC" w:rsidRDefault="00CD51AD" w:rsidP="00CD51AD">
            <w:pPr>
              <w:jc w:val="center"/>
              <w:rPr>
                <w:rFonts w:ascii="Verdana" w:hAnsi="Verdana"/>
                <w:sz w:val="18"/>
                <w:szCs w:val="18"/>
                <w:lang w:val="en-GB" w:eastAsia="da-DK"/>
              </w:rPr>
            </w:pPr>
            <w:r w:rsidRPr="00040BEC">
              <w:rPr>
                <w:rFonts w:cs="Arial"/>
                <w:szCs w:val="20"/>
                <w:lang w:val="en-GB" w:eastAsia="da-DK"/>
              </w:rPr>
              <w:t>1910.0 - 1918.0</w:t>
            </w:r>
          </w:p>
        </w:tc>
      </w:tr>
      <w:tr w:rsidR="00CD51AD" w:rsidRPr="00040BEC" w14:paraId="7825AB92" w14:textId="77777777" w:rsidTr="004B74DF">
        <w:trPr>
          <w:tblCellSpacing w:w="0" w:type="dxa"/>
        </w:trPr>
        <w:tc>
          <w:tcPr>
            <w:tcW w:w="3888" w:type="dxa"/>
            <w:tcBorders>
              <w:top w:val="outset" w:sz="6" w:space="0" w:color="auto"/>
              <w:left w:val="outset" w:sz="6" w:space="0" w:color="auto"/>
              <w:bottom w:val="outset" w:sz="6" w:space="0" w:color="auto"/>
              <w:right w:val="outset" w:sz="6" w:space="0" w:color="auto"/>
            </w:tcBorders>
            <w:vAlign w:val="center"/>
            <w:hideMark/>
          </w:tcPr>
          <w:p w14:paraId="260B2740" w14:textId="77777777" w:rsidR="00CD51AD" w:rsidRPr="00040BEC" w:rsidRDefault="00CD51AD" w:rsidP="00CD51AD">
            <w:pPr>
              <w:rPr>
                <w:rFonts w:ascii="Verdana" w:hAnsi="Verdana"/>
                <w:sz w:val="18"/>
                <w:szCs w:val="18"/>
                <w:lang w:val="en-GB" w:eastAsia="da-DK"/>
              </w:rPr>
            </w:pPr>
            <w:r w:rsidRPr="00040BEC">
              <w:rPr>
                <w:rFonts w:cs="Arial"/>
                <w:szCs w:val="20"/>
                <w:lang w:val="en-GB" w:eastAsia="da-DK"/>
              </w:rPr>
              <w:t>Haiti</w:t>
            </w:r>
          </w:p>
        </w:tc>
        <w:tc>
          <w:tcPr>
            <w:tcW w:w="3402" w:type="dxa"/>
            <w:tcBorders>
              <w:top w:val="outset" w:sz="6" w:space="0" w:color="auto"/>
              <w:left w:val="outset" w:sz="6" w:space="0" w:color="auto"/>
              <w:bottom w:val="outset" w:sz="6" w:space="0" w:color="auto"/>
              <w:right w:val="outset" w:sz="6" w:space="0" w:color="auto"/>
            </w:tcBorders>
            <w:vAlign w:val="center"/>
            <w:hideMark/>
          </w:tcPr>
          <w:p w14:paraId="14ED8C22" w14:textId="77777777" w:rsidR="00CD51AD" w:rsidRPr="00040BEC" w:rsidRDefault="00CD51AD" w:rsidP="00CD51AD">
            <w:pPr>
              <w:jc w:val="center"/>
              <w:rPr>
                <w:rFonts w:ascii="Verdana" w:hAnsi="Verdana"/>
                <w:sz w:val="18"/>
                <w:szCs w:val="18"/>
                <w:lang w:val="en-GB" w:eastAsia="da-DK"/>
              </w:rPr>
            </w:pPr>
            <w:r w:rsidRPr="00040BEC">
              <w:rPr>
                <w:rFonts w:cs="Arial"/>
                <w:szCs w:val="20"/>
                <w:lang w:val="en-GB" w:eastAsia="da-DK"/>
              </w:rPr>
              <w:t>1910.0-1930.0</w:t>
            </w:r>
          </w:p>
        </w:tc>
      </w:tr>
      <w:tr w:rsidR="00CD51AD" w:rsidRPr="00040BEC" w14:paraId="02AACCE2" w14:textId="77777777" w:rsidTr="004B74DF">
        <w:trPr>
          <w:tblCellSpacing w:w="0" w:type="dxa"/>
        </w:trPr>
        <w:tc>
          <w:tcPr>
            <w:tcW w:w="3888" w:type="dxa"/>
            <w:tcBorders>
              <w:top w:val="outset" w:sz="6" w:space="0" w:color="auto"/>
              <w:left w:val="outset" w:sz="6" w:space="0" w:color="auto"/>
              <w:bottom w:val="outset" w:sz="6" w:space="0" w:color="auto"/>
              <w:right w:val="outset" w:sz="6" w:space="0" w:color="auto"/>
            </w:tcBorders>
            <w:vAlign w:val="center"/>
            <w:hideMark/>
          </w:tcPr>
          <w:p w14:paraId="5833FB38" w14:textId="77777777" w:rsidR="00CD51AD" w:rsidRPr="00040BEC" w:rsidRDefault="00CD51AD" w:rsidP="00CD51AD">
            <w:pPr>
              <w:rPr>
                <w:rFonts w:ascii="Verdana" w:hAnsi="Verdana"/>
                <w:sz w:val="18"/>
                <w:szCs w:val="18"/>
                <w:lang w:val="en-GB" w:eastAsia="da-DK"/>
              </w:rPr>
            </w:pPr>
            <w:r w:rsidRPr="00040BEC">
              <w:rPr>
                <w:rFonts w:cs="Arial"/>
                <w:szCs w:val="20"/>
                <w:lang w:val="en-GB" w:eastAsia="da-DK"/>
              </w:rPr>
              <w:t>Honduras (Mobile)</w:t>
            </w:r>
          </w:p>
        </w:tc>
        <w:tc>
          <w:tcPr>
            <w:tcW w:w="3402" w:type="dxa"/>
            <w:tcBorders>
              <w:top w:val="outset" w:sz="6" w:space="0" w:color="auto"/>
              <w:left w:val="outset" w:sz="6" w:space="0" w:color="auto"/>
              <w:bottom w:val="outset" w:sz="6" w:space="0" w:color="auto"/>
              <w:right w:val="outset" w:sz="6" w:space="0" w:color="auto"/>
            </w:tcBorders>
            <w:vAlign w:val="center"/>
            <w:hideMark/>
          </w:tcPr>
          <w:p w14:paraId="5D3984DC" w14:textId="77777777" w:rsidR="00CD51AD" w:rsidRPr="00040BEC" w:rsidRDefault="00CD51AD" w:rsidP="00CD51AD">
            <w:pPr>
              <w:jc w:val="center"/>
              <w:rPr>
                <w:rFonts w:ascii="Verdana" w:hAnsi="Verdana"/>
                <w:sz w:val="18"/>
                <w:szCs w:val="18"/>
                <w:lang w:val="en-GB" w:eastAsia="da-DK"/>
              </w:rPr>
            </w:pPr>
            <w:r w:rsidRPr="00040BEC">
              <w:rPr>
                <w:rFonts w:cs="Arial"/>
                <w:szCs w:val="20"/>
                <w:lang w:val="en-GB" w:eastAsia="da-DK"/>
              </w:rPr>
              <w:t>1880.0 - 1910.0(mobile)</w:t>
            </w:r>
            <w:r w:rsidRPr="00040BEC">
              <w:rPr>
                <w:rFonts w:cs="Arial"/>
                <w:szCs w:val="20"/>
                <w:lang w:val="en-GB" w:eastAsia="da-DK"/>
              </w:rPr>
              <w:br/>
              <w:t>1910.0 - 1930.0(fixed)</w:t>
            </w:r>
          </w:p>
        </w:tc>
      </w:tr>
      <w:tr w:rsidR="00CD51AD" w:rsidRPr="00040BEC" w14:paraId="2B0E4AC0" w14:textId="77777777" w:rsidTr="004B74DF">
        <w:trPr>
          <w:tblCellSpacing w:w="0" w:type="dxa"/>
        </w:trPr>
        <w:tc>
          <w:tcPr>
            <w:tcW w:w="3888" w:type="dxa"/>
            <w:tcBorders>
              <w:top w:val="outset" w:sz="6" w:space="0" w:color="auto"/>
              <w:left w:val="outset" w:sz="6" w:space="0" w:color="auto"/>
              <w:bottom w:val="outset" w:sz="6" w:space="0" w:color="auto"/>
              <w:right w:val="outset" w:sz="6" w:space="0" w:color="auto"/>
            </w:tcBorders>
            <w:vAlign w:val="center"/>
            <w:hideMark/>
          </w:tcPr>
          <w:p w14:paraId="6D82AF39" w14:textId="77777777" w:rsidR="00CD51AD" w:rsidRPr="00040BEC" w:rsidRDefault="00CD51AD" w:rsidP="00CD51AD">
            <w:pPr>
              <w:rPr>
                <w:rFonts w:ascii="Verdana" w:hAnsi="Verdana"/>
                <w:sz w:val="18"/>
                <w:szCs w:val="18"/>
                <w:lang w:val="en-GB" w:eastAsia="da-DK"/>
              </w:rPr>
            </w:pPr>
            <w:r w:rsidRPr="00040BEC">
              <w:rPr>
                <w:rFonts w:cs="Arial"/>
                <w:szCs w:val="20"/>
                <w:lang w:val="en-GB" w:eastAsia="da-DK"/>
              </w:rPr>
              <w:t>Uruguay</w:t>
            </w:r>
          </w:p>
        </w:tc>
        <w:tc>
          <w:tcPr>
            <w:tcW w:w="3402" w:type="dxa"/>
            <w:tcBorders>
              <w:top w:val="outset" w:sz="6" w:space="0" w:color="auto"/>
              <w:left w:val="outset" w:sz="6" w:space="0" w:color="auto"/>
              <w:bottom w:val="outset" w:sz="6" w:space="0" w:color="auto"/>
              <w:right w:val="outset" w:sz="6" w:space="0" w:color="auto"/>
            </w:tcBorders>
            <w:vAlign w:val="center"/>
            <w:hideMark/>
          </w:tcPr>
          <w:p w14:paraId="49891598" w14:textId="77777777" w:rsidR="00CD51AD" w:rsidRPr="00040BEC" w:rsidRDefault="00CD51AD" w:rsidP="00CD51AD">
            <w:pPr>
              <w:jc w:val="center"/>
              <w:rPr>
                <w:rFonts w:ascii="Verdana" w:hAnsi="Verdana"/>
                <w:sz w:val="18"/>
                <w:szCs w:val="18"/>
                <w:lang w:val="en-GB" w:eastAsia="da-DK"/>
              </w:rPr>
            </w:pPr>
            <w:r w:rsidRPr="00040BEC">
              <w:rPr>
                <w:rFonts w:cs="Arial"/>
                <w:szCs w:val="20"/>
                <w:lang w:val="en-GB" w:eastAsia="da-DK"/>
              </w:rPr>
              <w:t>1910.0 - 1930.0</w:t>
            </w:r>
          </w:p>
        </w:tc>
      </w:tr>
    </w:tbl>
    <w:p w14:paraId="5E567C1E" w14:textId="77777777" w:rsidR="00CD51AD" w:rsidRPr="00040BEC" w:rsidRDefault="00CD51AD" w:rsidP="00FC2E95">
      <w:pPr>
        <w:pStyle w:val="ECCParagraph"/>
      </w:pPr>
    </w:p>
    <w:p w14:paraId="36E478F8" w14:textId="77777777" w:rsidR="00CD51AD" w:rsidRPr="00040BEC" w:rsidRDefault="00CD51AD" w:rsidP="00FC2E95">
      <w:pPr>
        <w:pStyle w:val="ECCParagraph"/>
      </w:pPr>
      <w:r w:rsidRPr="00040BEC">
        <w:t>PHS services range from digital walky-talky to cordless</w:t>
      </w:r>
      <w:r w:rsidR="00FC2E95" w:rsidRPr="00040BEC">
        <w:t xml:space="preserve"> telephony, WLL and local FWA (</w:t>
      </w:r>
      <w:r w:rsidRPr="00040BEC">
        <w:t>up to about 10 km distance), private as well as public PHS services.</w:t>
      </w:r>
    </w:p>
    <w:p w14:paraId="76019569" w14:textId="77777777" w:rsidR="00CD51AD" w:rsidRPr="00040BEC" w:rsidRDefault="00EE1B6E" w:rsidP="00FC2E95">
      <w:pPr>
        <w:pStyle w:val="ECCParagraph"/>
      </w:pPr>
      <w:hyperlink r:id="rId15" w:history="1">
        <w:r w:rsidR="00545EB4" w:rsidRPr="00040BEC">
          <w:rPr>
            <w:rStyle w:val="Hyperlink"/>
          </w:rPr>
          <w:t>http://www.phsmou.org/resources/PHSGuidebook_4th.pdf</w:t>
        </w:r>
      </w:hyperlink>
      <w:r w:rsidR="00CD51AD" w:rsidRPr="00040BEC">
        <w:t xml:space="preserve"> </w:t>
      </w:r>
    </w:p>
    <w:p w14:paraId="35CDDCC0" w14:textId="77777777" w:rsidR="00CD51AD" w:rsidRPr="00040BEC" w:rsidRDefault="00CD51AD" w:rsidP="00FC2E95">
      <w:pPr>
        <w:pStyle w:val="ECCParagraph"/>
      </w:pPr>
      <w:r w:rsidRPr="00040BEC">
        <w:t>By October 2006</w:t>
      </w:r>
      <w:r w:rsidR="00FC2E95" w:rsidRPr="00040BEC">
        <w:t>,</w:t>
      </w:r>
      <w:r w:rsidRPr="00040BEC">
        <w:t xml:space="preserve"> the PHS service had as many as 93 million subscribers in a</w:t>
      </w:r>
      <w:r w:rsidR="00FC2E95" w:rsidRPr="00040BEC">
        <w:t xml:space="preserve">bout 600 cities in </w:t>
      </w:r>
      <w:r w:rsidRPr="00040BEC">
        <w:t xml:space="preserve">China. </w:t>
      </w:r>
      <w:r w:rsidR="00400623" w:rsidRPr="00040BEC">
        <w:t xml:space="preserve">PHS was officially closed by end 2009, some PHS users continue to use PHS phones, </w:t>
      </w:r>
      <w:proofErr w:type="gramStart"/>
      <w:r w:rsidR="00400623" w:rsidRPr="00040BEC">
        <w:t>operators</w:t>
      </w:r>
      <w:proofErr w:type="gramEnd"/>
      <w:r w:rsidR="00400623" w:rsidRPr="00040BEC">
        <w:t xml:space="preserve"> do not maintain anymore the installed PHS systems. </w:t>
      </w:r>
      <w:r w:rsidRPr="00040BEC">
        <w:t xml:space="preserve">The public PHS service in Taiwan </w:t>
      </w:r>
      <w:proofErr w:type="gramStart"/>
      <w:r w:rsidRPr="00040BEC">
        <w:t>is estimated</w:t>
      </w:r>
      <w:proofErr w:type="gramEnd"/>
      <w:r w:rsidRPr="00040BEC">
        <w:t xml:space="preserve"> </w:t>
      </w:r>
      <w:r w:rsidR="005F07FA" w:rsidRPr="00040BEC">
        <w:t>to have</w:t>
      </w:r>
      <w:r w:rsidRPr="00040BEC">
        <w:t xml:space="preserve"> at least 2 million subscribers.</w:t>
      </w:r>
    </w:p>
    <w:p w14:paraId="359A721D" w14:textId="77777777" w:rsidR="00CD51AD" w:rsidRPr="00040BEC" w:rsidRDefault="00CD51AD" w:rsidP="008E5B81">
      <w:pPr>
        <w:pStyle w:val="Heading2"/>
        <w:rPr>
          <w:lang w:val="en-GB"/>
        </w:rPr>
      </w:pPr>
      <w:bookmarkStart w:id="19" w:name="_Toc396903993"/>
      <w:bookmarkStart w:id="20" w:name="_Toc445129310"/>
      <w:r w:rsidRPr="00040BEC">
        <w:rPr>
          <w:lang w:val="en-GB"/>
        </w:rPr>
        <w:t>Previous studies on the unpaired 2 GH</w:t>
      </w:r>
      <w:r w:rsidRPr="00040BEC">
        <w:rPr>
          <w:sz w:val="16"/>
          <w:lang w:val="en-GB"/>
        </w:rPr>
        <w:t>z</w:t>
      </w:r>
      <w:r w:rsidRPr="00040BEC">
        <w:rPr>
          <w:lang w:val="en-GB"/>
        </w:rPr>
        <w:t xml:space="preserve"> bands</w:t>
      </w:r>
      <w:bookmarkEnd w:id="19"/>
      <w:bookmarkEnd w:id="20"/>
    </w:p>
    <w:p w14:paraId="01189D81" w14:textId="77777777" w:rsidR="00CD51AD" w:rsidRPr="00040BEC" w:rsidRDefault="003752B5" w:rsidP="005F07FA">
      <w:pPr>
        <w:pStyle w:val="ECCParagraph"/>
      </w:pPr>
      <w:r w:rsidRPr="00040BEC">
        <w:t xml:space="preserve">CEPT Report 039 </w:t>
      </w:r>
      <w:r w:rsidR="000A5980" w:rsidRPr="00040BEC">
        <w:fldChar w:fldCharType="begin"/>
      </w:r>
      <w:r w:rsidRPr="00040BEC">
        <w:instrText xml:space="preserve"> REF _Ref356388784 \n \h </w:instrText>
      </w:r>
      <w:r w:rsidR="000A5980" w:rsidRPr="00040BEC">
        <w:fldChar w:fldCharType="separate"/>
      </w:r>
      <w:r w:rsidR="002327BB">
        <w:t>[11]</w:t>
      </w:r>
      <w:r w:rsidR="000A5980" w:rsidRPr="00040BEC">
        <w:fldChar w:fldCharType="end"/>
      </w:r>
      <w:r w:rsidR="005F07FA" w:rsidRPr="00040BEC">
        <w:t xml:space="preserve"> </w:t>
      </w:r>
      <w:r w:rsidR="00CD51AD" w:rsidRPr="00040BEC">
        <w:t xml:space="preserve">has been the most recent work on the Unpaired 2 GHz frequency bands </w:t>
      </w:r>
      <w:r w:rsidR="00736401" w:rsidRPr="00040BEC">
        <w:t>and was prepared by CEPT in response to the Mandate from the European Commission, issued in June 2009, relating to the 2 GHz bands (1900-1980/2010-2025/2110-2170 MHz).</w:t>
      </w:r>
      <w:r w:rsidR="00CD51AD" w:rsidRPr="00040BEC">
        <w:t xml:space="preserve">. This CEPT Report </w:t>
      </w:r>
      <w:r w:rsidR="00520700" w:rsidRPr="00040BEC">
        <w:t>0</w:t>
      </w:r>
      <w:r w:rsidR="00CD51AD" w:rsidRPr="00040BEC">
        <w:t xml:space="preserve">39 </w:t>
      </w:r>
      <w:r w:rsidR="00AF0215" w:rsidRPr="00040BEC">
        <w:t xml:space="preserve">[11] </w:t>
      </w:r>
      <w:proofErr w:type="gramStart"/>
      <w:r w:rsidR="00CD51AD" w:rsidRPr="00040BEC">
        <w:t xml:space="preserve">was </w:t>
      </w:r>
      <w:r w:rsidR="00736401" w:rsidRPr="00040BEC">
        <w:t>based</w:t>
      </w:r>
      <w:proofErr w:type="gramEnd"/>
      <w:r w:rsidR="00CD51AD" w:rsidRPr="00040BEC">
        <w:t xml:space="preserve"> on the work carried out in </w:t>
      </w:r>
      <w:r w:rsidRPr="00040BEC">
        <w:t xml:space="preserve">ERC Report 065 </w:t>
      </w:r>
      <w:r w:rsidR="000A5980" w:rsidRPr="00040BEC">
        <w:fldChar w:fldCharType="begin"/>
      </w:r>
      <w:r w:rsidRPr="00040BEC">
        <w:instrText xml:space="preserve"> REF _Ref356388677 \n \h </w:instrText>
      </w:r>
      <w:r w:rsidR="000A5980" w:rsidRPr="00040BEC">
        <w:fldChar w:fldCharType="separate"/>
      </w:r>
      <w:r w:rsidR="002327BB">
        <w:t>[13]</w:t>
      </w:r>
      <w:r w:rsidR="000A5980" w:rsidRPr="00040BEC">
        <w:fldChar w:fldCharType="end"/>
      </w:r>
      <w:r w:rsidR="00CD51AD" w:rsidRPr="00040BEC">
        <w:t>, by considering developments in characteristics of systems operating in adjacent bands and by considering technology</w:t>
      </w:r>
      <w:r w:rsidR="0084262B" w:rsidRPr="00040BEC">
        <w:t>-</w:t>
      </w:r>
      <w:r w:rsidR="00CD51AD" w:rsidRPr="00040BEC">
        <w:t xml:space="preserve">neutral approach to allow technologies other than UMTS to be deployed. It </w:t>
      </w:r>
      <w:proofErr w:type="gramStart"/>
      <w:r w:rsidR="00CD51AD" w:rsidRPr="00040BEC">
        <w:t>was found</w:t>
      </w:r>
      <w:proofErr w:type="gramEnd"/>
      <w:r w:rsidR="00CD51AD" w:rsidRPr="00040BEC">
        <w:t xml:space="preserve"> that the conclusions of ERC Report 065</w:t>
      </w:r>
      <w:r w:rsidR="00E2014B" w:rsidRPr="00040BEC">
        <w:t xml:space="preserve"> </w:t>
      </w:r>
      <w:r w:rsidR="000A5980" w:rsidRPr="00040BEC">
        <w:fldChar w:fldCharType="begin"/>
      </w:r>
      <w:r w:rsidR="00E2014B" w:rsidRPr="00040BEC">
        <w:instrText xml:space="preserve"> REF _Ref387907962 \r \h </w:instrText>
      </w:r>
      <w:r w:rsidR="000A5980" w:rsidRPr="00040BEC">
        <w:fldChar w:fldCharType="separate"/>
      </w:r>
      <w:r w:rsidR="002327BB">
        <w:t>[13]</w:t>
      </w:r>
      <w:r w:rsidR="000A5980" w:rsidRPr="00040BEC">
        <w:fldChar w:fldCharType="end"/>
      </w:r>
      <w:r w:rsidR="00CD51AD" w:rsidRPr="00040BEC">
        <w:t xml:space="preserve"> remain valid. </w:t>
      </w:r>
      <w:r w:rsidR="00960AE6" w:rsidRPr="00040BEC">
        <w:t xml:space="preserve"> In the CEPT </w:t>
      </w:r>
      <w:r w:rsidR="00BE355F" w:rsidRPr="00040BEC">
        <w:t>R</w:t>
      </w:r>
      <w:r w:rsidR="00960AE6" w:rsidRPr="00040BEC">
        <w:t>eport 39</w:t>
      </w:r>
      <w:r w:rsidR="00BE355F" w:rsidRPr="00040BEC">
        <w:t xml:space="preserve"> [11]</w:t>
      </w:r>
      <w:r w:rsidR="00960AE6" w:rsidRPr="00040BEC">
        <w:t xml:space="preserve">, the least restrictive technical conditions for both 2 GHz FDD and TDD bands </w:t>
      </w:r>
      <w:proofErr w:type="gramStart"/>
      <w:r w:rsidR="00960AE6" w:rsidRPr="00040BEC">
        <w:t>have been defined</w:t>
      </w:r>
      <w:proofErr w:type="gramEnd"/>
      <w:r w:rsidR="00960AE6" w:rsidRPr="00040BEC">
        <w:t xml:space="preserve">. In order to protect the commercial 2GHz FDD UMTS system, TDD blocks in 1900-1920 MHz in-band transmit powers were limited from 20 </w:t>
      </w:r>
      <w:proofErr w:type="spellStart"/>
      <w:r w:rsidR="00960AE6" w:rsidRPr="00040BEC">
        <w:t>dBm</w:t>
      </w:r>
      <w:proofErr w:type="spellEnd"/>
      <w:r w:rsidR="00960AE6" w:rsidRPr="00040BEC">
        <w:t xml:space="preserve"> to 43 </w:t>
      </w:r>
      <w:proofErr w:type="spellStart"/>
      <w:r w:rsidR="00960AE6" w:rsidRPr="00040BEC">
        <w:t>dBm</w:t>
      </w:r>
      <w:proofErr w:type="spellEnd"/>
      <w:r w:rsidR="00960AE6" w:rsidRPr="00040BEC">
        <w:t>.</w:t>
      </w:r>
    </w:p>
    <w:p w14:paraId="285EFE9C" w14:textId="77777777" w:rsidR="00CD51AD" w:rsidRPr="00040BEC" w:rsidRDefault="00CD51AD" w:rsidP="005F07FA">
      <w:pPr>
        <w:pStyle w:val="ECCParagraph"/>
      </w:pPr>
      <w:r w:rsidRPr="00040BEC">
        <w:t xml:space="preserve">Available studies identified are </w:t>
      </w:r>
      <w:r w:rsidR="003752B5" w:rsidRPr="00040BEC">
        <w:t xml:space="preserve">ERC Report 64 </w:t>
      </w:r>
      <w:r w:rsidR="000A5980" w:rsidRPr="00040BEC">
        <w:fldChar w:fldCharType="begin"/>
      </w:r>
      <w:r w:rsidR="003752B5" w:rsidRPr="00040BEC">
        <w:instrText xml:space="preserve"> REF _Ref356388868 \n \h </w:instrText>
      </w:r>
      <w:r w:rsidR="000A5980" w:rsidRPr="00040BEC">
        <w:fldChar w:fldCharType="separate"/>
      </w:r>
      <w:r w:rsidR="002327BB">
        <w:t>[12]</w:t>
      </w:r>
      <w:r w:rsidR="000A5980" w:rsidRPr="00040BEC">
        <w:fldChar w:fldCharType="end"/>
      </w:r>
      <w:r w:rsidR="003752B5" w:rsidRPr="00040BEC">
        <w:t xml:space="preserve"> </w:t>
      </w:r>
      <w:r w:rsidRPr="00040BEC">
        <w:t>(Sharing between UMTS and existing fixed services) and ERC Report 65</w:t>
      </w:r>
      <w:r w:rsidR="003752B5" w:rsidRPr="00040BEC">
        <w:t xml:space="preserve"> </w:t>
      </w:r>
      <w:r w:rsidR="000A5980" w:rsidRPr="00040BEC">
        <w:fldChar w:fldCharType="begin"/>
      </w:r>
      <w:r w:rsidR="003752B5" w:rsidRPr="00040BEC">
        <w:instrText xml:space="preserve"> REF _Ref356388677 \n \h </w:instrText>
      </w:r>
      <w:r w:rsidR="000A5980" w:rsidRPr="00040BEC">
        <w:fldChar w:fldCharType="separate"/>
      </w:r>
      <w:r w:rsidR="002327BB">
        <w:t>[13]</w:t>
      </w:r>
      <w:r w:rsidR="000A5980" w:rsidRPr="00040BEC">
        <w:fldChar w:fldCharType="end"/>
      </w:r>
      <w:r w:rsidRPr="00040BEC">
        <w:t xml:space="preserve"> (Adjacent band compatibility between UMTS and other 2 GHz services)</w:t>
      </w:r>
      <w:r w:rsidR="00520700" w:rsidRPr="00040BEC">
        <w:t>, both</w:t>
      </w:r>
      <w:r w:rsidRPr="00040BEC">
        <w:t xml:space="preserve"> address</w:t>
      </w:r>
      <w:r w:rsidR="00520700" w:rsidRPr="00040BEC">
        <w:t>ing</w:t>
      </w:r>
      <w:r w:rsidRPr="00040BEC">
        <w:t xml:space="preserve"> the bands 1900-1920 MHz and 2010-2025 </w:t>
      </w:r>
      <w:proofErr w:type="spellStart"/>
      <w:r w:rsidRPr="00040BEC">
        <w:t>MHz.</w:t>
      </w:r>
      <w:proofErr w:type="spellEnd"/>
      <w:r w:rsidRPr="00040BEC">
        <w:t xml:space="preserve"> These </w:t>
      </w:r>
      <w:r w:rsidR="003752B5" w:rsidRPr="00040BEC">
        <w:t>r</w:t>
      </w:r>
      <w:r w:rsidRPr="00040BEC">
        <w:t xml:space="preserve">eports </w:t>
      </w:r>
      <w:proofErr w:type="gramStart"/>
      <w:r w:rsidRPr="00040BEC">
        <w:t>have been agreed</w:t>
      </w:r>
      <w:proofErr w:type="gramEnd"/>
      <w:r w:rsidRPr="00040BEC">
        <w:t xml:space="preserve"> in 1999 in the context of the designation of the bands for UMTS. </w:t>
      </w:r>
    </w:p>
    <w:p w14:paraId="5F5A689C" w14:textId="77777777" w:rsidR="00CD51AD" w:rsidRPr="00040BEC" w:rsidRDefault="00CD51AD" w:rsidP="005F07FA">
      <w:pPr>
        <w:pStyle w:val="ECCParagraph"/>
      </w:pPr>
      <w:r w:rsidRPr="00040BEC">
        <w:t xml:space="preserve">In addition, CEPT Report </w:t>
      </w:r>
      <w:r w:rsidR="00520700" w:rsidRPr="00040BEC">
        <w:t>0</w:t>
      </w:r>
      <w:r w:rsidRPr="00040BEC">
        <w:t>19</w:t>
      </w:r>
      <w:r w:rsidR="003752B5" w:rsidRPr="00040BEC">
        <w:t xml:space="preserve"> </w:t>
      </w:r>
      <w:r w:rsidR="000A5980" w:rsidRPr="00040BEC">
        <w:fldChar w:fldCharType="begin"/>
      </w:r>
      <w:r w:rsidR="003752B5" w:rsidRPr="00040BEC">
        <w:instrText xml:space="preserve"> REF _Ref356388900 \n \h </w:instrText>
      </w:r>
      <w:r w:rsidR="000A5980" w:rsidRPr="00040BEC">
        <w:fldChar w:fldCharType="separate"/>
      </w:r>
      <w:r w:rsidR="002327BB">
        <w:t>[10]</w:t>
      </w:r>
      <w:r w:rsidR="000A5980" w:rsidRPr="00040BEC">
        <w:fldChar w:fldCharType="end"/>
      </w:r>
      <w:r w:rsidRPr="00040BEC">
        <w:t xml:space="preserve"> </w:t>
      </w:r>
      <w:r w:rsidR="00520700" w:rsidRPr="00040BEC">
        <w:t xml:space="preserve">was prepared </w:t>
      </w:r>
      <w:r w:rsidRPr="00040BEC">
        <w:t xml:space="preserve">in response to the </w:t>
      </w:r>
      <w:r w:rsidR="00520700" w:rsidRPr="00040BEC">
        <w:t xml:space="preserve">EC </w:t>
      </w:r>
      <w:r w:rsidRPr="00040BEC">
        <w:t>Mandate to develop least restrictive technical conditions for frequency bands addressed in the context of WAPECS</w:t>
      </w:r>
      <w:r w:rsidR="00520700" w:rsidRPr="00040BEC">
        <w:t>. The</w:t>
      </w:r>
      <w:r w:rsidRPr="00040BEC">
        <w:t xml:space="preserve"> Final Report </w:t>
      </w:r>
      <w:proofErr w:type="gramStart"/>
      <w:r w:rsidR="00520700" w:rsidRPr="00040BEC">
        <w:t>was issued</w:t>
      </w:r>
      <w:proofErr w:type="gramEnd"/>
      <w:r w:rsidR="00520700" w:rsidRPr="00040BEC">
        <w:t xml:space="preserve"> </w:t>
      </w:r>
      <w:r w:rsidRPr="00040BEC">
        <w:t>on 21 December 2007</w:t>
      </w:r>
      <w:r w:rsidR="00520700" w:rsidRPr="00040BEC">
        <w:t>,</w:t>
      </w:r>
      <w:r w:rsidRPr="00040BEC">
        <w:t xml:space="preserve"> with editorial revisions </w:t>
      </w:r>
      <w:r w:rsidR="00520700" w:rsidRPr="00040BEC">
        <w:t xml:space="preserve">made </w:t>
      </w:r>
      <w:r w:rsidRPr="00040BEC">
        <w:t>on 17 March 2008 and 30 October 2008.</w:t>
      </w:r>
    </w:p>
    <w:p w14:paraId="2A6C0805" w14:textId="77777777" w:rsidR="00CD51AD" w:rsidRPr="00040BEC" w:rsidRDefault="00CD51AD" w:rsidP="008E5B81">
      <w:pPr>
        <w:pStyle w:val="Heading2"/>
        <w:rPr>
          <w:lang w:val="en-GB"/>
        </w:rPr>
      </w:pPr>
      <w:bookmarkStart w:id="21" w:name="_Toc396903994"/>
      <w:bookmarkStart w:id="22" w:name="_Toc445129311"/>
      <w:r w:rsidRPr="00040BEC">
        <w:rPr>
          <w:lang w:val="en-GB"/>
        </w:rPr>
        <w:t>Identification of alternative uses for both unpaired 2 GH</w:t>
      </w:r>
      <w:r w:rsidRPr="00040BEC">
        <w:rPr>
          <w:sz w:val="16"/>
          <w:lang w:val="en-GB"/>
        </w:rPr>
        <w:t>z</w:t>
      </w:r>
      <w:r w:rsidRPr="00040BEC">
        <w:rPr>
          <w:lang w:val="en-GB"/>
        </w:rPr>
        <w:t xml:space="preserve"> bands</w:t>
      </w:r>
      <w:bookmarkEnd w:id="21"/>
      <w:bookmarkEnd w:id="22"/>
    </w:p>
    <w:p w14:paraId="0D7C73CC" w14:textId="77777777" w:rsidR="00440FEC" w:rsidRPr="00040BEC" w:rsidRDefault="00440FEC" w:rsidP="004204C5">
      <w:pPr>
        <w:pStyle w:val="ECCParagraph"/>
        <w:spacing w:after="120"/>
        <w:rPr>
          <w:rFonts w:cs="Arial"/>
          <w:szCs w:val="22"/>
        </w:rPr>
      </w:pPr>
      <w:r w:rsidRPr="00040BEC">
        <w:t>CEPT ha</w:t>
      </w:r>
      <w:r w:rsidR="00931B5C" w:rsidRPr="00040BEC">
        <w:t>d</w:t>
      </w:r>
      <w:r w:rsidRPr="00040BEC">
        <w:t xml:space="preserve"> investigated, in the past</w:t>
      </w:r>
      <w:r w:rsidR="00453FA9" w:rsidRPr="00040BEC">
        <w:t xml:space="preserve"> three years</w:t>
      </w:r>
      <w:r w:rsidR="00931B5C" w:rsidRPr="00040BEC">
        <w:t xml:space="preserve"> before the EC Mandate </w:t>
      </w:r>
      <w:proofErr w:type="gramStart"/>
      <w:r w:rsidR="00931B5C" w:rsidRPr="00040BEC">
        <w:t>was issued</w:t>
      </w:r>
      <w:proofErr w:type="gramEnd"/>
      <w:r w:rsidRPr="00040BEC">
        <w:t xml:space="preserve">, </w:t>
      </w:r>
      <w:r w:rsidRPr="00040BEC">
        <w:rPr>
          <w:rFonts w:cs="Arial"/>
          <w:szCs w:val="22"/>
        </w:rPr>
        <w:t xml:space="preserve">many usage scenarios for </w:t>
      </w:r>
      <w:r w:rsidR="007B2E5E" w:rsidRPr="00040BEC">
        <w:rPr>
          <w:rFonts w:cs="Arial"/>
          <w:szCs w:val="22"/>
        </w:rPr>
        <w:t xml:space="preserve">the frequency bands </w:t>
      </w:r>
      <w:r w:rsidR="007B2E5E" w:rsidRPr="00040BEC">
        <w:t>1900-1920 MHz and 2010-2025 MHz</w:t>
      </w:r>
      <w:r w:rsidRPr="00040BEC">
        <w:rPr>
          <w:rFonts w:cs="Arial"/>
          <w:szCs w:val="22"/>
        </w:rPr>
        <w:t xml:space="preserve">, in view of finding a suitable solution for the </w:t>
      </w:r>
      <w:r w:rsidR="00453FA9" w:rsidRPr="00040BEC">
        <w:rPr>
          <w:rFonts w:cs="Arial"/>
          <w:szCs w:val="22"/>
        </w:rPr>
        <w:t xml:space="preserve">currently </w:t>
      </w:r>
      <w:r w:rsidR="007B2E5E" w:rsidRPr="00040BEC">
        <w:rPr>
          <w:rFonts w:cs="Arial"/>
          <w:szCs w:val="22"/>
        </w:rPr>
        <w:t xml:space="preserve">unused unpaired </w:t>
      </w:r>
      <w:r w:rsidRPr="00040BEC">
        <w:rPr>
          <w:rFonts w:cs="Arial"/>
          <w:szCs w:val="22"/>
        </w:rPr>
        <w:t>2 GHz bands</w:t>
      </w:r>
      <w:r w:rsidR="007B2E5E" w:rsidRPr="00040BEC">
        <w:rPr>
          <w:rFonts w:cs="Arial"/>
          <w:szCs w:val="22"/>
        </w:rPr>
        <w:t xml:space="preserve">. The following options </w:t>
      </w:r>
      <w:proofErr w:type="gramStart"/>
      <w:r w:rsidR="007B2E5E" w:rsidRPr="00040BEC">
        <w:rPr>
          <w:rFonts w:cs="Arial"/>
          <w:szCs w:val="22"/>
        </w:rPr>
        <w:t>were considered and duly investigated</w:t>
      </w:r>
      <w:proofErr w:type="gramEnd"/>
      <w:r w:rsidR="007B2E5E" w:rsidRPr="00040BEC">
        <w:rPr>
          <w:rFonts w:cs="Arial"/>
          <w:szCs w:val="22"/>
        </w:rPr>
        <w:t>:</w:t>
      </w:r>
    </w:p>
    <w:p w14:paraId="7A7313A0" w14:textId="77777777" w:rsidR="007B2E5E" w:rsidRPr="00040BEC" w:rsidRDefault="007B2E5E" w:rsidP="00564B84">
      <w:pPr>
        <w:pStyle w:val="ECCParagraph"/>
        <w:numPr>
          <w:ilvl w:val="0"/>
          <w:numId w:val="19"/>
        </w:numPr>
        <w:spacing w:after="120"/>
        <w:ind w:left="567" w:hanging="283"/>
      </w:pPr>
      <w:r w:rsidRPr="00040BEC">
        <w:t>the pair</w:t>
      </w:r>
      <w:r w:rsidR="00453FA9" w:rsidRPr="00040BEC">
        <w:t>ing of</w:t>
      </w:r>
      <w:r w:rsidRPr="00040BEC">
        <w:t xml:space="preserve"> 1900-1920 MHz and 2010-2025 MHz </w:t>
      </w:r>
      <w:r w:rsidR="00453FA9" w:rsidRPr="00040BEC">
        <w:t>(between themselves or with others frequency bands) for IMT</w:t>
      </w:r>
      <w:r w:rsidRPr="00040BEC">
        <w:t>;</w:t>
      </w:r>
    </w:p>
    <w:p w14:paraId="2BC4DC02" w14:textId="77777777" w:rsidR="00453FA9" w:rsidRPr="00040BEC" w:rsidRDefault="00453FA9" w:rsidP="00564B84">
      <w:pPr>
        <w:pStyle w:val="ECCParagraph"/>
        <w:numPr>
          <w:ilvl w:val="0"/>
          <w:numId w:val="19"/>
        </w:numPr>
        <w:spacing w:after="120"/>
        <w:ind w:left="567" w:hanging="283"/>
      </w:pPr>
      <w:r w:rsidRPr="00040BEC">
        <w:t>the potential use of the unpaired band by low power applications;</w:t>
      </w:r>
    </w:p>
    <w:p w14:paraId="3A390E5F" w14:textId="77777777" w:rsidR="007B2E5E" w:rsidRPr="00040BEC" w:rsidRDefault="007B2E5E" w:rsidP="00564B84">
      <w:pPr>
        <w:pStyle w:val="ECCParagraph"/>
        <w:numPr>
          <w:ilvl w:val="0"/>
          <w:numId w:val="19"/>
        </w:numPr>
        <w:ind w:left="567" w:hanging="283"/>
      </w:pPr>
      <w:proofErr w:type="gramStart"/>
      <w:r w:rsidRPr="00040BEC">
        <w:t>the</w:t>
      </w:r>
      <w:proofErr w:type="gramEnd"/>
      <w:r w:rsidRPr="00040BEC">
        <w:t xml:space="preserve"> identification of alternative uses for 1900-1920 MHz and 2010-2025 MHz bands.</w:t>
      </w:r>
    </w:p>
    <w:p w14:paraId="39E91D97" w14:textId="77777777" w:rsidR="00CD51AD" w:rsidRPr="00040BEC" w:rsidRDefault="00180B2A" w:rsidP="00520700">
      <w:pPr>
        <w:pStyle w:val="ECCParagraph"/>
      </w:pPr>
      <w:r w:rsidRPr="00040BEC">
        <w:t>T</w:t>
      </w:r>
      <w:r w:rsidR="00CD51AD" w:rsidRPr="00040BEC">
        <w:t>he following alternative uses for the unpaired 2 GHz bands</w:t>
      </w:r>
      <w:r w:rsidR="00453FA9" w:rsidRPr="00040BEC">
        <w:t xml:space="preserve"> were considered the most suitable solutions</w:t>
      </w:r>
      <w:r w:rsidRPr="00040BEC">
        <w:t>,</w:t>
      </w:r>
      <w:r w:rsidR="00453FA9" w:rsidRPr="00040BEC">
        <w:t xml:space="preserve"> </w:t>
      </w:r>
      <w:proofErr w:type="gramStart"/>
      <w:r w:rsidR="00453FA9" w:rsidRPr="00040BEC">
        <w:t>as a result</w:t>
      </w:r>
      <w:proofErr w:type="gramEnd"/>
      <w:r w:rsidR="00453FA9" w:rsidRPr="00040BEC">
        <w:t xml:space="preserve"> of the CEPT investigation</w:t>
      </w:r>
      <w:r w:rsidR="00CD51AD" w:rsidRPr="00040BEC">
        <w:t>:</w:t>
      </w:r>
    </w:p>
    <w:p w14:paraId="3F2103D8" w14:textId="77777777" w:rsidR="00CD51AD" w:rsidRPr="00040BEC" w:rsidRDefault="00CD51AD" w:rsidP="00564B84">
      <w:pPr>
        <w:pStyle w:val="ListParagraph"/>
        <w:numPr>
          <w:ilvl w:val="0"/>
          <w:numId w:val="20"/>
        </w:numPr>
        <w:spacing w:after="120"/>
        <w:ind w:left="567" w:hanging="567"/>
        <w:jc w:val="both"/>
        <w:rPr>
          <w:rFonts w:cs="Arial"/>
          <w:b/>
          <w:lang w:val="en-GB" w:eastAsia="de-DE"/>
        </w:rPr>
      </w:pPr>
      <w:r w:rsidRPr="00040BEC">
        <w:rPr>
          <w:rFonts w:cs="Arial"/>
          <w:lang w:val="en-GB" w:eastAsia="de-DE"/>
        </w:rPr>
        <w:t xml:space="preserve">Use (parts of) the bands 1900-1920 MHz and/or 2010-2025 MHz to satisfy the spectrum demand of 20 MHz TDD or 2x10 MHz FDD for </w:t>
      </w:r>
      <w:r w:rsidRPr="00040BEC">
        <w:rPr>
          <w:rFonts w:cs="Arial"/>
          <w:b/>
          <w:lang w:val="en-GB" w:eastAsia="de-DE"/>
        </w:rPr>
        <w:t>Broadband DA2GC</w:t>
      </w:r>
      <w:r w:rsidRPr="00040BEC">
        <w:rPr>
          <w:rFonts w:cs="Arial"/>
          <w:lang w:val="en-GB" w:eastAsia="de-DE"/>
        </w:rPr>
        <w:t>.</w:t>
      </w:r>
    </w:p>
    <w:p w14:paraId="709D5513" w14:textId="77777777" w:rsidR="00CD51AD" w:rsidRPr="00040BEC" w:rsidRDefault="00CD51AD" w:rsidP="00564B84">
      <w:pPr>
        <w:spacing w:after="120"/>
        <w:jc w:val="both"/>
        <w:rPr>
          <w:rFonts w:cs="Arial"/>
          <w:lang w:val="en-GB" w:eastAsia="de-DE"/>
        </w:rPr>
      </w:pPr>
      <w:r w:rsidRPr="00040BEC">
        <w:rPr>
          <w:rFonts w:cs="Arial"/>
          <w:lang w:val="en-GB" w:eastAsia="de-DE"/>
        </w:rPr>
        <w:t>The following options / combinations of bands for Broadband DA2GC would be possible:</w:t>
      </w:r>
    </w:p>
    <w:p w14:paraId="5ED5B169" w14:textId="77777777" w:rsidR="00070F33" w:rsidRPr="00040BEC" w:rsidRDefault="00070F33" w:rsidP="00564B84">
      <w:pPr>
        <w:pStyle w:val="ECCParBulleted"/>
        <w:tabs>
          <w:tab w:val="clear" w:pos="680"/>
          <w:tab w:val="num" w:pos="567"/>
        </w:tabs>
        <w:ind w:left="567" w:hanging="283"/>
      </w:pPr>
      <w:r w:rsidRPr="00040BEC">
        <w:t xml:space="preserve">Use of the band 1900-1920 MHz for TDD Broadband DA2GC (guard bands may be required); </w:t>
      </w:r>
    </w:p>
    <w:p w14:paraId="4703FE8F" w14:textId="77777777" w:rsidR="00070F33" w:rsidRPr="00040BEC" w:rsidRDefault="00070F33" w:rsidP="00564B84">
      <w:pPr>
        <w:pStyle w:val="ECCParBulleted"/>
        <w:tabs>
          <w:tab w:val="clear" w:pos="680"/>
          <w:tab w:val="num" w:pos="567"/>
        </w:tabs>
        <w:ind w:left="567" w:hanging="283"/>
      </w:pPr>
      <w:r w:rsidRPr="00040BEC">
        <w:t xml:space="preserve">Pair 10 MHz within the band 1900-1920 MHz with 10 MHz within the band 2010-2025 MHz for </w:t>
      </w:r>
      <w:r w:rsidRPr="00040BEC">
        <w:rPr>
          <w:b/>
        </w:rPr>
        <w:t>FDD Broadband DA2GC</w:t>
      </w:r>
      <w:r w:rsidRPr="00040BEC">
        <w:t xml:space="preserve"> (guard bands may be required), and use the remaining 15 MHz within 1900-1920 MHz and 2020-2025 MHz for </w:t>
      </w:r>
      <w:r w:rsidRPr="00040BEC">
        <w:rPr>
          <w:b/>
        </w:rPr>
        <w:t xml:space="preserve">video links and/or other SRDs </w:t>
      </w:r>
      <w:r w:rsidRPr="00040BEC">
        <w:t>(guard bands may be required);</w:t>
      </w:r>
    </w:p>
    <w:p w14:paraId="7F497FA0" w14:textId="77777777" w:rsidR="00070F33" w:rsidRPr="00040BEC" w:rsidRDefault="00070F33" w:rsidP="00564B84">
      <w:pPr>
        <w:pStyle w:val="ECCParBulleted"/>
        <w:tabs>
          <w:tab w:val="clear" w:pos="680"/>
          <w:tab w:val="num" w:pos="567"/>
        </w:tabs>
        <w:ind w:left="567" w:hanging="283"/>
      </w:pPr>
      <w:r w:rsidRPr="00040BEC">
        <w:t>Pairing of the bands 1900-1920 MHz and 2010-2025 MHz, from a cellular mobile point of view (mass market), was studied</w:t>
      </w:r>
      <w:r w:rsidR="00E11216" w:rsidRPr="00040BEC">
        <w:t xml:space="preserve"> for UMTS technology</w:t>
      </w:r>
      <w:r w:rsidRPr="00040BEC">
        <w:t xml:space="preserve">. Increased complexity (additional bands) in User Equipment (UE) design compared to very </w:t>
      </w:r>
      <w:proofErr w:type="gramStart"/>
      <w:r w:rsidRPr="00040BEC">
        <w:t>limited</w:t>
      </w:r>
      <w:proofErr w:type="gramEnd"/>
      <w:r w:rsidRPr="00040BEC">
        <w:t xml:space="preserve"> economic benefits for the cellular mobile community led to lack of support from Industry. The situation was considered different for Broadband DA2GC, due to equipment dedicated to these two bands only;</w:t>
      </w:r>
    </w:p>
    <w:p w14:paraId="41B2087F" w14:textId="77777777" w:rsidR="00070F33" w:rsidRDefault="00070F33" w:rsidP="0019256B">
      <w:pPr>
        <w:pStyle w:val="ListParagraph"/>
        <w:numPr>
          <w:ilvl w:val="0"/>
          <w:numId w:val="20"/>
        </w:numPr>
        <w:spacing w:before="120" w:after="120"/>
        <w:ind w:left="567" w:hanging="567"/>
        <w:jc w:val="both"/>
        <w:rPr>
          <w:b/>
          <w:lang w:val="en-GB"/>
        </w:rPr>
      </w:pPr>
      <w:r w:rsidRPr="00040BEC">
        <w:rPr>
          <w:lang w:val="en-GB"/>
        </w:rPr>
        <w:t xml:space="preserve">Use of the entire 1900-1920 MHz and/or 2010-2025 MHz band for </w:t>
      </w:r>
      <w:r w:rsidRPr="00040BEC">
        <w:rPr>
          <w:b/>
          <w:lang w:val="en-GB"/>
        </w:rPr>
        <w:t>PMSE</w:t>
      </w:r>
      <w:r w:rsidRPr="00040BEC">
        <w:rPr>
          <w:lang w:val="en-GB"/>
        </w:rPr>
        <w:t xml:space="preserve"> (in particular, video links);</w:t>
      </w:r>
      <w:r w:rsidRPr="00040BEC">
        <w:rPr>
          <w:b/>
          <w:lang w:val="en-GB"/>
        </w:rPr>
        <w:t xml:space="preserve"> several PMSE use cases have been identified;</w:t>
      </w:r>
    </w:p>
    <w:p w14:paraId="44F63276" w14:textId="77777777" w:rsidR="00A30530" w:rsidRPr="00040BEC" w:rsidRDefault="00A30530" w:rsidP="00564B84">
      <w:pPr>
        <w:pStyle w:val="ListParagraph"/>
        <w:spacing w:before="360" w:after="120"/>
        <w:ind w:left="567" w:hanging="567"/>
        <w:jc w:val="both"/>
        <w:rPr>
          <w:b/>
          <w:lang w:val="en-GB"/>
        </w:rPr>
      </w:pPr>
    </w:p>
    <w:p w14:paraId="65FCD537" w14:textId="77777777" w:rsidR="00070F33" w:rsidRPr="00A30530" w:rsidRDefault="00070F33" w:rsidP="00564B84">
      <w:pPr>
        <w:pStyle w:val="ListParagraph"/>
        <w:numPr>
          <w:ilvl w:val="0"/>
          <w:numId w:val="20"/>
        </w:numPr>
        <w:spacing w:after="120"/>
        <w:ind w:left="567" w:hanging="567"/>
        <w:jc w:val="both"/>
        <w:rPr>
          <w:b/>
          <w:lang w:val="en-GB"/>
        </w:rPr>
      </w:pPr>
      <w:r w:rsidRPr="00040BEC">
        <w:rPr>
          <w:lang w:val="en-GB"/>
        </w:rPr>
        <w:lastRenderedPageBreak/>
        <w:t xml:space="preserve">Use of both bands for </w:t>
      </w:r>
      <w:r w:rsidRPr="00040BEC">
        <w:rPr>
          <w:b/>
          <w:lang w:val="en-GB"/>
        </w:rPr>
        <w:t>SRDs</w:t>
      </w:r>
      <w:r w:rsidRPr="00040BEC">
        <w:rPr>
          <w:lang w:val="en-GB"/>
        </w:rPr>
        <w:t xml:space="preserve"> (e.g.: among those applications requiring spectrum in the 2.4 GHz band); it has been noted that studies would first require the knowledge and identification of the future primary service use(s) in the bands;</w:t>
      </w:r>
    </w:p>
    <w:p w14:paraId="326789C8" w14:textId="77777777" w:rsidR="00A30530" w:rsidRPr="00A30530" w:rsidRDefault="00A30530" w:rsidP="00564B84">
      <w:pPr>
        <w:pStyle w:val="ListParagraph"/>
        <w:ind w:left="567" w:hanging="567"/>
        <w:rPr>
          <w:b/>
          <w:lang w:val="en-GB"/>
        </w:rPr>
      </w:pPr>
    </w:p>
    <w:p w14:paraId="2F8C7A18" w14:textId="77777777" w:rsidR="00070F33" w:rsidRPr="00A30530" w:rsidRDefault="00070F33" w:rsidP="00564B84">
      <w:pPr>
        <w:pStyle w:val="ListParagraph"/>
        <w:numPr>
          <w:ilvl w:val="0"/>
          <w:numId w:val="20"/>
        </w:numPr>
        <w:spacing w:after="120"/>
        <w:ind w:left="567" w:hanging="567"/>
        <w:jc w:val="both"/>
        <w:rPr>
          <w:b/>
          <w:lang w:val="en-GB"/>
        </w:rPr>
      </w:pPr>
      <w:r w:rsidRPr="00040BEC">
        <w:rPr>
          <w:lang w:val="en-GB"/>
        </w:rPr>
        <w:t xml:space="preserve">To make spectrum in the band 1900-1920 MHz available for DECT, </w:t>
      </w:r>
      <w:proofErr w:type="gramStart"/>
      <w:r w:rsidRPr="00040BEC">
        <w:rPr>
          <w:lang w:val="en-GB"/>
        </w:rPr>
        <w:t>which is adjacent to the 1880-1900 MHz band (the “DECT” band).</w:t>
      </w:r>
      <w:proofErr w:type="gramEnd"/>
    </w:p>
    <w:p w14:paraId="21233CB3" w14:textId="77777777" w:rsidR="00A30530" w:rsidRPr="00A30530" w:rsidRDefault="00A30530" w:rsidP="00564B84">
      <w:pPr>
        <w:pStyle w:val="ListParagraph"/>
        <w:ind w:left="567" w:hanging="567"/>
        <w:rPr>
          <w:b/>
          <w:lang w:val="en-GB"/>
        </w:rPr>
      </w:pPr>
    </w:p>
    <w:p w14:paraId="3B34BFC3" w14:textId="77777777" w:rsidR="00070F33" w:rsidRPr="00564B84" w:rsidRDefault="00070F33" w:rsidP="00564B84">
      <w:pPr>
        <w:pStyle w:val="ListParagraph"/>
        <w:numPr>
          <w:ilvl w:val="0"/>
          <w:numId w:val="20"/>
        </w:numPr>
        <w:spacing w:after="120"/>
        <w:ind w:left="567" w:hanging="567"/>
        <w:jc w:val="both"/>
        <w:rPr>
          <w:b/>
          <w:lang w:val="en-GB"/>
        </w:rPr>
      </w:pPr>
      <w:r w:rsidRPr="00040BEC">
        <w:rPr>
          <w:b/>
          <w:lang w:val="en-GB"/>
        </w:rPr>
        <w:t>Ad-hoc</w:t>
      </w:r>
      <w:r w:rsidRPr="00040BEC">
        <w:rPr>
          <w:lang w:val="en-GB"/>
        </w:rPr>
        <w:t xml:space="preserve"> </w:t>
      </w:r>
      <w:r w:rsidRPr="00040BEC">
        <w:rPr>
          <w:b/>
          <w:lang w:val="en-GB"/>
        </w:rPr>
        <w:t>Broadband PPDR</w:t>
      </w:r>
      <w:r w:rsidRPr="00040BEC">
        <w:rPr>
          <w:lang w:val="en-GB"/>
        </w:rPr>
        <w:t xml:space="preserve"> network; some use cases could be technically identical with identified PMSE use cases such as for wireless camera usage. </w:t>
      </w:r>
    </w:p>
    <w:p w14:paraId="6C7753D3" w14:textId="77777777" w:rsidR="00564B84" w:rsidRPr="00564B84" w:rsidRDefault="00564B84" w:rsidP="00564B84">
      <w:pPr>
        <w:pStyle w:val="ListParagraph"/>
        <w:rPr>
          <w:b/>
          <w:lang w:val="en-GB"/>
        </w:rPr>
      </w:pPr>
    </w:p>
    <w:p w14:paraId="5704C145" w14:textId="77777777" w:rsidR="00564B84" w:rsidRPr="00040BEC" w:rsidRDefault="00564B84" w:rsidP="00564B84">
      <w:pPr>
        <w:pStyle w:val="ListParagraph"/>
        <w:ind w:left="567"/>
        <w:jc w:val="both"/>
        <w:rPr>
          <w:b/>
          <w:lang w:val="en-GB"/>
        </w:rPr>
      </w:pPr>
    </w:p>
    <w:p w14:paraId="71AD7BE5" w14:textId="77777777" w:rsidR="00070F33" w:rsidRPr="00040BEC" w:rsidRDefault="00070F33" w:rsidP="00070F33">
      <w:pPr>
        <w:pStyle w:val="ECCParagraph"/>
      </w:pPr>
      <w:r w:rsidRPr="00040BEC">
        <w:t xml:space="preserve">Any of the above alternative uses for the unpaired 2 GHz spectrum </w:t>
      </w:r>
      <w:proofErr w:type="gramStart"/>
      <w:r w:rsidRPr="00040BEC">
        <w:t>w</w:t>
      </w:r>
      <w:r w:rsidR="001852B2" w:rsidRPr="00040BEC">
        <w:t>ere</w:t>
      </w:r>
      <w:r w:rsidRPr="00040BEC">
        <w:t xml:space="preserve"> considered</w:t>
      </w:r>
      <w:proofErr w:type="gramEnd"/>
      <w:r w:rsidRPr="00040BEC">
        <w:t xml:space="preserve"> to need further assessment in view of identifying the corresponding relevant technical conditions.</w:t>
      </w:r>
    </w:p>
    <w:p w14:paraId="2776FB27" w14:textId="77777777" w:rsidR="00070F33" w:rsidRPr="00040BEC" w:rsidRDefault="00070F33" w:rsidP="00070F33">
      <w:pPr>
        <w:pStyle w:val="ECCParagraph"/>
      </w:pPr>
      <w:r w:rsidRPr="00040BEC">
        <w:t xml:space="preserve">The future use of the unpaired 2 GHz bands could in some cases, be considered on a </w:t>
      </w:r>
      <w:r w:rsidR="004204C5" w:rsidRPr="00040BEC">
        <w:t>band-sharing</w:t>
      </w:r>
      <w:r w:rsidRPr="00040BEC">
        <w:t xml:space="preserve"> basis (depending on the applications to be considered, geographical separation </w:t>
      </w:r>
      <w:r w:rsidR="00736401" w:rsidRPr="00040BEC">
        <w:t>may</w:t>
      </w:r>
      <w:r w:rsidRPr="00040BEC">
        <w:t xml:space="preserve"> be required to avoid interference). </w:t>
      </w:r>
    </w:p>
    <w:p w14:paraId="1A8DBD7E" w14:textId="77777777" w:rsidR="001852B2" w:rsidRPr="00040BEC" w:rsidRDefault="00CD51AD" w:rsidP="00810692">
      <w:pPr>
        <w:pStyle w:val="ECCParagraph"/>
      </w:pPr>
      <w:r w:rsidRPr="00040BEC">
        <w:t xml:space="preserve">It </w:t>
      </w:r>
      <w:r w:rsidR="00137867" w:rsidRPr="00040BEC">
        <w:t xml:space="preserve">was </w:t>
      </w:r>
      <w:r w:rsidRPr="00040BEC">
        <w:t>as well be noted that harmonisation</w:t>
      </w:r>
      <w:r w:rsidR="00BE7CE8" w:rsidRPr="00040BEC">
        <w:t xml:space="preserve"> for alternative uses</w:t>
      </w:r>
      <w:r w:rsidRPr="00040BEC">
        <w:t xml:space="preserve"> </w:t>
      </w:r>
      <w:r w:rsidR="00137867" w:rsidRPr="00040BEC">
        <w:t xml:space="preserve">could be </w:t>
      </w:r>
      <w:r w:rsidRPr="00040BEC">
        <w:t xml:space="preserve">hampered by </w:t>
      </w:r>
      <w:r w:rsidR="00BE7CE8" w:rsidRPr="00040BEC">
        <w:t xml:space="preserve">existing </w:t>
      </w:r>
      <w:r w:rsidRPr="00040BEC">
        <w:t xml:space="preserve">individual authorisations in force in some countries. </w:t>
      </w:r>
    </w:p>
    <w:p w14:paraId="4AAB58B3" w14:textId="77777777" w:rsidR="00CD51AD" w:rsidRPr="00040BEC" w:rsidRDefault="00CD51AD" w:rsidP="00810692">
      <w:pPr>
        <w:pStyle w:val="ECCParagraph"/>
      </w:pPr>
    </w:p>
    <w:p w14:paraId="2A76A145" w14:textId="77777777" w:rsidR="001852B2" w:rsidRPr="00040BEC" w:rsidRDefault="001852B2" w:rsidP="00176CF0">
      <w:pPr>
        <w:pStyle w:val="Heading1"/>
      </w:pPr>
      <w:bookmarkStart w:id="23" w:name="_Toc396903995"/>
      <w:bookmarkStart w:id="24" w:name="_Toc445129312"/>
      <w:r w:rsidRPr="00040BEC">
        <w:lastRenderedPageBreak/>
        <w:t>ALTERNATIVE USES INCLUDING SPECTRUM REQUIREMENTS</w:t>
      </w:r>
      <w:bookmarkEnd w:id="23"/>
      <w:bookmarkEnd w:id="24"/>
    </w:p>
    <w:p w14:paraId="6F220A6D" w14:textId="38827B73" w:rsidR="00100662" w:rsidRPr="00040BEC" w:rsidRDefault="007611E2" w:rsidP="002104CC">
      <w:pPr>
        <w:pStyle w:val="ECCParagraph"/>
      </w:pPr>
      <w:r w:rsidRPr="00040BEC">
        <w:t xml:space="preserve">In order to respond to the request of the EC mandate, the following alternative uses </w:t>
      </w:r>
      <w:proofErr w:type="gramStart"/>
      <w:r w:rsidRPr="00040BEC">
        <w:t>are considered</w:t>
      </w:r>
      <w:proofErr w:type="gramEnd"/>
      <w:r w:rsidRPr="00040BEC">
        <w:t xml:space="preserve"> under this section:</w:t>
      </w:r>
    </w:p>
    <w:p w14:paraId="07F6DA35" w14:textId="77777777" w:rsidR="00363418" w:rsidRPr="00040BEC" w:rsidRDefault="00363418" w:rsidP="00564B84">
      <w:pPr>
        <w:pStyle w:val="ECCNumberedBullets"/>
        <w:numPr>
          <w:ilvl w:val="0"/>
          <w:numId w:val="22"/>
        </w:numPr>
        <w:spacing w:after="240"/>
        <w:ind w:left="567" w:hanging="567"/>
        <w:rPr>
          <w:lang w:val="en-GB"/>
        </w:rPr>
      </w:pPr>
      <w:r w:rsidRPr="00040BEC">
        <w:rPr>
          <w:lang w:val="en-GB"/>
        </w:rPr>
        <w:t>Broadband Direct Air to Ground Communications</w:t>
      </w:r>
      <w:r w:rsidR="00736401" w:rsidRPr="00040BEC">
        <w:rPr>
          <w:lang w:val="en-GB"/>
        </w:rPr>
        <w:t xml:space="preserve"> (DA2GC)</w:t>
      </w:r>
      <w:r w:rsidRPr="00040BEC">
        <w:rPr>
          <w:lang w:val="en-GB"/>
        </w:rPr>
        <w:t>;</w:t>
      </w:r>
    </w:p>
    <w:p w14:paraId="241DD83B" w14:textId="77777777" w:rsidR="00363418" w:rsidRPr="00040BEC" w:rsidRDefault="00363418" w:rsidP="00564B84">
      <w:pPr>
        <w:pStyle w:val="ECCNumberedBullets"/>
        <w:numPr>
          <w:ilvl w:val="0"/>
          <w:numId w:val="22"/>
        </w:numPr>
        <w:spacing w:after="240"/>
        <w:ind w:left="567" w:hanging="567"/>
        <w:rPr>
          <w:lang w:val="en-GB"/>
        </w:rPr>
      </w:pPr>
      <w:r w:rsidRPr="00040BEC">
        <w:rPr>
          <w:lang w:val="en-GB"/>
        </w:rPr>
        <w:t>Programme Making and Special Events</w:t>
      </w:r>
      <w:r w:rsidR="00736401" w:rsidRPr="00040BEC">
        <w:rPr>
          <w:lang w:val="en-GB"/>
        </w:rPr>
        <w:t xml:space="preserve"> (PMSE)</w:t>
      </w:r>
      <w:r w:rsidRPr="00040BEC">
        <w:rPr>
          <w:lang w:val="en-GB"/>
        </w:rPr>
        <w:t>;</w:t>
      </w:r>
    </w:p>
    <w:p w14:paraId="27FD1305" w14:textId="77777777" w:rsidR="00363418" w:rsidRPr="00040BEC" w:rsidRDefault="00363418" w:rsidP="00564B84">
      <w:pPr>
        <w:pStyle w:val="ECCNumberedBullets"/>
        <w:numPr>
          <w:ilvl w:val="0"/>
          <w:numId w:val="22"/>
        </w:numPr>
        <w:spacing w:after="240"/>
        <w:ind w:left="567" w:hanging="567"/>
        <w:rPr>
          <w:lang w:val="en-GB"/>
        </w:rPr>
      </w:pPr>
      <w:r w:rsidRPr="00040BEC">
        <w:rPr>
          <w:lang w:val="en-GB"/>
        </w:rPr>
        <w:t>Short Range Devices</w:t>
      </w:r>
      <w:r w:rsidR="000A5980" w:rsidRPr="00040BEC">
        <w:rPr>
          <w:lang w:val="en-GB"/>
        </w:rPr>
        <w:t xml:space="preserve"> </w:t>
      </w:r>
      <w:r w:rsidR="00736401" w:rsidRPr="00040BEC">
        <w:rPr>
          <w:lang w:val="en-GB"/>
        </w:rPr>
        <w:t>(SRD)</w:t>
      </w:r>
      <w:r w:rsidRPr="00040BEC">
        <w:rPr>
          <w:lang w:val="en-GB"/>
        </w:rPr>
        <w:t>;</w:t>
      </w:r>
    </w:p>
    <w:p w14:paraId="32CF7A83" w14:textId="77777777" w:rsidR="00363418" w:rsidRPr="00040BEC" w:rsidRDefault="00363418" w:rsidP="00564B84">
      <w:pPr>
        <w:pStyle w:val="ECCNumberedBullets"/>
        <w:numPr>
          <w:ilvl w:val="0"/>
          <w:numId w:val="22"/>
        </w:numPr>
        <w:spacing w:after="240"/>
        <w:ind w:left="567" w:hanging="567"/>
        <w:rPr>
          <w:lang w:val="en-GB"/>
        </w:rPr>
      </w:pPr>
      <w:r w:rsidRPr="00040BEC">
        <w:rPr>
          <w:lang w:val="en-GB"/>
        </w:rPr>
        <w:t>Digital Enhanced Cordless Telecommunications</w:t>
      </w:r>
      <w:r w:rsidR="00736401" w:rsidRPr="00040BEC">
        <w:rPr>
          <w:lang w:val="en-GB"/>
        </w:rPr>
        <w:t xml:space="preserve"> (DECT)</w:t>
      </w:r>
      <w:r w:rsidRPr="00040BEC">
        <w:rPr>
          <w:lang w:val="en-GB"/>
        </w:rPr>
        <w:t>;</w:t>
      </w:r>
    </w:p>
    <w:p w14:paraId="5C9BC94E" w14:textId="77777777" w:rsidR="00363418" w:rsidRPr="00040BEC" w:rsidRDefault="00363418" w:rsidP="00564B84">
      <w:pPr>
        <w:pStyle w:val="ECCNumberedBullets"/>
        <w:numPr>
          <w:ilvl w:val="0"/>
          <w:numId w:val="22"/>
        </w:numPr>
        <w:spacing w:after="240"/>
        <w:ind w:left="567" w:hanging="567"/>
        <w:rPr>
          <w:lang w:val="en-GB"/>
        </w:rPr>
      </w:pPr>
      <w:proofErr w:type="gramStart"/>
      <w:r w:rsidRPr="00040BEC">
        <w:rPr>
          <w:lang w:val="en-GB"/>
        </w:rPr>
        <w:t>Public Protection and Disaster Relief</w:t>
      </w:r>
      <w:r w:rsidR="00736401" w:rsidRPr="00040BEC">
        <w:rPr>
          <w:lang w:val="en-GB"/>
        </w:rPr>
        <w:t xml:space="preserve"> (PPDR)</w:t>
      </w:r>
      <w:r w:rsidRPr="00040BEC">
        <w:rPr>
          <w:lang w:val="en-GB"/>
        </w:rPr>
        <w:t>.</w:t>
      </w:r>
      <w:proofErr w:type="gramEnd"/>
    </w:p>
    <w:p w14:paraId="5F86ADBE" w14:textId="77777777" w:rsidR="00363418" w:rsidRPr="00040BEC" w:rsidRDefault="00363418" w:rsidP="00363418">
      <w:pPr>
        <w:pStyle w:val="ECCParagraph"/>
      </w:pPr>
      <w:r w:rsidRPr="00040BEC">
        <w:t xml:space="preserve">It </w:t>
      </w:r>
      <w:proofErr w:type="gramStart"/>
      <w:r w:rsidRPr="00040BEC">
        <w:t>should also be noted</w:t>
      </w:r>
      <w:proofErr w:type="gramEnd"/>
      <w:r w:rsidRPr="00040BEC">
        <w:t xml:space="preserve"> that for these radio applications frequency bands other than the unpaired 2 GHz bands are also under consideration or have already been designated on CEPT level.</w:t>
      </w:r>
    </w:p>
    <w:p w14:paraId="4CC44E41" w14:textId="77777777" w:rsidR="001852B2" w:rsidRPr="00040BEC" w:rsidRDefault="00363418" w:rsidP="00363418">
      <w:pPr>
        <w:pStyle w:val="ECCParagraph"/>
      </w:pPr>
      <w:r w:rsidRPr="00040BEC">
        <w:t xml:space="preserve">As described in section </w:t>
      </w:r>
      <w:r w:rsidR="00531617" w:rsidRPr="00040BEC">
        <w:fldChar w:fldCharType="begin"/>
      </w:r>
      <w:r w:rsidR="00531617" w:rsidRPr="00040BEC">
        <w:instrText xml:space="preserve"> REF _Ref368347696 \r \h  \* MERGEFORMAT </w:instrText>
      </w:r>
      <w:r w:rsidR="00531617" w:rsidRPr="00040BEC">
        <w:fldChar w:fldCharType="separate"/>
      </w:r>
      <w:r w:rsidR="002327BB">
        <w:t>3.6</w:t>
      </w:r>
      <w:r w:rsidR="00531617" w:rsidRPr="00040BEC">
        <w:fldChar w:fldCharType="end"/>
      </w:r>
      <w:r w:rsidRPr="00040BEC">
        <w:t xml:space="preserve">, synergies </w:t>
      </w:r>
      <w:proofErr w:type="gramStart"/>
      <w:r w:rsidRPr="00040BEC">
        <w:t>are identified</w:t>
      </w:r>
      <w:proofErr w:type="gramEnd"/>
      <w:r w:rsidRPr="00040BEC">
        <w:t xml:space="preserve"> so far for PMSE and ad hoc PPDR usages (use of the same technical framework and equipment) as well as for DECT and SRD usages (both candidates are seeking an allocation under a general authorisation regime). There may be a possibility of having a common set of technical parameters to enable equitable spectrum access.</w:t>
      </w:r>
    </w:p>
    <w:p w14:paraId="21FAF399" w14:textId="77777777" w:rsidR="001852B2" w:rsidRPr="00040BEC" w:rsidRDefault="00363418" w:rsidP="008E5B81">
      <w:pPr>
        <w:pStyle w:val="Heading2"/>
        <w:rPr>
          <w:lang w:val="en-GB"/>
        </w:rPr>
      </w:pPr>
      <w:bookmarkStart w:id="25" w:name="_Toc396903996"/>
      <w:bookmarkStart w:id="26" w:name="_Toc445129313"/>
      <w:r w:rsidRPr="00040BEC">
        <w:rPr>
          <w:lang w:val="en-GB"/>
        </w:rPr>
        <w:t>Broadband Direct Air to Ground Communications</w:t>
      </w:r>
      <w:bookmarkEnd w:id="25"/>
      <w:bookmarkEnd w:id="26"/>
    </w:p>
    <w:p w14:paraId="33600235" w14:textId="68BEDF43" w:rsidR="002A5FA5" w:rsidRPr="00040BEC" w:rsidRDefault="00363418" w:rsidP="00363418">
      <w:pPr>
        <w:pStyle w:val="ECCParagraph"/>
      </w:pPr>
      <w:r w:rsidRPr="00040BEC">
        <w:t xml:space="preserve">Several ECC Reports were under development within CEPT/ECC describing frequency management related and compatibility/sharing </w:t>
      </w:r>
      <w:proofErr w:type="gramStart"/>
      <w:r w:rsidRPr="00040BEC">
        <w:t>issues,</w:t>
      </w:r>
      <w:proofErr w:type="gramEnd"/>
      <w:r w:rsidRPr="00040BEC">
        <w:t xml:space="preserve"> see also sections </w:t>
      </w:r>
      <w:r w:rsidR="00531617" w:rsidRPr="00040BEC">
        <w:fldChar w:fldCharType="begin"/>
      </w:r>
      <w:r w:rsidR="00531617" w:rsidRPr="00040BEC">
        <w:instrText xml:space="preserve"> REF _Ref380054058 \r \h  \* MERGEFORMAT </w:instrText>
      </w:r>
      <w:r w:rsidR="00531617" w:rsidRPr="00040BEC">
        <w:fldChar w:fldCharType="separate"/>
      </w:r>
      <w:r w:rsidR="002327BB">
        <w:t>4</w:t>
      </w:r>
      <w:r w:rsidR="00531617" w:rsidRPr="00040BEC">
        <w:fldChar w:fldCharType="end"/>
      </w:r>
      <w:r w:rsidRPr="00040BEC">
        <w:t xml:space="preserve"> and </w:t>
      </w:r>
      <w:r w:rsidR="000A5980" w:rsidRPr="00040BEC">
        <w:fldChar w:fldCharType="begin"/>
      </w:r>
      <w:r w:rsidRPr="00040BEC">
        <w:instrText xml:space="preserve"> REF _Ref367891521 \r \h </w:instrText>
      </w:r>
      <w:r w:rsidR="000A5980" w:rsidRPr="00040BEC">
        <w:fldChar w:fldCharType="separate"/>
      </w:r>
      <w:r w:rsidR="002327BB">
        <w:t>5</w:t>
      </w:r>
      <w:r w:rsidR="000A5980" w:rsidRPr="00040BEC">
        <w:fldChar w:fldCharType="end"/>
      </w:r>
      <w:r w:rsidRPr="00040BEC">
        <w:t xml:space="preserve">: </w:t>
      </w:r>
    </w:p>
    <w:p w14:paraId="05418BFE" w14:textId="77777777" w:rsidR="002A5FA5" w:rsidRPr="00040BEC" w:rsidRDefault="00363418" w:rsidP="00564B84">
      <w:pPr>
        <w:pStyle w:val="ECCParagraph"/>
        <w:numPr>
          <w:ilvl w:val="0"/>
          <w:numId w:val="52"/>
        </w:numPr>
        <w:ind w:left="567" w:hanging="283"/>
      </w:pPr>
      <w:r w:rsidRPr="00040BEC">
        <w:t xml:space="preserve">ECC Report 214 on Broadband Direct-Air-to-Ground Communications (DA2GC) </w:t>
      </w:r>
      <w:r w:rsidR="00531617" w:rsidRPr="00040BEC">
        <w:fldChar w:fldCharType="begin"/>
      </w:r>
      <w:r w:rsidR="00531617" w:rsidRPr="00040BEC">
        <w:instrText xml:space="preserve"> REF _Ref365920771 \n \h  \* MERGEFORMAT </w:instrText>
      </w:r>
      <w:r w:rsidR="00531617" w:rsidRPr="00040BEC">
        <w:fldChar w:fldCharType="separate"/>
      </w:r>
      <w:r w:rsidR="002327BB">
        <w:t>[26]</w:t>
      </w:r>
      <w:r w:rsidR="00531617" w:rsidRPr="00040BEC">
        <w:fldChar w:fldCharType="end"/>
      </w:r>
      <w:r w:rsidRPr="00040BEC">
        <w:t>,</w:t>
      </w:r>
    </w:p>
    <w:p w14:paraId="3EA42F7E" w14:textId="77777777" w:rsidR="002A5FA5" w:rsidRPr="00040BEC" w:rsidRDefault="00363418" w:rsidP="00564B84">
      <w:pPr>
        <w:pStyle w:val="ECCParagraph"/>
        <w:numPr>
          <w:ilvl w:val="0"/>
          <w:numId w:val="52"/>
        </w:numPr>
        <w:ind w:left="567" w:hanging="283"/>
      </w:pPr>
      <w:r w:rsidRPr="00040BEC">
        <w:t xml:space="preserve">ECC Report 209 on compatibility/sharing studies related to Broadband Direct-Air-to-Ground Communications (DA2GC) in the frequency bands 1900-1920 MHz / 2010-2025 MHz and services/applications in the adjacent bands </w:t>
      </w:r>
      <w:r w:rsidR="000A5980" w:rsidRPr="00040BEC">
        <w:fldChar w:fldCharType="begin"/>
      </w:r>
      <w:r w:rsidRPr="00040BEC">
        <w:instrText xml:space="preserve"> REF _Ref365920775 \n \h </w:instrText>
      </w:r>
      <w:r w:rsidR="000A5980" w:rsidRPr="00040BEC">
        <w:fldChar w:fldCharType="separate"/>
      </w:r>
      <w:r w:rsidR="002327BB">
        <w:t>[27]</w:t>
      </w:r>
      <w:r w:rsidR="000A5980" w:rsidRPr="00040BEC">
        <w:fldChar w:fldCharType="end"/>
      </w:r>
      <w:r w:rsidR="002A5FA5" w:rsidRPr="00040BEC">
        <w:t>,</w:t>
      </w:r>
    </w:p>
    <w:p w14:paraId="3BBED2A9" w14:textId="77777777" w:rsidR="00100662" w:rsidRPr="00040BEC" w:rsidRDefault="00C35843" w:rsidP="00564B84">
      <w:pPr>
        <w:pStyle w:val="ECCParagraph"/>
        <w:numPr>
          <w:ilvl w:val="0"/>
          <w:numId w:val="52"/>
        </w:numPr>
        <w:ind w:left="567" w:hanging="283"/>
      </w:pPr>
      <w:r w:rsidRPr="00040BEC">
        <w:t xml:space="preserve">ECC Report </w:t>
      </w:r>
      <w:r w:rsidR="00B3425C" w:rsidRPr="00040BEC">
        <w:t>220</w:t>
      </w:r>
      <w:r w:rsidRPr="00040BEC">
        <w:t xml:space="preserve"> on the compatibility and sharing studies of DA2GC, PMSE video links, SRD and DECT in the 2 GHz unpaired bands</w:t>
      </w:r>
      <w:r w:rsidR="00C14173" w:rsidRPr="00040BEC">
        <w:t xml:space="preserve"> [29]</w:t>
      </w:r>
      <w:r w:rsidR="00363418" w:rsidRPr="00040BEC">
        <w:t>.</w:t>
      </w:r>
    </w:p>
    <w:p w14:paraId="22A467BA" w14:textId="77777777" w:rsidR="00363418" w:rsidRPr="00040BEC" w:rsidRDefault="00363418" w:rsidP="00363418">
      <w:pPr>
        <w:pStyle w:val="ECCParagraph"/>
      </w:pPr>
      <w:r w:rsidRPr="00040BEC">
        <w:t xml:space="preserve">Additionally, </w:t>
      </w:r>
      <w:r w:rsidR="00FC2766" w:rsidRPr="00040BEC">
        <w:t>as</w:t>
      </w:r>
      <w:r w:rsidRPr="00040BEC">
        <w:t xml:space="preserve"> other frequency bands - especially 5855-5875 MHz - </w:t>
      </w:r>
      <w:proofErr w:type="gramStart"/>
      <w:r w:rsidRPr="00040BEC">
        <w:t>have also been studied</w:t>
      </w:r>
      <w:proofErr w:type="gramEnd"/>
      <w:r w:rsidRPr="00040BEC">
        <w:t xml:space="preserve"> for Broadband DA2GC, ECC Report 210 on Compatibility/sharing studies related to Broadband Direct-Air-to-Ground Communications (DA2GC) in the frequency bands 5855-5875 MHz, 2400-2483.5 MHz and 3400-3600 MHz </w:t>
      </w:r>
      <w:r w:rsidR="00531617" w:rsidRPr="00040BEC">
        <w:fldChar w:fldCharType="begin"/>
      </w:r>
      <w:r w:rsidR="00531617" w:rsidRPr="00040BEC">
        <w:instrText xml:space="preserve"> REF _Ref365920777 \n \h  \* MERGEFORMAT </w:instrText>
      </w:r>
      <w:r w:rsidR="00531617" w:rsidRPr="00040BEC">
        <w:fldChar w:fldCharType="separate"/>
      </w:r>
      <w:r w:rsidR="002327BB">
        <w:t>[28]</w:t>
      </w:r>
      <w:r w:rsidR="00531617" w:rsidRPr="00040BEC">
        <w:fldChar w:fldCharType="end"/>
      </w:r>
      <w:r w:rsidRPr="00040BEC">
        <w:t xml:space="preserve"> </w:t>
      </w:r>
      <w:r w:rsidR="002A5FA5" w:rsidRPr="00040BEC">
        <w:t xml:space="preserve">was </w:t>
      </w:r>
      <w:r w:rsidRPr="00040BEC">
        <w:t>developed.</w:t>
      </w:r>
    </w:p>
    <w:p w14:paraId="182C053E" w14:textId="77777777" w:rsidR="00CD2A32" w:rsidRPr="00040BEC" w:rsidRDefault="00363418" w:rsidP="00CD2A32">
      <w:pPr>
        <w:pStyle w:val="ECCParagraph"/>
      </w:pPr>
      <w:r w:rsidRPr="00040BEC">
        <w:t xml:space="preserve">The outcome of the evaluation of other frequency bands below 6 GHz, which </w:t>
      </w:r>
      <w:proofErr w:type="gramStart"/>
      <w:r w:rsidRPr="00040BEC">
        <w:t>were considered</w:t>
      </w:r>
      <w:proofErr w:type="gramEnd"/>
      <w:r w:rsidRPr="00040BEC">
        <w:t xml:space="preserve"> as less suitable than the unpaired 2 GHz bands or than the band 5855-5875 MHz, is also provided in ECC Report 214</w:t>
      </w:r>
      <w:r w:rsidR="0077609E" w:rsidRPr="00040BEC">
        <w:t xml:space="preserve"> </w:t>
      </w:r>
      <w:r w:rsidR="000A5980" w:rsidRPr="00040BEC">
        <w:fldChar w:fldCharType="begin"/>
      </w:r>
      <w:r w:rsidR="0077609E" w:rsidRPr="00040BEC">
        <w:instrText xml:space="preserve"> REF _Ref365920771 \r \h </w:instrText>
      </w:r>
      <w:r w:rsidR="000A5980" w:rsidRPr="00040BEC">
        <w:fldChar w:fldCharType="separate"/>
      </w:r>
      <w:r w:rsidR="002327BB">
        <w:t>[26]</w:t>
      </w:r>
      <w:r w:rsidR="000A5980" w:rsidRPr="00040BEC">
        <w:fldChar w:fldCharType="end"/>
      </w:r>
      <w:r w:rsidRPr="00040BEC">
        <w:t>.</w:t>
      </w:r>
      <w:r w:rsidR="00CD2A32" w:rsidRPr="00040BEC">
        <w:t xml:space="preserve"> In addition, ECC Report 214 </w:t>
      </w:r>
      <w:r w:rsidR="00BE355F" w:rsidRPr="00040BEC">
        <w:t xml:space="preserve">[26] </w:t>
      </w:r>
      <w:r w:rsidR="00CD2A32" w:rsidRPr="00040BEC">
        <w:t xml:space="preserve">also </w:t>
      </w:r>
      <w:proofErr w:type="gramStart"/>
      <w:r w:rsidR="00CD2A32" w:rsidRPr="00040BEC">
        <w:t>came to the conclusion</w:t>
      </w:r>
      <w:proofErr w:type="gramEnd"/>
      <w:r w:rsidR="00CD2A32" w:rsidRPr="00040BEC">
        <w:t xml:space="preserve"> that</w:t>
      </w:r>
      <w:r w:rsidR="00BE355F" w:rsidRPr="00040BEC">
        <w:t xml:space="preserve"> a short term </w:t>
      </w:r>
      <w:r w:rsidR="00A502D5" w:rsidRPr="00040BEC">
        <w:t xml:space="preserve">solution for Broadband DA2GC (by end of 2017) could not be realised in a frequency band above 6 GHz. </w:t>
      </w:r>
    </w:p>
    <w:p w14:paraId="6BD1D79D" w14:textId="77777777" w:rsidR="001852B2" w:rsidRPr="00040BEC" w:rsidRDefault="00363418" w:rsidP="003435C2">
      <w:pPr>
        <w:pStyle w:val="Heading3"/>
        <w:rPr>
          <w:lang w:val="en-GB"/>
        </w:rPr>
      </w:pPr>
      <w:r w:rsidRPr="00040BEC">
        <w:rPr>
          <w:lang w:val="en-GB"/>
        </w:rPr>
        <w:t>Introduction</w:t>
      </w:r>
    </w:p>
    <w:p w14:paraId="6C4995CC" w14:textId="77777777" w:rsidR="0061396A" w:rsidRPr="00040BEC" w:rsidRDefault="0061396A" w:rsidP="0061396A">
      <w:pPr>
        <w:spacing w:after="240"/>
        <w:jc w:val="both"/>
        <w:rPr>
          <w:lang w:val="en-GB"/>
        </w:rPr>
      </w:pPr>
      <w:r w:rsidRPr="00040BEC">
        <w:rPr>
          <w:lang w:val="en-GB"/>
        </w:rPr>
        <w:t xml:space="preserve">A Broadband DA2GC system constitutes an application for various types of telecommunications services, such as internet access and mobile multimedia services. It aims to provide access to broadband communication services during continental flights on a Europe-wide basis. The request for spectrum </w:t>
      </w:r>
      <w:proofErr w:type="gramStart"/>
      <w:r w:rsidRPr="00040BEC">
        <w:rPr>
          <w:lang w:val="en-GB"/>
        </w:rPr>
        <w:t>is related</w:t>
      </w:r>
      <w:proofErr w:type="gramEnd"/>
      <w:r w:rsidRPr="00040BEC">
        <w:rPr>
          <w:lang w:val="en-GB"/>
        </w:rPr>
        <w:t xml:space="preserve"> to the direct-air-to-ground radio solution. The connection with the flight passengers’ user terminals on-board aircraft is to be realised by already available fixed or Wi-Fi-based on-board connectivity network and/or via GSMOBA and in the future possibly also via UMTS and/or LTE.</w:t>
      </w:r>
    </w:p>
    <w:p w14:paraId="5E04A560" w14:textId="77777777" w:rsidR="0061396A" w:rsidRPr="00040BEC" w:rsidRDefault="0061396A" w:rsidP="0061396A">
      <w:pPr>
        <w:pStyle w:val="ECCParagraph"/>
      </w:pPr>
      <w:r w:rsidRPr="00040BEC">
        <w:t>The main application field would be Air Passenger Communications (APC). In addition</w:t>
      </w:r>
      <w:r w:rsidR="008712B6" w:rsidRPr="00040BEC">
        <w:t>,</w:t>
      </w:r>
      <w:r w:rsidRPr="00040BEC">
        <w:t xml:space="preserve"> a Broadband DA2GC system could also support Airline Administrative Communications services (AAC) and thus improving aircraft </w:t>
      </w:r>
      <w:r w:rsidRPr="00040BEC">
        <w:lastRenderedPageBreak/>
        <w:t xml:space="preserve">operation, resulting in particular in reduced OPEX for the airlines. Safety-relevant communications such as Air Traffic Control (ATC) and related services </w:t>
      </w:r>
      <w:proofErr w:type="gramStart"/>
      <w:r w:rsidRPr="00040BEC">
        <w:t>are not intended to be covered</w:t>
      </w:r>
      <w:proofErr w:type="gramEnd"/>
      <w:r w:rsidRPr="00040BEC">
        <w:t>.</w:t>
      </w:r>
    </w:p>
    <w:p w14:paraId="73492DDC" w14:textId="77777777" w:rsidR="00FB335B" w:rsidRPr="00040BEC" w:rsidRDefault="00FB335B" w:rsidP="00FB335B">
      <w:pPr>
        <w:spacing w:after="240"/>
        <w:jc w:val="both"/>
        <w:rPr>
          <w:lang w:val="en-GB"/>
        </w:rPr>
      </w:pPr>
      <w:r w:rsidRPr="00040BEC">
        <w:rPr>
          <w:lang w:val="en-GB"/>
        </w:rPr>
        <w:t>European Airlines are following the CEPT activities on Broadband DA2GC. So far</w:t>
      </w:r>
      <w:r w:rsidR="008712B6" w:rsidRPr="00040BEC">
        <w:rPr>
          <w:lang w:val="en-GB"/>
        </w:rPr>
        <w:t>,</w:t>
      </w:r>
      <w:r w:rsidRPr="00040BEC">
        <w:rPr>
          <w:lang w:val="en-GB"/>
        </w:rPr>
        <w:t xml:space="preserve"> Lufthansa / Swiss / Austrian airlines, KLM / Air France, Air Berlin and British Airways have sent letters to CEPT showing their interest in a solution for Broadband DA2GC in Europe.</w:t>
      </w:r>
    </w:p>
    <w:p w14:paraId="597156E4" w14:textId="77777777" w:rsidR="00FB335B" w:rsidRPr="00040BEC" w:rsidRDefault="00FB335B" w:rsidP="00FB335B">
      <w:pPr>
        <w:spacing w:after="240"/>
        <w:jc w:val="both"/>
        <w:rPr>
          <w:lang w:val="en-GB"/>
        </w:rPr>
      </w:pPr>
      <w:r w:rsidRPr="00040BEC">
        <w:rPr>
          <w:lang w:val="en-GB"/>
        </w:rPr>
        <w:t>European companies represent an important force in the aeronautical market. The European aircraft industry holds about 50% of the world market for aircraft manufacturing. In the field of Air Passenger Communications services, however, Europe has room for improvements when compared to other parts of the world.</w:t>
      </w:r>
    </w:p>
    <w:p w14:paraId="6C1F6056" w14:textId="77777777" w:rsidR="00FB335B" w:rsidRPr="00040BEC" w:rsidRDefault="00FB335B" w:rsidP="00C7591B">
      <w:pPr>
        <w:pStyle w:val="ECCParagraph"/>
      </w:pPr>
      <w:r w:rsidRPr="00040BEC">
        <w:t>In North America</w:t>
      </w:r>
      <w:r w:rsidR="008712B6" w:rsidRPr="00040BEC">
        <w:t>,</w:t>
      </w:r>
      <w:r w:rsidRPr="00040BEC">
        <w:t xml:space="preserve"> an air–to-ground system has been established in the duplex bands 849-851 MHz and 894-896 MHz, since the year 2008, with more than </w:t>
      </w:r>
      <w:r w:rsidR="0065229D" w:rsidRPr="00040BEC">
        <w:t>2</w:t>
      </w:r>
      <w:r w:rsidR="008A2021" w:rsidRPr="00040BEC">
        <w:t> </w:t>
      </w:r>
      <w:r w:rsidR="0065229D" w:rsidRPr="00040BEC">
        <w:t xml:space="preserve">000 </w:t>
      </w:r>
      <w:r w:rsidRPr="00040BEC">
        <w:t xml:space="preserve">commercial aircraft and </w:t>
      </w:r>
      <w:r w:rsidR="008A2021" w:rsidRPr="00040BEC">
        <w:t>6 </w:t>
      </w:r>
      <w:proofErr w:type="gramStart"/>
      <w:r w:rsidR="008A2021" w:rsidRPr="00040BEC">
        <w:t xml:space="preserve">300 </w:t>
      </w:r>
      <w:r w:rsidRPr="00040BEC">
        <w:t>business</w:t>
      </w:r>
      <w:proofErr w:type="gramEnd"/>
      <w:r w:rsidRPr="00040BEC">
        <w:t xml:space="preserve"> aircraft equipped so far. An extension of the spectrum in the order of 2x1 MHz is going to be realised in the near future. In addition, the FCC is considering a new proposed rulemaking for DA2G</w:t>
      </w:r>
      <w:r w:rsidR="00FC2766" w:rsidRPr="00040BEC">
        <w:t>C</w:t>
      </w:r>
      <w:r w:rsidRPr="00040BEC">
        <w:t xml:space="preserve"> at 14.0-14.5 GHz (sharing with the FSS uplink whereby DA2GC </w:t>
      </w:r>
      <w:r w:rsidR="00FC2766" w:rsidRPr="00040BEC">
        <w:t>G</w:t>
      </w:r>
      <w:r w:rsidRPr="00040BEC">
        <w:t xml:space="preserve">round </w:t>
      </w:r>
      <w:r w:rsidR="00FC2766" w:rsidRPr="00040BEC">
        <w:t>S</w:t>
      </w:r>
      <w:r w:rsidRPr="00040BEC">
        <w:t>tations</w:t>
      </w:r>
      <w:r w:rsidR="00FC2766" w:rsidRPr="00040BEC">
        <w:t xml:space="preserve"> (GS)</w:t>
      </w:r>
      <w:r w:rsidRPr="00040BEC">
        <w:t xml:space="preserve"> avoid transmissions into the geostationary arc).</w:t>
      </w:r>
    </w:p>
    <w:p w14:paraId="0ABFB895" w14:textId="70422672" w:rsidR="00B54FC9" w:rsidRPr="00040BEC" w:rsidRDefault="00FB335B" w:rsidP="00C7591B">
      <w:pPr>
        <w:pStyle w:val="ECCParagraph"/>
      </w:pPr>
      <w:r w:rsidRPr="00040BEC">
        <w:t>China is currently testing CDMA EV-DO to cover all of China's air routes. The industry is also studying the use of the fourth-generation mobile communications standard LTE, which provides higher download speeds, for route coverage. Trials for DA2G</w:t>
      </w:r>
      <w:r w:rsidR="00FC2766" w:rsidRPr="00040BEC">
        <w:t>C</w:t>
      </w:r>
      <w:r w:rsidRPr="00040BEC">
        <w:t xml:space="preserve"> are underway under the direction of CAA China and other Chinese Government entities to operate in 1785-1805 MHz band (20 MHz total bandwidth for DA2GC) and using TD-LTE technology. </w:t>
      </w:r>
      <w:r w:rsidR="0075359E" w:rsidRPr="00040BEC">
        <w:t>China Telecom ha</w:t>
      </w:r>
      <w:r w:rsidR="003D1281" w:rsidRPr="00040BEC">
        <w:t>d</w:t>
      </w:r>
      <w:r w:rsidR="0075359E" w:rsidRPr="00040BEC">
        <w:t xml:space="preserve"> 17 base stations completed as of early 2012</w:t>
      </w:r>
      <w:r w:rsidRPr="00040BEC">
        <w:t>. Under the plan, China will construct up to a thousand surface-to-air base stations in the next few years. China's Civil Aviation Air-Ground Broadband Communications System will cover all routes of the major domestic airlines.</w:t>
      </w:r>
    </w:p>
    <w:p w14:paraId="7818F0FC" w14:textId="61619A79" w:rsidR="0061396A" w:rsidRPr="00040BEC" w:rsidRDefault="0061396A" w:rsidP="0061396A">
      <w:pPr>
        <w:spacing w:after="240"/>
        <w:jc w:val="both"/>
        <w:rPr>
          <w:lang w:val="en-GB"/>
        </w:rPr>
      </w:pPr>
      <w:r w:rsidRPr="00040BEC">
        <w:rPr>
          <w:lang w:val="en-GB"/>
        </w:rPr>
        <w:t xml:space="preserve">For the purpose of the present </w:t>
      </w:r>
      <w:r w:rsidR="00564B84" w:rsidRPr="00040BEC">
        <w:rPr>
          <w:lang w:val="en-GB"/>
        </w:rPr>
        <w:t>document,</w:t>
      </w:r>
      <w:r w:rsidRPr="00040BEC">
        <w:rPr>
          <w:lang w:val="en-GB"/>
        </w:rPr>
        <w:t xml:space="preserve"> the following definitions apply</w:t>
      </w:r>
      <w:r w:rsidR="0037312B" w:rsidRPr="00040BEC">
        <w:rPr>
          <w:lang w:val="en-GB"/>
        </w:rPr>
        <w:t>:</w:t>
      </w:r>
    </w:p>
    <w:p w14:paraId="6FE1F0F9" w14:textId="77777777" w:rsidR="0061396A" w:rsidRPr="00040BEC" w:rsidRDefault="003752B5" w:rsidP="003752B5">
      <w:pPr>
        <w:pStyle w:val="Caption"/>
        <w:rPr>
          <w:lang w:val="en-GB"/>
        </w:rPr>
      </w:pPr>
      <w:r w:rsidRPr="00040BEC">
        <w:rPr>
          <w:lang w:val="en-GB"/>
        </w:rPr>
        <w:t xml:space="preserve">Table </w:t>
      </w:r>
      <w:r w:rsidR="000A5980" w:rsidRPr="00040BEC">
        <w:rPr>
          <w:lang w:val="en-GB"/>
        </w:rPr>
        <w:fldChar w:fldCharType="begin"/>
      </w:r>
      <w:r w:rsidRPr="00040BEC">
        <w:rPr>
          <w:lang w:val="en-GB"/>
        </w:rPr>
        <w:instrText xml:space="preserve"> SEQ Table \* ARABIC </w:instrText>
      </w:r>
      <w:r w:rsidR="000A5980" w:rsidRPr="00040BEC">
        <w:rPr>
          <w:lang w:val="en-GB"/>
        </w:rPr>
        <w:fldChar w:fldCharType="separate"/>
      </w:r>
      <w:r w:rsidR="002327BB">
        <w:rPr>
          <w:noProof/>
          <w:lang w:val="en-GB"/>
        </w:rPr>
        <w:t>3</w:t>
      </w:r>
      <w:r w:rsidR="000A5980" w:rsidRPr="00040BEC">
        <w:rPr>
          <w:lang w:val="en-GB"/>
        </w:rPr>
        <w:fldChar w:fldCharType="end"/>
      </w:r>
      <w:r w:rsidR="0061396A" w:rsidRPr="00040BEC">
        <w:rPr>
          <w:lang w:val="en-GB"/>
        </w:rPr>
        <w:t>: Definitions</w:t>
      </w:r>
      <w:r w:rsidR="0037312B" w:rsidRPr="00040BEC">
        <w:rPr>
          <w:lang w:val="en-GB"/>
        </w:rPr>
        <w:t xml:space="preserve"> for Broadband DA2GC</w:t>
      </w:r>
      <w:r w:rsidR="00F37BD4" w:rsidRPr="00040BEC">
        <w:rPr>
          <w:lang w:val="en-GB"/>
        </w:rPr>
        <w:t xml:space="preserve"> according to ECC Report 214 </w:t>
      </w:r>
    </w:p>
    <w:tbl>
      <w:tblPr>
        <w:tblpPr w:leftFromText="180" w:rightFromText="180" w:vertAnchor="text" w:tblpX="675" w:tblpY="1"/>
        <w:tblOverlap w:val="never"/>
        <w:tblW w:w="8472"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3794"/>
        <w:gridCol w:w="4678"/>
      </w:tblGrid>
      <w:tr w:rsidR="0061396A" w:rsidRPr="00040BEC" w14:paraId="55CD1A80" w14:textId="77777777" w:rsidTr="003752B5">
        <w:trPr>
          <w:tblHeader/>
        </w:trPr>
        <w:tc>
          <w:tcPr>
            <w:tcW w:w="3794" w:type="dxa"/>
            <w:tcBorders>
              <w:right w:val="single" w:sz="4" w:space="0" w:color="FFFFFF"/>
            </w:tcBorders>
            <w:shd w:val="clear" w:color="auto" w:fill="D2232A"/>
            <w:vAlign w:val="center"/>
          </w:tcPr>
          <w:p w14:paraId="49E6835B" w14:textId="77777777" w:rsidR="0061396A" w:rsidRPr="00040BEC" w:rsidRDefault="0061396A" w:rsidP="003752B5">
            <w:pPr>
              <w:spacing w:line="288" w:lineRule="auto"/>
              <w:jc w:val="center"/>
              <w:rPr>
                <w:b/>
                <w:color w:val="FFFFFF"/>
                <w:lang w:val="en-GB"/>
              </w:rPr>
            </w:pPr>
            <w:r w:rsidRPr="00040BEC">
              <w:rPr>
                <w:b/>
                <w:color w:val="FFFFFF"/>
                <w:lang w:val="en-GB"/>
              </w:rPr>
              <w:t xml:space="preserve">Term </w:t>
            </w:r>
          </w:p>
        </w:tc>
        <w:tc>
          <w:tcPr>
            <w:tcW w:w="4678" w:type="dxa"/>
            <w:tcBorders>
              <w:left w:val="single" w:sz="4" w:space="0" w:color="FFFFFF"/>
              <w:right w:val="single" w:sz="4" w:space="0" w:color="FFFFFF"/>
            </w:tcBorders>
            <w:shd w:val="clear" w:color="auto" w:fill="D2232A"/>
            <w:vAlign w:val="center"/>
          </w:tcPr>
          <w:p w14:paraId="2B4A207D" w14:textId="77777777" w:rsidR="0061396A" w:rsidRPr="00040BEC" w:rsidRDefault="0061396A" w:rsidP="003752B5">
            <w:pPr>
              <w:spacing w:line="288" w:lineRule="auto"/>
              <w:jc w:val="center"/>
              <w:rPr>
                <w:b/>
                <w:color w:val="FFFFFF"/>
                <w:lang w:val="en-GB"/>
              </w:rPr>
            </w:pPr>
            <w:r w:rsidRPr="00040BEC">
              <w:rPr>
                <w:b/>
                <w:color w:val="FFFFFF"/>
                <w:lang w:val="en-GB"/>
              </w:rPr>
              <w:t>Definition</w:t>
            </w:r>
          </w:p>
        </w:tc>
      </w:tr>
      <w:tr w:rsidR="0061396A" w:rsidRPr="00040BEC" w14:paraId="1F1D6D77" w14:textId="77777777" w:rsidTr="003752B5">
        <w:tc>
          <w:tcPr>
            <w:tcW w:w="3794" w:type="dxa"/>
          </w:tcPr>
          <w:p w14:paraId="387E7818" w14:textId="77777777" w:rsidR="0061396A" w:rsidRPr="00040BEC" w:rsidRDefault="0061396A" w:rsidP="003752B5">
            <w:pPr>
              <w:rPr>
                <w:lang w:val="en-GB"/>
              </w:rPr>
            </w:pPr>
            <w:r w:rsidRPr="00040BEC">
              <w:rPr>
                <w:lang w:val="en-GB"/>
              </w:rPr>
              <w:t>Aircraft Station (AS)</w:t>
            </w:r>
          </w:p>
        </w:tc>
        <w:tc>
          <w:tcPr>
            <w:tcW w:w="4678" w:type="dxa"/>
          </w:tcPr>
          <w:p w14:paraId="66D1F128" w14:textId="77777777" w:rsidR="0061396A" w:rsidRPr="00040BEC" w:rsidRDefault="00F61A05" w:rsidP="00F61A05">
            <w:pPr>
              <w:spacing w:after="40"/>
              <w:rPr>
                <w:lang w:val="en-GB"/>
              </w:rPr>
            </w:pPr>
            <w:r w:rsidRPr="00040BEC">
              <w:rPr>
                <w:lang w:val="en-GB"/>
              </w:rPr>
              <w:t>E</w:t>
            </w:r>
            <w:r w:rsidR="00847C27" w:rsidRPr="00040BEC">
              <w:rPr>
                <w:lang w:val="en-GB"/>
              </w:rPr>
              <w:t xml:space="preserve">quipment </w:t>
            </w:r>
            <w:r w:rsidRPr="00040BEC">
              <w:rPr>
                <w:lang w:val="en-GB"/>
              </w:rPr>
              <w:t xml:space="preserve">which is installed </w:t>
            </w:r>
            <w:r w:rsidR="0061396A" w:rsidRPr="00040BEC">
              <w:rPr>
                <w:lang w:val="en-GB"/>
              </w:rPr>
              <w:t>on-board aircraft providing the radio, control and telecommunication functionalities f</w:t>
            </w:r>
            <w:r w:rsidR="000A0505" w:rsidRPr="00040BEC">
              <w:rPr>
                <w:lang w:val="en-GB"/>
              </w:rPr>
              <w:t>or broadband DA2G communication</w:t>
            </w:r>
          </w:p>
        </w:tc>
      </w:tr>
      <w:tr w:rsidR="00B53CF2" w:rsidRPr="00040BEC" w14:paraId="4E71445B" w14:textId="77777777" w:rsidTr="003752B5">
        <w:tc>
          <w:tcPr>
            <w:tcW w:w="3794" w:type="dxa"/>
          </w:tcPr>
          <w:p w14:paraId="46FD3137" w14:textId="77777777" w:rsidR="00B53CF2" w:rsidRPr="00040BEC" w:rsidRDefault="00B53CF2" w:rsidP="003752B5">
            <w:pPr>
              <w:rPr>
                <w:lang w:val="en-GB"/>
              </w:rPr>
            </w:pPr>
            <w:r w:rsidRPr="00040BEC">
              <w:rPr>
                <w:lang w:val="en-GB"/>
              </w:rPr>
              <w:t>Broadband</w:t>
            </w:r>
          </w:p>
        </w:tc>
        <w:tc>
          <w:tcPr>
            <w:tcW w:w="4678" w:type="dxa"/>
          </w:tcPr>
          <w:p w14:paraId="7A55F3A7" w14:textId="77777777" w:rsidR="00CD2A32" w:rsidRPr="00040BEC" w:rsidRDefault="00B53CF2" w:rsidP="0077268D">
            <w:pPr>
              <w:spacing w:after="40"/>
              <w:rPr>
                <w:lang w:val="en-GB"/>
              </w:rPr>
            </w:pPr>
            <w:r w:rsidRPr="00040BEC">
              <w:rPr>
                <w:lang w:val="en-GB"/>
              </w:rPr>
              <w:t xml:space="preserve">“Broadband” in this context refers to a service providing data rates between several hundred </w:t>
            </w:r>
            <w:proofErr w:type="spellStart"/>
            <w:r w:rsidRPr="00040BEC">
              <w:rPr>
                <w:lang w:val="en-GB"/>
              </w:rPr>
              <w:t>kbit</w:t>
            </w:r>
            <w:proofErr w:type="spellEnd"/>
            <w:r w:rsidRPr="00040BEC">
              <w:rPr>
                <w:lang w:val="en-GB"/>
              </w:rPr>
              <w:t>/s up to several Mbit/s per end-user, depending on the traffic l</w:t>
            </w:r>
            <w:r w:rsidR="000A0505" w:rsidRPr="00040BEC">
              <w:rPr>
                <w:lang w:val="en-GB"/>
              </w:rPr>
              <w:t>oad within a communication cell</w:t>
            </w:r>
          </w:p>
        </w:tc>
      </w:tr>
      <w:tr w:rsidR="0061396A" w:rsidRPr="00040BEC" w14:paraId="632B2F34" w14:textId="77777777" w:rsidTr="003752B5">
        <w:tc>
          <w:tcPr>
            <w:tcW w:w="3794" w:type="dxa"/>
          </w:tcPr>
          <w:p w14:paraId="6A58261B" w14:textId="77777777" w:rsidR="0061396A" w:rsidRPr="00040BEC" w:rsidRDefault="0061396A" w:rsidP="003752B5">
            <w:pPr>
              <w:rPr>
                <w:lang w:val="en-GB"/>
              </w:rPr>
            </w:pPr>
            <w:r w:rsidRPr="00040BEC">
              <w:rPr>
                <w:lang w:val="en-GB"/>
              </w:rPr>
              <w:t>Direct-Air-to-Ground Communications</w:t>
            </w:r>
          </w:p>
        </w:tc>
        <w:tc>
          <w:tcPr>
            <w:tcW w:w="4678" w:type="dxa"/>
          </w:tcPr>
          <w:p w14:paraId="52BACBD9" w14:textId="77777777" w:rsidR="0061396A" w:rsidRPr="00040BEC" w:rsidRDefault="0061396A" w:rsidP="000A0505">
            <w:pPr>
              <w:spacing w:after="40"/>
              <w:rPr>
                <w:lang w:val="en-GB"/>
              </w:rPr>
            </w:pPr>
            <w:r w:rsidRPr="00040BEC">
              <w:rPr>
                <w:lang w:val="en-GB"/>
              </w:rPr>
              <w:t>Direct radio link between an Aircraft Station</w:t>
            </w:r>
            <w:r w:rsidR="000A0505" w:rsidRPr="00040BEC">
              <w:rPr>
                <w:lang w:val="en-GB"/>
              </w:rPr>
              <w:t xml:space="preserve"> (AS) and a Ground Station (GS)</w:t>
            </w:r>
          </w:p>
        </w:tc>
      </w:tr>
      <w:tr w:rsidR="0061396A" w:rsidRPr="00040BEC" w14:paraId="7DB87F67" w14:textId="77777777" w:rsidTr="003752B5">
        <w:tc>
          <w:tcPr>
            <w:tcW w:w="3794" w:type="dxa"/>
          </w:tcPr>
          <w:p w14:paraId="0ABEC2E6" w14:textId="77777777" w:rsidR="0061396A" w:rsidRPr="00040BEC" w:rsidRDefault="0061396A" w:rsidP="003752B5">
            <w:pPr>
              <w:rPr>
                <w:lang w:val="en-GB"/>
              </w:rPr>
            </w:pPr>
            <w:r w:rsidRPr="00040BEC">
              <w:rPr>
                <w:lang w:val="en-GB"/>
              </w:rPr>
              <w:t>Forward Link (FL)</w:t>
            </w:r>
          </w:p>
        </w:tc>
        <w:tc>
          <w:tcPr>
            <w:tcW w:w="4678" w:type="dxa"/>
          </w:tcPr>
          <w:p w14:paraId="53479F56" w14:textId="77777777" w:rsidR="0061396A" w:rsidRPr="00040BEC" w:rsidRDefault="0061396A" w:rsidP="000A0505">
            <w:pPr>
              <w:spacing w:after="40"/>
              <w:rPr>
                <w:lang w:val="en-GB"/>
              </w:rPr>
            </w:pPr>
            <w:r w:rsidRPr="00040BEC">
              <w:rPr>
                <w:lang w:val="en-GB"/>
              </w:rPr>
              <w:t>Within the DA2GC system the link from the Ground Station (GS) t</w:t>
            </w:r>
            <w:r w:rsidR="000A0505" w:rsidRPr="00040BEC">
              <w:rPr>
                <w:lang w:val="en-GB"/>
              </w:rPr>
              <w:t>o the Aircraft Station (AS)</w:t>
            </w:r>
          </w:p>
        </w:tc>
      </w:tr>
      <w:tr w:rsidR="0061396A" w:rsidRPr="00040BEC" w14:paraId="5E7B320E" w14:textId="77777777" w:rsidTr="003752B5">
        <w:tc>
          <w:tcPr>
            <w:tcW w:w="3794" w:type="dxa"/>
          </w:tcPr>
          <w:p w14:paraId="29FC9877" w14:textId="77777777" w:rsidR="0061396A" w:rsidRPr="00040BEC" w:rsidRDefault="0061396A" w:rsidP="003752B5">
            <w:pPr>
              <w:rPr>
                <w:lang w:val="en-GB"/>
              </w:rPr>
            </w:pPr>
            <w:r w:rsidRPr="00040BEC">
              <w:rPr>
                <w:lang w:val="en-GB"/>
              </w:rPr>
              <w:t>Ground Station (GS)</w:t>
            </w:r>
          </w:p>
        </w:tc>
        <w:tc>
          <w:tcPr>
            <w:tcW w:w="4678" w:type="dxa"/>
          </w:tcPr>
          <w:p w14:paraId="5A71E56B" w14:textId="77777777" w:rsidR="0061396A" w:rsidRPr="00040BEC" w:rsidRDefault="00F61A05" w:rsidP="000A0505">
            <w:pPr>
              <w:spacing w:after="40"/>
              <w:rPr>
                <w:lang w:val="en-GB"/>
              </w:rPr>
            </w:pPr>
            <w:r w:rsidRPr="00040BEC">
              <w:rPr>
                <w:lang w:val="en-GB"/>
              </w:rPr>
              <w:t xml:space="preserve">Equipment which is installed </w:t>
            </w:r>
            <w:r w:rsidR="0061396A" w:rsidRPr="00040BEC">
              <w:rPr>
                <w:lang w:val="en-GB"/>
              </w:rPr>
              <w:t>on the ground providing the radio, control and telecommunic</w:t>
            </w:r>
            <w:r w:rsidR="000A0505" w:rsidRPr="00040BEC">
              <w:rPr>
                <w:lang w:val="en-GB"/>
              </w:rPr>
              <w:t>ation functionalities for DA2GC</w:t>
            </w:r>
          </w:p>
        </w:tc>
      </w:tr>
      <w:tr w:rsidR="0061396A" w:rsidRPr="00040BEC" w14:paraId="54B7B046" w14:textId="77777777" w:rsidTr="003752B5">
        <w:tc>
          <w:tcPr>
            <w:tcW w:w="3794" w:type="dxa"/>
          </w:tcPr>
          <w:p w14:paraId="373C2A6A" w14:textId="77777777" w:rsidR="0061396A" w:rsidRPr="00040BEC" w:rsidRDefault="0061396A" w:rsidP="003752B5">
            <w:pPr>
              <w:rPr>
                <w:lang w:val="en-GB"/>
              </w:rPr>
            </w:pPr>
            <w:r w:rsidRPr="00040BEC">
              <w:rPr>
                <w:lang w:val="en-GB"/>
              </w:rPr>
              <w:t>Reverse Link (RL)</w:t>
            </w:r>
          </w:p>
        </w:tc>
        <w:tc>
          <w:tcPr>
            <w:tcW w:w="4678" w:type="dxa"/>
          </w:tcPr>
          <w:p w14:paraId="1A33EA7E" w14:textId="77777777" w:rsidR="0061396A" w:rsidRPr="00040BEC" w:rsidRDefault="0061396A" w:rsidP="000A0505">
            <w:pPr>
              <w:spacing w:after="40"/>
              <w:rPr>
                <w:lang w:val="en-GB"/>
              </w:rPr>
            </w:pPr>
            <w:r w:rsidRPr="00040BEC">
              <w:rPr>
                <w:lang w:val="en-GB"/>
              </w:rPr>
              <w:t>Within the DA2GC system the link from the Aircraft Station (AS) to the Ground Station (G</w:t>
            </w:r>
            <w:r w:rsidR="000A0505" w:rsidRPr="00040BEC">
              <w:rPr>
                <w:lang w:val="en-GB"/>
              </w:rPr>
              <w:t>S)</w:t>
            </w:r>
          </w:p>
        </w:tc>
      </w:tr>
    </w:tbl>
    <w:p w14:paraId="25F258BB" w14:textId="77777777" w:rsidR="0061396A" w:rsidRPr="00040BEC" w:rsidRDefault="0061396A" w:rsidP="0061396A">
      <w:pPr>
        <w:rPr>
          <w:lang w:val="en-GB"/>
        </w:rPr>
      </w:pPr>
    </w:p>
    <w:p w14:paraId="5D42B59B" w14:textId="77777777" w:rsidR="003752B5" w:rsidRPr="00040BEC" w:rsidRDefault="003752B5" w:rsidP="0061396A">
      <w:pPr>
        <w:rPr>
          <w:lang w:val="en-GB"/>
        </w:rPr>
      </w:pPr>
    </w:p>
    <w:p w14:paraId="633DD393" w14:textId="77777777" w:rsidR="0061396A" w:rsidRPr="00040BEC" w:rsidRDefault="0061396A" w:rsidP="0061396A">
      <w:pPr>
        <w:rPr>
          <w:lang w:val="en-GB"/>
        </w:rPr>
      </w:pPr>
    </w:p>
    <w:p w14:paraId="55EA8731" w14:textId="77777777" w:rsidR="0061396A" w:rsidRPr="00040BEC" w:rsidRDefault="0061396A" w:rsidP="0061396A">
      <w:pPr>
        <w:rPr>
          <w:lang w:val="en-GB"/>
        </w:rPr>
      </w:pPr>
    </w:p>
    <w:p w14:paraId="21514602" w14:textId="77777777" w:rsidR="0061396A" w:rsidRPr="00040BEC" w:rsidRDefault="0061396A" w:rsidP="0061396A">
      <w:pPr>
        <w:rPr>
          <w:lang w:val="en-GB"/>
        </w:rPr>
      </w:pPr>
    </w:p>
    <w:p w14:paraId="45F78116" w14:textId="77777777" w:rsidR="0061396A" w:rsidRPr="00040BEC" w:rsidRDefault="0061396A" w:rsidP="0061396A">
      <w:pPr>
        <w:rPr>
          <w:lang w:val="en-GB"/>
        </w:rPr>
      </w:pPr>
    </w:p>
    <w:p w14:paraId="431FF1F9" w14:textId="77777777" w:rsidR="0061396A" w:rsidRPr="00040BEC" w:rsidRDefault="0061396A" w:rsidP="0061396A">
      <w:pPr>
        <w:rPr>
          <w:lang w:val="en-GB"/>
        </w:rPr>
      </w:pPr>
    </w:p>
    <w:p w14:paraId="3B92B426" w14:textId="77777777" w:rsidR="0061396A" w:rsidRPr="00040BEC" w:rsidRDefault="0061396A" w:rsidP="0061396A">
      <w:pPr>
        <w:rPr>
          <w:lang w:val="en-GB"/>
        </w:rPr>
      </w:pPr>
    </w:p>
    <w:p w14:paraId="0615F5B7" w14:textId="77777777" w:rsidR="0061396A" w:rsidRPr="00040BEC" w:rsidRDefault="0061396A" w:rsidP="0061396A">
      <w:pPr>
        <w:rPr>
          <w:lang w:val="en-GB"/>
        </w:rPr>
      </w:pPr>
    </w:p>
    <w:p w14:paraId="13803424" w14:textId="77777777" w:rsidR="0061396A" w:rsidRPr="00040BEC" w:rsidRDefault="0061396A" w:rsidP="0061396A">
      <w:pPr>
        <w:rPr>
          <w:lang w:val="en-GB"/>
        </w:rPr>
      </w:pPr>
    </w:p>
    <w:p w14:paraId="385D0792" w14:textId="77777777" w:rsidR="0061396A" w:rsidRPr="00040BEC" w:rsidRDefault="0061396A" w:rsidP="0061396A">
      <w:pPr>
        <w:rPr>
          <w:lang w:val="en-GB"/>
        </w:rPr>
      </w:pPr>
    </w:p>
    <w:p w14:paraId="63F8323F" w14:textId="77777777" w:rsidR="0061396A" w:rsidRPr="00040BEC" w:rsidRDefault="0061396A" w:rsidP="0061396A">
      <w:pPr>
        <w:rPr>
          <w:lang w:val="en-GB"/>
        </w:rPr>
      </w:pPr>
    </w:p>
    <w:p w14:paraId="43AC7C4B" w14:textId="77777777" w:rsidR="0061396A" w:rsidRPr="00040BEC" w:rsidRDefault="0061396A" w:rsidP="0061396A">
      <w:pPr>
        <w:rPr>
          <w:lang w:val="en-GB"/>
        </w:rPr>
      </w:pPr>
    </w:p>
    <w:p w14:paraId="4B29282E" w14:textId="77777777" w:rsidR="0061396A" w:rsidRPr="00040BEC" w:rsidRDefault="0061396A" w:rsidP="0061396A">
      <w:pPr>
        <w:rPr>
          <w:lang w:val="en-GB"/>
        </w:rPr>
      </w:pPr>
    </w:p>
    <w:p w14:paraId="04F74BE0" w14:textId="77777777" w:rsidR="009A315A" w:rsidRPr="00040BEC" w:rsidRDefault="009A315A" w:rsidP="0061396A">
      <w:pPr>
        <w:rPr>
          <w:lang w:val="en-GB"/>
        </w:rPr>
      </w:pPr>
    </w:p>
    <w:p w14:paraId="1E2677B7" w14:textId="77777777" w:rsidR="009A315A" w:rsidRPr="00040BEC" w:rsidRDefault="009A315A" w:rsidP="009A315A">
      <w:pPr>
        <w:rPr>
          <w:lang w:val="en-GB" w:eastAsia="de-DE"/>
        </w:rPr>
      </w:pPr>
    </w:p>
    <w:p w14:paraId="44CB68D1" w14:textId="77777777" w:rsidR="009A315A" w:rsidRPr="00040BEC" w:rsidRDefault="009A315A" w:rsidP="009A315A">
      <w:pPr>
        <w:rPr>
          <w:lang w:val="en-GB" w:eastAsia="de-DE"/>
        </w:rPr>
      </w:pPr>
    </w:p>
    <w:p w14:paraId="4A8102C0" w14:textId="77777777" w:rsidR="009A315A" w:rsidRPr="00040BEC" w:rsidRDefault="009A315A" w:rsidP="009A315A">
      <w:pPr>
        <w:rPr>
          <w:lang w:val="en-GB" w:eastAsia="de-DE"/>
        </w:rPr>
      </w:pPr>
    </w:p>
    <w:p w14:paraId="52535E02" w14:textId="77777777" w:rsidR="009A315A" w:rsidRPr="00040BEC" w:rsidRDefault="009A315A" w:rsidP="009A315A">
      <w:pPr>
        <w:rPr>
          <w:lang w:val="en-GB" w:eastAsia="de-DE"/>
        </w:rPr>
      </w:pPr>
    </w:p>
    <w:p w14:paraId="634A5FE5" w14:textId="77777777" w:rsidR="009A315A" w:rsidRPr="00040BEC" w:rsidRDefault="009A315A" w:rsidP="009A315A">
      <w:pPr>
        <w:rPr>
          <w:lang w:val="en-GB" w:eastAsia="de-DE"/>
        </w:rPr>
      </w:pPr>
    </w:p>
    <w:p w14:paraId="374DC6FB" w14:textId="77777777" w:rsidR="009A315A" w:rsidRPr="00040BEC" w:rsidRDefault="009A315A" w:rsidP="003435C2">
      <w:pPr>
        <w:pStyle w:val="Heading3"/>
        <w:rPr>
          <w:lang w:val="en-GB" w:eastAsia="de-DE"/>
        </w:rPr>
      </w:pPr>
      <w:r w:rsidRPr="00040BEC">
        <w:rPr>
          <w:lang w:val="en-GB" w:eastAsia="de-DE"/>
        </w:rPr>
        <w:t>Motivation for Broadband DA2GC</w:t>
      </w:r>
    </w:p>
    <w:p w14:paraId="3DD76F83" w14:textId="77777777" w:rsidR="0061396A" w:rsidRPr="00040BEC" w:rsidRDefault="0061396A" w:rsidP="0061396A">
      <w:pPr>
        <w:spacing w:after="240"/>
        <w:jc w:val="both"/>
        <w:rPr>
          <w:lang w:val="en-GB"/>
        </w:rPr>
      </w:pPr>
      <w:r w:rsidRPr="00040BEC">
        <w:rPr>
          <w:lang w:val="en-GB"/>
        </w:rPr>
        <w:t>Mobile customers expect to be connected everywhere, every time, with all kind of mobile devices. This includes the provision of broadband services on-board aircraft and European airlines have great interest to offer internet services to their flight passengers in their continental fleets as soon as possible.</w:t>
      </w:r>
    </w:p>
    <w:p w14:paraId="0CDDD6C0" w14:textId="77777777" w:rsidR="0061396A" w:rsidRPr="00040BEC" w:rsidRDefault="0061396A" w:rsidP="0061396A">
      <w:pPr>
        <w:spacing w:after="240"/>
        <w:jc w:val="both"/>
        <w:rPr>
          <w:lang w:val="en-GB"/>
        </w:rPr>
      </w:pPr>
      <w:r w:rsidRPr="00040BEC">
        <w:rPr>
          <w:lang w:val="en-GB"/>
        </w:rPr>
        <w:t xml:space="preserve">The connection link between the aircraft and the ground </w:t>
      </w:r>
      <w:proofErr w:type="gramStart"/>
      <w:r w:rsidRPr="00040BEC">
        <w:rPr>
          <w:lang w:val="en-GB"/>
        </w:rPr>
        <w:t>can be established</w:t>
      </w:r>
      <w:proofErr w:type="gramEnd"/>
      <w:r w:rsidRPr="00040BEC">
        <w:rPr>
          <w:lang w:val="en-GB"/>
        </w:rPr>
        <w:t xml:space="preserve"> either via satellites or by means of Direct-Air-to-Ground Communications (DA2GC). For future broadband services, it </w:t>
      </w:r>
      <w:proofErr w:type="gramStart"/>
      <w:r w:rsidRPr="00040BEC">
        <w:rPr>
          <w:lang w:val="en-GB"/>
        </w:rPr>
        <w:t>can be foreseen</w:t>
      </w:r>
      <w:proofErr w:type="gramEnd"/>
      <w:r w:rsidRPr="00040BEC">
        <w:rPr>
          <w:lang w:val="en-GB"/>
        </w:rPr>
        <w:t xml:space="preserve"> that the service provision via satellite will be conducted by using </w:t>
      </w:r>
      <w:proofErr w:type="spellStart"/>
      <w:r w:rsidRPr="00040BEC">
        <w:rPr>
          <w:lang w:val="en-GB"/>
        </w:rPr>
        <w:t>Ka</w:t>
      </w:r>
      <w:proofErr w:type="spellEnd"/>
      <w:r w:rsidRPr="00040BEC">
        <w:rPr>
          <w:lang w:val="en-GB"/>
        </w:rPr>
        <w:t xml:space="preserve">-band satellite capacity and a considerable number of </w:t>
      </w:r>
      <w:proofErr w:type="spellStart"/>
      <w:r w:rsidRPr="00040BEC">
        <w:rPr>
          <w:lang w:val="en-GB"/>
        </w:rPr>
        <w:t>Ka</w:t>
      </w:r>
      <w:proofErr w:type="spellEnd"/>
      <w:r w:rsidRPr="00040BEC">
        <w:rPr>
          <w:lang w:val="en-GB"/>
        </w:rPr>
        <w:t xml:space="preserve">-Band satellites are already put into operation or under procurement. Satellite operators also </w:t>
      </w:r>
      <w:r w:rsidRPr="00040BEC">
        <w:rPr>
          <w:lang w:val="en-GB"/>
        </w:rPr>
        <w:lastRenderedPageBreak/>
        <w:t>consider mobile platforms such as aircraft and vessels as a considerable part of the addressable market and the ECC has recently adopted and published new ECC</w:t>
      </w:r>
      <w:r w:rsidR="004B74DF" w:rsidRPr="00040BEC">
        <w:rPr>
          <w:lang w:val="en-GB"/>
        </w:rPr>
        <w:t>/</w:t>
      </w:r>
      <w:r w:rsidRPr="00040BEC">
        <w:rPr>
          <w:lang w:val="en-GB"/>
        </w:rPr>
        <w:t>D</w:t>
      </w:r>
      <w:r w:rsidR="004B74DF" w:rsidRPr="00040BEC">
        <w:rPr>
          <w:lang w:val="en-GB"/>
        </w:rPr>
        <w:t>EC/</w:t>
      </w:r>
      <w:r w:rsidRPr="00040BEC">
        <w:rPr>
          <w:lang w:val="en-GB"/>
        </w:rPr>
        <w:t>(13)01</w:t>
      </w:r>
      <w:r w:rsidR="003752B5" w:rsidRPr="00040BEC">
        <w:rPr>
          <w:lang w:val="en-GB"/>
        </w:rPr>
        <w:t xml:space="preserve"> </w:t>
      </w:r>
      <w:r w:rsidR="000A5980" w:rsidRPr="00040BEC">
        <w:rPr>
          <w:lang w:val="en-GB"/>
        </w:rPr>
        <w:fldChar w:fldCharType="begin"/>
      </w:r>
      <w:r w:rsidR="003752B5" w:rsidRPr="00040BEC">
        <w:rPr>
          <w:lang w:val="en-GB"/>
        </w:rPr>
        <w:instrText xml:space="preserve"> REF _Ref356389108 \n \h </w:instrText>
      </w:r>
      <w:r w:rsidR="000A5980" w:rsidRPr="00040BEC">
        <w:rPr>
          <w:lang w:val="en-GB"/>
        </w:rPr>
      </w:r>
      <w:r w:rsidR="000A5980" w:rsidRPr="00040BEC">
        <w:rPr>
          <w:lang w:val="en-GB"/>
        </w:rPr>
        <w:fldChar w:fldCharType="separate"/>
      </w:r>
      <w:r w:rsidR="002327BB">
        <w:rPr>
          <w:lang w:val="en-GB"/>
        </w:rPr>
        <w:t>[7]</w:t>
      </w:r>
      <w:r w:rsidR="000A5980" w:rsidRPr="00040BEC">
        <w:rPr>
          <w:lang w:val="en-GB"/>
        </w:rPr>
        <w:fldChar w:fldCharType="end"/>
      </w:r>
      <w:r w:rsidRPr="00040BEC">
        <w:rPr>
          <w:lang w:val="en-GB"/>
        </w:rPr>
        <w:t xml:space="preserve"> supporting Earth Stations on Mobile Platforms (ESOMP). </w:t>
      </w:r>
      <w:proofErr w:type="spellStart"/>
      <w:r w:rsidRPr="00040BEC">
        <w:rPr>
          <w:lang w:val="en-GB"/>
        </w:rPr>
        <w:t>Ka</w:t>
      </w:r>
      <w:proofErr w:type="spellEnd"/>
      <w:r w:rsidRPr="00040BEC">
        <w:rPr>
          <w:lang w:val="en-GB"/>
        </w:rPr>
        <w:t xml:space="preserve">-band satellite as well as DA2GC </w:t>
      </w:r>
      <w:proofErr w:type="gramStart"/>
      <w:r w:rsidRPr="00040BEC">
        <w:rPr>
          <w:lang w:val="en-GB"/>
        </w:rPr>
        <w:t>can therefore be seen</w:t>
      </w:r>
      <w:proofErr w:type="gramEnd"/>
      <w:r w:rsidRPr="00040BEC">
        <w:rPr>
          <w:lang w:val="en-GB"/>
        </w:rPr>
        <w:t xml:space="preserve"> as technical solutions in competition. On the other side, both solutions could also complement each other.</w:t>
      </w:r>
    </w:p>
    <w:p w14:paraId="35843547" w14:textId="77777777" w:rsidR="0061396A" w:rsidRPr="00040BEC" w:rsidRDefault="0061396A" w:rsidP="0061396A">
      <w:pPr>
        <w:spacing w:after="240"/>
        <w:jc w:val="both"/>
        <w:rPr>
          <w:lang w:val="en-GB"/>
        </w:rPr>
      </w:pPr>
      <w:r w:rsidRPr="00040BEC">
        <w:rPr>
          <w:lang w:val="en-GB"/>
        </w:rPr>
        <w:t xml:space="preserve">The establishment of a regulatory environment for Broadband DA2GC </w:t>
      </w:r>
      <w:r w:rsidR="00BD2117" w:rsidRPr="00040BEC">
        <w:rPr>
          <w:lang w:val="en-GB"/>
        </w:rPr>
        <w:t xml:space="preserve">across Europe </w:t>
      </w:r>
      <w:r w:rsidRPr="00040BEC">
        <w:rPr>
          <w:lang w:val="en-GB"/>
        </w:rPr>
        <w:t>would provide ample benefits for the users - i.e. airline companies and flight passengers - in Europe:</w:t>
      </w:r>
    </w:p>
    <w:p w14:paraId="2BFCC11B" w14:textId="77777777" w:rsidR="0061396A" w:rsidRPr="00040BEC" w:rsidRDefault="0061396A" w:rsidP="00564B84">
      <w:pPr>
        <w:pStyle w:val="ECCParagraph"/>
        <w:numPr>
          <w:ilvl w:val="0"/>
          <w:numId w:val="23"/>
        </w:numPr>
        <w:ind w:left="567" w:hanging="283"/>
      </w:pPr>
      <w:r w:rsidRPr="00040BEC">
        <w:t>As an alternative service provision which by fostering competition might lead to a lower cost for the airlines and for the flight passengers;</w:t>
      </w:r>
    </w:p>
    <w:p w14:paraId="1A88FA42" w14:textId="77777777" w:rsidR="0061396A" w:rsidRPr="00040BEC" w:rsidRDefault="0061396A" w:rsidP="00564B84">
      <w:pPr>
        <w:pStyle w:val="ECCParagraph"/>
        <w:numPr>
          <w:ilvl w:val="0"/>
          <w:numId w:val="23"/>
        </w:numPr>
        <w:ind w:left="567" w:hanging="283"/>
      </w:pPr>
      <w:r w:rsidRPr="00040BEC">
        <w:t>The technical implementation of DA2GC and also the stimulus of competition may lead to a provision of services at improved cost structures - including non-safety-relevant administrative communication services - and hence create a benefit to end customers and airlines resulting in higher and earlier service take-up;</w:t>
      </w:r>
    </w:p>
    <w:p w14:paraId="13F57A77" w14:textId="77777777" w:rsidR="0061396A" w:rsidRPr="00040BEC" w:rsidRDefault="0061396A" w:rsidP="00564B84">
      <w:pPr>
        <w:pStyle w:val="ECCParagraph"/>
        <w:numPr>
          <w:ilvl w:val="0"/>
          <w:numId w:val="23"/>
        </w:numPr>
        <w:ind w:left="567" w:hanging="283"/>
      </w:pPr>
      <w:r w:rsidRPr="00040BEC">
        <w:t>DA2GC avoids the round trip delay that is typical and unavoidable for geostationary satellite service provision and hence can provide low latency services;</w:t>
      </w:r>
    </w:p>
    <w:p w14:paraId="4B67DB75" w14:textId="77777777" w:rsidR="0061396A" w:rsidRPr="00040BEC" w:rsidRDefault="0061396A" w:rsidP="00564B84">
      <w:pPr>
        <w:pStyle w:val="ECCParagraph"/>
        <w:numPr>
          <w:ilvl w:val="0"/>
          <w:numId w:val="23"/>
        </w:numPr>
        <w:ind w:left="567" w:hanging="283"/>
      </w:pPr>
      <w:r w:rsidRPr="00040BEC">
        <w:t>The costs for aircraft installations and maintenance are a key issue for airline companies. Given the fact</w:t>
      </w:r>
      <w:r w:rsidR="008712B6" w:rsidRPr="00040BEC">
        <w:t>,</w:t>
      </w:r>
      <w:r w:rsidRPr="00040BEC">
        <w:t xml:space="preserve"> </w:t>
      </w:r>
      <w:r w:rsidR="008712B6" w:rsidRPr="00040BEC">
        <w:t xml:space="preserve">airline operators see the DA2GC equipment </w:t>
      </w:r>
      <w:proofErr w:type="gramStart"/>
      <w:r w:rsidR="008712B6" w:rsidRPr="00040BEC">
        <w:t>can be installed</w:t>
      </w:r>
      <w:proofErr w:type="gramEnd"/>
      <w:r w:rsidR="008712B6" w:rsidRPr="00040BEC">
        <w:t xml:space="preserve"> overnight to a plane as an advantage</w:t>
      </w:r>
      <w:r w:rsidRPr="00040BEC">
        <w:t>. In particular</w:t>
      </w:r>
      <w:r w:rsidR="008712B6" w:rsidRPr="00040BEC">
        <w:t>,</w:t>
      </w:r>
      <w:r w:rsidRPr="00040BEC">
        <w:t xml:space="preserve"> with regard to the aircraft antenna, a terrestrial solution has a clear advantage compared to existing satellite usage.</w:t>
      </w:r>
    </w:p>
    <w:p w14:paraId="6A5AE221" w14:textId="77777777" w:rsidR="0061396A" w:rsidRPr="00040BEC" w:rsidRDefault="0061396A" w:rsidP="0061396A">
      <w:pPr>
        <w:spacing w:after="240"/>
        <w:jc w:val="both"/>
        <w:rPr>
          <w:lang w:val="en-GB"/>
        </w:rPr>
      </w:pPr>
      <w:r w:rsidRPr="00040BEC">
        <w:rPr>
          <w:lang w:val="en-GB"/>
        </w:rPr>
        <w:t xml:space="preserve">A further motivation arises from the expected growth of the air traffic. A forecast from </w:t>
      </w:r>
      <w:proofErr w:type="spellStart"/>
      <w:r w:rsidRPr="00040BEC">
        <w:rPr>
          <w:lang w:val="en-GB"/>
        </w:rPr>
        <w:t>Eurocontrol</w:t>
      </w:r>
      <w:proofErr w:type="spellEnd"/>
      <w:r w:rsidR="00CD14C0" w:rsidRPr="00040BEC">
        <w:rPr>
          <w:rStyle w:val="FootnoteReference"/>
          <w:lang w:val="en-GB"/>
        </w:rPr>
        <w:footnoteReference w:id="3"/>
      </w:r>
      <w:r w:rsidRPr="00040BEC">
        <w:rPr>
          <w:lang w:val="en-GB"/>
        </w:rPr>
        <w:t xml:space="preserve"> published in October 2011 estimates 11.5 million movements under Instrument Flight Rules (IFR) in Europe in 2017. This is 21% more than in 2010.</w:t>
      </w:r>
    </w:p>
    <w:p w14:paraId="3BA208E5" w14:textId="3E36ECB4" w:rsidR="0061396A" w:rsidRPr="00040BEC" w:rsidRDefault="0061396A" w:rsidP="0061396A">
      <w:pPr>
        <w:spacing w:after="240"/>
        <w:jc w:val="both"/>
        <w:rPr>
          <w:lang w:val="en-GB"/>
        </w:rPr>
      </w:pPr>
      <w:r w:rsidRPr="00040BEC">
        <w:rPr>
          <w:lang w:val="en-GB"/>
        </w:rPr>
        <w:t xml:space="preserve">About 66% of the European air traffic consists of domestic or continental flights, i.e. the main part of the airline business. The addressable market in Europe for DA2GC </w:t>
      </w:r>
      <w:r w:rsidR="003D1281" w:rsidRPr="00040BEC">
        <w:rPr>
          <w:lang w:val="en-GB"/>
        </w:rPr>
        <w:t xml:space="preserve">consisted </w:t>
      </w:r>
      <w:r w:rsidRPr="00040BEC">
        <w:rPr>
          <w:lang w:val="en-GB"/>
        </w:rPr>
        <w:t>of abou</w:t>
      </w:r>
      <w:r w:rsidR="004B74DF" w:rsidRPr="00040BEC">
        <w:rPr>
          <w:lang w:val="en-GB"/>
        </w:rPr>
        <w:t>t 160 airlines with more than 4</w:t>
      </w:r>
      <w:r w:rsidRPr="00040BEC">
        <w:rPr>
          <w:lang w:val="en-GB"/>
        </w:rPr>
        <w:t xml:space="preserve">500 </w:t>
      </w:r>
      <w:r w:rsidR="0075359E" w:rsidRPr="00040BEC">
        <w:rPr>
          <w:lang w:val="en-GB"/>
        </w:rPr>
        <w:t>aircraft in 2014 (</w:t>
      </w:r>
      <w:r w:rsidRPr="00040BEC">
        <w:rPr>
          <w:lang w:val="en-GB"/>
        </w:rPr>
        <w:t>without business aviation). In general</w:t>
      </w:r>
      <w:r w:rsidR="008712B6" w:rsidRPr="00040BEC">
        <w:rPr>
          <w:lang w:val="en-GB"/>
        </w:rPr>
        <w:t>,</w:t>
      </w:r>
      <w:r w:rsidRPr="00040BEC">
        <w:rPr>
          <w:lang w:val="en-GB"/>
        </w:rPr>
        <w:t xml:space="preserve"> a strong increase in percentage of aircraft fleet equipped with internet connectivity solutions </w:t>
      </w:r>
      <w:proofErr w:type="gramStart"/>
      <w:r w:rsidRPr="00040BEC">
        <w:rPr>
          <w:lang w:val="en-GB"/>
        </w:rPr>
        <w:t>is expected</w:t>
      </w:r>
      <w:proofErr w:type="gramEnd"/>
      <w:r w:rsidRPr="00040BEC">
        <w:rPr>
          <w:lang w:val="en-GB"/>
        </w:rPr>
        <w:t xml:space="preserve"> during the next years. </w:t>
      </w:r>
      <w:r w:rsidR="006610DD" w:rsidRPr="00040BEC">
        <w:rPr>
          <w:lang w:val="en-GB"/>
        </w:rPr>
        <w:t xml:space="preserve">According to </w:t>
      </w:r>
      <w:r w:rsidRPr="00040BEC">
        <w:rPr>
          <w:lang w:val="en-GB"/>
        </w:rPr>
        <w:t>a market research</w:t>
      </w:r>
      <w:r w:rsidR="00CD14C0" w:rsidRPr="00040BEC">
        <w:rPr>
          <w:rStyle w:val="FootnoteReference"/>
          <w:lang w:val="en-GB"/>
        </w:rPr>
        <w:footnoteReference w:id="4"/>
      </w:r>
      <w:r w:rsidR="006610DD" w:rsidRPr="00040BEC">
        <w:rPr>
          <w:lang w:val="en-GB"/>
        </w:rPr>
        <w:t>,</w:t>
      </w:r>
      <w:r w:rsidRPr="00040BEC">
        <w:rPr>
          <w:lang w:val="en-GB"/>
        </w:rPr>
        <w:t xml:space="preserve"> approximately 50%</w:t>
      </w:r>
      <w:r w:rsidR="006610DD" w:rsidRPr="00040BEC">
        <w:rPr>
          <w:lang w:val="en-GB"/>
        </w:rPr>
        <w:t xml:space="preserve"> </w:t>
      </w:r>
      <w:r w:rsidRPr="00040BEC">
        <w:rPr>
          <w:lang w:val="en-GB"/>
        </w:rPr>
        <w:t>of the world’s fleet will have been equipped with Wi-Fi connectivity by 2020.</w:t>
      </w:r>
    </w:p>
    <w:p w14:paraId="523C0B2A" w14:textId="77777777" w:rsidR="0061396A" w:rsidRPr="00040BEC" w:rsidRDefault="0061396A" w:rsidP="0061396A">
      <w:pPr>
        <w:spacing w:after="240"/>
        <w:jc w:val="both"/>
        <w:rPr>
          <w:lang w:val="en-GB"/>
        </w:rPr>
      </w:pPr>
      <w:r w:rsidRPr="00040BEC">
        <w:rPr>
          <w:lang w:val="en-GB"/>
        </w:rPr>
        <w:t>The introduction of Broadband DA2GC would not only increase Europe’s competitive position, but it could also bring Europe into a leading position in this market segment. Studies on air passenger demand for on-board connectivity are currently not publicly available.</w:t>
      </w:r>
    </w:p>
    <w:p w14:paraId="64851928" w14:textId="77777777" w:rsidR="0061396A" w:rsidRPr="00040BEC" w:rsidRDefault="0061396A" w:rsidP="0061396A">
      <w:pPr>
        <w:spacing w:after="240"/>
        <w:jc w:val="both"/>
        <w:rPr>
          <w:lang w:val="en-GB"/>
        </w:rPr>
      </w:pPr>
      <w:r w:rsidRPr="00040BEC">
        <w:rPr>
          <w:lang w:val="en-GB"/>
        </w:rPr>
        <w:t>The introduction of Broadband DA2GC providing mobile services would contribute to the development of the internal market and enhance competition by increasing the availability of pan-European services and end-to-end connectivity as well as encouraging efficient investment. DA2GC constitutes an innovative alternative platform for various types of pan-European telecommunications services provided to aircraft passengers.</w:t>
      </w:r>
    </w:p>
    <w:p w14:paraId="6122F7A2" w14:textId="77777777" w:rsidR="0061396A" w:rsidRPr="00040BEC" w:rsidRDefault="0061396A" w:rsidP="0061396A">
      <w:pPr>
        <w:spacing w:after="240"/>
        <w:jc w:val="both"/>
        <w:rPr>
          <w:lang w:val="en-GB"/>
        </w:rPr>
      </w:pPr>
      <w:r w:rsidRPr="00040BEC">
        <w:rPr>
          <w:lang w:val="en-GB"/>
        </w:rPr>
        <w:t>The provision of broadband services including also all kinds of transportation sectors is a declared goal under the European Digital Agenda 2020 plans.</w:t>
      </w:r>
    </w:p>
    <w:p w14:paraId="1582F578" w14:textId="77777777" w:rsidR="0061396A" w:rsidRDefault="0061396A" w:rsidP="0061396A">
      <w:pPr>
        <w:spacing w:after="240"/>
        <w:jc w:val="both"/>
        <w:rPr>
          <w:lang w:val="en-GB"/>
        </w:rPr>
      </w:pPr>
      <w:r w:rsidRPr="00040BEC">
        <w:rPr>
          <w:lang w:val="en-GB"/>
        </w:rPr>
        <w:t>Broadband DA2GC provide such services without the round trip delay that is a feature in the competing geostationary satellite service solutions. In addition, these networks can provide services to airplanes by using aircraft antennas that are considerably efficient in terms of weight, size, aircraft installation costs and air drag considerations when compared to satellite antennas on-board aircraft.</w:t>
      </w:r>
    </w:p>
    <w:p w14:paraId="13275021" w14:textId="77777777" w:rsidR="00564B84" w:rsidRPr="00040BEC" w:rsidRDefault="00564B84" w:rsidP="0061396A">
      <w:pPr>
        <w:spacing w:after="240"/>
        <w:jc w:val="both"/>
        <w:rPr>
          <w:lang w:val="en-GB"/>
        </w:rPr>
      </w:pPr>
    </w:p>
    <w:p w14:paraId="5C0FBA7C" w14:textId="77777777" w:rsidR="0061396A" w:rsidRPr="00040BEC" w:rsidRDefault="0061396A" w:rsidP="00564B84">
      <w:pPr>
        <w:pStyle w:val="Heading3"/>
        <w:rPr>
          <w:lang w:val="en-GB" w:eastAsia="de-DE"/>
        </w:rPr>
      </w:pPr>
      <w:r w:rsidRPr="00040BEC">
        <w:rPr>
          <w:lang w:val="en-GB" w:eastAsia="de-DE"/>
        </w:rPr>
        <w:lastRenderedPageBreak/>
        <w:t xml:space="preserve">Spectrum </w:t>
      </w:r>
      <w:r w:rsidR="00377396" w:rsidRPr="00040BEC">
        <w:rPr>
          <w:lang w:val="en-GB" w:eastAsia="de-DE"/>
        </w:rPr>
        <w:t>d</w:t>
      </w:r>
      <w:r w:rsidRPr="00040BEC">
        <w:rPr>
          <w:lang w:val="en-GB" w:eastAsia="de-DE"/>
        </w:rPr>
        <w:t>emand for Broadband DA2GC</w:t>
      </w:r>
    </w:p>
    <w:p w14:paraId="6272023C" w14:textId="77777777" w:rsidR="0061396A" w:rsidRPr="00040BEC" w:rsidRDefault="0061396A" w:rsidP="00564B84">
      <w:pPr>
        <w:keepNext/>
        <w:spacing w:after="240"/>
        <w:jc w:val="both"/>
        <w:rPr>
          <w:lang w:val="en-GB"/>
        </w:rPr>
      </w:pPr>
      <w:r w:rsidRPr="00040BEC">
        <w:rPr>
          <w:lang w:val="en-GB"/>
        </w:rPr>
        <w:t xml:space="preserve">The spectrum demand for Broadband DA2GC </w:t>
      </w:r>
      <w:proofErr w:type="gramStart"/>
      <w:r w:rsidRPr="00040BEC">
        <w:rPr>
          <w:lang w:val="en-GB"/>
        </w:rPr>
        <w:t>is derived</w:t>
      </w:r>
      <w:proofErr w:type="gramEnd"/>
      <w:r w:rsidRPr="00040BEC">
        <w:rPr>
          <w:lang w:val="en-GB"/>
        </w:rPr>
        <w:t xml:space="preserve"> from a summary of relevant factors to be essential to cope with future capacity demand as well as from results achieved by system performance evaluations.</w:t>
      </w:r>
    </w:p>
    <w:p w14:paraId="4ACC93CF" w14:textId="77777777" w:rsidR="0061396A" w:rsidRPr="00040BEC" w:rsidRDefault="0061396A" w:rsidP="00564B84">
      <w:pPr>
        <w:keepNext/>
        <w:tabs>
          <w:tab w:val="left" w:pos="8789"/>
        </w:tabs>
        <w:spacing w:after="240"/>
        <w:jc w:val="both"/>
        <w:rPr>
          <w:lang w:val="en-GB"/>
        </w:rPr>
      </w:pPr>
      <w:r w:rsidRPr="00040BEC">
        <w:rPr>
          <w:lang w:val="en-GB"/>
        </w:rPr>
        <w:t>Statistical traffic evaluations show that there is an average number of more than 26 aircraft</w:t>
      </w:r>
      <w:r w:rsidR="00551237" w:rsidRPr="00040BEC">
        <w:rPr>
          <w:lang w:val="en-GB"/>
        </w:rPr>
        <w:t>s</w:t>
      </w:r>
      <w:r w:rsidRPr="00040BEC">
        <w:rPr>
          <w:lang w:val="en-GB"/>
        </w:rPr>
        <w:t xml:space="preserve"> simultaneously within one cell with coverage radius of 100 km in high air traffic </w:t>
      </w:r>
      <w:proofErr w:type="gramStart"/>
      <w:r w:rsidRPr="00040BEC">
        <w:rPr>
          <w:lang w:val="en-GB"/>
        </w:rPr>
        <w:t>areas which</w:t>
      </w:r>
      <w:proofErr w:type="gramEnd"/>
      <w:r w:rsidRPr="00040BEC">
        <w:rPr>
          <w:lang w:val="en-GB"/>
        </w:rPr>
        <w:t xml:space="preserve"> are concentrated in Western/Central Europe (mainly Germany, France, Benelux, Switzerland, Austria, United Kingdom, Northern Spain and Northern Italy). It has to </w:t>
      </w:r>
      <w:proofErr w:type="gramStart"/>
      <w:r w:rsidRPr="00040BEC">
        <w:rPr>
          <w:lang w:val="en-GB"/>
        </w:rPr>
        <w:t>be mentioned</w:t>
      </w:r>
      <w:proofErr w:type="gramEnd"/>
      <w:r w:rsidRPr="00040BEC">
        <w:rPr>
          <w:lang w:val="en-GB"/>
        </w:rPr>
        <w:t xml:space="preserve"> that there are also areas at the edge of the flight zones, where the cells have only a low traffic density in the range of 1 - 2 aircraft simultaneously, but the spectrum demand for Broadband DA2GC has to be adapted for the high traffic areas. The approach used assumes that about 60% of the fleets are covered.</w:t>
      </w:r>
    </w:p>
    <w:p w14:paraId="254F4823" w14:textId="5A014A33" w:rsidR="0075359E" w:rsidRPr="00040BEC" w:rsidRDefault="0075359E" w:rsidP="0075359E">
      <w:pPr>
        <w:spacing w:after="240"/>
        <w:jc w:val="both"/>
        <w:rPr>
          <w:lang w:val="en-GB"/>
        </w:rPr>
      </w:pPr>
      <w:r w:rsidRPr="00040BEC">
        <w:rPr>
          <w:lang w:val="en-GB"/>
        </w:rPr>
        <w:t xml:space="preserve">Based on the calculations, which have been carried out and accepted within ECC, paired spectrum of </w:t>
      </w:r>
      <w:r w:rsidR="003D1281" w:rsidRPr="00040BEC">
        <w:rPr>
          <w:lang w:val="en-GB"/>
        </w:rPr>
        <w:t xml:space="preserve">up to </w:t>
      </w:r>
      <w:r w:rsidRPr="00040BEC">
        <w:rPr>
          <w:lang w:val="en-GB"/>
        </w:rPr>
        <w:t xml:space="preserve">2x10 MHz for FDD operation </w:t>
      </w:r>
      <w:r w:rsidR="003D1281" w:rsidRPr="00040BEC">
        <w:rPr>
          <w:lang w:val="en-GB"/>
        </w:rPr>
        <w:t xml:space="preserve">or 20 MHz for TDD operation </w:t>
      </w:r>
      <w:proofErr w:type="gramStart"/>
      <w:r w:rsidRPr="00040BEC">
        <w:rPr>
          <w:lang w:val="en-GB"/>
        </w:rPr>
        <w:t>is agreed</w:t>
      </w:r>
      <w:proofErr w:type="gramEnd"/>
      <w:r w:rsidRPr="00040BEC">
        <w:rPr>
          <w:lang w:val="en-GB"/>
        </w:rPr>
        <w:t xml:space="preserve"> to be necessary to cope with short- to medium-term demand. The amount of spectrum released could be done on a </w:t>
      </w:r>
      <w:proofErr w:type="gramStart"/>
      <w:r w:rsidRPr="00040BEC">
        <w:rPr>
          <w:lang w:val="en-GB"/>
        </w:rPr>
        <w:t>step-by-step</w:t>
      </w:r>
      <w:proofErr w:type="gramEnd"/>
      <w:r w:rsidRPr="00040BEC">
        <w:rPr>
          <w:lang w:val="en-GB"/>
        </w:rPr>
        <w:t xml:space="preserve"> process, e.g. by allocating the spectrum in smaller blocks on a national basis. This could be a methodology for facilitating a time plan for a common European harmonisation.</w:t>
      </w:r>
    </w:p>
    <w:p w14:paraId="6D8F3BAE" w14:textId="77777777" w:rsidR="009F3210" w:rsidRPr="00040BEC" w:rsidRDefault="000D5218" w:rsidP="0061396A">
      <w:pPr>
        <w:spacing w:after="240"/>
        <w:jc w:val="both"/>
        <w:rPr>
          <w:lang w:val="en-GB"/>
        </w:rPr>
      </w:pPr>
      <w:r w:rsidRPr="00040BEC">
        <w:rPr>
          <w:lang w:val="en-GB"/>
        </w:rPr>
        <w:t xml:space="preserve">The implementation and operation of </w:t>
      </w:r>
      <w:r w:rsidR="007B5EF0" w:rsidRPr="00040BEC">
        <w:rPr>
          <w:lang w:val="en-GB"/>
        </w:rPr>
        <w:t xml:space="preserve">more than one </w:t>
      </w:r>
      <w:r w:rsidRPr="00040BEC">
        <w:rPr>
          <w:lang w:val="en-GB"/>
        </w:rPr>
        <w:t xml:space="preserve">European </w:t>
      </w:r>
      <w:r w:rsidR="007B5EF0" w:rsidRPr="00040BEC">
        <w:rPr>
          <w:lang w:val="en-GB"/>
        </w:rPr>
        <w:t>Broadband DA2GC system</w:t>
      </w:r>
      <w:r w:rsidRPr="00040BEC">
        <w:rPr>
          <w:lang w:val="en-GB"/>
        </w:rPr>
        <w:t xml:space="preserve"> in the same frequency band (either in the unpaired 2 GHz bands</w:t>
      </w:r>
      <w:r w:rsidR="00B56588" w:rsidRPr="00040BEC">
        <w:rPr>
          <w:lang w:val="en-GB"/>
        </w:rPr>
        <w:t>,</w:t>
      </w:r>
      <w:r w:rsidRPr="00040BEC">
        <w:rPr>
          <w:lang w:val="en-GB"/>
        </w:rPr>
        <w:t xml:space="preserve"> </w:t>
      </w:r>
      <w:r w:rsidR="00B56588" w:rsidRPr="00040BEC">
        <w:rPr>
          <w:lang w:val="en-GB"/>
        </w:rPr>
        <w:t>i</w:t>
      </w:r>
      <w:r w:rsidRPr="00040BEC">
        <w:rPr>
          <w:lang w:val="en-GB"/>
        </w:rPr>
        <w:t>n the 5.8 GHz band</w:t>
      </w:r>
      <w:r w:rsidR="00B56588" w:rsidRPr="00040BEC">
        <w:rPr>
          <w:lang w:val="en-GB"/>
        </w:rPr>
        <w:t xml:space="preserve"> or in the 2 GHz MSS band with CGC</w:t>
      </w:r>
      <w:r w:rsidRPr="00040BEC">
        <w:rPr>
          <w:lang w:val="en-GB"/>
        </w:rPr>
        <w:t xml:space="preserve">) was considered as unlikely. Therefore intra-service sharing studies (e.g. for </w:t>
      </w:r>
      <w:proofErr w:type="gramStart"/>
      <w:r w:rsidRPr="00040BEC">
        <w:rPr>
          <w:lang w:val="en-GB"/>
        </w:rPr>
        <w:t>2</w:t>
      </w:r>
      <w:proofErr w:type="gramEnd"/>
      <w:r w:rsidRPr="00040BEC">
        <w:rPr>
          <w:lang w:val="en-GB"/>
        </w:rPr>
        <w:t xml:space="preserve"> Broadband DA2GC systems in the unpaired 2 GHz bands) </w:t>
      </w:r>
      <w:r w:rsidR="00173917" w:rsidRPr="00040BEC">
        <w:rPr>
          <w:lang w:val="en-GB"/>
        </w:rPr>
        <w:t>were not carried out. However, by looking at the results</w:t>
      </w:r>
      <w:r w:rsidR="00B21C6E" w:rsidRPr="00040BEC">
        <w:rPr>
          <w:lang w:val="en-GB"/>
        </w:rPr>
        <w:t xml:space="preserve"> of </w:t>
      </w:r>
      <w:r w:rsidR="00A30C9C" w:rsidRPr="00040BEC">
        <w:rPr>
          <w:lang w:val="en-GB"/>
        </w:rPr>
        <w:t xml:space="preserve">the compatibility and sharing studies </w:t>
      </w:r>
      <w:r w:rsidR="00173917" w:rsidRPr="00040BEC">
        <w:rPr>
          <w:lang w:val="en-GB"/>
        </w:rPr>
        <w:t xml:space="preserve">it appears that co-channel operation of different Broadband DA2GC systems would not be possible in the same geographical area. Even in the case of different systems in adjacent frequency blocks (in the same geographical area) a guard </w:t>
      </w:r>
      <w:r w:rsidR="00FC2766" w:rsidRPr="00040BEC">
        <w:rPr>
          <w:lang w:val="en-GB"/>
        </w:rPr>
        <w:t>band</w:t>
      </w:r>
      <w:r w:rsidR="00173917" w:rsidRPr="00040BEC">
        <w:rPr>
          <w:lang w:val="en-GB"/>
        </w:rPr>
        <w:t xml:space="preserve"> in between seems to be necessary if TDD is considered.</w:t>
      </w:r>
      <w:r w:rsidR="008C2DBD" w:rsidRPr="00040BEC">
        <w:rPr>
          <w:lang w:val="en-GB"/>
        </w:rPr>
        <w:t xml:space="preserve"> N</w:t>
      </w:r>
      <w:r w:rsidR="009F3210" w:rsidRPr="00040BEC">
        <w:rPr>
          <w:lang w:val="en-GB"/>
        </w:rPr>
        <w:t>o aggregate effect with regard to other radio applications, i.e. adjacent to the unpaired 2 GHz bands, may occur.</w:t>
      </w:r>
    </w:p>
    <w:p w14:paraId="2AF181AA" w14:textId="77777777" w:rsidR="00FB335B" w:rsidRPr="00040BEC" w:rsidRDefault="00FB335B" w:rsidP="00FB335B">
      <w:pPr>
        <w:spacing w:after="240"/>
        <w:jc w:val="both"/>
        <w:rPr>
          <w:lang w:val="en-GB"/>
        </w:rPr>
      </w:pPr>
      <w:r w:rsidRPr="00040BEC">
        <w:rPr>
          <w:lang w:val="en-GB"/>
        </w:rPr>
        <w:t xml:space="preserve">As mentioned earlier, the </w:t>
      </w:r>
      <w:proofErr w:type="gramStart"/>
      <w:r w:rsidRPr="00040BEC">
        <w:rPr>
          <w:lang w:val="en-GB"/>
        </w:rPr>
        <w:t>roll-out</w:t>
      </w:r>
      <w:proofErr w:type="gramEnd"/>
      <w:r w:rsidRPr="00040BEC">
        <w:rPr>
          <w:lang w:val="en-GB"/>
        </w:rPr>
        <w:t xml:space="preserve"> of a European wide Broadband DA2GC system may be facilitated by releasing the spectrum using a step by step process. Cross-border coordination amongst European countries </w:t>
      </w:r>
      <w:proofErr w:type="gramStart"/>
      <w:r w:rsidRPr="00040BEC">
        <w:rPr>
          <w:lang w:val="en-GB"/>
        </w:rPr>
        <w:t>is considered</w:t>
      </w:r>
      <w:proofErr w:type="gramEnd"/>
      <w:r w:rsidRPr="00040BEC">
        <w:rPr>
          <w:lang w:val="en-GB"/>
        </w:rPr>
        <w:t xml:space="preserve"> </w:t>
      </w:r>
      <w:r w:rsidR="008712B6" w:rsidRPr="00040BEC">
        <w:rPr>
          <w:lang w:val="en-GB"/>
        </w:rPr>
        <w:t>an</w:t>
      </w:r>
      <w:r w:rsidRPr="00040BEC">
        <w:rPr>
          <w:lang w:val="en-GB"/>
        </w:rPr>
        <w:t xml:space="preserve"> issue that can be addressed with normal bilateral/multilateral coordination procedures. In addition, it </w:t>
      </w:r>
      <w:proofErr w:type="gramStart"/>
      <w:r w:rsidRPr="00040BEC">
        <w:rPr>
          <w:lang w:val="en-GB"/>
        </w:rPr>
        <w:t>is considered</w:t>
      </w:r>
      <w:proofErr w:type="gramEnd"/>
      <w:r w:rsidRPr="00040BEC">
        <w:rPr>
          <w:lang w:val="en-GB"/>
        </w:rPr>
        <w:t xml:space="preserve"> that there will be no legacy systems (i.e. UMTS/TDD) in operation to coordinate with. Coordination with services within bands (e.g. PMSE) or in adjacent bands - either within a country or between neighbouring countries - </w:t>
      </w:r>
      <w:proofErr w:type="gramStart"/>
      <w:r w:rsidRPr="00040BEC">
        <w:rPr>
          <w:lang w:val="en-GB"/>
        </w:rPr>
        <w:t>is expected to be based</w:t>
      </w:r>
      <w:proofErr w:type="gramEnd"/>
      <w:r w:rsidRPr="00040BEC">
        <w:rPr>
          <w:lang w:val="en-GB"/>
        </w:rPr>
        <w:t xml:space="preserve"> on the results of the compatibility studies.</w:t>
      </w:r>
    </w:p>
    <w:p w14:paraId="0E082F8D" w14:textId="77777777" w:rsidR="00FB335B" w:rsidRPr="00040BEC" w:rsidRDefault="00FB335B" w:rsidP="00FB335B">
      <w:pPr>
        <w:spacing w:after="240"/>
        <w:jc w:val="both"/>
        <w:rPr>
          <w:lang w:val="en-GB"/>
        </w:rPr>
      </w:pPr>
      <w:r w:rsidRPr="00040BEC">
        <w:rPr>
          <w:lang w:val="en-GB"/>
        </w:rPr>
        <w:t>The results of the compatibility and sharing studies provide also a basis for cross-border coordination at the outer European borders, such as separation distances between DA2GC GS and other radio stations in the neighbouring country or for appropriate measures for the AS (e.g. power reduction over relevant countries without a DA2GC service). Although the situation - i.e. non-utilisation of the spectrum - outside of CEPT in ITU Region 1 is most likely similar because of the current IMT identification of the unpaired 2 GHz bands, such coordination would also support that a pan-European DA2GC service would not be subject to operational restrictions at border areas in the future.</w:t>
      </w:r>
    </w:p>
    <w:p w14:paraId="6B14F110" w14:textId="77777777" w:rsidR="00FB335B" w:rsidRPr="00040BEC" w:rsidRDefault="00FB335B" w:rsidP="003435C2">
      <w:pPr>
        <w:pStyle w:val="Heading3"/>
        <w:rPr>
          <w:lang w:val="en-GB" w:eastAsia="de-DE"/>
        </w:rPr>
      </w:pPr>
      <w:r w:rsidRPr="00040BEC">
        <w:rPr>
          <w:lang w:val="en-GB"/>
        </w:rPr>
        <w:t>Compatibility/sharing scenarios for DA2GC in the 2 GHz unpaired bands</w:t>
      </w:r>
    </w:p>
    <w:p w14:paraId="1D70DF89" w14:textId="41848F81" w:rsidR="00FB335B" w:rsidRPr="00040BEC" w:rsidRDefault="00FB335B" w:rsidP="00B51C59">
      <w:pPr>
        <w:spacing w:after="240"/>
        <w:jc w:val="both"/>
        <w:rPr>
          <w:lang w:val="en-GB"/>
        </w:rPr>
      </w:pPr>
      <w:r w:rsidRPr="00040BEC">
        <w:rPr>
          <w:lang w:val="en-GB"/>
        </w:rPr>
        <w:t xml:space="preserve">A number of different compatibility/sharing scenarios with other radio services/applications </w:t>
      </w:r>
      <w:proofErr w:type="gramStart"/>
      <w:r w:rsidR="003E0B92" w:rsidRPr="00040BEC">
        <w:rPr>
          <w:lang w:val="en-GB"/>
        </w:rPr>
        <w:t xml:space="preserve">were </w:t>
      </w:r>
      <w:r w:rsidRPr="00040BEC">
        <w:rPr>
          <w:lang w:val="en-GB"/>
        </w:rPr>
        <w:t>considered</w:t>
      </w:r>
      <w:proofErr w:type="gramEnd"/>
      <w:r w:rsidRPr="00040BEC">
        <w:rPr>
          <w:lang w:val="en-GB"/>
        </w:rPr>
        <w:t xml:space="preserve"> for the implementation of </w:t>
      </w:r>
      <w:r w:rsidR="005071B3" w:rsidRPr="00040BEC">
        <w:rPr>
          <w:lang w:val="en-GB"/>
        </w:rPr>
        <w:t xml:space="preserve">Broadband </w:t>
      </w:r>
      <w:r w:rsidRPr="00040BEC">
        <w:rPr>
          <w:lang w:val="en-GB"/>
        </w:rPr>
        <w:t xml:space="preserve">DA2GC within the 2 GHz unpaired bands. In addition, the possibility to put the DA2GC FL as well as the DA2GC RL within either band </w:t>
      </w:r>
      <w:r w:rsidR="003E0B92" w:rsidRPr="00040BEC">
        <w:rPr>
          <w:lang w:val="en-GB"/>
        </w:rPr>
        <w:t>w</w:t>
      </w:r>
      <w:r w:rsidR="008712B6" w:rsidRPr="00040BEC">
        <w:rPr>
          <w:lang w:val="en-GB"/>
        </w:rPr>
        <w:t>as</w:t>
      </w:r>
      <w:r w:rsidRPr="00040BEC">
        <w:rPr>
          <w:lang w:val="en-GB"/>
        </w:rPr>
        <w:t xml:space="preserve"> also subje</w:t>
      </w:r>
      <w:r w:rsidR="009E183B" w:rsidRPr="00040BEC">
        <w:rPr>
          <w:lang w:val="en-GB"/>
        </w:rPr>
        <w:t>c</w:t>
      </w:r>
      <w:r w:rsidRPr="00040BEC">
        <w:rPr>
          <w:lang w:val="en-GB"/>
        </w:rPr>
        <w:t xml:space="preserve">t for the studies. All these compatibility/sharing scenarios </w:t>
      </w:r>
      <w:proofErr w:type="gramStart"/>
      <w:r w:rsidRPr="00040BEC">
        <w:rPr>
          <w:lang w:val="en-GB"/>
        </w:rPr>
        <w:t>are illustrated</w:t>
      </w:r>
      <w:proofErr w:type="gramEnd"/>
      <w:r w:rsidRPr="00040BEC">
        <w:rPr>
          <w:lang w:val="en-GB"/>
        </w:rPr>
        <w:t xml:space="preserve"> in </w:t>
      </w:r>
      <w:r w:rsidR="00190B71" w:rsidRPr="00040BEC">
        <w:rPr>
          <w:lang w:val="en-GB"/>
        </w:rPr>
        <w:fldChar w:fldCharType="begin"/>
      </w:r>
      <w:r w:rsidR="00190B71" w:rsidRPr="00040BEC">
        <w:rPr>
          <w:lang w:val="en-GB"/>
        </w:rPr>
        <w:instrText xml:space="preserve"> REF _Ref412119837 \h </w:instrText>
      </w:r>
      <w:r w:rsidR="00190B71" w:rsidRPr="00040BEC">
        <w:rPr>
          <w:lang w:val="en-GB"/>
        </w:rPr>
      </w:r>
      <w:r w:rsidR="00190B71" w:rsidRPr="00040BEC">
        <w:rPr>
          <w:lang w:val="en-GB"/>
        </w:rPr>
        <w:fldChar w:fldCharType="separate"/>
      </w:r>
      <w:r w:rsidR="002327BB" w:rsidRPr="00040BEC">
        <w:rPr>
          <w:lang w:val="en-GB"/>
        </w:rPr>
        <w:t xml:space="preserve">Figure </w:t>
      </w:r>
      <w:r w:rsidR="002327BB">
        <w:rPr>
          <w:noProof/>
          <w:lang w:val="en-GB"/>
        </w:rPr>
        <w:t>6</w:t>
      </w:r>
      <w:r w:rsidR="00190B71" w:rsidRPr="00040BEC">
        <w:rPr>
          <w:lang w:val="en-GB"/>
        </w:rPr>
        <w:fldChar w:fldCharType="end"/>
      </w:r>
      <w:r w:rsidR="001A4F87" w:rsidRPr="00040BEC">
        <w:rPr>
          <w:lang w:val="en-GB"/>
        </w:rPr>
        <w:t xml:space="preserve"> </w:t>
      </w:r>
      <w:r w:rsidRPr="00040BEC">
        <w:rPr>
          <w:lang w:val="en-GB"/>
        </w:rPr>
        <w:t xml:space="preserve">to </w:t>
      </w:r>
      <w:r w:rsidR="00190B71" w:rsidRPr="00040BEC">
        <w:rPr>
          <w:lang w:val="en-GB"/>
        </w:rPr>
        <w:fldChar w:fldCharType="begin"/>
      </w:r>
      <w:r w:rsidR="00190B71" w:rsidRPr="00040BEC">
        <w:rPr>
          <w:lang w:val="en-GB"/>
        </w:rPr>
        <w:instrText xml:space="preserve"> REF _Ref412119853 \h </w:instrText>
      </w:r>
      <w:r w:rsidR="00190B71" w:rsidRPr="00040BEC">
        <w:rPr>
          <w:lang w:val="en-GB"/>
        </w:rPr>
      </w:r>
      <w:r w:rsidR="00190B71" w:rsidRPr="00040BEC">
        <w:rPr>
          <w:lang w:val="en-GB"/>
        </w:rPr>
        <w:fldChar w:fldCharType="separate"/>
      </w:r>
      <w:r w:rsidR="002327BB" w:rsidRPr="00040BEC">
        <w:rPr>
          <w:lang w:val="en-GB"/>
        </w:rPr>
        <w:t xml:space="preserve">Figure </w:t>
      </w:r>
      <w:r w:rsidR="002327BB">
        <w:rPr>
          <w:noProof/>
          <w:lang w:val="en-GB"/>
        </w:rPr>
        <w:t>9</w:t>
      </w:r>
      <w:r w:rsidR="00190B71" w:rsidRPr="00040BEC">
        <w:rPr>
          <w:lang w:val="en-GB"/>
        </w:rPr>
        <w:fldChar w:fldCharType="end"/>
      </w:r>
      <w:r w:rsidRPr="00040BEC">
        <w:rPr>
          <w:lang w:val="en-GB"/>
        </w:rPr>
        <w:t>.</w:t>
      </w:r>
    </w:p>
    <w:p w14:paraId="0E3C53D4" w14:textId="77777777" w:rsidR="007D20AF" w:rsidRPr="00040BEC" w:rsidRDefault="007D20AF" w:rsidP="00447A83">
      <w:pPr>
        <w:spacing w:after="120" w:line="360" w:lineRule="auto"/>
        <w:rPr>
          <w:rFonts w:cs="Arial"/>
          <w:lang w:val="en-GB"/>
        </w:rPr>
      </w:pPr>
    </w:p>
    <w:p w14:paraId="3B68A350" w14:textId="77777777" w:rsidR="00447A83" w:rsidRPr="00040BEC" w:rsidRDefault="00447A83" w:rsidP="00447A83">
      <w:pPr>
        <w:spacing w:after="120" w:line="360" w:lineRule="auto"/>
        <w:rPr>
          <w:rFonts w:cs="Arial"/>
          <w:lang w:val="en-GB"/>
        </w:rPr>
      </w:pPr>
      <w:r w:rsidRPr="00040BEC">
        <w:rPr>
          <w:noProof/>
          <w:lang w:val="da-DK" w:eastAsia="da-DK"/>
        </w:rPr>
        <w:lastRenderedPageBreak/>
        <w:drawing>
          <wp:inline distT="0" distB="0" distL="0" distR="0" wp14:anchorId="482AC497" wp14:editId="2BC4ACAC">
            <wp:extent cx="5732145" cy="3697692"/>
            <wp:effectExtent l="0" t="0" r="1905" b="0"/>
            <wp:docPr id="1"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6"/>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732145" cy="3697692"/>
                    </a:xfrm>
                    <a:prstGeom prst="rect">
                      <a:avLst/>
                    </a:prstGeom>
                    <a:noFill/>
                    <a:ln>
                      <a:noFill/>
                    </a:ln>
                  </pic:spPr>
                </pic:pic>
              </a:graphicData>
            </a:graphic>
          </wp:inline>
        </w:drawing>
      </w:r>
    </w:p>
    <w:p w14:paraId="384E0FDA" w14:textId="6639B04B" w:rsidR="00447A83" w:rsidRPr="00040BEC" w:rsidRDefault="00447A83" w:rsidP="00447A83">
      <w:pPr>
        <w:pStyle w:val="Caption"/>
        <w:rPr>
          <w:lang w:val="en-GB"/>
        </w:rPr>
      </w:pPr>
      <w:bookmarkStart w:id="27" w:name="_Ref412119837"/>
      <w:r w:rsidRPr="00040BEC">
        <w:rPr>
          <w:lang w:val="en-GB"/>
        </w:rPr>
        <w:t xml:space="preserve">Figure </w:t>
      </w:r>
      <w:r w:rsidR="000A5980" w:rsidRPr="00040BEC">
        <w:rPr>
          <w:lang w:val="en-GB"/>
        </w:rPr>
        <w:fldChar w:fldCharType="begin"/>
      </w:r>
      <w:r w:rsidRPr="00040BEC">
        <w:rPr>
          <w:lang w:val="en-GB"/>
        </w:rPr>
        <w:instrText xml:space="preserve"> SEQ Figure \* ARABIC </w:instrText>
      </w:r>
      <w:r w:rsidR="000A5980" w:rsidRPr="00040BEC">
        <w:rPr>
          <w:lang w:val="en-GB"/>
        </w:rPr>
        <w:fldChar w:fldCharType="separate"/>
      </w:r>
      <w:r w:rsidR="002327BB">
        <w:rPr>
          <w:noProof/>
          <w:lang w:val="en-GB"/>
        </w:rPr>
        <w:t>6</w:t>
      </w:r>
      <w:r w:rsidR="000A5980" w:rsidRPr="00040BEC">
        <w:rPr>
          <w:lang w:val="en-GB"/>
        </w:rPr>
        <w:fldChar w:fldCharType="end"/>
      </w:r>
      <w:bookmarkEnd w:id="27"/>
      <w:r w:rsidRPr="00040BEC">
        <w:rPr>
          <w:lang w:val="en-GB"/>
        </w:rPr>
        <w:t xml:space="preserve">: </w:t>
      </w:r>
      <w:r w:rsidR="00FA56E7" w:rsidRPr="00040BEC">
        <w:rPr>
          <w:lang w:val="en-GB"/>
        </w:rPr>
        <w:t>Compatibility/sharing s</w:t>
      </w:r>
      <w:r w:rsidRPr="00040BEC">
        <w:rPr>
          <w:lang w:val="en-GB"/>
        </w:rPr>
        <w:t xml:space="preserve">cenarios for BDA2GC </w:t>
      </w:r>
      <w:r w:rsidR="003F4DED" w:rsidRPr="00040BEC">
        <w:rPr>
          <w:lang w:val="en-GB"/>
        </w:rPr>
        <w:t xml:space="preserve">RL </w:t>
      </w:r>
      <w:r w:rsidRPr="00040BEC">
        <w:rPr>
          <w:lang w:val="en-GB"/>
        </w:rPr>
        <w:t>in the frequency band 1900-1920 MHz</w:t>
      </w:r>
    </w:p>
    <w:p w14:paraId="25C2E53B" w14:textId="77777777" w:rsidR="00447A83" w:rsidRPr="00040BEC" w:rsidRDefault="00447A83" w:rsidP="00447A83">
      <w:pPr>
        <w:spacing w:after="120" w:line="360" w:lineRule="auto"/>
        <w:rPr>
          <w:rFonts w:cs="Arial"/>
          <w:szCs w:val="20"/>
          <w:lang w:val="en-GB" w:eastAsia="da-DK"/>
        </w:rPr>
      </w:pPr>
    </w:p>
    <w:p w14:paraId="40E0C367" w14:textId="77777777" w:rsidR="00447A83" w:rsidRPr="00040BEC" w:rsidRDefault="00447A83" w:rsidP="00447A83">
      <w:pPr>
        <w:spacing w:after="120" w:line="360" w:lineRule="auto"/>
        <w:rPr>
          <w:rFonts w:cs="Arial"/>
          <w:lang w:val="en-GB"/>
        </w:rPr>
      </w:pPr>
      <w:r w:rsidRPr="00040BEC">
        <w:rPr>
          <w:rFonts w:cs="Arial"/>
          <w:noProof/>
          <w:szCs w:val="20"/>
          <w:lang w:val="da-DK" w:eastAsia="da-DK"/>
        </w:rPr>
        <w:drawing>
          <wp:inline distT="0" distB="0" distL="0" distR="0" wp14:anchorId="332117D4" wp14:editId="179BF596">
            <wp:extent cx="5732145" cy="3752754"/>
            <wp:effectExtent l="0" t="0" r="1905" b="635"/>
            <wp:docPr id="4" name="Grafik 4" descr="Compatibility_Scenarions_DA2G_FL_1900-1920MH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 descr="Compatibility_Scenarions_DA2G_FL_1900-1920MHz"/>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732145" cy="3752754"/>
                    </a:xfrm>
                    <a:prstGeom prst="rect">
                      <a:avLst/>
                    </a:prstGeom>
                    <a:noFill/>
                    <a:ln>
                      <a:noFill/>
                    </a:ln>
                  </pic:spPr>
                </pic:pic>
              </a:graphicData>
            </a:graphic>
          </wp:inline>
        </w:drawing>
      </w:r>
    </w:p>
    <w:p w14:paraId="09B51E63" w14:textId="2C9620EF" w:rsidR="00447A83" w:rsidRPr="00040BEC" w:rsidRDefault="00447A83" w:rsidP="00447A83">
      <w:pPr>
        <w:pStyle w:val="Caption"/>
        <w:rPr>
          <w:lang w:val="en-GB"/>
        </w:rPr>
      </w:pPr>
      <w:r w:rsidRPr="00040BEC">
        <w:rPr>
          <w:lang w:val="en-GB"/>
        </w:rPr>
        <w:t xml:space="preserve">Figure </w:t>
      </w:r>
      <w:r w:rsidR="000A5980" w:rsidRPr="00040BEC">
        <w:rPr>
          <w:lang w:val="en-GB"/>
        </w:rPr>
        <w:fldChar w:fldCharType="begin"/>
      </w:r>
      <w:r w:rsidRPr="00040BEC">
        <w:rPr>
          <w:lang w:val="en-GB"/>
        </w:rPr>
        <w:instrText xml:space="preserve"> SEQ Figure \* ARABIC </w:instrText>
      </w:r>
      <w:r w:rsidR="000A5980" w:rsidRPr="00040BEC">
        <w:rPr>
          <w:lang w:val="en-GB"/>
        </w:rPr>
        <w:fldChar w:fldCharType="separate"/>
      </w:r>
      <w:r w:rsidR="002327BB">
        <w:rPr>
          <w:noProof/>
          <w:lang w:val="en-GB"/>
        </w:rPr>
        <w:t>7</w:t>
      </w:r>
      <w:r w:rsidR="000A5980" w:rsidRPr="00040BEC">
        <w:rPr>
          <w:lang w:val="en-GB"/>
        </w:rPr>
        <w:fldChar w:fldCharType="end"/>
      </w:r>
      <w:r w:rsidRPr="00040BEC">
        <w:rPr>
          <w:lang w:val="en-GB"/>
        </w:rPr>
        <w:t xml:space="preserve">: </w:t>
      </w:r>
      <w:r w:rsidR="00FA56E7" w:rsidRPr="00040BEC">
        <w:rPr>
          <w:lang w:val="en-GB"/>
        </w:rPr>
        <w:t>Compatibility/sharing</w:t>
      </w:r>
      <w:r w:rsidR="00FA56E7" w:rsidRPr="00040BEC">
        <w:rPr>
          <w:bCs w:val="0"/>
          <w:lang w:val="en-GB"/>
        </w:rPr>
        <w:t xml:space="preserve"> s</w:t>
      </w:r>
      <w:r w:rsidRPr="00040BEC">
        <w:rPr>
          <w:lang w:val="en-GB"/>
        </w:rPr>
        <w:t xml:space="preserve">cenarios for BDA2GC </w:t>
      </w:r>
      <w:r w:rsidR="003F4DED" w:rsidRPr="00040BEC">
        <w:rPr>
          <w:rFonts w:eastAsiaTheme="minorEastAsia" w:cstheme="minorBidi"/>
          <w:lang w:val="en-GB"/>
        </w:rPr>
        <w:t xml:space="preserve">FL </w:t>
      </w:r>
      <w:r w:rsidRPr="00040BEC">
        <w:rPr>
          <w:lang w:val="en-GB"/>
        </w:rPr>
        <w:t>in the frequency band</w:t>
      </w:r>
      <w:r w:rsidR="00564B84">
        <w:rPr>
          <w:lang w:val="en-GB"/>
        </w:rPr>
        <w:t xml:space="preserve"> </w:t>
      </w:r>
      <w:r w:rsidRPr="00040BEC">
        <w:rPr>
          <w:lang w:val="en-GB"/>
        </w:rPr>
        <w:t>1900-1920 MHz</w:t>
      </w:r>
    </w:p>
    <w:p w14:paraId="4439436D" w14:textId="77777777" w:rsidR="00D161E8" w:rsidRPr="00040BEC" w:rsidRDefault="00D161E8" w:rsidP="00D161E8">
      <w:pPr>
        <w:spacing w:after="120" w:line="360" w:lineRule="auto"/>
        <w:rPr>
          <w:rFonts w:cs="Arial"/>
          <w:lang w:val="en-GB"/>
        </w:rPr>
      </w:pPr>
      <w:r w:rsidRPr="00040BEC">
        <w:rPr>
          <w:rFonts w:ascii="Times New Roman" w:hAnsi="Times New Roman" w:cs="Arial"/>
          <w:noProof/>
          <w:szCs w:val="20"/>
          <w:lang w:val="da-DK" w:eastAsia="da-DK"/>
        </w:rPr>
        <w:lastRenderedPageBreak/>
        <w:drawing>
          <wp:inline distT="0" distB="0" distL="0" distR="0" wp14:anchorId="55293F9A" wp14:editId="2A79D50F">
            <wp:extent cx="5575300" cy="4067175"/>
            <wp:effectExtent l="0" t="0" r="6350" b="9525"/>
            <wp:docPr id="5" name="Grafik 1" descr="Beschreibung: Compatibility_Scenarions_DA2G_RL_2010-2025MH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 descr="Beschreibung: Compatibility_Scenarions_DA2G_RL_2010-2025MHz"/>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575300" cy="4067175"/>
                    </a:xfrm>
                    <a:prstGeom prst="rect">
                      <a:avLst/>
                    </a:prstGeom>
                    <a:noFill/>
                    <a:ln>
                      <a:noFill/>
                    </a:ln>
                  </pic:spPr>
                </pic:pic>
              </a:graphicData>
            </a:graphic>
          </wp:inline>
        </w:drawing>
      </w:r>
    </w:p>
    <w:p w14:paraId="63DC97D1" w14:textId="77777777" w:rsidR="00D161E8" w:rsidRPr="00040BEC" w:rsidRDefault="00D161E8" w:rsidP="00D161E8">
      <w:pPr>
        <w:pStyle w:val="Caption"/>
        <w:rPr>
          <w:lang w:val="en-GB"/>
        </w:rPr>
      </w:pPr>
      <w:r w:rsidRPr="00040BEC">
        <w:rPr>
          <w:lang w:val="en-GB"/>
        </w:rPr>
        <w:t xml:space="preserve">Figure </w:t>
      </w:r>
      <w:r w:rsidR="000A5980" w:rsidRPr="00040BEC">
        <w:rPr>
          <w:lang w:val="en-GB"/>
        </w:rPr>
        <w:fldChar w:fldCharType="begin"/>
      </w:r>
      <w:r w:rsidRPr="00040BEC">
        <w:rPr>
          <w:lang w:val="en-GB"/>
        </w:rPr>
        <w:instrText xml:space="preserve"> SEQ Figure \* ARABIC </w:instrText>
      </w:r>
      <w:r w:rsidR="000A5980" w:rsidRPr="00040BEC">
        <w:rPr>
          <w:lang w:val="en-GB"/>
        </w:rPr>
        <w:fldChar w:fldCharType="separate"/>
      </w:r>
      <w:r w:rsidR="002327BB">
        <w:rPr>
          <w:noProof/>
          <w:lang w:val="en-GB"/>
        </w:rPr>
        <w:t>8</w:t>
      </w:r>
      <w:r w:rsidR="000A5980" w:rsidRPr="00040BEC">
        <w:rPr>
          <w:lang w:val="en-GB"/>
        </w:rPr>
        <w:fldChar w:fldCharType="end"/>
      </w:r>
      <w:r w:rsidRPr="00040BEC">
        <w:rPr>
          <w:lang w:val="en-GB"/>
        </w:rPr>
        <w:t>: Compatibility/sharing scenarios for DA2GC RL in the frequency band 2010-2025 MHz</w:t>
      </w:r>
    </w:p>
    <w:p w14:paraId="7A9AC171" w14:textId="77777777" w:rsidR="00D161E8" w:rsidRPr="00040BEC" w:rsidRDefault="00D161E8" w:rsidP="00D161E8">
      <w:pPr>
        <w:spacing w:after="120" w:line="360" w:lineRule="auto"/>
        <w:rPr>
          <w:rFonts w:cs="Arial"/>
          <w:lang w:val="en-GB"/>
        </w:rPr>
      </w:pPr>
      <w:r w:rsidRPr="00040BEC">
        <w:rPr>
          <w:rFonts w:ascii="Times New Roman" w:hAnsi="Times New Roman"/>
          <w:noProof/>
          <w:szCs w:val="20"/>
          <w:lang w:val="da-DK" w:eastAsia="da-DK"/>
        </w:rPr>
        <w:drawing>
          <wp:inline distT="0" distB="0" distL="0" distR="0" wp14:anchorId="1EEF5952" wp14:editId="5F427375">
            <wp:extent cx="5490000" cy="3888000"/>
            <wp:effectExtent l="0" t="0" r="0" b="0"/>
            <wp:docPr id="1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459"/>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490000" cy="3888000"/>
                    </a:xfrm>
                    <a:prstGeom prst="rect">
                      <a:avLst/>
                    </a:prstGeom>
                    <a:noFill/>
                    <a:ln>
                      <a:noFill/>
                    </a:ln>
                  </pic:spPr>
                </pic:pic>
              </a:graphicData>
            </a:graphic>
          </wp:inline>
        </w:drawing>
      </w:r>
    </w:p>
    <w:p w14:paraId="1DFC0AD5" w14:textId="77777777" w:rsidR="00D161E8" w:rsidRPr="00040BEC" w:rsidRDefault="00D161E8" w:rsidP="00D161E8">
      <w:pPr>
        <w:pStyle w:val="Caption"/>
        <w:rPr>
          <w:lang w:val="en-GB"/>
        </w:rPr>
      </w:pPr>
      <w:bookmarkStart w:id="28" w:name="_Ref412119853"/>
      <w:r w:rsidRPr="00040BEC">
        <w:rPr>
          <w:lang w:val="en-GB"/>
        </w:rPr>
        <w:t xml:space="preserve">Figure </w:t>
      </w:r>
      <w:r w:rsidR="000A5980" w:rsidRPr="00040BEC">
        <w:rPr>
          <w:lang w:val="en-GB"/>
        </w:rPr>
        <w:fldChar w:fldCharType="begin"/>
      </w:r>
      <w:r w:rsidRPr="00040BEC">
        <w:rPr>
          <w:lang w:val="en-GB"/>
        </w:rPr>
        <w:instrText xml:space="preserve"> SEQ Figure \* ARABIC </w:instrText>
      </w:r>
      <w:r w:rsidR="000A5980" w:rsidRPr="00040BEC">
        <w:rPr>
          <w:lang w:val="en-GB"/>
        </w:rPr>
        <w:fldChar w:fldCharType="separate"/>
      </w:r>
      <w:r w:rsidR="002327BB">
        <w:rPr>
          <w:noProof/>
          <w:lang w:val="en-GB"/>
        </w:rPr>
        <w:t>9</w:t>
      </w:r>
      <w:r w:rsidR="000A5980" w:rsidRPr="00040BEC">
        <w:rPr>
          <w:lang w:val="en-GB"/>
        </w:rPr>
        <w:fldChar w:fldCharType="end"/>
      </w:r>
      <w:bookmarkEnd w:id="28"/>
      <w:r w:rsidRPr="00040BEC">
        <w:rPr>
          <w:lang w:val="en-GB"/>
        </w:rPr>
        <w:t>: Compatibility/sharing scenarios for DA2GC FL in the frequency band 2010-2025 MHz</w:t>
      </w:r>
    </w:p>
    <w:p w14:paraId="69384DBD" w14:textId="7E887B1D" w:rsidR="003E0B92" w:rsidRPr="00040BEC" w:rsidRDefault="003E0B92" w:rsidP="00512C73">
      <w:pPr>
        <w:pStyle w:val="ECCParagraph"/>
        <w:spacing w:after="120"/>
      </w:pPr>
      <w:r w:rsidRPr="00040BEC">
        <w:lastRenderedPageBreak/>
        <w:t xml:space="preserve">The following three options </w:t>
      </w:r>
      <w:r w:rsidR="0075359E" w:rsidRPr="00040BEC">
        <w:t xml:space="preserve">were considered as </w:t>
      </w:r>
      <w:r w:rsidR="00B178AF" w:rsidRPr="00040BEC">
        <w:t>the</w:t>
      </w:r>
      <w:r w:rsidRPr="00040BEC">
        <w:t xml:space="preserve"> preferred </w:t>
      </w:r>
      <w:r w:rsidR="00B178AF" w:rsidRPr="00040BEC">
        <w:t xml:space="preserve">ones </w:t>
      </w:r>
      <w:proofErr w:type="gramStart"/>
      <w:r w:rsidR="00FC2766" w:rsidRPr="00040BEC">
        <w:t>as a result</w:t>
      </w:r>
      <w:proofErr w:type="gramEnd"/>
      <w:r w:rsidRPr="00040BEC">
        <w:t xml:space="preserve"> of the compatibility studies </w:t>
      </w:r>
      <w:r w:rsidR="00B178AF" w:rsidRPr="00040BEC">
        <w:t xml:space="preserve">between </w:t>
      </w:r>
      <w:r w:rsidRPr="00040BEC">
        <w:t xml:space="preserve">Broadband DA2GC </w:t>
      </w:r>
      <w:r w:rsidR="00B178AF" w:rsidRPr="00040BEC">
        <w:t xml:space="preserve">and </w:t>
      </w:r>
      <w:r w:rsidRPr="00040BEC">
        <w:t>existing services adjacent to the unpaired 2 GHz bands:</w:t>
      </w:r>
    </w:p>
    <w:p w14:paraId="300B4CFD" w14:textId="77777777" w:rsidR="003E0B92" w:rsidRPr="00040BEC" w:rsidRDefault="003E0B92" w:rsidP="00564B84">
      <w:pPr>
        <w:pStyle w:val="ListParagraph"/>
        <w:numPr>
          <w:ilvl w:val="0"/>
          <w:numId w:val="35"/>
        </w:numPr>
        <w:ind w:left="567" w:hanging="283"/>
        <w:jc w:val="both"/>
        <w:rPr>
          <w:color w:val="000000"/>
          <w:lang w:val="en-GB"/>
        </w:rPr>
      </w:pPr>
      <w:r w:rsidRPr="00040BEC">
        <w:rPr>
          <w:color w:val="000000"/>
          <w:lang w:val="en-GB"/>
        </w:rPr>
        <w:t>For an FDD system according to ETSI TR 103</w:t>
      </w:r>
      <w:r w:rsidR="00454BBF" w:rsidRPr="00040BEC">
        <w:rPr>
          <w:color w:val="000000"/>
          <w:lang w:val="en-GB"/>
        </w:rPr>
        <w:t> </w:t>
      </w:r>
      <w:r w:rsidRPr="00040BEC">
        <w:rPr>
          <w:color w:val="000000"/>
          <w:lang w:val="en-GB"/>
        </w:rPr>
        <w:t>054</w:t>
      </w:r>
      <w:r w:rsidR="00454BBF" w:rsidRPr="00040BEC">
        <w:rPr>
          <w:color w:val="000000"/>
          <w:lang w:val="en-GB"/>
        </w:rPr>
        <w:t xml:space="preserve"> </w:t>
      </w:r>
      <w:r w:rsidR="000A5980" w:rsidRPr="00040BEC">
        <w:rPr>
          <w:color w:val="000000"/>
          <w:lang w:val="en-GB"/>
        </w:rPr>
        <w:fldChar w:fldCharType="begin"/>
      </w:r>
      <w:r w:rsidR="00454BBF" w:rsidRPr="00040BEC">
        <w:rPr>
          <w:color w:val="000000"/>
          <w:lang w:val="en-GB"/>
        </w:rPr>
        <w:instrText xml:space="preserve"> REF _Ref388513496 \r \h </w:instrText>
      </w:r>
      <w:r w:rsidR="000A5980" w:rsidRPr="00040BEC">
        <w:rPr>
          <w:color w:val="000000"/>
          <w:lang w:val="en-GB"/>
        </w:rPr>
      </w:r>
      <w:r w:rsidR="000A5980" w:rsidRPr="00040BEC">
        <w:rPr>
          <w:color w:val="000000"/>
          <w:lang w:val="en-GB"/>
        </w:rPr>
        <w:fldChar w:fldCharType="separate"/>
      </w:r>
      <w:r w:rsidR="002327BB">
        <w:rPr>
          <w:color w:val="000000"/>
          <w:lang w:val="en-GB"/>
        </w:rPr>
        <w:t>[31]</w:t>
      </w:r>
      <w:r w:rsidR="000A5980" w:rsidRPr="00040BEC">
        <w:rPr>
          <w:color w:val="000000"/>
          <w:lang w:val="en-GB"/>
        </w:rPr>
        <w:fldChar w:fldCharType="end"/>
      </w:r>
      <w:r w:rsidRPr="00040BEC">
        <w:rPr>
          <w:color w:val="000000"/>
          <w:lang w:val="en-GB"/>
        </w:rPr>
        <w:t>, frequency bands: 1900-1910 MHz</w:t>
      </w:r>
      <w:r w:rsidRPr="00040BEC">
        <w:rPr>
          <w:color w:val="000000"/>
          <w:lang w:val="en-GB"/>
        </w:rPr>
        <w:br/>
        <w:t>(FL) and 2010-2020 MHz (RL)</w:t>
      </w:r>
      <w:r w:rsidR="00C55CB6" w:rsidRPr="00040BEC">
        <w:rPr>
          <w:color w:val="000000"/>
          <w:lang w:val="en-GB"/>
        </w:rPr>
        <w:t xml:space="preserve">; </w:t>
      </w:r>
      <w:r w:rsidR="000A5980" w:rsidRPr="00040BEC">
        <w:rPr>
          <w:color w:val="000000"/>
          <w:lang w:val="en-GB"/>
        </w:rPr>
        <w:fldChar w:fldCharType="begin"/>
      </w:r>
      <w:r w:rsidR="00B53CF2" w:rsidRPr="00040BEC">
        <w:rPr>
          <w:color w:val="000000"/>
          <w:lang w:val="en-GB"/>
        </w:rPr>
        <w:instrText xml:space="preserve"> REF _Ref386366877 \r \h </w:instrText>
      </w:r>
      <w:r w:rsidR="000A5980" w:rsidRPr="00040BEC">
        <w:rPr>
          <w:color w:val="000000"/>
          <w:lang w:val="en-GB"/>
        </w:rPr>
      </w:r>
      <w:r w:rsidR="000A5980" w:rsidRPr="00040BEC">
        <w:rPr>
          <w:color w:val="000000"/>
          <w:lang w:val="en-GB"/>
        </w:rPr>
        <w:fldChar w:fldCharType="separate"/>
      </w:r>
      <w:r w:rsidR="002327BB">
        <w:rPr>
          <w:color w:val="000000"/>
          <w:lang w:val="en-GB"/>
        </w:rPr>
        <w:t>ANNEX 4:</w:t>
      </w:r>
      <w:r w:rsidR="000A5980" w:rsidRPr="00040BEC">
        <w:rPr>
          <w:color w:val="000000"/>
          <w:lang w:val="en-GB"/>
        </w:rPr>
        <w:fldChar w:fldCharType="end"/>
      </w:r>
      <w:r w:rsidR="00C55CB6" w:rsidRPr="00040BEC">
        <w:rPr>
          <w:color w:val="000000"/>
          <w:lang w:val="en-GB"/>
        </w:rPr>
        <w:t xml:space="preserve"> presents the corresponding regulatory parameters</w:t>
      </w:r>
      <w:r w:rsidR="00176CF0" w:rsidRPr="00040BEC">
        <w:rPr>
          <w:color w:val="000000"/>
          <w:lang w:val="en-GB"/>
        </w:rPr>
        <w:t>;</w:t>
      </w:r>
    </w:p>
    <w:p w14:paraId="3C954D05" w14:textId="53B51854" w:rsidR="003E0B92" w:rsidRPr="00040BEC" w:rsidRDefault="003E0B92" w:rsidP="00564B84">
      <w:pPr>
        <w:pStyle w:val="ListParagraph"/>
        <w:numPr>
          <w:ilvl w:val="0"/>
          <w:numId w:val="35"/>
        </w:numPr>
        <w:ind w:left="567" w:hanging="283"/>
        <w:jc w:val="both"/>
        <w:rPr>
          <w:color w:val="000000"/>
          <w:lang w:val="en-GB"/>
        </w:rPr>
      </w:pPr>
      <w:r w:rsidRPr="00040BEC">
        <w:rPr>
          <w:color w:val="000000"/>
          <w:lang w:val="en-GB"/>
        </w:rPr>
        <w:t>For a TDD system according to ETSI TR 101</w:t>
      </w:r>
      <w:r w:rsidR="00454BBF" w:rsidRPr="00040BEC">
        <w:rPr>
          <w:color w:val="000000"/>
          <w:lang w:val="en-GB"/>
        </w:rPr>
        <w:t> </w:t>
      </w:r>
      <w:r w:rsidRPr="00040BEC">
        <w:rPr>
          <w:color w:val="000000"/>
          <w:lang w:val="en-GB"/>
        </w:rPr>
        <w:t>599</w:t>
      </w:r>
      <w:r w:rsidR="00454BBF" w:rsidRPr="00040BEC">
        <w:rPr>
          <w:color w:val="000000"/>
          <w:lang w:val="en-GB"/>
        </w:rPr>
        <w:t xml:space="preserve"> </w:t>
      </w:r>
      <w:r w:rsidR="000A5980" w:rsidRPr="00040BEC">
        <w:rPr>
          <w:color w:val="000000"/>
          <w:lang w:val="en-GB"/>
        </w:rPr>
        <w:fldChar w:fldCharType="begin"/>
      </w:r>
      <w:r w:rsidR="00454BBF" w:rsidRPr="00040BEC">
        <w:rPr>
          <w:color w:val="000000"/>
          <w:lang w:val="en-GB"/>
        </w:rPr>
        <w:instrText xml:space="preserve"> REF _Ref388513504 \r \h </w:instrText>
      </w:r>
      <w:r w:rsidR="000A5980" w:rsidRPr="00040BEC">
        <w:rPr>
          <w:color w:val="000000"/>
          <w:lang w:val="en-GB"/>
        </w:rPr>
      </w:r>
      <w:r w:rsidR="000A5980" w:rsidRPr="00040BEC">
        <w:rPr>
          <w:color w:val="000000"/>
          <w:lang w:val="en-GB"/>
        </w:rPr>
        <w:fldChar w:fldCharType="separate"/>
      </w:r>
      <w:r w:rsidR="002327BB">
        <w:rPr>
          <w:color w:val="000000"/>
          <w:lang w:val="en-GB"/>
        </w:rPr>
        <w:t>[32]</w:t>
      </w:r>
      <w:r w:rsidR="000A5980" w:rsidRPr="00040BEC">
        <w:rPr>
          <w:color w:val="000000"/>
          <w:lang w:val="en-GB"/>
        </w:rPr>
        <w:fldChar w:fldCharType="end"/>
      </w:r>
      <w:r w:rsidRPr="00040BEC">
        <w:rPr>
          <w:color w:val="000000"/>
          <w:lang w:val="en-GB"/>
        </w:rPr>
        <w:t>, frequency band: 1900-1920 MHz</w:t>
      </w:r>
      <w:r w:rsidR="00C55CB6" w:rsidRPr="00040BEC">
        <w:rPr>
          <w:color w:val="000000"/>
          <w:lang w:val="en-GB"/>
        </w:rPr>
        <w:t xml:space="preserve">; </w:t>
      </w:r>
      <w:r w:rsidR="00FB555C">
        <w:rPr>
          <w:color w:val="000000"/>
          <w:lang w:val="en-GB"/>
        </w:rPr>
        <w:fldChar w:fldCharType="begin"/>
      </w:r>
      <w:r w:rsidR="00FB555C">
        <w:rPr>
          <w:color w:val="000000"/>
          <w:lang w:val="en-GB"/>
        </w:rPr>
        <w:instrText xml:space="preserve"> REF _Ref424638588 \r \h </w:instrText>
      </w:r>
      <w:r w:rsidR="00FB555C">
        <w:rPr>
          <w:color w:val="000000"/>
          <w:lang w:val="en-GB"/>
        </w:rPr>
      </w:r>
      <w:r w:rsidR="00FB555C">
        <w:rPr>
          <w:color w:val="000000"/>
          <w:lang w:val="en-GB"/>
        </w:rPr>
        <w:fldChar w:fldCharType="separate"/>
      </w:r>
      <w:r w:rsidR="002327BB">
        <w:rPr>
          <w:color w:val="000000"/>
          <w:lang w:val="en-GB"/>
        </w:rPr>
        <w:t>ANNEX 4:</w:t>
      </w:r>
      <w:r w:rsidR="00FB555C">
        <w:rPr>
          <w:color w:val="000000"/>
          <w:lang w:val="en-GB"/>
        </w:rPr>
        <w:fldChar w:fldCharType="end"/>
      </w:r>
      <w:r w:rsidR="00C55CB6" w:rsidRPr="00040BEC">
        <w:rPr>
          <w:color w:val="000000"/>
          <w:lang w:val="en-GB"/>
        </w:rPr>
        <w:t xml:space="preserve"> presents the corresponding regulatory parameters</w:t>
      </w:r>
      <w:r w:rsidR="00176CF0" w:rsidRPr="00040BEC">
        <w:rPr>
          <w:color w:val="000000"/>
          <w:lang w:val="en-GB"/>
        </w:rPr>
        <w:t>;</w:t>
      </w:r>
    </w:p>
    <w:p w14:paraId="46B87AC1" w14:textId="6573408E" w:rsidR="003E0B92" w:rsidRPr="00040BEC" w:rsidRDefault="003E0B92" w:rsidP="00564B84">
      <w:pPr>
        <w:pStyle w:val="ListParagraph"/>
        <w:numPr>
          <w:ilvl w:val="0"/>
          <w:numId w:val="35"/>
        </w:numPr>
        <w:ind w:left="567" w:hanging="283"/>
        <w:jc w:val="both"/>
        <w:rPr>
          <w:color w:val="000000"/>
          <w:lang w:val="en-GB"/>
        </w:rPr>
      </w:pPr>
      <w:r w:rsidRPr="00040BEC">
        <w:rPr>
          <w:color w:val="000000"/>
          <w:lang w:val="en-GB"/>
        </w:rPr>
        <w:t>For a TDD system according to ETSI TR 103</w:t>
      </w:r>
      <w:r w:rsidR="00454BBF" w:rsidRPr="00040BEC">
        <w:rPr>
          <w:color w:val="000000"/>
          <w:lang w:val="en-GB"/>
        </w:rPr>
        <w:t> </w:t>
      </w:r>
      <w:r w:rsidRPr="00040BEC">
        <w:rPr>
          <w:color w:val="000000"/>
          <w:lang w:val="en-GB"/>
        </w:rPr>
        <w:t>108</w:t>
      </w:r>
      <w:r w:rsidR="00454BBF" w:rsidRPr="00040BEC">
        <w:rPr>
          <w:color w:val="000000"/>
          <w:lang w:val="en-GB"/>
        </w:rPr>
        <w:t xml:space="preserve"> </w:t>
      </w:r>
      <w:r w:rsidR="000A5980" w:rsidRPr="00040BEC">
        <w:rPr>
          <w:color w:val="000000"/>
          <w:lang w:val="en-GB"/>
        </w:rPr>
        <w:fldChar w:fldCharType="begin"/>
      </w:r>
      <w:r w:rsidR="00454BBF" w:rsidRPr="00040BEC">
        <w:rPr>
          <w:color w:val="000000"/>
          <w:lang w:val="en-GB"/>
        </w:rPr>
        <w:instrText xml:space="preserve"> REF _Ref388513513 \r \h </w:instrText>
      </w:r>
      <w:r w:rsidR="000A5980" w:rsidRPr="00040BEC">
        <w:rPr>
          <w:color w:val="000000"/>
          <w:lang w:val="en-GB"/>
        </w:rPr>
      </w:r>
      <w:r w:rsidR="000A5980" w:rsidRPr="00040BEC">
        <w:rPr>
          <w:color w:val="000000"/>
          <w:lang w:val="en-GB"/>
        </w:rPr>
        <w:fldChar w:fldCharType="separate"/>
      </w:r>
      <w:r w:rsidR="002327BB">
        <w:rPr>
          <w:color w:val="000000"/>
          <w:lang w:val="en-GB"/>
        </w:rPr>
        <w:t>[33]</w:t>
      </w:r>
      <w:r w:rsidR="000A5980" w:rsidRPr="00040BEC">
        <w:rPr>
          <w:color w:val="000000"/>
          <w:lang w:val="en-GB"/>
        </w:rPr>
        <w:fldChar w:fldCharType="end"/>
      </w:r>
      <w:r w:rsidRPr="00040BEC">
        <w:rPr>
          <w:color w:val="000000"/>
          <w:lang w:val="en-GB"/>
        </w:rPr>
        <w:t>, frequency band: 1900-1920 MHz</w:t>
      </w:r>
      <w:proofErr w:type="gramStart"/>
      <w:r w:rsidR="00C55CB6" w:rsidRPr="00040BEC">
        <w:rPr>
          <w:color w:val="000000"/>
          <w:lang w:val="en-GB"/>
        </w:rPr>
        <w:t>;</w:t>
      </w:r>
      <w:proofErr w:type="gramEnd"/>
      <w:r w:rsidR="00C55CB6" w:rsidRPr="00040BEC">
        <w:rPr>
          <w:color w:val="000000"/>
          <w:lang w:val="en-GB"/>
        </w:rPr>
        <w:t xml:space="preserve"> </w:t>
      </w:r>
      <w:r w:rsidR="00FB555C">
        <w:rPr>
          <w:color w:val="000000"/>
          <w:lang w:val="en-GB"/>
        </w:rPr>
        <w:fldChar w:fldCharType="begin"/>
      </w:r>
      <w:r w:rsidR="00FB555C">
        <w:rPr>
          <w:color w:val="000000"/>
          <w:lang w:val="en-GB"/>
        </w:rPr>
        <w:instrText xml:space="preserve"> REF _Ref424638608 \r \h </w:instrText>
      </w:r>
      <w:r w:rsidR="00FB555C">
        <w:rPr>
          <w:color w:val="000000"/>
          <w:lang w:val="en-GB"/>
        </w:rPr>
      </w:r>
      <w:r w:rsidR="00FB555C">
        <w:rPr>
          <w:color w:val="000000"/>
          <w:lang w:val="en-GB"/>
        </w:rPr>
        <w:fldChar w:fldCharType="separate"/>
      </w:r>
      <w:r w:rsidR="002327BB">
        <w:rPr>
          <w:color w:val="000000"/>
          <w:lang w:val="en-GB"/>
        </w:rPr>
        <w:t>ANNEX 4:</w:t>
      </w:r>
      <w:r w:rsidR="00FB555C">
        <w:rPr>
          <w:color w:val="000000"/>
          <w:lang w:val="en-GB"/>
        </w:rPr>
        <w:fldChar w:fldCharType="end"/>
      </w:r>
      <w:r w:rsidR="00C55CB6" w:rsidRPr="00040BEC">
        <w:rPr>
          <w:color w:val="000000"/>
          <w:lang w:val="en-GB"/>
        </w:rPr>
        <w:t xml:space="preserve"> presents the corresponding regulatory parameters</w:t>
      </w:r>
      <w:r w:rsidRPr="00040BEC">
        <w:rPr>
          <w:color w:val="000000"/>
          <w:lang w:val="en-GB"/>
        </w:rPr>
        <w:t>.</w:t>
      </w:r>
    </w:p>
    <w:p w14:paraId="2E4A11F6" w14:textId="77777777" w:rsidR="003E0B92" w:rsidRPr="00040BEC" w:rsidRDefault="003E0B92" w:rsidP="003E0B92">
      <w:pPr>
        <w:jc w:val="both"/>
        <w:rPr>
          <w:color w:val="000000"/>
          <w:lang w:val="en-GB"/>
        </w:rPr>
      </w:pPr>
    </w:p>
    <w:p w14:paraId="6A9FC7A8" w14:textId="17A39265" w:rsidR="00385A68" w:rsidRPr="00040BEC" w:rsidRDefault="00B178AF" w:rsidP="00512C73">
      <w:pPr>
        <w:pStyle w:val="ECCParagraph"/>
      </w:pPr>
      <w:r w:rsidRPr="00040BEC">
        <w:t xml:space="preserve">It </w:t>
      </w:r>
      <w:proofErr w:type="gramStart"/>
      <w:r w:rsidRPr="00040BEC">
        <w:t>should be noted</w:t>
      </w:r>
      <w:proofErr w:type="gramEnd"/>
      <w:r w:rsidRPr="00040BEC">
        <w:t xml:space="preserve"> that </w:t>
      </w:r>
      <w:r w:rsidR="00385A68" w:rsidRPr="00040BEC">
        <w:t xml:space="preserve">the </w:t>
      </w:r>
      <w:r w:rsidRPr="00040BEC">
        <w:t xml:space="preserve">two </w:t>
      </w:r>
      <w:r w:rsidR="00BB253B" w:rsidRPr="00040BEC">
        <w:t xml:space="preserve">Broadband DA2GC </w:t>
      </w:r>
      <w:r w:rsidR="00385A68" w:rsidRPr="00040BEC">
        <w:t xml:space="preserve">TDD </w:t>
      </w:r>
      <w:r w:rsidR="00BB253B" w:rsidRPr="00040BEC">
        <w:t>systems</w:t>
      </w:r>
      <w:r w:rsidR="00385A68" w:rsidRPr="00040BEC">
        <w:t xml:space="preserve"> mentioned above </w:t>
      </w:r>
      <w:r w:rsidRPr="00040BEC">
        <w:t xml:space="preserve">are also under consideration for </w:t>
      </w:r>
      <w:r w:rsidR="00BB253B" w:rsidRPr="00040BEC">
        <w:t xml:space="preserve">operation </w:t>
      </w:r>
      <w:r w:rsidRPr="00040BEC">
        <w:t>in the 5.855-5.875 GHz band</w:t>
      </w:r>
      <w:r w:rsidR="00A629C2" w:rsidRPr="00040BEC">
        <w:rPr>
          <w:rStyle w:val="FootnoteReference"/>
        </w:rPr>
        <w:footnoteReference w:id="5"/>
      </w:r>
      <w:r w:rsidR="0075359E" w:rsidRPr="00040BEC">
        <w:t xml:space="preserve">. </w:t>
      </w:r>
      <w:r w:rsidR="003E0B92" w:rsidRPr="00040BEC">
        <w:t xml:space="preserve">During the Call for Inputs, </w:t>
      </w:r>
      <w:r w:rsidR="007611E2" w:rsidRPr="00040BEC">
        <w:t>none of the</w:t>
      </w:r>
      <w:r w:rsidR="008712B6" w:rsidRPr="00040BEC">
        <w:t xml:space="preserve"> responde</w:t>
      </w:r>
      <w:r w:rsidR="007611E2" w:rsidRPr="00040BEC">
        <w:t>nts</w:t>
      </w:r>
      <w:r w:rsidR="008712B6" w:rsidRPr="00040BEC">
        <w:t xml:space="preserve"> has indicated </w:t>
      </w:r>
      <w:r w:rsidR="007611E2" w:rsidRPr="00040BEC">
        <w:t xml:space="preserve">a </w:t>
      </w:r>
      <w:r w:rsidR="008712B6" w:rsidRPr="00040BEC">
        <w:t xml:space="preserve">preference for a </w:t>
      </w:r>
      <w:r w:rsidR="00FC2766" w:rsidRPr="00040BEC">
        <w:t xml:space="preserve">DA2GC </w:t>
      </w:r>
      <w:r w:rsidR="008712B6" w:rsidRPr="00040BEC">
        <w:t>TDD solution in the 2010-2025 MHz band</w:t>
      </w:r>
      <w:r w:rsidR="003E0B92" w:rsidRPr="00040BEC">
        <w:t xml:space="preserve">. The 2010-2025 MHz band can only provide up to 15 MHz for DA2GC using TDD, although it </w:t>
      </w:r>
      <w:proofErr w:type="gramStart"/>
      <w:r w:rsidR="003E0B92" w:rsidRPr="00040BEC">
        <w:t>is seen</w:t>
      </w:r>
      <w:proofErr w:type="gramEnd"/>
      <w:r w:rsidR="003E0B92" w:rsidRPr="00040BEC">
        <w:t xml:space="preserve"> as technically possible to operate such a </w:t>
      </w:r>
      <w:r w:rsidR="005829FD" w:rsidRPr="00040BEC">
        <w:t>system</w:t>
      </w:r>
      <w:r w:rsidR="003E0B92" w:rsidRPr="00040BEC">
        <w:t xml:space="preserve"> also within less than 20 </w:t>
      </w:r>
      <w:proofErr w:type="spellStart"/>
      <w:r w:rsidR="003E0B92" w:rsidRPr="00040BEC">
        <w:t>MHz.</w:t>
      </w:r>
      <w:proofErr w:type="spellEnd"/>
      <w:r w:rsidR="000A5980" w:rsidRPr="00040BEC">
        <w:rPr>
          <w:color w:val="000000" w:themeColor="text1"/>
        </w:rPr>
        <w:t xml:space="preserve"> </w:t>
      </w:r>
      <w:r w:rsidR="00AA2625" w:rsidRPr="00040BEC">
        <w:t xml:space="preserve">The possibility for a DA2GC TDD system in the frequency band 2010-2025 MHz </w:t>
      </w:r>
      <w:proofErr w:type="gramStart"/>
      <w:r w:rsidR="00AA2625" w:rsidRPr="00040BEC">
        <w:t>was not considered</w:t>
      </w:r>
      <w:proofErr w:type="gramEnd"/>
      <w:r w:rsidR="00AA2625" w:rsidRPr="00040BEC">
        <w:t xml:space="preserve"> due to a decision taken during the preparation of the present report. </w:t>
      </w:r>
    </w:p>
    <w:p w14:paraId="0EBB6834" w14:textId="77777777" w:rsidR="00E45382" w:rsidRPr="00040BEC" w:rsidRDefault="00880721" w:rsidP="003435C2">
      <w:pPr>
        <w:pStyle w:val="Heading3"/>
        <w:rPr>
          <w:lang w:val="en-GB"/>
        </w:rPr>
      </w:pPr>
      <w:r w:rsidRPr="00040BEC">
        <w:rPr>
          <w:lang w:val="en-GB"/>
        </w:rPr>
        <w:t>Typical performance expectations for Broadband DA2GC</w:t>
      </w:r>
    </w:p>
    <w:p w14:paraId="46994325" w14:textId="77777777" w:rsidR="000D7A4A" w:rsidRPr="00040BEC" w:rsidRDefault="000D7A4A" w:rsidP="000D7A4A">
      <w:pPr>
        <w:spacing w:after="240"/>
        <w:jc w:val="both"/>
        <w:rPr>
          <w:lang w:val="en-GB" w:eastAsia="de-DE"/>
        </w:rPr>
      </w:pPr>
      <w:r w:rsidRPr="00040BEC">
        <w:rPr>
          <w:lang w:val="en-GB" w:eastAsia="de-DE"/>
        </w:rPr>
        <w:t xml:space="preserve">The performance metrics as described below </w:t>
      </w:r>
      <w:proofErr w:type="gramStart"/>
      <w:r w:rsidRPr="00040BEC">
        <w:rPr>
          <w:lang w:val="en-GB" w:eastAsia="de-DE"/>
        </w:rPr>
        <w:t>should be considered</w:t>
      </w:r>
      <w:proofErr w:type="gramEnd"/>
      <w:r w:rsidRPr="00040BEC">
        <w:rPr>
          <w:lang w:val="en-GB" w:eastAsia="de-DE"/>
        </w:rPr>
        <w:t xml:space="preserve"> as typical performance to be expected independently of the technical solution / of the duplex mode.</w:t>
      </w:r>
    </w:p>
    <w:p w14:paraId="00B1BB63" w14:textId="77777777" w:rsidR="000D7A4A" w:rsidRPr="00040BEC" w:rsidRDefault="009A315A" w:rsidP="009A315A">
      <w:pPr>
        <w:pStyle w:val="Caption"/>
        <w:rPr>
          <w:rFonts w:eastAsia="Calibri" w:cs="Arial"/>
          <w:lang w:val="en-GB"/>
        </w:rPr>
      </w:pPr>
      <w:r w:rsidRPr="00040BEC">
        <w:rPr>
          <w:lang w:val="en-GB"/>
        </w:rPr>
        <w:t xml:space="preserve">Table </w:t>
      </w:r>
      <w:r w:rsidR="000A5980" w:rsidRPr="00040BEC">
        <w:rPr>
          <w:lang w:val="en-GB"/>
        </w:rPr>
        <w:fldChar w:fldCharType="begin"/>
      </w:r>
      <w:r w:rsidRPr="00040BEC">
        <w:rPr>
          <w:lang w:val="en-GB"/>
        </w:rPr>
        <w:instrText xml:space="preserve"> SEQ Table \* ARABIC </w:instrText>
      </w:r>
      <w:r w:rsidR="000A5980" w:rsidRPr="00040BEC">
        <w:rPr>
          <w:lang w:val="en-GB"/>
        </w:rPr>
        <w:fldChar w:fldCharType="separate"/>
      </w:r>
      <w:r w:rsidR="002327BB">
        <w:rPr>
          <w:noProof/>
          <w:lang w:val="en-GB"/>
        </w:rPr>
        <w:t>4</w:t>
      </w:r>
      <w:r w:rsidR="000A5980" w:rsidRPr="00040BEC">
        <w:rPr>
          <w:lang w:val="en-GB"/>
        </w:rPr>
        <w:fldChar w:fldCharType="end"/>
      </w:r>
      <w:r w:rsidRPr="00040BEC">
        <w:rPr>
          <w:bCs w:val="0"/>
          <w:lang w:val="en-GB"/>
        </w:rPr>
        <w:t>:</w:t>
      </w:r>
      <w:r w:rsidR="00E5485F" w:rsidRPr="00040BEC">
        <w:rPr>
          <w:bCs w:val="0"/>
          <w:lang w:val="en-GB"/>
        </w:rPr>
        <w:t xml:space="preserve"> </w:t>
      </w:r>
      <w:r w:rsidRPr="00040BEC">
        <w:rPr>
          <w:bCs w:val="0"/>
          <w:lang w:val="en-GB"/>
        </w:rPr>
        <w:t>Typical performance metrics for Broadband DA2GC</w:t>
      </w:r>
      <w:r w:rsidR="00F37BD4" w:rsidRPr="00040BEC">
        <w:rPr>
          <w:bCs w:val="0"/>
          <w:lang w:val="en-GB"/>
        </w:rPr>
        <w:t xml:space="preserve"> according to ECC Report 214</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3369"/>
        <w:gridCol w:w="6485"/>
      </w:tblGrid>
      <w:tr w:rsidR="00E5485F" w:rsidRPr="00040BEC" w14:paraId="1C82720A" w14:textId="77777777" w:rsidTr="00E5485F">
        <w:trPr>
          <w:tblHeader/>
        </w:trPr>
        <w:tc>
          <w:tcPr>
            <w:tcW w:w="3369" w:type="dxa"/>
            <w:tcBorders>
              <w:right w:val="single" w:sz="4" w:space="0" w:color="FFFFFF"/>
            </w:tcBorders>
            <w:shd w:val="clear" w:color="auto" w:fill="D2232A"/>
            <w:vAlign w:val="center"/>
          </w:tcPr>
          <w:p w14:paraId="3D6E6961" w14:textId="77777777" w:rsidR="00E5485F" w:rsidRPr="00040BEC" w:rsidRDefault="00E5485F" w:rsidP="00423619">
            <w:pPr>
              <w:spacing w:line="288" w:lineRule="auto"/>
              <w:jc w:val="center"/>
              <w:rPr>
                <w:b/>
                <w:color w:val="FFFFFF"/>
                <w:lang w:val="en-GB"/>
              </w:rPr>
            </w:pPr>
            <w:r w:rsidRPr="00040BEC">
              <w:rPr>
                <w:b/>
                <w:color w:val="FFFFFF"/>
                <w:lang w:val="en-GB"/>
              </w:rPr>
              <w:t>Metric</w:t>
            </w:r>
          </w:p>
        </w:tc>
        <w:tc>
          <w:tcPr>
            <w:tcW w:w="6485" w:type="dxa"/>
            <w:tcBorders>
              <w:left w:val="single" w:sz="4" w:space="0" w:color="FFFFFF"/>
            </w:tcBorders>
            <w:shd w:val="clear" w:color="auto" w:fill="D2232A"/>
            <w:vAlign w:val="center"/>
          </w:tcPr>
          <w:p w14:paraId="4FCD92B8" w14:textId="77777777" w:rsidR="00E5485F" w:rsidRPr="00040BEC" w:rsidRDefault="00E5485F" w:rsidP="00423619">
            <w:pPr>
              <w:spacing w:line="288" w:lineRule="auto"/>
              <w:jc w:val="center"/>
              <w:rPr>
                <w:b/>
                <w:color w:val="FFFFFF"/>
                <w:lang w:val="en-GB"/>
              </w:rPr>
            </w:pPr>
          </w:p>
        </w:tc>
      </w:tr>
      <w:tr w:rsidR="00E5485F" w:rsidRPr="00040BEC" w14:paraId="0B33D873" w14:textId="77777777" w:rsidTr="00E5485F">
        <w:tc>
          <w:tcPr>
            <w:tcW w:w="3369" w:type="dxa"/>
            <w:vAlign w:val="center"/>
          </w:tcPr>
          <w:p w14:paraId="535DB143" w14:textId="77777777" w:rsidR="00E5485F" w:rsidRPr="00040BEC" w:rsidRDefault="00E5485F" w:rsidP="00423619">
            <w:pPr>
              <w:spacing w:line="288" w:lineRule="auto"/>
              <w:rPr>
                <w:lang w:val="en-GB"/>
              </w:rPr>
            </w:pPr>
            <w:r w:rsidRPr="00040BEC">
              <w:rPr>
                <w:szCs w:val="20"/>
                <w:lang w:val="en-GB"/>
              </w:rPr>
              <w:t>Broadband DA2GC</w:t>
            </w:r>
          </w:p>
        </w:tc>
        <w:tc>
          <w:tcPr>
            <w:tcW w:w="6485" w:type="dxa"/>
            <w:vAlign w:val="center"/>
          </w:tcPr>
          <w:p w14:paraId="4C664A0E" w14:textId="77777777" w:rsidR="00E5485F" w:rsidRPr="00040BEC" w:rsidRDefault="00E5485F" w:rsidP="00423619">
            <w:pPr>
              <w:spacing w:line="288" w:lineRule="auto"/>
              <w:rPr>
                <w:lang w:val="en-GB"/>
              </w:rPr>
            </w:pPr>
            <w:r w:rsidRPr="00040BEC">
              <w:rPr>
                <w:szCs w:val="20"/>
                <w:lang w:val="en-GB"/>
              </w:rPr>
              <w:t xml:space="preserve">“Broadband” in this context refers to a service providing data rates between several hundred </w:t>
            </w:r>
            <w:proofErr w:type="spellStart"/>
            <w:r w:rsidRPr="00040BEC">
              <w:rPr>
                <w:szCs w:val="20"/>
                <w:lang w:val="en-GB"/>
              </w:rPr>
              <w:t>kbit</w:t>
            </w:r>
            <w:proofErr w:type="spellEnd"/>
            <w:r w:rsidRPr="00040BEC">
              <w:rPr>
                <w:szCs w:val="20"/>
                <w:lang w:val="en-GB"/>
              </w:rPr>
              <w:t>/s up to several Mbit/s per end-user, depending on the traffic load within a communication cell</w:t>
            </w:r>
          </w:p>
        </w:tc>
      </w:tr>
      <w:tr w:rsidR="00E5485F" w:rsidRPr="00040BEC" w14:paraId="42E345C2" w14:textId="77777777" w:rsidTr="00E5485F">
        <w:tc>
          <w:tcPr>
            <w:tcW w:w="3369" w:type="dxa"/>
            <w:vAlign w:val="center"/>
          </w:tcPr>
          <w:p w14:paraId="5F0373B1" w14:textId="77777777" w:rsidR="00E5485F" w:rsidRPr="00040BEC" w:rsidRDefault="00E5485F" w:rsidP="00423619">
            <w:pPr>
              <w:spacing w:line="288" w:lineRule="auto"/>
              <w:rPr>
                <w:lang w:val="en-GB"/>
              </w:rPr>
            </w:pPr>
            <w:r w:rsidRPr="00040BEC">
              <w:rPr>
                <w:szCs w:val="20"/>
                <w:lang w:val="en-GB"/>
              </w:rPr>
              <w:t>Availability of the service (average target)</w:t>
            </w:r>
          </w:p>
        </w:tc>
        <w:tc>
          <w:tcPr>
            <w:tcW w:w="6485" w:type="dxa"/>
            <w:vAlign w:val="center"/>
          </w:tcPr>
          <w:p w14:paraId="227A24D2" w14:textId="77777777" w:rsidR="00E5485F" w:rsidRPr="00040BEC" w:rsidRDefault="00E5485F" w:rsidP="00423619">
            <w:pPr>
              <w:spacing w:line="288" w:lineRule="auto"/>
              <w:rPr>
                <w:lang w:val="en-GB"/>
              </w:rPr>
            </w:pPr>
            <w:r w:rsidRPr="00040BEC">
              <w:rPr>
                <w:lang w:val="en-GB"/>
              </w:rPr>
              <w:t>99%</w:t>
            </w:r>
          </w:p>
        </w:tc>
      </w:tr>
      <w:tr w:rsidR="00E5485F" w:rsidRPr="00040BEC" w14:paraId="74D3AAA6" w14:textId="77777777" w:rsidTr="00E5485F">
        <w:tc>
          <w:tcPr>
            <w:tcW w:w="3369" w:type="dxa"/>
            <w:vAlign w:val="center"/>
          </w:tcPr>
          <w:p w14:paraId="23F80988" w14:textId="77777777" w:rsidR="00E5485F" w:rsidRPr="00040BEC" w:rsidRDefault="00E5485F" w:rsidP="00423619">
            <w:pPr>
              <w:spacing w:line="288" w:lineRule="auto"/>
              <w:rPr>
                <w:lang w:val="en-GB"/>
              </w:rPr>
            </w:pPr>
            <w:r w:rsidRPr="00040BEC">
              <w:rPr>
                <w:szCs w:val="20"/>
                <w:lang w:val="en-GB"/>
              </w:rPr>
              <w:t>Latency</w:t>
            </w:r>
          </w:p>
        </w:tc>
        <w:tc>
          <w:tcPr>
            <w:tcW w:w="6485" w:type="dxa"/>
            <w:vAlign w:val="center"/>
          </w:tcPr>
          <w:p w14:paraId="7D926904" w14:textId="77777777" w:rsidR="00E5485F" w:rsidRPr="00040BEC" w:rsidRDefault="00E5485F" w:rsidP="00423619">
            <w:pPr>
              <w:spacing w:line="288" w:lineRule="auto"/>
              <w:rPr>
                <w:lang w:val="en-GB"/>
              </w:rPr>
            </w:pPr>
            <w:r w:rsidRPr="00040BEC">
              <w:rPr>
                <w:szCs w:val="20"/>
                <w:lang w:val="en-GB"/>
              </w:rPr>
              <w:t xml:space="preserve">Less than 100 </w:t>
            </w:r>
            <w:proofErr w:type="spellStart"/>
            <w:r w:rsidRPr="00040BEC">
              <w:rPr>
                <w:szCs w:val="20"/>
                <w:lang w:val="en-GB"/>
              </w:rPr>
              <w:t>ms</w:t>
            </w:r>
            <w:proofErr w:type="spellEnd"/>
            <w:r w:rsidRPr="00040BEC">
              <w:rPr>
                <w:szCs w:val="20"/>
                <w:lang w:val="en-GB"/>
              </w:rPr>
              <w:t xml:space="preserve"> (compared to </w:t>
            </w:r>
            <w:r w:rsidR="002F3CBD" w:rsidRPr="00040BEC">
              <w:rPr>
                <w:szCs w:val="20"/>
                <w:lang w:val="en-GB"/>
              </w:rPr>
              <w:t xml:space="preserve">e.g. geostationary </w:t>
            </w:r>
            <w:r w:rsidRPr="00040BEC">
              <w:rPr>
                <w:szCs w:val="20"/>
                <w:lang w:val="en-GB"/>
              </w:rPr>
              <w:t xml:space="preserve">satellite solutions which are typically in the area of 500 </w:t>
            </w:r>
            <w:proofErr w:type="spellStart"/>
            <w:r w:rsidRPr="00040BEC">
              <w:rPr>
                <w:szCs w:val="20"/>
                <w:lang w:val="en-GB"/>
              </w:rPr>
              <w:t>ms</w:t>
            </w:r>
            <w:proofErr w:type="spellEnd"/>
            <w:r w:rsidRPr="00040BEC">
              <w:rPr>
                <w:szCs w:val="20"/>
                <w:lang w:val="en-GB"/>
              </w:rPr>
              <w:t>)</w:t>
            </w:r>
          </w:p>
        </w:tc>
      </w:tr>
      <w:tr w:rsidR="00E5485F" w:rsidRPr="00040BEC" w14:paraId="1F266EB1" w14:textId="77777777" w:rsidTr="00E5485F">
        <w:tc>
          <w:tcPr>
            <w:tcW w:w="3369" w:type="dxa"/>
            <w:vAlign w:val="center"/>
          </w:tcPr>
          <w:p w14:paraId="7746873B" w14:textId="77777777" w:rsidR="00E5485F" w:rsidRPr="00040BEC" w:rsidRDefault="00E5485F" w:rsidP="00423619">
            <w:pPr>
              <w:spacing w:line="288" w:lineRule="auto"/>
              <w:rPr>
                <w:lang w:val="en-GB"/>
              </w:rPr>
            </w:pPr>
            <w:r w:rsidRPr="00040BEC">
              <w:rPr>
                <w:szCs w:val="20"/>
                <w:lang w:val="en-GB"/>
              </w:rPr>
              <w:t>Data rate for one aircraft link</w:t>
            </w:r>
          </w:p>
        </w:tc>
        <w:tc>
          <w:tcPr>
            <w:tcW w:w="6485" w:type="dxa"/>
            <w:vAlign w:val="center"/>
          </w:tcPr>
          <w:p w14:paraId="67BED60C" w14:textId="77777777" w:rsidR="00E5485F" w:rsidRPr="00040BEC" w:rsidRDefault="00E5485F" w:rsidP="00423619">
            <w:pPr>
              <w:spacing w:line="288" w:lineRule="auto"/>
              <w:rPr>
                <w:lang w:val="en-GB"/>
              </w:rPr>
            </w:pPr>
            <w:r w:rsidRPr="00040BEC">
              <w:rPr>
                <w:szCs w:val="20"/>
                <w:lang w:val="en-GB"/>
              </w:rPr>
              <w:t>Typically 15 Mbit/s in either direction</w:t>
            </w:r>
          </w:p>
        </w:tc>
      </w:tr>
      <w:tr w:rsidR="00E5485F" w:rsidRPr="00040BEC" w14:paraId="37F9E4FC" w14:textId="77777777" w:rsidTr="00E5485F">
        <w:tc>
          <w:tcPr>
            <w:tcW w:w="3369" w:type="dxa"/>
            <w:vAlign w:val="center"/>
          </w:tcPr>
          <w:p w14:paraId="20713819" w14:textId="77777777" w:rsidR="00E5485F" w:rsidRPr="00040BEC" w:rsidRDefault="00E5485F" w:rsidP="00423619">
            <w:pPr>
              <w:spacing w:line="288" w:lineRule="auto"/>
              <w:rPr>
                <w:lang w:val="en-GB"/>
              </w:rPr>
            </w:pPr>
            <w:r w:rsidRPr="00040BEC">
              <w:rPr>
                <w:szCs w:val="20"/>
                <w:lang w:val="en-GB"/>
              </w:rPr>
              <w:t>Operational system efficiency</w:t>
            </w:r>
          </w:p>
        </w:tc>
        <w:tc>
          <w:tcPr>
            <w:tcW w:w="6485" w:type="dxa"/>
            <w:vAlign w:val="center"/>
          </w:tcPr>
          <w:p w14:paraId="3281C89C" w14:textId="77777777" w:rsidR="00E5485F" w:rsidRPr="00040BEC" w:rsidRDefault="00E5485F" w:rsidP="00423619">
            <w:pPr>
              <w:spacing w:line="288" w:lineRule="auto"/>
              <w:rPr>
                <w:lang w:val="en-GB"/>
              </w:rPr>
            </w:pPr>
            <w:r w:rsidRPr="00040BEC">
              <w:rPr>
                <w:szCs w:val="20"/>
                <w:lang w:val="en-GB"/>
              </w:rPr>
              <w:t>Typically between 1.5 and 3 bit/s/Hz</w:t>
            </w:r>
          </w:p>
        </w:tc>
      </w:tr>
    </w:tbl>
    <w:p w14:paraId="08D268FF" w14:textId="77777777" w:rsidR="000D7A4A" w:rsidRPr="00040BEC" w:rsidRDefault="000D7A4A" w:rsidP="000D7A4A">
      <w:pPr>
        <w:rPr>
          <w:rFonts w:eastAsia="Calibri" w:cs="Arial"/>
          <w:szCs w:val="20"/>
          <w:lang w:val="en-GB"/>
        </w:rPr>
      </w:pPr>
    </w:p>
    <w:p w14:paraId="0B12C320" w14:textId="77777777" w:rsidR="000D7A4A" w:rsidRPr="00040BEC" w:rsidRDefault="000D7A4A" w:rsidP="00176CF0">
      <w:pPr>
        <w:pStyle w:val="ECCParagraph"/>
        <w:rPr>
          <w:rFonts w:eastAsia="Calibri"/>
        </w:rPr>
      </w:pPr>
      <w:r w:rsidRPr="00040BEC">
        <w:rPr>
          <w:rFonts w:eastAsia="Calibri"/>
        </w:rPr>
        <w:t xml:space="preserve">The end-to-end Quality of Service for a DA2GC system (link between the GS and the AS) depends not only on the characteristics of the chosen technology </w:t>
      </w:r>
      <w:r w:rsidR="00BB253B" w:rsidRPr="00040BEC">
        <w:rPr>
          <w:rFonts w:eastAsia="Calibri"/>
        </w:rPr>
        <w:t xml:space="preserve">but also </w:t>
      </w:r>
      <w:r w:rsidRPr="00040BEC">
        <w:rPr>
          <w:rFonts w:eastAsia="Calibri"/>
        </w:rPr>
        <w:t>on the network configuration</w:t>
      </w:r>
      <w:r w:rsidR="00304EE3" w:rsidRPr="00040BEC">
        <w:rPr>
          <w:rFonts w:eastAsia="Calibri"/>
        </w:rPr>
        <w:t xml:space="preserve"> </w:t>
      </w:r>
      <w:r w:rsidRPr="00040BEC">
        <w:rPr>
          <w:rFonts w:eastAsia="Calibri"/>
        </w:rPr>
        <w:t xml:space="preserve">(spectrum efficiency of the system). </w:t>
      </w:r>
      <w:proofErr w:type="gramStart"/>
      <w:r w:rsidRPr="00040BEC">
        <w:rPr>
          <w:rFonts w:eastAsia="Calibri"/>
        </w:rPr>
        <w:t>E.g.</w:t>
      </w:r>
      <w:proofErr w:type="gramEnd"/>
      <w:r w:rsidRPr="00040BEC">
        <w:rPr>
          <w:rFonts w:eastAsia="Calibri"/>
        </w:rPr>
        <w:t xml:space="preserve"> it depends on number/density of GS, frequency band (2 GHz / 5.8 GHz), mitigation measures (to ensure coexistence with other radio applications), antennas (SISO, MIMO, different polarisations, adaptive beam forming antennas), link budget, </w:t>
      </w:r>
      <w:r w:rsidR="00BB253B" w:rsidRPr="00040BEC">
        <w:rPr>
          <w:rFonts w:eastAsia="Calibri"/>
        </w:rPr>
        <w:t>number</w:t>
      </w:r>
      <w:r w:rsidRPr="00040BEC">
        <w:rPr>
          <w:rFonts w:eastAsia="Calibri"/>
        </w:rPr>
        <w:t xml:space="preserve"> of </w:t>
      </w:r>
      <w:r w:rsidR="00BB253B" w:rsidRPr="00040BEC">
        <w:rPr>
          <w:rFonts w:eastAsia="Calibri"/>
        </w:rPr>
        <w:t>aircrafts</w:t>
      </w:r>
      <w:r w:rsidRPr="00040BEC">
        <w:rPr>
          <w:rFonts w:eastAsia="Calibri"/>
        </w:rPr>
        <w:t xml:space="preserve"> within a </w:t>
      </w:r>
      <w:r w:rsidR="00796F38" w:rsidRPr="00040BEC">
        <w:rPr>
          <w:rFonts w:eastAsia="Calibri"/>
        </w:rPr>
        <w:t xml:space="preserve">sector / </w:t>
      </w:r>
      <w:r w:rsidRPr="00040BEC">
        <w:rPr>
          <w:rFonts w:eastAsia="Calibri"/>
        </w:rPr>
        <w:t>beam.</w:t>
      </w:r>
    </w:p>
    <w:p w14:paraId="69D456D9" w14:textId="77777777" w:rsidR="000D7A4A" w:rsidRPr="00040BEC" w:rsidRDefault="000D7A4A" w:rsidP="000D7A4A">
      <w:pPr>
        <w:rPr>
          <w:rFonts w:eastAsia="Calibri" w:cs="Arial"/>
          <w:szCs w:val="20"/>
          <w:lang w:val="en-GB"/>
        </w:rPr>
      </w:pPr>
      <w:r w:rsidRPr="00040BEC">
        <w:rPr>
          <w:rFonts w:eastAsia="Calibri" w:cs="Arial"/>
          <w:szCs w:val="20"/>
          <w:lang w:val="en-GB"/>
        </w:rPr>
        <w:t xml:space="preserve">The </w:t>
      </w:r>
      <w:proofErr w:type="spellStart"/>
      <w:r w:rsidRPr="00040BEC">
        <w:rPr>
          <w:rFonts w:eastAsia="Calibri" w:cs="Arial"/>
          <w:szCs w:val="20"/>
          <w:lang w:val="en-GB"/>
        </w:rPr>
        <w:t>QoS</w:t>
      </w:r>
      <w:proofErr w:type="spellEnd"/>
      <w:r w:rsidRPr="00040BEC">
        <w:rPr>
          <w:rFonts w:eastAsia="Calibri" w:cs="Arial"/>
          <w:szCs w:val="20"/>
          <w:lang w:val="en-GB"/>
        </w:rPr>
        <w:t xml:space="preserve"> for the end-user in the </w:t>
      </w:r>
      <w:r w:rsidR="00BB253B" w:rsidRPr="00040BEC">
        <w:rPr>
          <w:rFonts w:eastAsia="Calibri" w:cs="Arial"/>
          <w:szCs w:val="20"/>
          <w:lang w:val="en-GB"/>
        </w:rPr>
        <w:t>aircraft</w:t>
      </w:r>
      <w:r w:rsidRPr="00040BEC">
        <w:rPr>
          <w:rFonts w:eastAsia="Calibri" w:cs="Arial"/>
          <w:szCs w:val="20"/>
          <w:lang w:val="en-GB"/>
        </w:rPr>
        <w:t xml:space="preserve"> additionally depends on the configuration of the on-board system and on the number of users on board aircraft.</w:t>
      </w:r>
    </w:p>
    <w:p w14:paraId="1214B3D4" w14:textId="77777777" w:rsidR="006D1BB1" w:rsidRPr="00040BEC" w:rsidRDefault="00661D4D" w:rsidP="008E5B81">
      <w:pPr>
        <w:pStyle w:val="Heading2"/>
        <w:rPr>
          <w:lang w:val="en-GB"/>
        </w:rPr>
      </w:pPr>
      <w:bookmarkStart w:id="30" w:name="_Ref355888126"/>
      <w:bookmarkStart w:id="31" w:name="_Toc396903997"/>
      <w:bookmarkStart w:id="32" w:name="_Toc445129314"/>
      <w:r w:rsidRPr="00040BEC">
        <w:rPr>
          <w:lang w:val="en-GB"/>
        </w:rPr>
        <w:t>Programme Making and Special Event</w:t>
      </w:r>
      <w:r w:rsidR="00A31FE5" w:rsidRPr="00040BEC">
        <w:rPr>
          <w:lang w:val="en-GB"/>
        </w:rPr>
        <w:t>s</w:t>
      </w:r>
      <w:bookmarkEnd w:id="30"/>
      <w:bookmarkEnd w:id="31"/>
      <w:bookmarkEnd w:id="32"/>
    </w:p>
    <w:p w14:paraId="3F437C32" w14:textId="77777777" w:rsidR="00F66726" w:rsidRPr="00040BEC" w:rsidRDefault="00F66726" w:rsidP="00512C73">
      <w:pPr>
        <w:pStyle w:val="ECCParagraph"/>
      </w:pPr>
      <w:r w:rsidRPr="00040BEC">
        <w:t>The term Programme Making</w:t>
      </w:r>
      <w:r w:rsidRPr="00040BEC">
        <w:rPr>
          <w:vertAlign w:val="superscript"/>
        </w:rPr>
        <w:footnoteReference w:id="6"/>
      </w:r>
      <w:r w:rsidRPr="00040BEC">
        <w:t xml:space="preserve"> and Special Events</w:t>
      </w:r>
      <w:r w:rsidRPr="00040BEC">
        <w:rPr>
          <w:vertAlign w:val="superscript"/>
        </w:rPr>
        <w:footnoteReference w:id="7"/>
      </w:r>
      <w:r w:rsidRPr="00040BEC">
        <w:t xml:space="preserve"> applications (PMSE) describes radio applications used for SAP/SAB, ENG/OB and applications used in meetings, conferences, cultural and education activities, trade fairs, local entertainment, sport, religious and other public or private events for perceived real-time presentation of audio</w:t>
      </w:r>
      <w:r w:rsidR="00B53384" w:rsidRPr="00040BEC">
        <w:t xml:space="preserve"> </w:t>
      </w:r>
      <w:r w:rsidRPr="00040BEC">
        <w:t>visual information.</w:t>
      </w:r>
    </w:p>
    <w:p w14:paraId="1B005C23" w14:textId="77777777" w:rsidR="00F66726" w:rsidRPr="00040BEC" w:rsidRDefault="00F66726" w:rsidP="00F66726">
      <w:pPr>
        <w:autoSpaceDE w:val="0"/>
        <w:autoSpaceDN w:val="0"/>
        <w:adjustRightInd w:val="0"/>
        <w:rPr>
          <w:rFonts w:cs="Arial"/>
          <w:lang w:val="en-GB"/>
        </w:rPr>
      </w:pPr>
      <w:r w:rsidRPr="00040BEC">
        <w:rPr>
          <w:rFonts w:cs="Arial"/>
          <w:lang w:val="en-GB"/>
        </w:rPr>
        <w:lastRenderedPageBreak/>
        <w:t>The definitions of SAP/SAB and ENG/OB are set out</w:t>
      </w:r>
      <w:r w:rsidRPr="00040BEC">
        <w:rPr>
          <w:vertAlign w:val="superscript"/>
          <w:lang w:val="en-GB"/>
        </w:rPr>
        <w:footnoteReference w:id="8"/>
      </w:r>
      <w:r w:rsidRPr="00040BEC">
        <w:rPr>
          <w:rFonts w:cs="Arial"/>
          <w:lang w:val="en-GB"/>
        </w:rPr>
        <w:t xml:space="preserve"> as follows:</w:t>
      </w:r>
      <w:r w:rsidR="008C27C8" w:rsidRPr="00040BEC">
        <w:rPr>
          <w:rFonts w:cs="Arial"/>
          <w:lang w:val="en-GB"/>
        </w:rPr>
        <w:t xml:space="preserve"> </w:t>
      </w:r>
    </w:p>
    <w:p w14:paraId="77DB799C" w14:textId="77777777" w:rsidR="00F66726" w:rsidRPr="00040BEC" w:rsidRDefault="00F66726" w:rsidP="004B74DF">
      <w:pPr>
        <w:autoSpaceDE w:val="0"/>
        <w:autoSpaceDN w:val="0"/>
        <w:adjustRightInd w:val="0"/>
        <w:spacing w:before="120"/>
        <w:ind w:left="709" w:hanging="709"/>
        <w:jc w:val="both"/>
        <w:rPr>
          <w:rFonts w:cs="Arial"/>
          <w:lang w:val="en-GB"/>
        </w:rPr>
      </w:pPr>
      <w:r w:rsidRPr="00040BEC">
        <w:rPr>
          <w:rFonts w:cs="Arial"/>
          <w:b/>
          <w:bCs/>
          <w:lang w:val="en-GB"/>
        </w:rPr>
        <w:t>SAP:</w:t>
      </w:r>
      <w:r w:rsidRPr="00040BEC">
        <w:rPr>
          <w:rFonts w:cs="Arial"/>
          <w:b/>
          <w:bCs/>
          <w:lang w:val="en-GB"/>
        </w:rPr>
        <w:tab/>
      </w:r>
      <w:r w:rsidRPr="00040BEC">
        <w:rPr>
          <w:rFonts w:cs="Arial"/>
          <w:lang w:val="en-GB"/>
        </w:rPr>
        <w:t xml:space="preserve">Services Ancillary to Programme making (SAP) support the activities carried out in the making of “programmes”, such as </w:t>
      </w:r>
      <w:r w:rsidR="008F044F" w:rsidRPr="00040BEC">
        <w:rPr>
          <w:rFonts w:cs="Arial"/>
          <w:lang w:val="en-GB"/>
        </w:rPr>
        <w:t>filmmaking</w:t>
      </w:r>
      <w:r w:rsidRPr="00040BEC">
        <w:rPr>
          <w:rFonts w:cs="Arial"/>
          <w:lang w:val="en-GB"/>
        </w:rPr>
        <w:t xml:space="preserve">, advertisements, corporate videos, concerts, theatre and similar activities not initially meant for broadcasting to </w:t>
      </w:r>
      <w:r w:rsidR="008712B6" w:rsidRPr="00040BEC">
        <w:rPr>
          <w:rFonts w:cs="Arial"/>
          <w:lang w:val="en-GB"/>
        </w:rPr>
        <w:t xml:space="preserve">the </w:t>
      </w:r>
      <w:proofErr w:type="gramStart"/>
      <w:r w:rsidRPr="00040BEC">
        <w:rPr>
          <w:rFonts w:cs="Arial"/>
          <w:lang w:val="en-GB"/>
        </w:rPr>
        <w:t>general public</w:t>
      </w:r>
      <w:proofErr w:type="gramEnd"/>
      <w:r w:rsidRPr="00040BEC">
        <w:rPr>
          <w:rFonts w:cs="Arial"/>
          <w:lang w:val="en-GB"/>
        </w:rPr>
        <w:t>.</w:t>
      </w:r>
    </w:p>
    <w:p w14:paraId="39D56024" w14:textId="77777777" w:rsidR="00F66726" w:rsidRPr="00040BEC" w:rsidRDefault="00F66726" w:rsidP="00F66726">
      <w:pPr>
        <w:autoSpaceDE w:val="0"/>
        <w:autoSpaceDN w:val="0"/>
        <w:adjustRightInd w:val="0"/>
        <w:spacing w:before="120"/>
        <w:ind w:left="709" w:hanging="709"/>
        <w:rPr>
          <w:rFonts w:cs="Arial"/>
          <w:lang w:val="en-GB"/>
        </w:rPr>
      </w:pPr>
      <w:r w:rsidRPr="00040BEC">
        <w:rPr>
          <w:rFonts w:cs="Arial"/>
          <w:b/>
          <w:bCs/>
          <w:lang w:val="en-GB"/>
        </w:rPr>
        <w:t>SAB:</w:t>
      </w:r>
      <w:r w:rsidRPr="00040BEC">
        <w:rPr>
          <w:rFonts w:cs="Arial"/>
          <w:b/>
          <w:bCs/>
          <w:lang w:val="en-GB"/>
        </w:rPr>
        <w:tab/>
      </w:r>
      <w:r w:rsidRPr="00040BEC">
        <w:rPr>
          <w:rFonts w:cs="Arial"/>
          <w:lang w:val="en-GB"/>
        </w:rPr>
        <w:t>Services Ancillary to Broadcasting (SAB) support the activities of broadcasting industry carried out in the production of their programme material.</w:t>
      </w:r>
    </w:p>
    <w:p w14:paraId="49D61254" w14:textId="77777777" w:rsidR="00F66726" w:rsidRPr="00040BEC" w:rsidRDefault="00F66726" w:rsidP="00F66726">
      <w:pPr>
        <w:autoSpaceDE w:val="0"/>
        <w:autoSpaceDN w:val="0"/>
        <w:adjustRightInd w:val="0"/>
        <w:rPr>
          <w:rFonts w:cs="Arial"/>
          <w:lang w:val="en-GB"/>
        </w:rPr>
      </w:pPr>
    </w:p>
    <w:p w14:paraId="348A04C5" w14:textId="77777777" w:rsidR="00F66726" w:rsidRPr="00040BEC" w:rsidRDefault="00F66726" w:rsidP="00512C73">
      <w:pPr>
        <w:pStyle w:val="ECCParagraph"/>
      </w:pPr>
      <w:r w:rsidRPr="00040BEC">
        <w:t>The definitions of SAP and SAB are not necessarily mutually exclusive. Therefore</w:t>
      </w:r>
      <w:r w:rsidR="008712B6" w:rsidRPr="00040BEC">
        <w:t>,</w:t>
      </w:r>
      <w:r w:rsidRPr="00040BEC">
        <w:t xml:space="preserve"> they </w:t>
      </w:r>
      <w:proofErr w:type="gramStart"/>
      <w:r w:rsidRPr="00040BEC">
        <w:t>are often used</w:t>
      </w:r>
      <w:proofErr w:type="gramEnd"/>
      <w:r w:rsidRPr="00040BEC">
        <w:t xml:space="preserve"> together as “SAP/SAB” to refer generally to the whole variety of services to transmit sound and video material over the radio links.</w:t>
      </w:r>
    </w:p>
    <w:p w14:paraId="2DE5D4C1" w14:textId="77777777" w:rsidR="00F66726" w:rsidRPr="00040BEC" w:rsidRDefault="00F66726" w:rsidP="00F66726">
      <w:pPr>
        <w:ind w:left="709" w:hanging="709"/>
        <w:jc w:val="both"/>
        <w:rPr>
          <w:lang w:val="en-GB"/>
        </w:rPr>
      </w:pPr>
      <w:r w:rsidRPr="00040BEC">
        <w:rPr>
          <w:b/>
          <w:lang w:val="en-GB"/>
        </w:rPr>
        <w:t>ENG:</w:t>
      </w:r>
      <w:r w:rsidRPr="00040BEC">
        <w:rPr>
          <w:lang w:val="en-GB"/>
        </w:rPr>
        <w:tab/>
        <w:t xml:space="preserve">Electronic News Gathering (ENG) is the collection of video and/or sound material by means of small, often hand-held wireless cameras and/or microphones with radio links to the </w:t>
      </w:r>
      <w:r w:rsidR="008712B6" w:rsidRPr="00040BEC">
        <w:rPr>
          <w:lang w:val="en-GB"/>
        </w:rPr>
        <w:t>newsroom</w:t>
      </w:r>
      <w:r w:rsidRPr="00040BEC">
        <w:rPr>
          <w:lang w:val="en-GB"/>
        </w:rPr>
        <w:t xml:space="preserve"> and/or to the portable tape or other recorders.</w:t>
      </w:r>
    </w:p>
    <w:p w14:paraId="651FCC20" w14:textId="77777777" w:rsidR="00F66726" w:rsidRPr="00040BEC" w:rsidRDefault="00F66726" w:rsidP="00F66726">
      <w:pPr>
        <w:autoSpaceDE w:val="0"/>
        <w:autoSpaceDN w:val="0"/>
        <w:adjustRightInd w:val="0"/>
        <w:spacing w:before="120"/>
        <w:ind w:left="709" w:hanging="709"/>
        <w:jc w:val="both"/>
        <w:rPr>
          <w:lang w:val="en-GB"/>
        </w:rPr>
      </w:pPr>
      <w:r w:rsidRPr="00040BEC">
        <w:rPr>
          <w:b/>
          <w:lang w:val="en-GB"/>
        </w:rPr>
        <w:t>OB:</w:t>
      </w:r>
      <w:r w:rsidRPr="00040BEC">
        <w:rPr>
          <w:lang w:val="en-GB"/>
        </w:rPr>
        <w:tab/>
        <w:t xml:space="preserve">Outside broadcasting (OB) is the temporary provision of programme making facilities at the location of on-going news, sport or other events, lasting from a few hours to several weeks. Mobile and/or portable radio links are required for wireless cameras or microphones at the OB location. Additionally, radio links may be required for temporary </w:t>
      </w:r>
      <w:r w:rsidR="008712B6" w:rsidRPr="00040BEC">
        <w:rPr>
          <w:lang w:val="en-GB"/>
        </w:rPr>
        <w:t>point-to-point</w:t>
      </w:r>
      <w:r w:rsidRPr="00040BEC">
        <w:rPr>
          <w:lang w:val="en-GB"/>
        </w:rPr>
        <w:t xml:space="preserve"> connections between the OB vehicle, additional locations around it, and the studio.</w:t>
      </w:r>
    </w:p>
    <w:p w14:paraId="0FE6C391" w14:textId="77777777" w:rsidR="00512C73" w:rsidRPr="00040BEC" w:rsidRDefault="00512C73" w:rsidP="00512C73">
      <w:pPr>
        <w:autoSpaceDE w:val="0"/>
        <w:autoSpaceDN w:val="0"/>
        <w:adjustRightInd w:val="0"/>
        <w:ind w:left="709" w:hanging="709"/>
        <w:jc w:val="both"/>
        <w:rPr>
          <w:lang w:val="en-GB"/>
        </w:rPr>
      </w:pPr>
    </w:p>
    <w:p w14:paraId="22E94049" w14:textId="77777777" w:rsidR="00F66726" w:rsidRPr="00040BEC" w:rsidRDefault="00F66726" w:rsidP="00512C73">
      <w:pPr>
        <w:pStyle w:val="ECCParagraph"/>
      </w:pPr>
      <w:r w:rsidRPr="00040BEC">
        <w:t xml:space="preserve">The definitions of ENG and OB are not mutually exclusive and certain operations could equally well reside in either or both categories. Therefore, it has been a long practice within the CEPT to consider all types of such operations under the combined term “ENG/OB”. It </w:t>
      </w:r>
      <w:proofErr w:type="gramStart"/>
      <w:r w:rsidRPr="00040BEC">
        <w:t>is also understood</w:t>
      </w:r>
      <w:proofErr w:type="gramEnd"/>
      <w:r w:rsidRPr="00040BEC">
        <w:t xml:space="preserve"> that ENG/OB refers to terrestrial </w:t>
      </w:r>
      <w:proofErr w:type="spellStart"/>
      <w:r w:rsidRPr="00040BEC">
        <w:t>radiocommunication</w:t>
      </w:r>
      <w:proofErr w:type="spellEnd"/>
      <w:r w:rsidRPr="00040BEC">
        <w:t xml:space="preserve"> services, as opposed to SNG/OB term, which refers to similar applications but over the satellite </w:t>
      </w:r>
      <w:proofErr w:type="spellStart"/>
      <w:r w:rsidRPr="00040BEC">
        <w:t>radiocommunication</w:t>
      </w:r>
      <w:proofErr w:type="spellEnd"/>
      <w:r w:rsidRPr="00040BEC">
        <w:t xml:space="preserve"> channels.</w:t>
      </w:r>
    </w:p>
    <w:p w14:paraId="6953E33E" w14:textId="77777777" w:rsidR="001F16EB" w:rsidRPr="00040BEC" w:rsidRDefault="00070F33" w:rsidP="00070F33">
      <w:pPr>
        <w:pStyle w:val="ECCParagraph"/>
      </w:pPr>
      <w:r w:rsidRPr="00040BEC">
        <w:t xml:space="preserve">PMSE covers a wide variety of applications. Those most suitable for the unpaired 2 GHz bands consist of wireless cameras and mobile video links. </w:t>
      </w:r>
    </w:p>
    <w:p w14:paraId="5241C09A" w14:textId="77777777" w:rsidR="00AB5D1C" w:rsidRPr="00040BEC" w:rsidDel="001F16EB" w:rsidRDefault="00AB5D1C" w:rsidP="00AB5D1C">
      <w:pPr>
        <w:pStyle w:val="ECCParagraph"/>
      </w:pPr>
      <w:r w:rsidRPr="00040BEC" w:rsidDel="001F16EB">
        <w:t>Video PMSE is used in a wide variety of programme production and film making, from daily news events with a single camera, through sporting events such as football which typically uses two or three wireless cameras, to more major productions, both studio based and outdoor which may require many cameras, mobile and airborne links to produce.</w:t>
      </w:r>
    </w:p>
    <w:p w14:paraId="3F86B02F" w14:textId="77777777" w:rsidR="00AB5D1C" w:rsidRPr="00040BEC" w:rsidDel="001F16EB" w:rsidRDefault="007C40FF" w:rsidP="00AB5D1C">
      <w:pPr>
        <w:keepNext/>
        <w:spacing w:after="240"/>
        <w:jc w:val="center"/>
        <w:rPr>
          <w:lang w:val="en-GB"/>
        </w:rPr>
      </w:pPr>
      <w:r w:rsidRPr="00040BEC">
        <w:rPr>
          <w:noProof/>
          <w:lang w:val="da-DK" w:eastAsia="da-DK"/>
        </w:rPr>
        <w:drawing>
          <wp:inline distT="0" distB="0" distL="0" distR="0" wp14:anchorId="13543316" wp14:editId="203895D5">
            <wp:extent cx="2057400" cy="2590800"/>
            <wp:effectExtent l="19050" t="19050" r="19050" b="19050"/>
            <wp:docPr id="270" name="Picture 5" descr="Description: DSCN159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escription: DSCN1592.JPG"/>
                    <pic:cNvPicPr>
                      <a:picLocks noChangeAspect="1" noChangeArrowheads="1"/>
                    </pic:cNvPicPr>
                  </pic:nvPicPr>
                  <pic:blipFill>
                    <a:blip r:embed="rId20"/>
                    <a:srcRect l="17700" t="23853" r="38464" b="2319"/>
                    <a:stretch>
                      <a:fillRect/>
                    </a:stretch>
                  </pic:blipFill>
                  <pic:spPr bwMode="auto">
                    <a:xfrm>
                      <a:off x="0" y="0"/>
                      <a:ext cx="2057400" cy="2590800"/>
                    </a:xfrm>
                    <a:prstGeom prst="rect">
                      <a:avLst/>
                    </a:prstGeom>
                    <a:noFill/>
                    <a:ln w="19050" cmpd="sng">
                      <a:solidFill>
                        <a:srgbClr val="000000"/>
                      </a:solidFill>
                      <a:miter lim="800000"/>
                      <a:headEnd/>
                      <a:tailEnd/>
                    </a:ln>
                    <a:effectLst/>
                  </pic:spPr>
                </pic:pic>
              </a:graphicData>
            </a:graphic>
          </wp:inline>
        </w:drawing>
      </w:r>
    </w:p>
    <w:p w14:paraId="2D21C58E" w14:textId="77777777" w:rsidR="00AB5D1C" w:rsidRPr="00040BEC" w:rsidDel="001F16EB" w:rsidRDefault="00AB5D1C" w:rsidP="00AB5D1C">
      <w:pPr>
        <w:pStyle w:val="Caption"/>
        <w:rPr>
          <w:szCs w:val="24"/>
          <w:lang w:val="en-GB"/>
        </w:rPr>
      </w:pPr>
      <w:r w:rsidRPr="00040BEC" w:rsidDel="001F16EB">
        <w:rPr>
          <w:lang w:val="en-GB"/>
        </w:rPr>
        <w:t xml:space="preserve">Figure </w:t>
      </w:r>
      <w:r w:rsidR="000A5980" w:rsidRPr="00040BEC" w:rsidDel="001F16EB">
        <w:rPr>
          <w:lang w:val="en-GB"/>
        </w:rPr>
        <w:fldChar w:fldCharType="begin"/>
      </w:r>
      <w:r w:rsidRPr="00040BEC" w:rsidDel="001F16EB">
        <w:rPr>
          <w:lang w:val="en-GB"/>
        </w:rPr>
        <w:instrText xml:space="preserve"> SEQ Figure \* ARABIC </w:instrText>
      </w:r>
      <w:r w:rsidR="000A5980" w:rsidRPr="00040BEC" w:rsidDel="001F16EB">
        <w:rPr>
          <w:lang w:val="en-GB"/>
        </w:rPr>
        <w:fldChar w:fldCharType="separate"/>
      </w:r>
      <w:r w:rsidR="002327BB">
        <w:rPr>
          <w:noProof/>
          <w:lang w:val="en-GB"/>
        </w:rPr>
        <w:t>10</w:t>
      </w:r>
      <w:r w:rsidR="000A5980" w:rsidRPr="00040BEC" w:rsidDel="001F16EB">
        <w:rPr>
          <w:lang w:val="en-GB"/>
        </w:rPr>
        <w:fldChar w:fldCharType="end"/>
      </w:r>
      <w:r w:rsidRPr="00040BEC" w:rsidDel="001F16EB">
        <w:rPr>
          <w:lang w:val="en-GB"/>
        </w:rPr>
        <w:t xml:space="preserve">: </w:t>
      </w:r>
      <w:r w:rsidRPr="00040BEC" w:rsidDel="001F16EB">
        <w:rPr>
          <w:szCs w:val="24"/>
          <w:lang w:val="en-GB"/>
        </w:rPr>
        <w:t>Cordless</w:t>
      </w:r>
      <w:r w:rsidRPr="00040BEC" w:rsidDel="001F16EB">
        <w:rPr>
          <w:b w:val="0"/>
          <w:bCs w:val="0"/>
          <w:lang w:val="en-GB"/>
        </w:rPr>
        <w:t xml:space="preserve"> </w:t>
      </w:r>
      <w:r w:rsidRPr="00040BEC" w:rsidDel="001F16EB">
        <w:rPr>
          <w:szCs w:val="24"/>
          <w:lang w:val="en-GB"/>
        </w:rPr>
        <w:t>Camera for Sports Coverage</w:t>
      </w:r>
    </w:p>
    <w:p w14:paraId="03A4A132" w14:textId="77777777" w:rsidR="00070F33" w:rsidRPr="00040BEC" w:rsidRDefault="00070F33" w:rsidP="00070F33">
      <w:pPr>
        <w:pStyle w:val="ECCParagraph"/>
      </w:pPr>
      <w:r w:rsidRPr="00040BEC">
        <w:t xml:space="preserve">Typically, these services </w:t>
      </w:r>
      <w:proofErr w:type="gramStart"/>
      <w:r w:rsidRPr="00040BEC">
        <w:t>are allocated</w:t>
      </w:r>
      <w:proofErr w:type="gramEnd"/>
      <w:r w:rsidRPr="00040BEC">
        <w:t xml:space="preserve"> spectrum in blocks of 10 MHz bandwidth. The neighbouring band 2025-2110 MHz is already used in at least 19 CEPT countries for such PMSE applications on a shared basis, and is identified on a tuning range basis in ERC/REC 25-10 </w:t>
      </w:r>
      <w:r w:rsidR="00531617" w:rsidRPr="00040BEC">
        <w:fldChar w:fldCharType="begin"/>
      </w:r>
      <w:r w:rsidR="00531617" w:rsidRPr="00040BEC">
        <w:instrText xml:space="preserve"> REF _Ref356389398 \n \h  \* MERGEFORMAT </w:instrText>
      </w:r>
      <w:r w:rsidR="00531617" w:rsidRPr="00040BEC">
        <w:fldChar w:fldCharType="separate"/>
      </w:r>
      <w:r w:rsidR="002327BB">
        <w:t>[17]</w:t>
      </w:r>
      <w:r w:rsidR="00531617" w:rsidRPr="00040BEC">
        <w:fldChar w:fldCharType="end"/>
      </w:r>
      <w:r w:rsidR="00345CF7" w:rsidRPr="00040BEC">
        <w:t xml:space="preserve"> (see also </w:t>
      </w:r>
      <w:r w:rsidR="00345CF7" w:rsidRPr="00040BEC">
        <w:tab/>
        <w:t>ERC Report 38 [19])</w:t>
      </w:r>
      <w:r w:rsidRPr="00040BEC">
        <w:t xml:space="preserve">. The </w:t>
      </w:r>
      <w:r w:rsidRPr="00040BEC">
        <w:lastRenderedPageBreak/>
        <w:t xml:space="preserve">term “tuning range” for PMSE refers to a range of frequencies over which radio equipment </w:t>
      </w:r>
      <w:proofErr w:type="gramStart"/>
      <w:r w:rsidRPr="00040BEC">
        <w:t>is envisaged</w:t>
      </w:r>
      <w:proofErr w:type="gramEnd"/>
      <w:r w:rsidRPr="00040BEC">
        <w:t xml:space="preserve"> to be capable of operating. The availability of spectrum for PMSE use </w:t>
      </w:r>
      <w:r w:rsidR="00AB5D1C" w:rsidRPr="00040BEC">
        <w:t>in a given country</w:t>
      </w:r>
      <w:r w:rsidRPr="00040BEC">
        <w:t xml:space="preserve"> is dependent on the sharing conditions </w:t>
      </w:r>
      <w:r w:rsidR="00AB5D1C" w:rsidRPr="00040BEC">
        <w:t xml:space="preserve">(frequency, power and time domain) </w:t>
      </w:r>
      <w:r w:rsidRPr="00040BEC">
        <w:t>with the primary users of the spectrum at any given location.</w:t>
      </w:r>
    </w:p>
    <w:p w14:paraId="5DC8AF03" w14:textId="77777777" w:rsidR="00F66726" w:rsidRPr="00040BEC" w:rsidRDefault="00F66726" w:rsidP="00512C73">
      <w:pPr>
        <w:pStyle w:val="ECCParagraph"/>
      </w:pPr>
      <w:r w:rsidRPr="00040BEC">
        <w:t xml:space="preserve">The successful use of video PMSE (as with other radio services) is dependent upon a range of </w:t>
      </w:r>
      <w:proofErr w:type="gramStart"/>
      <w:r w:rsidRPr="00040BEC">
        <w:t>factors which</w:t>
      </w:r>
      <w:proofErr w:type="gramEnd"/>
      <w:r w:rsidRPr="00040BEC">
        <w:t xml:space="preserve"> contribute to the link budget. The 2-3 GHz range provides the best conditions for many applications, including airborne and mobile use. The physical size of 2 GHz antennas and the attractive propagation characteristics, including using reflections from surrounding objects, allow successful capture of high quality images for mobile use, for example a camera operator running along the touchlines at a football match, or sitting on a motorbike following a road race. This frequency range is effective even in partially obstructed propagation paths, such as ground to air links obstructed by trees.</w:t>
      </w:r>
    </w:p>
    <w:p w14:paraId="76EEFA9A" w14:textId="77777777" w:rsidR="00070F33" w:rsidRPr="00040BEC" w:rsidRDefault="00070F33" w:rsidP="00070F33">
      <w:pPr>
        <w:pStyle w:val="ECCParagraph"/>
      </w:pPr>
      <w:r w:rsidRPr="00040BEC">
        <w:t xml:space="preserve">Due to a number of changes to the allocation of spectrum in the 2-3 GHz range, this frequency range </w:t>
      </w:r>
      <w:proofErr w:type="gramStart"/>
      <w:r w:rsidRPr="00040BEC">
        <w:t>is becoming more limited</w:t>
      </w:r>
      <w:proofErr w:type="gramEnd"/>
      <w:r w:rsidRPr="00040BEC">
        <w:t xml:space="preserve"> for use by PMSE. ERC/REC 25-10 </w:t>
      </w:r>
      <w:r w:rsidR="00531617" w:rsidRPr="00040BEC">
        <w:fldChar w:fldCharType="begin"/>
      </w:r>
      <w:r w:rsidR="00531617" w:rsidRPr="00040BEC">
        <w:instrText xml:space="preserve"> REF _Ref356389398 \n \h  \* MERGEFORMAT </w:instrText>
      </w:r>
      <w:r w:rsidR="00531617" w:rsidRPr="00040BEC">
        <w:fldChar w:fldCharType="separate"/>
      </w:r>
      <w:r w:rsidR="002327BB">
        <w:t>[17]</w:t>
      </w:r>
      <w:r w:rsidR="00531617" w:rsidRPr="00040BEC">
        <w:fldChar w:fldCharType="end"/>
      </w:r>
      <w:r w:rsidRPr="00040BEC">
        <w:t xml:space="preserve"> identifies 575 MHz of spectrum in the 2-3 GHz range (2025-2110 MHz, 2200-2690 MHz) as tuning range for PMSE. However, recent allocations to services with which PMSE cannot share (e.g. in the 2.5-2.69 GHz band and potentially within the 2.3-2.4 GHz band depending on future studies within CEPT) has resulted in a significant reduction of available spectrum for PMSE. The requirements for spectrum in the 2-3 GHz range remains, and with the advent of increased HD and UHD production, additional requirements </w:t>
      </w:r>
      <w:proofErr w:type="gramStart"/>
      <w:r w:rsidRPr="00040BEC">
        <w:t>may be foreseen</w:t>
      </w:r>
      <w:proofErr w:type="gramEnd"/>
      <w:r w:rsidRPr="00040BEC">
        <w:t xml:space="preserve">. Several candidate bands within an extended tuning range for possible future use for cordless cameras and video links are under consideration (CEPT Report </w:t>
      </w:r>
      <w:r w:rsidR="00E2014B" w:rsidRPr="00040BEC">
        <w:t>0</w:t>
      </w:r>
      <w:r w:rsidRPr="00040BEC">
        <w:t>51</w:t>
      </w:r>
      <w:r w:rsidR="00C41272" w:rsidRPr="00040BEC">
        <w:t xml:space="preserve"> [36]</w:t>
      </w:r>
      <w:r w:rsidRPr="00040BEC">
        <w:t>)</w:t>
      </w:r>
      <w:r w:rsidR="007931AD" w:rsidRPr="00040BEC">
        <w:t xml:space="preserve">, but the majority are at higher frequencies </w:t>
      </w:r>
      <w:r w:rsidR="001E6530" w:rsidRPr="00040BEC">
        <w:t xml:space="preserve">up to 8.5 GHz </w:t>
      </w:r>
      <w:r w:rsidR="007931AD" w:rsidRPr="00040BEC">
        <w:t>which cannot provide non-line-of-sight operation, essential for coverage of many live events</w:t>
      </w:r>
      <w:r w:rsidRPr="00040BEC">
        <w:t xml:space="preserve">. </w:t>
      </w:r>
    </w:p>
    <w:p w14:paraId="4910D118" w14:textId="167A4964" w:rsidR="007931AD" w:rsidRPr="00040BEC" w:rsidRDefault="007931AD" w:rsidP="007931AD">
      <w:pPr>
        <w:pStyle w:val="ECCParagraph"/>
      </w:pPr>
      <w:r w:rsidRPr="00040BEC">
        <w:t xml:space="preserve">The 2010-2025 MHz band is directly adjacent to the 2025-2110 MHz band that is already part of the tuning range for video PMSE applications. Existing video PMSE equipment is already capable of tuning to this range; indeed, in some CEPT administrations, this band </w:t>
      </w:r>
      <w:proofErr w:type="gramStart"/>
      <w:r w:rsidRPr="00040BEC">
        <w:t>is already used</w:t>
      </w:r>
      <w:proofErr w:type="gramEnd"/>
      <w:r w:rsidRPr="00040BEC">
        <w:t xml:space="preserve"> on a temporary basis for PMSE.</w:t>
      </w:r>
      <w:r w:rsidR="00564B84">
        <w:t xml:space="preserve"> </w:t>
      </w:r>
      <w:r w:rsidRPr="00040BEC">
        <w:t>However, the 1900-1920 MHz band does not fall within the tuning range of PMSE equipment, and modifications would be required to existing and future equipment in order to access the band. As such, the 2010-2025 MHz band has a higher immediate potential for wider use within CEPT countries for video PMSE than the 1900-1920 MHz band.</w:t>
      </w:r>
    </w:p>
    <w:p w14:paraId="253255F8" w14:textId="77777777" w:rsidR="00661D4D" w:rsidRPr="00040BEC" w:rsidRDefault="00661D4D" w:rsidP="008E5B81">
      <w:pPr>
        <w:pStyle w:val="Heading2"/>
        <w:rPr>
          <w:lang w:val="en-GB"/>
        </w:rPr>
      </w:pPr>
      <w:bookmarkStart w:id="33" w:name="_Ref368352336"/>
      <w:bookmarkStart w:id="34" w:name="_Toc396903998"/>
      <w:bookmarkStart w:id="35" w:name="_Toc445129315"/>
      <w:r w:rsidRPr="00040BEC">
        <w:rPr>
          <w:lang w:val="en-GB"/>
        </w:rPr>
        <w:t xml:space="preserve">Short </w:t>
      </w:r>
      <w:r w:rsidR="00A31FE5" w:rsidRPr="00040BEC">
        <w:rPr>
          <w:lang w:val="en-GB"/>
        </w:rPr>
        <w:t>R</w:t>
      </w:r>
      <w:r w:rsidRPr="00040BEC">
        <w:rPr>
          <w:lang w:val="en-GB"/>
        </w:rPr>
        <w:t xml:space="preserve">ange </w:t>
      </w:r>
      <w:r w:rsidR="00A31FE5" w:rsidRPr="00040BEC">
        <w:rPr>
          <w:lang w:val="en-GB"/>
        </w:rPr>
        <w:t>D</w:t>
      </w:r>
      <w:r w:rsidRPr="00040BEC">
        <w:rPr>
          <w:lang w:val="en-GB"/>
        </w:rPr>
        <w:t>evices</w:t>
      </w:r>
      <w:bookmarkEnd w:id="33"/>
      <w:bookmarkEnd w:id="34"/>
      <w:bookmarkEnd w:id="35"/>
    </w:p>
    <w:p w14:paraId="1718D32D" w14:textId="77777777" w:rsidR="00F43A8C" w:rsidRPr="00040BEC" w:rsidRDefault="00F43A8C" w:rsidP="00512C73">
      <w:pPr>
        <w:pStyle w:val="ECCParagraph"/>
      </w:pPr>
      <w:r w:rsidRPr="00040BEC">
        <w:t xml:space="preserve">Based on the requests from ETSI set out in five ETSI </w:t>
      </w:r>
      <w:r w:rsidR="00992979" w:rsidRPr="00040BEC">
        <w:t>S</w:t>
      </w:r>
      <w:r w:rsidRPr="00040BEC">
        <w:t xml:space="preserve">ystem </w:t>
      </w:r>
      <w:r w:rsidR="00992979" w:rsidRPr="00040BEC">
        <w:t>R</w:t>
      </w:r>
      <w:r w:rsidRPr="00040BEC">
        <w:t xml:space="preserve">eference </w:t>
      </w:r>
      <w:r w:rsidR="00992979" w:rsidRPr="00040BEC">
        <w:t>D</w:t>
      </w:r>
      <w:r w:rsidRPr="00040BEC">
        <w:t>ocuments for SRD applications, CEPT developed ECC Report 189 [</w:t>
      </w:r>
      <w:r w:rsidR="00E24C09" w:rsidRPr="00040BEC">
        <w:t>30</w:t>
      </w:r>
      <w:r w:rsidRPr="00040BEC">
        <w:t xml:space="preserve">] on future spectrum demand for Short Range Devices in the UHF frequency bands 870-876/ 915-921 MHz </w:t>
      </w:r>
      <w:r w:rsidR="00AC6F13" w:rsidRPr="00040BEC">
        <w:t>(UHF roadmap)</w:t>
      </w:r>
      <w:r w:rsidRPr="00040BEC">
        <w:t xml:space="preserve">. This includes spectrum demands raised by ETSI for generic SRD, UHF RFID, Home Automation &amp; Sub Metering, automotive SRD, Smart Meters and Smart Grids, Metropolitan Mesh Machine Networks (M3N) applications, Alarm and Social Alarm systems and Assistive Listening Devices. At the same time, no demand request </w:t>
      </w:r>
      <w:proofErr w:type="gramStart"/>
      <w:r w:rsidRPr="00040BEC">
        <w:t>has been received</w:t>
      </w:r>
      <w:proofErr w:type="gramEnd"/>
      <w:r w:rsidRPr="00040BEC">
        <w:t xml:space="preserve"> for the unpaired 2 GHz band. </w:t>
      </w:r>
    </w:p>
    <w:p w14:paraId="2E6A3526" w14:textId="77777777" w:rsidR="00F43A8C" w:rsidRPr="00040BEC" w:rsidRDefault="00F43A8C" w:rsidP="00512C73">
      <w:pPr>
        <w:pStyle w:val="ECCParagraph"/>
      </w:pPr>
      <w:r w:rsidRPr="00040BEC">
        <w:t>The propagation characteristics of 2 GHz is not as good for many applications, e.g. smart metering/ smart grids, compared with the spectrum considered in the on-going investigations under the UHF roadmap for which</w:t>
      </w:r>
      <w:r w:rsidR="00AC6F13" w:rsidRPr="00040BEC">
        <w:t>, as referred above,</w:t>
      </w:r>
      <w:r w:rsidRPr="00040BEC">
        <w:t xml:space="preserve"> five ETSI System Reference Documents had been received, expressing proposals for utilizing the 870-876 MHz and 915-921 MHz frequency bands. It can be concluded from investigations that frequencies around 2 GHz are sub-optimal for installations in basements in urban and suburban areas (e.g. only around 20% of all smart meters could be reached according to an extensive study presented to SRD/MG by the University of Dortmund which was commissioned by German authorities). The UK Department of Energy and Climate Change also provided statements in support of a solution below 1 GHz as under the on-going investigations.</w:t>
      </w:r>
    </w:p>
    <w:p w14:paraId="3B85B771" w14:textId="77777777" w:rsidR="00F43A8C" w:rsidRPr="00040BEC" w:rsidRDefault="00F43A8C" w:rsidP="00512C73">
      <w:pPr>
        <w:pStyle w:val="ECCParagraph"/>
      </w:pPr>
      <w:r w:rsidRPr="00040BEC">
        <w:t xml:space="preserve">On the other side, examples where 2 GHz </w:t>
      </w:r>
      <w:proofErr w:type="gramStart"/>
      <w:r w:rsidRPr="00040BEC">
        <w:t>can be used</w:t>
      </w:r>
      <w:proofErr w:type="gramEnd"/>
      <w:r w:rsidRPr="00040BEC">
        <w:t xml:space="preserve"> </w:t>
      </w:r>
      <w:r w:rsidR="00992979" w:rsidRPr="00040BEC">
        <w:t xml:space="preserve">by SRD </w:t>
      </w:r>
      <w:r w:rsidRPr="00040BEC">
        <w:t xml:space="preserve">are e.g. industrial automation, some alarm systems, machine-to-machine </w:t>
      </w:r>
      <w:r w:rsidR="007349E8" w:rsidRPr="00040BEC">
        <w:t>(M2M)</w:t>
      </w:r>
      <w:r w:rsidRPr="00040BEC">
        <w:t>. For industrial automation applications, CEPT is currently investigating also the 5725-5875 MHz frequency range.</w:t>
      </w:r>
    </w:p>
    <w:p w14:paraId="13DB2C37" w14:textId="77777777" w:rsidR="00F43A8C" w:rsidRPr="00040BEC" w:rsidRDefault="006C3DFA" w:rsidP="00512C73">
      <w:pPr>
        <w:pStyle w:val="ECCParagraph"/>
      </w:pPr>
      <w:r w:rsidRPr="00040BEC">
        <w:t>M</w:t>
      </w:r>
      <w:r w:rsidR="00F43A8C" w:rsidRPr="00040BEC">
        <w:t xml:space="preserve">any SRD applications such as RFID or wireless applications in industry </w:t>
      </w:r>
      <w:r w:rsidR="003C0641" w:rsidRPr="00040BEC">
        <w:t xml:space="preserve">are </w:t>
      </w:r>
      <w:r w:rsidR="00F43A8C" w:rsidRPr="00040BEC">
        <w:t xml:space="preserve">looking for frequency </w:t>
      </w:r>
      <w:r w:rsidR="008712B6" w:rsidRPr="00040BEC">
        <w:t>opportunities, which</w:t>
      </w:r>
      <w:r w:rsidR="00F43A8C" w:rsidRPr="00040BEC">
        <w:t xml:space="preserve"> </w:t>
      </w:r>
      <w:proofErr w:type="gramStart"/>
      <w:r w:rsidR="00F43A8C" w:rsidRPr="00040BEC">
        <w:t>could also be used</w:t>
      </w:r>
      <w:proofErr w:type="gramEnd"/>
      <w:r w:rsidR="00F43A8C" w:rsidRPr="00040BEC">
        <w:t xml:space="preserve"> in other regions</w:t>
      </w:r>
      <w:r w:rsidR="003C0641" w:rsidRPr="00040BEC">
        <w:t>. The USA and Japan as well as other countries have provisions for applications under general authorisation in this or nearby part of the spectrum</w:t>
      </w:r>
      <w:r w:rsidR="00F43A8C" w:rsidRPr="00040BEC">
        <w:t xml:space="preserve">. </w:t>
      </w:r>
      <w:r w:rsidR="003C0641" w:rsidRPr="00040BEC">
        <w:t>However, t</w:t>
      </w:r>
      <w:r w:rsidR="00F43A8C" w:rsidRPr="00040BEC">
        <w:t xml:space="preserve">he prospects for global harmonisation in the 800/900 MHz look better due to the presence of the 902-928 </w:t>
      </w:r>
      <w:r w:rsidR="00F43A8C" w:rsidRPr="00040BEC">
        <w:lastRenderedPageBreak/>
        <w:t>MHz ISM-band in Region 2 and this aspect is very important for some market sectors such wireless solutions used at machines, aircraft, automotive, RFID.</w:t>
      </w:r>
    </w:p>
    <w:p w14:paraId="5A3BFC5E" w14:textId="77777777" w:rsidR="00F43A8C" w:rsidRPr="00040BEC" w:rsidRDefault="00F43A8C" w:rsidP="00512C73">
      <w:pPr>
        <w:pStyle w:val="ECCParagraph"/>
      </w:pPr>
      <w:r w:rsidRPr="00040BEC">
        <w:t>In addition, it should be noted that the particularity of SRD application is that none allocation are required to operate in a frequency band. This means that a</w:t>
      </w:r>
      <w:r w:rsidR="00483946" w:rsidRPr="00040BEC">
        <w:t>n</w:t>
      </w:r>
      <w:r w:rsidRPr="00040BEC">
        <w:t xml:space="preserve"> </w:t>
      </w:r>
      <w:r w:rsidR="00483946" w:rsidRPr="00040BEC">
        <w:t>upcoming</w:t>
      </w:r>
      <w:r w:rsidRPr="00040BEC">
        <w:t xml:space="preserve"> request from industry </w:t>
      </w:r>
      <w:proofErr w:type="gramStart"/>
      <w:r w:rsidRPr="00040BEC">
        <w:t>would be taken</w:t>
      </w:r>
      <w:proofErr w:type="gramEnd"/>
      <w:r w:rsidRPr="00040BEC">
        <w:t xml:space="preserve"> into account at any time but </w:t>
      </w:r>
      <w:r w:rsidR="008712B6" w:rsidRPr="00040BEC">
        <w:t>preferably,</w:t>
      </w:r>
      <w:r w:rsidRPr="00040BEC">
        <w:t xml:space="preserve"> when a primary user will be identified. </w:t>
      </w:r>
    </w:p>
    <w:p w14:paraId="4A4D7971" w14:textId="77777777" w:rsidR="00F43A8C" w:rsidRPr="00040BEC" w:rsidRDefault="00F43A8C" w:rsidP="00512C73">
      <w:pPr>
        <w:pStyle w:val="ECCParagraph"/>
      </w:pPr>
      <w:proofErr w:type="gramStart"/>
      <w:r w:rsidRPr="00040BEC">
        <w:t xml:space="preserve">Regarding the proposal for DECT as set out in </w:t>
      </w:r>
      <w:r w:rsidR="002676E2" w:rsidRPr="00040BEC">
        <w:t>s</w:t>
      </w:r>
      <w:r w:rsidRPr="00040BEC">
        <w:t>ection</w:t>
      </w:r>
      <w:r w:rsidR="002676E2" w:rsidRPr="00040BEC">
        <w:t xml:space="preserve"> </w:t>
      </w:r>
      <w:r w:rsidR="000A5980" w:rsidRPr="00040BEC">
        <w:fldChar w:fldCharType="begin"/>
      </w:r>
      <w:r w:rsidR="00F01180" w:rsidRPr="00040BEC">
        <w:instrText xml:space="preserve"> REF _Ref355899063 \r \h </w:instrText>
      </w:r>
      <w:r w:rsidR="000A5980" w:rsidRPr="00040BEC">
        <w:fldChar w:fldCharType="separate"/>
      </w:r>
      <w:r w:rsidR="002327BB">
        <w:t>3.4</w:t>
      </w:r>
      <w:r w:rsidR="000A5980" w:rsidRPr="00040BEC">
        <w:fldChar w:fldCharType="end"/>
      </w:r>
      <w:r w:rsidRPr="00040BEC">
        <w:t>, if this is realised under application</w:t>
      </w:r>
      <w:r w:rsidR="0084262B" w:rsidRPr="00040BEC">
        <w:t>-</w:t>
      </w:r>
      <w:r w:rsidRPr="00040BEC">
        <w:t>neutral and technology</w:t>
      </w:r>
      <w:r w:rsidR="0084262B" w:rsidRPr="00040BEC">
        <w:t>-</w:t>
      </w:r>
      <w:r w:rsidRPr="00040BEC">
        <w:t xml:space="preserve">neutral principles (see CEPT Report 014 [1] and CEPT Report 044 [2]) using general authorisation, it can also be regarded as a new spectrum opportunity for SRD usage, provided that suitable spectrum access rules are followed (see section </w:t>
      </w:r>
      <w:r w:rsidR="000A5980" w:rsidRPr="00040BEC">
        <w:fldChar w:fldCharType="begin"/>
      </w:r>
      <w:r w:rsidR="00E70539" w:rsidRPr="00040BEC">
        <w:instrText xml:space="preserve"> REF _Ref368347696 \r \h </w:instrText>
      </w:r>
      <w:r w:rsidR="000A5980" w:rsidRPr="00040BEC">
        <w:fldChar w:fldCharType="separate"/>
      </w:r>
      <w:r w:rsidR="002327BB">
        <w:t>3.6</w:t>
      </w:r>
      <w:r w:rsidR="000A5980" w:rsidRPr="00040BEC">
        <w:fldChar w:fldCharType="end"/>
      </w:r>
      <w:r w:rsidRPr="00040BEC">
        <w:t xml:space="preserve"> on </w:t>
      </w:r>
      <w:r w:rsidR="000A5980" w:rsidRPr="00040BEC">
        <w:fldChar w:fldCharType="begin"/>
      </w:r>
      <w:r w:rsidR="00E70539" w:rsidRPr="00040BEC">
        <w:instrText xml:space="preserve"> REF _Ref368347696 \h </w:instrText>
      </w:r>
      <w:r w:rsidR="000A5980" w:rsidRPr="00040BEC">
        <w:fldChar w:fldCharType="separate"/>
      </w:r>
      <w:r w:rsidR="002327BB" w:rsidRPr="00040BEC">
        <w:t>Synergies between the proposed short list of selected use</w:t>
      </w:r>
      <w:r w:rsidR="000A5980" w:rsidRPr="00040BEC">
        <w:fldChar w:fldCharType="end"/>
      </w:r>
      <w:r w:rsidRPr="00040BEC">
        <w:t>).</w:t>
      </w:r>
      <w:proofErr w:type="gramEnd"/>
      <w:r w:rsidRPr="00040BEC">
        <w:t xml:space="preserve"> The DECT proposal and the SRD approach are identical with regard to equal and non-exclusive access to spectrum under exemption from individual authorisation, in a spectrum compatible way with other possible </w:t>
      </w:r>
      <w:r w:rsidR="008712B6" w:rsidRPr="00040BEC">
        <w:t>usage that could be under individual authorisations, e.g. a DA2GC</w:t>
      </w:r>
      <w:r w:rsidRPr="00040BEC">
        <w:t xml:space="preserve"> ground network.</w:t>
      </w:r>
    </w:p>
    <w:p w14:paraId="1938AEFB" w14:textId="77777777" w:rsidR="00F43A8C" w:rsidRPr="00040BEC" w:rsidRDefault="00F43A8C" w:rsidP="00512C73">
      <w:pPr>
        <w:pStyle w:val="ECCParagraph"/>
      </w:pPr>
      <w:r w:rsidRPr="00040BEC">
        <w:t xml:space="preserve">Apart from the DECT system reference document, there is no ETSI </w:t>
      </w:r>
      <w:r w:rsidR="004A72DE" w:rsidRPr="00040BEC">
        <w:t>S</w:t>
      </w:r>
      <w:r w:rsidRPr="00040BEC">
        <w:t xml:space="preserve">ystem </w:t>
      </w:r>
      <w:r w:rsidR="004A72DE" w:rsidRPr="00040BEC">
        <w:t>R</w:t>
      </w:r>
      <w:r w:rsidRPr="00040BEC">
        <w:t xml:space="preserve">eference </w:t>
      </w:r>
      <w:r w:rsidR="004A72DE" w:rsidRPr="00040BEC">
        <w:t>D</w:t>
      </w:r>
      <w:r w:rsidRPr="00040BEC">
        <w:t xml:space="preserve">ocument under preparation in ETSI at the moment nor an industry request for SRD applications, making a proposal for usage in the 2 GHz Unpaired bands. The technical parameters of the </w:t>
      </w:r>
      <w:r w:rsidR="004A72DE" w:rsidRPr="00040BEC">
        <w:t>ETSI</w:t>
      </w:r>
      <w:r w:rsidRPr="00040BEC">
        <w:t xml:space="preserve"> </w:t>
      </w:r>
      <w:r w:rsidR="004A72DE" w:rsidRPr="00040BEC">
        <w:t>S</w:t>
      </w:r>
      <w:r w:rsidRPr="00040BEC">
        <w:t xml:space="preserve">ystem </w:t>
      </w:r>
      <w:r w:rsidR="004A72DE" w:rsidRPr="00040BEC">
        <w:t>R</w:t>
      </w:r>
      <w:r w:rsidRPr="00040BEC">
        <w:t xml:space="preserve">eference </w:t>
      </w:r>
      <w:r w:rsidR="004A72DE" w:rsidRPr="00040BEC">
        <w:t>D</w:t>
      </w:r>
      <w:r w:rsidRPr="00040BEC">
        <w:t xml:space="preserve">ocument </w:t>
      </w:r>
      <w:r w:rsidR="004A72DE" w:rsidRPr="00040BEC">
        <w:t>for DECT</w:t>
      </w:r>
      <w:r w:rsidRPr="00040BEC">
        <w:t xml:space="preserve"> </w:t>
      </w:r>
      <w:proofErr w:type="gramStart"/>
      <w:r w:rsidRPr="00040BEC">
        <w:t>are proposed to be used</w:t>
      </w:r>
      <w:proofErr w:type="gramEnd"/>
      <w:r w:rsidRPr="00040BEC">
        <w:t xml:space="preserve"> for compatibility studies. CEPT is aware of other technologies with similar technical parameters and spectrum access mechanism, e.g. </w:t>
      </w:r>
      <w:r w:rsidR="001E6530" w:rsidRPr="00040BEC">
        <w:t xml:space="preserve">draft </w:t>
      </w:r>
      <w:r w:rsidRPr="00040BEC">
        <w:t xml:space="preserve">IEEE 802.11ah (both approaches with 250 </w:t>
      </w:r>
      <w:proofErr w:type="spellStart"/>
      <w:r w:rsidRPr="00040BEC">
        <w:t>mW</w:t>
      </w:r>
      <w:proofErr w:type="spellEnd"/>
      <w:r w:rsidRPr="00040BEC">
        <w:t xml:space="preserve"> </w:t>
      </w:r>
      <w:proofErr w:type="spellStart"/>
      <w:r w:rsidRPr="00040BEC">
        <w:t>e.i.r.p</w:t>
      </w:r>
      <w:proofErr w:type="spellEnd"/>
      <w:r w:rsidRPr="00040BEC">
        <w:t xml:space="preserve">., 1 MHz channel bandwidth, </w:t>
      </w:r>
      <w:r w:rsidR="008712B6" w:rsidRPr="00040BEC">
        <w:t>and dynamic</w:t>
      </w:r>
      <w:r w:rsidRPr="00040BEC">
        <w:t xml:space="preserve"> channel/frequency selection spectrum access mechanism). The proponents of the technology 802.11ah have approached the CEPT with the request for identifying a spectrum opportunity </w:t>
      </w:r>
      <w:r w:rsidR="003C0641" w:rsidRPr="00040BEC">
        <w:t xml:space="preserve">(ETSI TR 103 245 </w:t>
      </w:r>
      <w:r w:rsidR="00470D17" w:rsidRPr="00040BEC">
        <w:fldChar w:fldCharType="begin"/>
      </w:r>
      <w:r w:rsidR="00470D17" w:rsidRPr="00040BEC">
        <w:instrText xml:space="preserve"> REF _Ref401577139 \n \h </w:instrText>
      </w:r>
      <w:r w:rsidR="00470D17" w:rsidRPr="00040BEC">
        <w:fldChar w:fldCharType="separate"/>
      </w:r>
      <w:r w:rsidR="002327BB">
        <w:t>[47]</w:t>
      </w:r>
      <w:r w:rsidR="00470D17" w:rsidRPr="00040BEC">
        <w:fldChar w:fldCharType="end"/>
      </w:r>
      <w:r w:rsidR="003C0641" w:rsidRPr="00040BEC">
        <w:t>)</w:t>
      </w:r>
      <w:r w:rsidRPr="00040BEC">
        <w:t>.</w:t>
      </w:r>
    </w:p>
    <w:p w14:paraId="2E9D9F3D" w14:textId="77777777" w:rsidR="0031386D" w:rsidRPr="00040BEC" w:rsidRDefault="00F43A8C" w:rsidP="00512C73">
      <w:pPr>
        <w:pStyle w:val="ECCParagraph"/>
      </w:pPr>
      <w:r w:rsidRPr="00040BEC">
        <w:t xml:space="preserve">CEPT recommends that the principles set out in CEPT Report </w:t>
      </w:r>
      <w:r w:rsidR="00137811" w:rsidRPr="00040BEC">
        <w:t>0</w:t>
      </w:r>
      <w:r w:rsidRPr="00040BEC">
        <w:t>14</w:t>
      </w:r>
      <w:r w:rsidR="00137811" w:rsidRPr="00040BEC">
        <w:t xml:space="preserve"> </w:t>
      </w:r>
      <w:r w:rsidR="000A5980" w:rsidRPr="00040BEC">
        <w:fldChar w:fldCharType="begin"/>
      </w:r>
      <w:r w:rsidR="00137811" w:rsidRPr="00040BEC">
        <w:instrText xml:space="preserve"> REF _Ref387908922 \r \h </w:instrText>
      </w:r>
      <w:r w:rsidR="000A5980" w:rsidRPr="00040BEC">
        <w:fldChar w:fldCharType="separate"/>
      </w:r>
      <w:r w:rsidR="002327BB">
        <w:t>[1]</w:t>
      </w:r>
      <w:r w:rsidR="000A5980" w:rsidRPr="00040BEC">
        <w:fldChar w:fldCharType="end"/>
      </w:r>
      <w:r w:rsidRPr="00040BEC">
        <w:t xml:space="preserve"> and</w:t>
      </w:r>
      <w:r w:rsidR="00137811" w:rsidRPr="00040BEC">
        <w:t xml:space="preserve"> CEPT Report</w:t>
      </w:r>
      <w:r w:rsidRPr="00040BEC">
        <w:t xml:space="preserve"> </w:t>
      </w:r>
      <w:r w:rsidR="00137811" w:rsidRPr="00040BEC">
        <w:t>0</w:t>
      </w:r>
      <w:r w:rsidRPr="00040BEC">
        <w:t>44</w:t>
      </w:r>
      <w:r w:rsidR="00137811" w:rsidRPr="00040BEC">
        <w:t xml:space="preserve"> </w:t>
      </w:r>
      <w:r w:rsidR="000A5980" w:rsidRPr="00040BEC">
        <w:fldChar w:fldCharType="begin"/>
      </w:r>
      <w:r w:rsidR="00137811" w:rsidRPr="00040BEC">
        <w:instrText xml:space="preserve"> REF _Ref387908941 \r \h </w:instrText>
      </w:r>
      <w:r w:rsidR="000A5980" w:rsidRPr="00040BEC">
        <w:fldChar w:fldCharType="separate"/>
      </w:r>
      <w:r w:rsidR="002327BB">
        <w:t>[2]</w:t>
      </w:r>
      <w:r w:rsidR="000A5980" w:rsidRPr="00040BEC">
        <w:fldChar w:fldCharType="end"/>
      </w:r>
      <w:r w:rsidRPr="00040BEC">
        <w:t xml:space="preserve"> for technology-neutral and application</w:t>
      </w:r>
      <w:r w:rsidR="0084262B" w:rsidRPr="00040BEC">
        <w:t>-</w:t>
      </w:r>
      <w:r w:rsidRPr="00040BEC">
        <w:t>neutral license-exempt regulations should apply for the DECT proposal. This does however not ensure that other standards will be developed with similar (or equivalent) medium access mechanism, and able to compete with DECT in the same spectrum.</w:t>
      </w:r>
      <w:r w:rsidR="0031386D" w:rsidRPr="00040BEC">
        <w:t xml:space="preserve"> </w:t>
      </w:r>
    </w:p>
    <w:p w14:paraId="6FF2A8A5" w14:textId="77777777" w:rsidR="0096154C" w:rsidRPr="00040BEC" w:rsidRDefault="0096154C" w:rsidP="00512C73">
      <w:pPr>
        <w:pStyle w:val="ECCParagraph"/>
      </w:pPr>
      <w:r w:rsidRPr="00040BEC">
        <w:t xml:space="preserve">A proposal to consider metering (smart metering, smart grids and smart cities) in the unpaired bands </w:t>
      </w:r>
      <w:proofErr w:type="gramStart"/>
      <w:r w:rsidRPr="00040BEC">
        <w:t>was presented</w:t>
      </w:r>
      <w:proofErr w:type="gramEnd"/>
      <w:r w:rsidR="00F11351" w:rsidRPr="00040BEC">
        <w:t xml:space="preserve"> during the Call for Inputs</w:t>
      </w:r>
      <w:r w:rsidRPr="00040BEC">
        <w:t xml:space="preserve">, taking note that the needed frequency ranges are dependent on a country’s geography and the average construction of houses and buildings. It </w:t>
      </w:r>
      <w:proofErr w:type="gramStart"/>
      <w:r w:rsidRPr="00040BEC">
        <w:t>is as well referred</w:t>
      </w:r>
      <w:proofErr w:type="gramEnd"/>
      <w:r w:rsidRPr="00040BEC">
        <w:t xml:space="preserve"> that a number of bands proposed for metering, such as the 870-876 MHz, are not available in a substantial number of countries.</w:t>
      </w:r>
    </w:p>
    <w:p w14:paraId="4B3CB8B4" w14:textId="7921A635" w:rsidR="00F43A8C" w:rsidRPr="00040BEC" w:rsidRDefault="0031386D" w:rsidP="00512C73">
      <w:pPr>
        <w:pStyle w:val="ECCParagraph"/>
      </w:pPr>
      <w:r w:rsidRPr="00040BEC">
        <w:t xml:space="preserve">In line with the SRD strategy set out in CEPT Report </w:t>
      </w:r>
      <w:r w:rsidR="00137811" w:rsidRPr="00040BEC">
        <w:t>0</w:t>
      </w:r>
      <w:r w:rsidRPr="00040BEC">
        <w:t>14</w:t>
      </w:r>
      <w:r w:rsidR="00137811" w:rsidRPr="00040BEC">
        <w:t xml:space="preserve"> </w:t>
      </w:r>
      <w:r w:rsidR="000A5980" w:rsidRPr="00040BEC">
        <w:fldChar w:fldCharType="begin"/>
      </w:r>
      <w:r w:rsidR="00137811" w:rsidRPr="00040BEC">
        <w:instrText xml:space="preserve"> REF _Ref387908922 \r \h </w:instrText>
      </w:r>
      <w:r w:rsidR="000A5980" w:rsidRPr="00040BEC">
        <w:fldChar w:fldCharType="separate"/>
      </w:r>
      <w:r w:rsidR="002327BB">
        <w:t>[1]</w:t>
      </w:r>
      <w:r w:rsidR="000A5980" w:rsidRPr="00040BEC">
        <w:fldChar w:fldCharType="end"/>
      </w:r>
      <w:r w:rsidR="00137811" w:rsidRPr="00040BEC">
        <w:t>,</w:t>
      </w:r>
      <w:r w:rsidRPr="00040BEC">
        <w:t xml:space="preserve"> </w:t>
      </w:r>
      <w:r w:rsidR="00E2014B" w:rsidRPr="00040BEC">
        <w:t xml:space="preserve">CEPT Report </w:t>
      </w:r>
      <w:r w:rsidR="00137811" w:rsidRPr="00040BEC">
        <w:t>0</w:t>
      </w:r>
      <w:r w:rsidRPr="00040BEC">
        <w:t>43</w:t>
      </w:r>
      <w:r w:rsidR="00137811" w:rsidRPr="00040BEC">
        <w:t xml:space="preserve"> </w:t>
      </w:r>
      <w:r w:rsidR="000A5980" w:rsidRPr="00040BEC">
        <w:fldChar w:fldCharType="begin"/>
      </w:r>
      <w:r w:rsidR="00E2014B" w:rsidRPr="00040BEC">
        <w:instrText xml:space="preserve"> REF _Ref387910749 \r \h </w:instrText>
      </w:r>
      <w:r w:rsidR="000A5980" w:rsidRPr="00040BEC">
        <w:fldChar w:fldCharType="separate"/>
      </w:r>
      <w:r w:rsidR="002327BB">
        <w:t>[40]</w:t>
      </w:r>
      <w:r w:rsidR="000A5980" w:rsidRPr="00040BEC">
        <w:fldChar w:fldCharType="end"/>
      </w:r>
      <w:r w:rsidRPr="00040BEC">
        <w:t xml:space="preserve"> and</w:t>
      </w:r>
      <w:r w:rsidR="00E2014B" w:rsidRPr="00040BEC">
        <w:t xml:space="preserve"> CEPT Report</w:t>
      </w:r>
      <w:r w:rsidRPr="00040BEC">
        <w:t xml:space="preserve"> </w:t>
      </w:r>
      <w:r w:rsidR="00137811" w:rsidRPr="00040BEC">
        <w:t>0</w:t>
      </w:r>
      <w:r w:rsidRPr="00040BEC">
        <w:t>44</w:t>
      </w:r>
      <w:r w:rsidR="00137811" w:rsidRPr="00040BEC">
        <w:t xml:space="preserve"> </w:t>
      </w:r>
      <w:r w:rsidR="000A5980" w:rsidRPr="00040BEC">
        <w:fldChar w:fldCharType="begin"/>
      </w:r>
      <w:r w:rsidR="00137811" w:rsidRPr="00040BEC">
        <w:instrText xml:space="preserve"> REF _Ref387908941 \r \h </w:instrText>
      </w:r>
      <w:r w:rsidR="000A5980" w:rsidRPr="00040BEC">
        <w:fldChar w:fldCharType="separate"/>
      </w:r>
      <w:r w:rsidR="002327BB">
        <w:t>[2]</w:t>
      </w:r>
      <w:r w:rsidR="000A5980" w:rsidRPr="00040BEC">
        <w:fldChar w:fldCharType="end"/>
      </w:r>
      <w:r w:rsidRPr="00040BEC">
        <w:t xml:space="preserve"> for metering applications, as well as the recent RSPG Report on Sectoral</w:t>
      </w:r>
      <w:r w:rsidR="00564B84">
        <w:t xml:space="preserve"> </w:t>
      </w:r>
      <w:r w:rsidRPr="00040BEC">
        <w:t xml:space="preserve">Needs, metering devices </w:t>
      </w:r>
      <w:proofErr w:type="gramStart"/>
      <w:r w:rsidRPr="00040BEC">
        <w:t>should be covered</w:t>
      </w:r>
      <w:proofErr w:type="gramEnd"/>
      <w:r w:rsidRPr="00040BEC">
        <w:t xml:space="preserve"> by a non-specific SRD regulatory approach. This request is therefore already included in the DECT/SRD usage </w:t>
      </w:r>
      <w:r w:rsidR="00DD7F0E" w:rsidRPr="00040BEC">
        <w:t xml:space="preserve">category </w:t>
      </w:r>
      <w:r w:rsidR="0023507B" w:rsidRPr="00040BEC">
        <w:t xml:space="preserve">(see section </w:t>
      </w:r>
      <w:r w:rsidR="000A5980" w:rsidRPr="00040BEC">
        <w:fldChar w:fldCharType="begin"/>
      </w:r>
      <w:r w:rsidR="0023507B" w:rsidRPr="00040BEC">
        <w:instrText xml:space="preserve"> REF _Ref368347696 \w \h </w:instrText>
      </w:r>
      <w:r w:rsidR="000A5980" w:rsidRPr="00040BEC">
        <w:fldChar w:fldCharType="separate"/>
      </w:r>
      <w:r w:rsidR="002327BB">
        <w:t>3.6</w:t>
      </w:r>
      <w:r w:rsidR="000A5980" w:rsidRPr="00040BEC">
        <w:fldChar w:fldCharType="end"/>
      </w:r>
      <w:r w:rsidR="0023507B" w:rsidRPr="00040BEC">
        <w:t>)</w:t>
      </w:r>
      <w:r w:rsidRPr="00040BEC">
        <w:t>.</w:t>
      </w:r>
    </w:p>
    <w:p w14:paraId="7386A77B" w14:textId="77777777" w:rsidR="00661D4D" w:rsidRPr="00040BEC" w:rsidRDefault="00661D4D" w:rsidP="008E5B81">
      <w:pPr>
        <w:pStyle w:val="Heading2"/>
        <w:rPr>
          <w:lang w:val="en-GB"/>
        </w:rPr>
      </w:pPr>
      <w:bookmarkStart w:id="36" w:name="_Ref355899063"/>
      <w:bookmarkStart w:id="37" w:name="_Toc396903999"/>
      <w:bookmarkStart w:id="38" w:name="_Toc445129316"/>
      <w:r w:rsidRPr="00040BEC">
        <w:rPr>
          <w:lang w:val="en-GB"/>
        </w:rPr>
        <w:t>Digital Enhanced Cordless Telecommunications</w:t>
      </w:r>
      <w:bookmarkEnd w:id="36"/>
      <w:bookmarkEnd w:id="37"/>
      <w:bookmarkEnd w:id="38"/>
    </w:p>
    <w:p w14:paraId="0FD40E93" w14:textId="77777777" w:rsidR="00103397" w:rsidRPr="00040BEC" w:rsidRDefault="00103397" w:rsidP="00103397">
      <w:pPr>
        <w:pStyle w:val="ECCParagraph"/>
        <w:rPr>
          <w:rFonts w:cs="Arial"/>
          <w:lang w:eastAsia="de-DE"/>
        </w:rPr>
      </w:pPr>
      <w:r w:rsidRPr="00040BEC">
        <w:rPr>
          <w:rFonts w:cs="Arial"/>
          <w:lang w:eastAsia="de-DE"/>
        </w:rPr>
        <w:t xml:space="preserve">Digital Enhanced Cordless Telecommunications (DECT) is a general radio access technology for wireless telecommunications, for cell radii ranging from a few meters to several </w:t>
      </w:r>
      <w:r w:rsidR="0021132E" w:rsidRPr="00040BEC">
        <w:rPr>
          <w:rFonts w:cs="Arial"/>
          <w:lang w:eastAsia="de-DE"/>
        </w:rPr>
        <w:t>kilometres</w:t>
      </w:r>
      <w:r w:rsidRPr="00040BEC">
        <w:rPr>
          <w:rFonts w:cs="Arial"/>
          <w:lang w:eastAsia="de-DE"/>
        </w:rPr>
        <w:t xml:space="preserve">, depending on application and environment. The DECT technology provides a comprehensive set of </w:t>
      </w:r>
      <w:r w:rsidR="0021132E" w:rsidRPr="00040BEC">
        <w:rPr>
          <w:rFonts w:cs="Arial"/>
          <w:lang w:eastAsia="de-DE"/>
        </w:rPr>
        <w:t>protocols, which</w:t>
      </w:r>
      <w:r w:rsidRPr="00040BEC">
        <w:rPr>
          <w:rFonts w:cs="Arial"/>
          <w:lang w:eastAsia="de-DE"/>
        </w:rPr>
        <w:t xml:space="preserve"> provide the flexibility to interwork between numerous different applications and networks. The </w:t>
      </w:r>
      <w:r w:rsidR="00DD7359" w:rsidRPr="00040BEC">
        <w:rPr>
          <w:rFonts w:cs="Arial"/>
          <w:lang w:eastAsia="de-DE"/>
        </w:rPr>
        <w:t xml:space="preserve">base </w:t>
      </w:r>
      <w:r w:rsidRPr="00040BEC">
        <w:rPr>
          <w:rFonts w:cs="Arial"/>
          <w:lang w:eastAsia="de-DE"/>
        </w:rPr>
        <w:t xml:space="preserve">standard </w:t>
      </w:r>
      <w:r w:rsidR="00DD7359" w:rsidRPr="00040BEC">
        <w:rPr>
          <w:rFonts w:cs="Arial"/>
          <w:lang w:eastAsia="de-DE"/>
        </w:rPr>
        <w:t>EN 300 175-1 to 8</w:t>
      </w:r>
      <w:r w:rsidR="003752B5" w:rsidRPr="00040BEC">
        <w:rPr>
          <w:rFonts w:cs="Arial"/>
          <w:lang w:eastAsia="de-DE"/>
        </w:rPr>
        <w:t xml:space="preserve"> </w:t>
      </w:r>
      <w:r w:rsidR="000A5980" w:rsidRPr="00040BEC">
        <w:rPr>
          <w:rFonts w:cs="Arial"/>
          <w:lang w:eastAsia="de-DE"/>
        </w:rPr>
        <w:fldChar w:fldCharType="begin"/>
      </w:r>
      <w:r w:rsidR="003752B5" w:rsidRPr="00040BEC">
        <w:rPr>
          <w:rFonts w:cs="Arial"/>
          <w:lang w:eastAsia="de-DE"/>
        </w:rPr>
        <w:instrText xml:space="preserve"> REF _Ref356389916 \n \h </w:instrText>
      </w:r>
      <w:r w:rsidR="000A5980" w:rsidRPr="00040BEC">
        <w:rPr>
          <w:rFonts w:cs="Arial"/>
          <w:lang w:eastAsia="de-DE"/>
        </w:rPr>
      </w:r>
      <w:r w:rsidR="000A5980" w:rsidRPr="00040BEC">
        <w:rPr>
          <w:rFonts w:cs="Arial"/>
          <w:lang w:eastAsia="de-DE"/>
        </w:rPr>
        <w:fldChar w:fldCharType="separate"/>
      </w:r>
      <w:r w:rsidR="002327BB">
        <w:rPr>
          <w:rFonts w:cs="Arial"/>
          <w:lang w:eastAsia="de-DE"/>
        </w:rPr>
        <w:t>[16]</w:t>
      </w:r>
      <w:r w:rsidR="000A5980" w:rsidRPr="00040BEC">
        <w:rPr>
          <w:rFonts w:cs="Arial"/>
          <w:lang w:eastAsia="de-DE"/>
        </w:rPr>
        <w:fldChar w:fldCharType="end"/>
      </w:r>
      <w:r w:rsidR="00DD7359" w:rsidRPr="00040BEC">
        <w:rPr>
          <w:rFonts w:cs="Arial"/>
          <w:lang w:eastAsia="de-DE"/>
        </w:rPr>
        <w:t xml:space="preserve"> </w:t>
      </w:r>
      <w:r w:rsidRPr="00040BEC">
        <w:rPr>
          <w:rFonts w:cs="Arial"/>
          <w:lang w:eastAsia="de-DE"/>
        </w:rPr>
        <w:t>specifies a high capacity TDMA/TDD radio interface supporting symmetric and asymmetric connections, connection oriented and connectionless data transport and provides security and confidentiality services. The mandatory instant Dynamic Channel Selection (</w:t>
      </w:r>
      <w:proofErr w:type="spellStart"/>
      <w:r w:rsidRPr="00040BEC">
        <w:rPr>
          <w:rFonts w:cs="Arial"/>
          <w:lang w:eastAsia="de-DE"/>
        </w:rPr>
        <w:t>iDCS</w:t>
      </w:r>
      <w:proofErr w:type="spellEnd"/>
      <w:r w:rsidRPr="00040BEC">
        <w:rPr>
          <w:rFonts w:cs="Arial"/>
          <w:lang w:eastAsia="de-DE"/>
        </w:rPr>
        <w:t>) messages and procedures provide effective co-existence of uncoordinated private and public systems on the common designated DECT frequency band and avoid any need for traditional frequency planning.</w:t>
      </w:r>
      <w:r w:rsidR="0096056A" w:rsidRPr="00040BEC">
        <w:rPr>
          <w:rFonts w:cs="Arial"/>
          <w:lang w:eastAsia="de-DE"/>
        </w:rPr>
        <w:t xml:space="preserve"> </w:t>
      </w:r>
    </w:p>
    <w:p w14:paraId="553FDEAA" w14:textId="77777777" w:rsidR="00C27CCD" w:rsidRPr="00040BEC" w:rsidRDefault="009F7CAC" w:rsidP="00103397">
      <w:pPr>
        <w:pStyle w:val="ECCParagraph"/>
        <w:rPr>
          <w:rFonts w:cs="Arial"/>
          <w:lang w:eastAsia="de-DE"/>
        </w:rPr>
      </w:pPr>
      <w:r w:rsidRPr="00040BEC">
        <w:rPr>
          <w:rFonts w:cs="Arial"/>
          <w:lang w:eastAsia="de-DE"/>
        </w:rPr>
        <w:t xml:space="preserve">In 1989, CEPT agreed </w:t>
      </w:r>
      <w:r w:rsidR="0077609E" w:rsidRPr="00040BEC">
        <w:rPr>
          <w:rFonts w:cs="Arial"/>
          <w:lang w:eastAsia="de-DE"/>
        </w:rPr>
        <w:t xml:space="preserve">ERC </w:t>
      </w:r>
      <w:r w:rsidRPr="00040BEC">
        <w:rPr>
          <w:rFonts w:cs="Arial"/>
          <w:lang w:eastAsia="de-DE"/>
        </w:rPr>
        <w:t>Recommendation T/R 22-02</w:t>
      </w:r>
      <w:r w:rsidR="003752B5" w:rsidRPr="00040BEC">
        <w:rPr>
          <w:rFonts w:cs="Arial"/>
          <w:lang w:eastAsia="de-DE"/>
        </w:rPr>
        <w:t xml:space="preserve"> </w:t>
      </w:r>
      <w:r w:rsidR="000A5980" w:rsidRPr="00040BEC">
        <w:rPr>
          <w:rFonts w:cs="Arial"/>
          <w:lang w:eastAsia="de-DE"/>
        </w:rPr>
        <w:fldChar w:fldCharType="begin"/>
      </w:r>
      <w:r w:rsidR="003752B5" w:rsidRPr="00040BEC">
        <w:rPr>
          <w:rFonts w:cs="Arial"/>
          <w:lang w:eastAsia="de-DE"/>
        </w:rPr>
        <w:instrText xml:space="preserve"> REF _Ref356390025 \n \h </w:instrText>
      </w:r>
      <w:r w:rsidR="000A5980" w:rsidRPr="00040BEC">
        <w:rPr>
          <w:rFonts w:cs="Arial"/>
          <w:lang w:eastAsia="de-DE"/>
        </w:rPr>
      </w:r>
      <w:r w:rsidR="000A5980" w:rsidRPr="00040BEC">
        <w:rPr>
          <w:rFonts w:cs="Arial"/>
          <w:lang w:eastAsia="de-DE"/>
        </w:rPr>
        <w:fldChar w:fldCharType="separate"/>
      </w:r>
      <w:r w:rsidR="002327BB">
        <w:rPr>
          <w:rFonts w:cs="Arial"/>
          <w:lang w:eastAsia="de-DE"/>
        </w:rPr>
        <w:t>[20]</w:t>
      </w:r>
      <w:r w:rsidR="000A5980" w:rsidRPr="00040BEC">
        <w:rPr>
          <w:rFonts w:cs="Arial"/>
          <w:lang w:eastAsia="de-DE"/>
        </w:rPr>
        <w:fldChar w:fldCharType="end"/>
      </w:r>
      <w:r w:rsidR="008712B6" w:rsidRPr="00040BEC">
        <w:rPr>
          <w:rFonts w:cs="Arial"/>
          <w:lang w:eastAsia="de-DE"/>
        </w:rPr>
        <w:t xml:space="preserve"> that</w:t>
      </w:r>
      <w:r w:rsidRPr="00040BEC">
        <w:rPr>
          <w:rFonts w:cs="Arial"/>
          <w:lang w:eastAsia="de-DE"/>
        </w:rPr>
        <w:t xml:space="preserve"> designated the band 1880-1900 MHz for DECT (abrogated in the meantime). In 1991, Council of the European Communities adopted a Directive</w:t>
      </w:r>
      <w:r w:rsidRPr="00040BEC">
        <w:rPr>
          <w:rStyle w:val="FootnoteReference"/>
          <w:rFonts w:cs="Arial"/>
          <w:lang w:eastAsia="de-DE"/>
        </w:rPr>
        <w:footnoteReference w:id="9"/>
      </w:r>
      <w:r w:rsidR="008712B6" w:rsidRPr="00040BEC">
        <w:rPr>
          <w:rFonts w:cs="Arial"/>
          <w:lang w:eastAsia="de-DE"/>
        </w:rPr>
        <w:t xml:space="preserve"> that</w:t>
      </w:r>
      <w:r w:rsidRPr="00040BEC">
        <w:rPr>
          <w:rFonts w:cs="Arial"/>
          <w:lang w:eastAsia="de-DE"/>
        </w:rPr>
        <w:t xml:space="preserve"> required member states to designate 1880-1900 MHz for DECT and to ensure that any services remaining in this band do not interfere with any DECT systems that </w:t>
      </w:r>
      <w:proofErr w:type="gramStart"/>
      <w:r w:rsidRPr="00040BEC">
        <w:rPr>
          <w:rFonts w:cs="Arial"/>
          <w:lang w:eastAsia="de-DE"/>
        </w:rPr>
        <w:t>may be established</w:t>
      </w:r>
      <w:proofErr w:type="gramEnd"/>
      <w:r w:rsidRPr="00040BEC">
        <w:rPr>
          <w:rFonts w:cs="Arial"/>
          <w:lang w:eastAsia="de-DE"/>
        </w:rPr>
        <w:t xml:space="preserve"> according to commercial demand. </w:t>
      </w:r>
      <w:r w:rsidR="00C27CCD" w:rsidRPr="00040BEC">
        <w:rPr>
          <w:rFonts w:cs="Arial"/>
          <w:lang w:eastAsia="de-DE"/>
        </w:rPr>
        <w:t xml:space="preserve">CEPT developed </w:t>
      </w:r>
      <w:r w:rsidRPr="00040BEC">
        <w:rPr>
          <w:rFonts w:cs="Arial"/>
          <w:lang w:eastAsia="de-DE"/>
        </w:rPr>
        <w:t xml:space="preserve">then </w:t>
      </w:r>
      <w:r w:rsidR="002A5856" w:rsidRPr="00040BEC">
        <w:rPr>
          <w:rFonts w:cs="Arial"/>
          <w:lang w:eastAsia="de-DE"/>
        </w:rPr>
        <w:t>two decisions on DECT:</w:t>
      </w:r>
    </w:p>
    <w:p w14:paraId="0E4E019E" w14:textId="77777777" w:rsidR="009F7CAC" w:rsidRPr="00040BEC" w:rsidRDefault="009F7CAC" w:rsidP="00BE115C">
      <w:pPr>
        <w:pStyle w:val="ECCParagraph"/>
        <w:numPr>
          <w:ilvl w:val="0"/>
          <w:numId w:val="24"/>
        </w:numPr>
        <w:rPr>
          <w:rFonts w:cs="Arial"/>
          <w:lang w:eastAsia="de-DE"/>
        </w:rPr>
      </w:pPr>
      <w:r w:rsidRPr="00040BEC">
        <w:rPr>
          <w:rFonts w:cs="Arial"/>
          <w:lang w:eastAsia="de-DE"/>
        </w:rPr>
        <w:lastRenderedPageBreak/>
        <w:t>ERC/DEC/(94)03</w:t>
      </w:r>
      <w:r w:rsidR="003752B5" w:rsidRPr="00040BEC">
        <w:rPr>
          <w:rFonts w:cs="Arial"/>
          <w:lang w:eastAsia="de-DE"/>
        </w:rPr>
        <w:t xml:space="preserve"> </w:t>
      </w:r>
      <w:r w:rsidR="000A5980" w:rsidRPr="00040BEC">
        <w:rPr>
          <w:rFonts w:cs="Arial"/>
          <w:lang w:eastAsia="de-DE"/>
        </w:rPr>
        <w:fldChar w:fldCharType="begin"/>
      </w:r>
      <w:r w:rsidR="003752B5" w:rsidRPr="00040BEC">
        <w:rPr>
          <w:rFonts w:cs="Arial"/>
          <w:lang w:eastAsia="de-DE"/>
        </w:rPr>
        <w:instrText xml:space="preserve"> REF _Ref356390212 \n \h </w:instrText>
      </w:r>
      <w:r w:rsidR="000A5980" w:rsidRPr="00040BEC">
        <w:rPr>
          <w:rFonts w:cs="Arial"/>
          <w:lang w:eastAsia="de-DE"/>
        </w:rPr>
      </w:r>
      <w:r w:rsidR="000A5980" w:rsidRPr="00040BEC">
        <w:rPr>
          <w:rFonts w:cs="Arial"/>
          <w:lang w:eastAsia="de-DE"/>
        </w:rPr>
        <w:fldChar w:fldCharType="separate"/>
      </w:r>
      <w:r w:rsidR="002327BB">
        <w:rPr>
          <w:rFonts w:cs="Arial"/>
          <w:lang w:eastAsia="de-DE"/>
        </w:rPr>
        <w:t>[21]</w:t>
      </w:r>
      <w:r w:rsidR="000A5980" w:rsidRPr="00040BEC">
        <w:rPr>
          <w:rFonts w:cs="Arial"/>
          <w:lang w:eastAsia="de-DE"/>
        </w:rPr>
        <w:fldChar w:fldCharType="end"/>
      </w:r>
      <w:r w:rsidRPr="00040BEC">
        <w:rPr>
          <w:rFonts w:cs="Arial"/>
          <w:lang w:eastAsia="de-DE"/>
        </w:rPr>
        <w:t xml:space="preserve"> on the frequency band to be designated for the coordinated introduction of the Digital European Cordless Telecommunications system</w:t>
      </w:r>
      <w:r w:rsidR="005535D1" w:rsidRPr="00040BEC">
        <w:rPr>
          <w:rFonts w:cs="Arial"/>
          <w:lang w:eastAsia="de-DE"/>
        </w:rPr>
        <w:t xml:space="preserve">; </w:t>
      </w:r>
    </w:p>
    <w:p w14:paraId="61A0C66A" w14:textId="77777777" w:rsidR="005535D1" w:rsidRPr="00040BEC" w:rsidRDefault="00DD7359" w:rsidP="00BE115C">
      <w:pPr>
        <w:pStyle w:val="ECCParagraph"/>
        <w:numPr>
          <w:ilvl w:val="0"/>
          <w:numId w:val="24"/>
        </w:numPr>
        <w:rPr>
          <w:rFonts w:cs="Arial"/>
          <w:lang w:eastAsia="de-DE"/>
        </w:rPr>
      </w:pPr>
      <w:r w:rsidRPr="00040BEC">
        <w:rPr>
          <w:rFonts w:cs="Arial"/>
          <w:lang w:eastAsia="de-DE"/>
        </w:rPr>
        <w:t>ERC/DEC</w:t>
      </w:r>
      <w:proofErr w:type="gramStart"/>
      <w:r w:rsidRPr="00040BEC">
        <w:rPr>
          <w:rFonts w:cs="Arial"/>
          <w:lang w:eastAsia="de-DE"/>
        </w:rPr>
        <w:t>/(</w:t>
      </w:r>
      <w:proofErr w:type="gramEnd"/>
      <w:r w:rsidRPr="00040BEC">
        <w:rPr>
          <w:rFonts w:cs="Arial"/>
          <w:lang w:eastAsia="de-DE"/>
        </w:rPr>
        <w:t>98)22</w:t>
      </w:r>
      <w:r w:rsidR="003752B5" w:rsidRPr="00040BEC">
        <w:rPr>
          <w:rFonts w:cs="Arial"/>
          <w:lang w:eastAsia="de-DE"/>
        </w:rPr>
        <w:t xml:space="preserve"> </w:t>
      </w:r>
      <w:r w:rsidR="000A5980" w:rsidRPr="00040BEC">
        <w:rPr>
          <w:rFonts w:cs="Arial"/>
          <w:lang w:eastAsia="de-DE"/>
        </w:rPr>
        <w:fldChar w:fldCharType="begin"/>
      </w:r>
      <w:r w:rsidR="003752B5" w:rsidRPr="00040BEC">
        <w:rPr>
          <w:rFonts w:cs="Arial"/>
          <w:lang w:eastAsia="de-DE"/>
        </w:rPr>
        <w:instrText xml:space="preserve"> REF _Ref356390229 \n \h </w:instrText>
      </w:r>
      <w:r w:rsidR="000A5980" w:rsidRPr="00040BEC">
        <w:rPr>
          <w:rFonts w:cs="Arial"/>
          <w:lang w:eastAsia="de-DE"/>
        </w:rPr>
      </w:r>
      <w:r w:rsidR="000A5980" w:rsidRPr="00040BEC">
        <w:rPr>
          <w:rFonts w:cs="Arial"/>
          <w:lang w:eastAsia="de-DE"/>
        </w:rPr>
        <w:fldChar w:fldCharType="separate"/>
      </w:r>
      <w:r w:rsidR="002327BB">
        <w:rPr>
          <w:rFonts w:cs="Arial"/>
          <w:lang w:eastAsia="de-DE"/>
        </w:rPr>
        <w:t>[22]</w:t>
      </w:r>
      <w:r w:rsidR="000A5980" w:rsidRPr="00040BEC">
        <w:rPr>
          <w:rFonts w:cs="Arial"/>
          <w:lang w:eastAsia="de-DE"/>
        </w:rPr>
        <w:fldChar w:fldCharType="end"/>
      </w:r>
      <w:r w:rsidRPr="00040BEC">
        <w:rPr>
          <w:rFonts w:cs="Arial"/>
          <w:lang w:eastAsia="de-DE"/>
        </w:rPr>
        <w:t xml:space="preserve"> </w:t>
      </w:r>
      <w:r w:rsidR="005535D1" w:rsidRPr="00040BEC">
        <w:rPr>
          <w:rFonts w:cs="Arial"/>
          <w:lang w:eastAsia="de-DE"/>
        </w:rPr>
        <w:t xml:space="preserve">on Exemption from Individual Licensing of DECT equipment, except fixed parts which provide for public access </w:t>
      </w:r>
      <w:r w:rsidR="003F047E" w:rsidRPr="00040BEC">
        <w:rPr>
          <w:rFonts w:cs="Arial"/>
          <w:lang w:eastAsia="de-DE"/>
        </w:rPr>
        <w:t>(</w:t>
      </w:r>
      <w:r w:rsidR="003E0429" w:rsidRPr="00040BEC">
        <w:rPr>
          <w:rFonts w:cs="Arial"/>
          <w:lang w:eastAsia="de-DE"/>
        </w:rPr>
        <w:t>Amended 8 November 2013</w:t>
      </w:r>
      <w:r w:rsidR="003F047E" w:rsidRPr="00040BEC">
        <w:rPr>
          <w:rFonts w:cs="Arial"/>
          <w:lang w:eastAsia="de-DE"/>
        </w:rPr>
        <w:t>).</w:t>
      </w:r>
    </w:p>
    <w:p w14:paraId="6FE8BD4D" w14:textId="77777777" w:rsidR="00B32CDF" w:rsidRPr="00040BEC" w:rsidRDefault="003F047E" w:rsidP="00103397">
      <w:pPr>
        <w:pStyle w:val="ECCParagraph"/>
        <w:rPr>
          <w:rFonts w:cs="Arial"/>
          <w:lang w:eastAsia="de-DE"/>
        </w:rPr>
      </w:pPr>
      <w:r w:rsidRPr="00040BEC">
        <w:rPr>
          <w:rFonts w:cs="Arial"/>
          <w:lang w:eastAsia="de-DE"/>
        </w:rPr>
        <w:t>The c</w:t>
      </w:r>
      <w:r w:rsidR="00B32CDF" w:rsidRPr="00040BEC">
        <w:rPr>
          <w:rFonts w:cs="Arial"/>
          <w:lang w:eastAsia="de-DE"/>
        </w:rPr>
        <w:t xml:space="preserve">urrent regulation does not restrict the </w:t>
      </w:r>
      <w:r w:rsidR="00806893" w:rsidRPr="00040BEC">
        <w:rPr>
          <w:rFonts w:cs="Arial"/>
          <w:lang w:eastAsia="de-DE"/>
        </w:rPr>
        <w:t>scope</w:t>
      </w:r>
      <w:r w:rsidR="00B32CDF" w:rsidRPr="00040BEC">
        <w:rPr>
          <w:rFonts w:cs="Arial"/>
          <w:lang w:eastAsia="de-DE"/>
        </w:rPr>
        <w:t xml:space="preserve"> </w:t>
      </w:r>
      <w:r w:rsidRPr="00040BEC">
        <w:rPr>
          <w:rFonts w:cs="Arial"/>
          <w:lang w:eastAsia="de-DE"/>
        </w:rPr>
        <w:t xml:space="preserve">of DECT applications </w:t>
      </w:r>
      <w:r w:rsidR="00B32CDF" w:rsidRPr="00040BEC">
        <w:rPr>
          <w:rFonts w:cs="Arial"/>
          <w:lang w:eastAsia="de-DE"/>
        </w:rPr>
        <w:t>(</w:t>
      </w:r>
      <w:r w:rsidRPr="00040BEC">
        <w:rPr>
          <w:rFonts w:cs="Arial"/>
          <w:lang w:eastAsia="de-DE"/>
        </w:rPr>
        <w:t xml:space="preserve">e.g. </w:t>
      </w:r>
      <w:r w:rsidR="00806893" w:rsidRPr="00040BEC">
        <w:rPr>
          <w:rFonts w:cs="Arial"/>
          <w:lang w:eastAsia="de-DE"/>
        </w:rPr>
        <w:t>audio, video</w:t>
      </w:r>
      <w:r w:rsidR="00B32CDF" w:rsidRPr="00040BEC">
        <w:rPr>
          <w:rFonts w:cs="Arial"/>
          <w:lang w:eastAsia="de-DE"/>
        </w:rPr>
        <w:t>).</w:t>
      </w:r>
    </w:p>
    <w:p w14:paraId="4EB32949" w14:textId="77777777" w:rsidR="00456887" w:rsidRPr="00040BEC" w:rsidRDefault="00456887" w:rsidP="003435C2">
      <w:pPr>
        <w:pStyle w:val="Heading3"/>
        <w:rPr>
          <w:lang w:val="en-GB" w:eastAsia="de-DE"/>
        </w:rPr>
      </w:pPr>
      <w:r w:rsidRPr="00040BEC">
        <w:rPr>
          <w:lang w:val="en-GB" w:eastAsia="de-DE"/>
        </w:rPr>
        <w:t>Reasons for proposing additional spectrum for DECT</w:t>
      </w:r>
    </w:p>
    <w:p w14:paraId="4A43A82A" w14:textId="77777777" w:rsidR="00456887" w:rsidRPr="00040BEC" w:rsidRDefault="00456887" w:rsidP="00456887">
      <w:pPr>
        <w:pStyle w:val="ECCParagraph"/>
        <w:rPr>
          <w:rFonts w:cs="Arial"/>
          <w:lang w:eastAsia="de-DE"/>
        </w:rPr>
      </w:pPr>
      <w:r w:rsidRPr="00040BEC">
        <w:rPr>
          <w:rFonts w:cs="Arial"/>
          <w:lang w:eastAsia="de-DE"/>
        </w:rPr>
        <w:t xml:space="preserve">DECT technology has over 820 million of accumulated devices since its introduction in the market. The accumulated number of DECT devices grows at a ratio of around 100 M devices per year. This </w:t>
      </w:r>
      <w:proofErr w:type="gramStart"/>
      <w:r w:rsidRPr="00040BEC">
        <w:rPr>
          <w:rFonts w:cs="Arial"/>
          <w:lang w:eastAsia="de-DE"/>
        </w:rPr>
        <w:t>is far more than initially expected</w:t>
      </w:r>
      <w:proofErr w:type="gramEnd"/>
      <w:r w:rsidRPr="00040BEC">
        <w:rPr>
          <w:rFonts w:cs="Arial"/>
          <w:lang w:eastAsia="de-DE"/>
        </w:rPr>
        <w:t xml:space="preserve"> and is supported by only 20 MHz of allocation. While the operation of the technology is currently successful, it appears prudent to assign additional bandwidth for further expansion of the technology.</w:t>
      </w:r>
    </w:p>
    <w:p w14:paraId="20973A83" w14:textId="77777777" w:rsidR="00456887" w:rsidRPr="00040BEC" w:rsidRDefault="00456887" w:rsidP="00456887">
      <w:pPr>
        <w:pStyle w:val="ECCParagraph"/>
        <w:rPr>
          <w:rFonts w:cs="Arial"/>
          <w:lang w:eastAsia="de-DE"/>
        </w:rPr>
      </w:pPr>
      <w:r w:rsidRPr="00040BEC">
        <w:rPr>
          <w:rFonts w:cs="Arial"/>
          <w:lang w:eastAsia="de-DE"/>
        </w:rPr>
        <w:t xml:space="preserve">DECT was </w:t>
      </w:r>
      <w:r w:rsidR="00921570" w:rsidRPr="00040BEC">
        <w:rPr>
          <w:rFonts w:cs="Arial"/>
          <w:lang w:eastAsia="de-DE"/>
        </w:rPr>
        <w:t xml:space="preserve">initially primary </w:t>
      </w:r>
      <w:r w:rsidRPr="00040BEC">
        <w:rPr>
          <w:rFonts w:cs="Arial"/>
          <w:lang w:eastAsia="de-DE"/>
        </w:rPr>
        <w:t>a 3</w:t>
      </w:r>
      <w:r w:rsidR="007C5C70" w:rsidRPr="00040BEC">
        <w:rPr>
          <w:rFonts w:cs="Arial"/>
          <w:lang w:eastAsia="de-DE"/>
        </w:rPr>
        <w:t>.</w:t>
      </w:r>
      <w:r w:rsidRPr="00040BEC">
        <w:rPr>
          <w:rFonts w:cs="Arial"/>
          <w:lang w:eastAsia="de-DE"/>
        </w:rPr>
        <w:t xml:space="preserve">1 kHz telephony service conveyed over radio links. Recent new developments such as DECT New Generation now also offer wideband 7 kHz voice transmission, a super-wideband 14 kHz service, different data services and video surveillance. While these technological advances </w:t>
      </w:r>
      <w:proofErr w:type="gramStart"/>
      <w:r w:rsidRPr="00040BEC">
        <w:rPr>
          <w:rFonts w:cs="Arial"/>
          <w:lang w:eastAsia="de-DE"/>
        </w:rPr>
        <w:t>are well received</w:t>
      </w:r>
      <w:proofErr w:type="gramEnd"/>
      <w:r w:rsidRPr="00040BEC">
        <w:rPr>
          <w:rFonts w:cs="Arial"/>
          <w:lang w:eastAsia="de-DE"/>
        </w:rPr>
        <w:t>, because they are reflecting the general trend towards multimedia devices, they are also requiring a lot more bandwidth.</w:t>
      </w:r>
    </w:p>
    <w:p w14:paraId="64AC729A" w14:textId="77777777" w:rsidR="00456887" w:rsidRPr="00040BEC" w:rsidRDefault="00DD7359" w:rsidP="00456887">
      <w:pPr>
        <w:pStyle w:val="ECCParagraph"/>
        <w:rPr>
          <w:rFonts w:cs="Arial"/>
          <w:lang w:eastAsia="de-DE"/>
        </w:rPr>
      </w:pPr>
      <w:r w:rsidRPr="00040BEC">
        <w:rPr>
          <w:rFonts w:cs="Arial"/>
          <w:lang w:eastAsia="de-DE"/>
        </w:rPr>
        <w:t xml:space="preserve">DECT based </w:t>
      </w:r>
      <w:r w:rsidR="00456887" w:rsidRPr="00040BEC">
        <w:rPr>
          <w:rFonts w:cs="Arial"/>
          <w:lang w:eastAsia="de-DE"/>
        </w:rPr>
        <w:t xml:space="preserve">softphones </w:t>
      </w:r>
      <w:r w:rsidR="00C61876" w:rsidRPr="00040BEC">
        <w:rPr>
          <w:rFonts w:cs="Arial"/>
          <w:lang w:eastAsia="de-DE"/>
        </w:rPr>
        <w:t xml:space="preserve">are one of the technologies in use </w:t>
      </w:r>
      <w:r w:rsidR="00456887" w:rsidRPr="00040BEC">
        <w:rPr>
          <w:rFonts w:cs="Arial"/>
          <w:lang w:eastAsia="de-DE"/>
        </w:rPr>
        <w:t>as a telephony solution in the business market</w:t>
      </w:r>
      <w:r w:rsidR="00C61876" w:rsidRPr="00040BEC">
        <w:rPr>
          <w:rFonts w:cs="Arial"/>
          <w:lang w:eastAsia="de-DE"/>
        </w:rPr>
        <w:t>, which</w:t>
      </w:r>
      <w:r w:rsidR="00456887" w:rsidRPr="00040BEC">
        <w:rPr>
          <w:rFonts w:cs="Arial"/>
          <w:lang w:eastAsia="de-DE"/>
        </w:rPr>
        <w:t xml:space="preserve"> is increasing in all regions worldwide with annual growth figures &gt;10%. By the year 2017, the Global Industry Analysts (GIA) group project market adoption of 2.9</w:t>
      </w:r>
      <w:r w:rsidR="003E0429" w:rsidRPr="00040BEC">
        <w:rPr>
          <w:rFonts w:cs="Arial"/>
          <w:lang w:eastAsia="de-DE"/>
        </w:rPr>
        <w:t xml:space="preserve"> </w:t>
      </w:r>
      <w:r w:rsidR="00456887" w:rsidRPr="00040BEC">
        <w:rPr>
          <w:rFonts w:cs="Arial"/>
          <w:lang w:eastAsia="de-DE"/>
        </w:rPr>
        <w:t xml:space="preserve">million units </w:t>
      </w:r>
      <w:r w:rsidR="00AF0215" w:rsidRPr="00040BEC">
        <w:rPr>
          <w:rFonts w:cs="Arial"/>
          <w:lang w:eastAsia="de-DE"/>
        </w:rPr>
        <w:t>(</w:t>
      </w:r>
      <w:r w:rsidR="00456887" w:rsidRPr="00040BEC">
        <w:rPr>
          <w:rFonts w:cs="Arial"/>
          <w:lang w:eastAsia="de-DE"/>
        </w:rPr>
        <w:t>GIA online, 2011</w:t>
      </w:r>
      <w:r w:rsidR="00AF0215" w:rsidRPr="00040BEC">
        <w:rPr>
          <w:rFonts w:cs="Arial"/>
          <w:lang w:eastAsia="de-DE"/>
        </w:rPr>
        <w:t>)</w:t>
      </w:r>
      <w:r w:rsidR="00456887" w:rsidRPr="00040BEC">
        <w:rPr>
          <w:rFonts w:cs="Arial"/>
          <w:lang w:eastAsia="de-DE"/>
        </w:rPr>
        <w:t>. This steady migration from traditional desk based telephones does result in users adopting new device solutions for their audio connectivity</w:t>
      </w:r>
      <w:r w:rsidR="00F105D3" w:rsidRPr="00040BEC">
        <w:rPr>
          <w:rFonts w:cs="Arial"/>
          <w:lang w:eastAsia="de-DE"/>
        </w:rPr>
        <w:t>.</w:t>
      </w:r>
      <w:r w:rsidR="00456887" w:rsidRPr="00040BEC">
        <w:rPr>
          <w:rFonts w:cs="Arial"/>
          <w:lang w:eastAsia="de-DE"/>
        </w:rPr>
        <w:t xml:space="preserve"> The headset is now a prime audio device chosen by softphones users as PCs </w:t>
      </w:r>
      <w:proofErr w:type="gramStart"/>
      <w:r w:rsidR="00456887" w:rsidRPr="00040BEC">
        <w:rPr>
          <w:rFonts w:cs="Arial"/>
          <w:lang w:eastAsia="de-DE"/>
        </w:rPr>
        <w:t>are not shipped</w:t>
      </w:r>
      <w:proofErr w:type="gramEnd"/>
      <w:r w:rsidR="00456887" w:rsidRPr="00040BEC">
        <w:rPr>
          <w:rFonts w:cs="Arial"/>
          <w:lang w:eastAsia="de-DE"/>
        </w:rPr>
        <w:t xml:space="preserve"> with the traditional handset that a desk based har</w:t>
      </w:r>
      <w:r w:rsidR="00F105D3" w:rsidRPr="00040BEC">
        <w:rPr>
          <w:rFonts w:cs="Arial"/>
          <w:lang w:eastAsia="de-DE"/>
        </w:rPr>
        <w:t>d phone would be supplied with.</w:t>
      </w:r>
      <w:r w:rsidR="00456887" w:rsidRPr="00040BEC">
        <w:rPr>
          <w:rFonts w:cs="Arial"/>
          <w:lang w:eastAsia="de-DE"/>
        </w:rPr>
        <w:t xml:space="preserve"> Whether it be in a contact centre environment or office environment, the use of PC based telephony which delivers wideband audio is leading to behaviour change within these organisations. Users equipped with headsets that deliver enhanced (wideband) audio may use the same devices to stream music from their connected PCs. Therefore, such users who may not be on an active telephony call may still be in a wideband audio media link between telephony calls.</w:t>
      </w:r>
      <w:r w:rsidR="00C61876" w:rsidRPr="00040BEC">
        <w:rPr>
          <w:rFonts w:cs="Arial"/>
          <w:lang w:eastAsia="de-DE"/>
        </w:rPr>
        <w:t xml:space="preserve"> </w:t>
      </w:r>
    </w:p>
    <w:p w14:paraId="46B574EE" w14:textId="77777777" w:rsidR="00456887" w:rsidRPr="00040BEC" w:rsidRDefault="00456887" w:rsidP="00456887">
      <w:pPr>
        <w:pStyle w:val="ECCParagraph"/>
        <w:rPr>
          <w:rFonts w:cs="Arial"/>
          <w:lang w:eastAsia="de-DE"/>
        </w:rPr>
      </w:pPr>
      <w:r w:rsidRPr="00040BEC">
        <w:rPr>
          <w:rFonts w:cs="Arial"/>
          <w:lang w:eastAsia="de-DE"/>
        </w:rPr>
        <w:t xml:space="preserve">DECT technology </w:t>
      </w:r>
      <w:proofErr w:type="gramStart"/>
      <w:r w:rsidRPr="00040BEC">
        <w:rPr>
          <w:rFonts w:cs="Arial"/>
          <w:lang w:eastAsia="de-DE"/>
        </w:rPr>
        <w:t>is used</w:t>
      </w:r>
      <w:proofErr w:type="gramEnd"/>
      <w:r w:rsidRPr="00040BEC">
        <w:rPr>
          <w:rFonts w:cs="Arial"/>
          <w:lang w:eastAsia="de-DE"/>
        </w:rPr>
        <w:t xml:space="preserve"> in wireless headsets solutions. Many large Enterprises recognise the benefits that these wireless devices bring and promote deployment of them within their businesses for their office users as well as for their more traditionally contact centre users. Such large enterprises may occupy single buildings with staff levels in excess of 500 users, each one requiring a wireless device. Within city business areas, adjacent large organisations may also seek to use the same wireless technology.</w:t>
      </w:r>
    </w:p>
    <w:p w14:paraId="3A53B962" w14:textId="77777777" w:rsidR="00456887" w:rsidRPr="00040BEC" w:rsidRDefault="00456887" w:rsidP="00456887">
      <w:pPr>
        <w:pStyle w:val="ECCParagraph"/>
        <w:rPr>
          <w:rFonts w:cs="Arial"/>
          <w:lang w:eastAsia="de-DE"/>
        </w:rPr>
      </w:pPr>
      <w:r w:rsidRPr="00040BEC">
        <w:rPr>
          <w:rFonts w:cs="Arial"/>
          <w:lang w:eastAsia="de-DE"/>
        </w:rPr>
        <w:t xml:space="preserve">As DECT is a very reliable and cost effective system, new applications </w:t>
      </w:r>
      <w:proofErr w:type="gramStart"/>
      <w:r w:rsidRPr="00040BEC">
        <w:rPr>
          <w:rFonts w:cs="Arial"/>
          <w:lang w:eastAsia="de-DE"/>
        </w:rPr>
        <w:t>are being developed</w:t>
      </w:r>
      <w:proofErr w:type="gramEnd"/>
      <w:r w:rsidRPr="00040BEC">
        <w:rPr>
          <w:rFonts w:cs="Arial"/>
          <w:lang w:eastAsia="de-DE"/>
        </w:rPr>
        <w:t xml:space="preserve"> using this technology. One new feature of DECT is the ‘Ultra Low Energy’ (ULE) operation </w:t>
      </w:r>
      <w:r w:rsidR="008712B6" w:rsidRPr="00040BEC">
        <w:rPr>
          <w:rFonts w:cs="Arial"/>
          <w:lang w:eastAsia="de-DE"/>
        </w:rPr>
        <w:t>mode, which</w:t>
      </w:r>
      <w:r w:rsidRPr="00040BEC">
        <w:rPr>
          <w:rFonts w:cs="Arial"/>
          <w:lang w:eastAsia="de-DE"/>
        </w:rPr>
        <w:t xml:space="preserve"> </w:t>
      </w:r>
      <w:proofErr w:type="gramStart"/>
      <w:r w:rsidRPr="00040BEC">
        <w:rPr>
          <w:rFonts w:cs="Arial"/>
          <w:lang w:eastAsia="de-DE"/>
        </w:rPr>
        <w:t>has been developed</w:t>
      </w:r>
      <w:proofErr w:type="gramEnd"/>
      <w:r w:rsidRPr="00040BEC">
        <w:rPr>
          <w:rFonts w:cs="Arial"/>
          <w:lang w:eastAsia="de-DE"/>
        </w:rPr>
        <w:t xml:space="preserve"> during 2012. This allows battery operated devices to work for up to 10 years without changing the battery. The ULE mode, together with the other DECT properties, make</w:t>
      </w:r>
      <w:r w:rsidR="00A11515" w:rsidRPr="00040BEC">
        <w:rPr>
          <w:rFonts w:cs="Arial"/>
          <w:lang w:eastAsia="de-DE"/>
        </w:rPr>
        <w:t>s</w:t>
      </w:r>
      <w:r w:rsidRPr="00040BEC">
        <w:rPr>
          <w:rFonts w:cs="Arial"/>
          <w:lang w:eastAsia="de-DE"/>
        </w:rPr>
        <w:t xml:space="preserve"> this technology </w:t>
      </w:r>
      <w:r w:rsidR="00E03923" w:rsidRPr="00040BEC">
        <w:rPr>
          <w:rFonts w:cs="Arial"/>
          <w:lang w:eastAsia="de-DE"/>
        </w:rPr>
        <w:t xml:space="preserve">a candidate </w:t>
      </w:r>
      <w:r w:rsidRPr="00040BEC">
        <w:rPr>
          <w:rFonts w:cs="Arial"/>
          <w:lang w:eastAsia="de-DE"/>
        </w:rPr>
        <w:t xml:space="preserve">for use in </w:t>
      </w:r>
      <w:r w:rsidR="007349E8" w:rsidRPr="00040BEC">
        <w:rPr>
          <w:rFonts w:cs="Arial"/>
          <w:lang w:eastAsia="de-DE"/>
        </w:rPr>
        <w:t>M2M</w:t>
      </w:r>
      <w:r w:rsidRPr="00040BEC">
        <w:rPr>
          <w:rFonts w:cs="Arial"/>
          <w:lang w:eastAsia="de-DE"/>
        </w:rPr>
        <w:t xml:space="preserve"> applications, </w:t>
      </w:r>
      <w:r w:rsidR="00BE0F2E" w:rsidRPr="00040BEC">
        <w:rPr>
          <w:rFonts w:cs="Arial"/>
          <w:lang w:eastAsia="de-DE"/>
        </w:rPr>
        <w:t xml:space="preserve">such as home automation </w:t>
      </w:r>
      <w:r w:rsidR="008712B6" w:rsidRPr="00040BEC">
        <w:rPr>
          <w:rFonts w:cs="Arial"/>
          <w:lang w:eastAsia="de-DE"/>
        </w:rPr>
        <w:t>applications, which</w:t>
      </w:r>
      <w:r w:rsidRPr="00040BEC">
        <w:rPr>
          <w:rFonts w:cs="Arial"/>
          <w:lang w:eastAsia="de-DE"/>
        </w:rPr>
        <w:t xml:space="preserve"> will increase the number of DECT terminals massively.</w:t>
      </w:r>
      <w:r w:rsidR="00BE0F2E" w:rsidRPr="00040BEC">
        <w:rPr>
          <w:rFonts w:cs="Arial"/>
          <w:lang w:eastAsia="de-DE"/>
        </w:rPr>
        <w:t xml:space="preserve"> This ULE mode can also operate in the current DECT spectrum.</w:t>
      </w:r>
      <w:r w:rsidR="004B74DF" w:rsidRPr="00040BEC">
        <w:rPr>
          <w:rFonts w:cs="Arial"/>
          <w:lang w:eastAsia="de-DE"/>
        </w:rPr>
        <w:t xml:space="preserve"> </w:t>
      </w:r>
      <w:r w:rsidRPr="00040BEC">
        <w:rPr>
          <w:rFonts w:cs="Arial"/>
          <w:lang w:eastAsia="de-DE"/>
        </w:rPr>
        <w:t xml:space="preserve">The combined effect of successful softphone adoption, wideband telephony, music at work and deployment of wireless devices is causing already today density issues within the existing spectrum available leading to deployments being </w:t>
      </w:r>
      <w:proofErr w:type="gramStart"/>
      <w:r w:rsidRPr="00040BEC">
        <w:rPr>
          <w:rFonts w:cs="Arial"/>
          <w:lang w:eastAsia="de-DE"/>
        </w:rPr>
        <w:t>affected</w:t>
      </w:r>
      <w:proofErr w:type="gramEnd"/>
      <w:r w:rsidRPr="00040BEC">
        <w:rPr>
          <w:rFonts w:cs="Arial"/>
          <w:lang w:eastAsia="de-DE"/>
        </w:rPr>
        <w:t xml:space="preserve"> or restricted. In </w:t>
      </w:r>
      <w:r w:rsidR="008712B6" w:rsidRPr="00040BEC">
        <w:rPr>
          <w:rFonts w:cs="Arial"/>
          <w:lang w:eastAsia="de-DE"/>
        </w:rPr>
        <w:t>addition,</w:t>
      </w:r>
      <w:r w:rsidRPr="00040BEC">
        <w:rPr>
          <w:rFonts w:cs="Arial"/>
          <w:lang w:eastAsia="de-DE"/>
        </w:rPr>
        <w:t xml:space="preserve"> new services are starting to </w:t>
      </w:r>
      <w:proofErr w:type="gramStart"/>
      <w:r w:rsidRPr="00040BEC">
        <w:rPr>
          <w:rFonts w:cs="Arial"/>
          <w:lang w:eastAsia="de-DE"/>
        </w:rPr>
        <w:t>be deployed</w:t>
      </w:r>
      <w:proofErr w:type="gramEnd"/>
      <w:r w:rsidRPr="00040BEC">
        <w:rPr>
          <w:rFonts w:cs="Arial"/>
          <w:lang w:eastAsia="de-DE"/>
        </w:rPr>
        <w:t xml:space="preserve"> such as video applications and data applications like home control. </w:t>
      </w:r>
      <w:r w:rsidR="00C61876" w:rsidRPr="00040BEC">
        <w:rPr>
          <w:rFonts w:cs="Arial"/>
          <w:lang w:eastAsia="de-DE"/>
        </w:rPr>
        <w:t xml:space="preserve">An investigation will be necessary to </w:t>
      </w:r>
      <w:r w:rsidR="00B32CDF" w:rsidRPr="00040BEC">
        <w:rPr>
          <w:rFonts w:cs="Arial"/>
          <w:lang w:eastAsia="de-DE"/>
        </w:rPr>
        <w:t xml:space="preserve">provide </w:t>
      </w:r>
      <w:proofErr w:type="gramStart"/>
      <w:r w:rsidR="00B32CDF" w:rsidRPr="00040BEC">
        <w:rPr>
          <w:rFonts w:cs="Arial"/>
          <w:lang w:eastAsia="de-DE"/>
        </w:rPr>
        <w:t xml:space="preserve">more specific data on </w:t>
      </w:r>
      <w:r w:rsidR="00C61876" w:rsidRPr="00040BEC">
        <w:rPr>
          <w:rFonts w:cs="Arial"/>
          <w:lang w:eastAsia="de-DE"/>
        </w:rPr>
        <w:t>t</w:t>
      </w:r>
      <w:r w:rsidRPr="00040BEC">
        <w:rPr>
          <w:rFonts w:cs="Arial"/>
          <w:lang w:eastAsia="de-DE"/>
        </w:rPr>
        <w:t xml:space="preserve">he </w:t>
      </w:r>
      <w:r w:rsidR="00B32CDF" w:rsidRPr="00040BEC">
        <w:rPr>
          <w:rFonts w:cs="Arial"/>
          <w:lang w:eastAsia="de-DE"/>
        </w:rPr>
        <w:t>spectrum requirements</w:t>
      </w:r>
      <w:proofErr w:type="gramEnd"/>
      <w:r w:rsidRPr="00040BEC">
        <w:rPr>
          <w:rFonts w:cs="Arial"/>
          <w:lang w:eastAsia="de-DE"/>
        </w:rPr>
        <w:t>.</w:t>
      </w:r>
    </w:p>
    <w:p w14:paraId="38FBC629" w14:textId="77777777" w:rsidR="00456887" w:rsidRPr="00040BEC" w:rsidRDefault="00456887" w:rsidP="003435C2">
      <w:pPr>
        <w:pStyle w:val="Heading3"/>
        <w:rPr>
          <w:lang w:val="en-GB" w:eastAsia="de-DE"/>
        </w:rPr>
      </w:pPr>
      <w:r w:rsidRPr="00040BEC">
        <w:rPr>
          <w:lang w:val="en-GB" w:eastAsia="de-DE"/>
        </w:rPr>
        <w:t>What are the specific advantages of the band 1900-1920 MHz</w:t>
      </w:r>
    </w:p>
    <w:p w14:paraId="2DEDD967" w14:textId="77777777" w:rsidR="00456887" w:rsidRPr="00040BEC" w:rsidRDefault="00456887" w:rsidP="00456887">
      <w:pPr>
        <w:pStyle w:val="ECCParagraph"/>
        <w:rPr>
          <w:rFonts w:cs="Arial"/>
          <w:lang w:eastAsia="de-DE"/>
        </w:rPr>
      </w:pPr>
      <w:r w:rsidRPr="00040BEC">
        <w:rPr>
          <w:rFonts w:cs="Arial"/>
          <w:lang w:eastAsia="de-DE"/>
        </w:rPr>
        <w:t>Most technical documents are already available. The carrier numbers and positions for the use of DECT in the 1900</w:t>
      </w:r>
      <w:r w:rsidR="004B74DF" w:rsidRPr="00040BEC">
        <w:rPr>
          <w:rFonts w:cs="Arial"/>
          <w:lang w:eastAsia="de-DE"/>
        </w:rPr>
        <w:t>-</w:t>
      </w:r>
      <w:r w:rsidRPr="00040BEC">
        <w:rPr>
          <w:rFonts w:cs="Arial"/>
          <w:lang w:eastAsia="de-DE"/>
        </w:rPr>
        <w:t xml:space="preserve">1920 MHz band are already defined (see </w:t>
      </w:r>
      <w:r w:rsidR="00A15F24" w:rsidRPr="00040BEC">
        <w:rPr>
          <w:rFonts w:cs="Arial"/>
          <w:lang w:eastAsia="de-DE"/>
        </w:rPr>
        <w:t xml:space="preserve">annex F of </w:t>
      </w:r>
      <w:r w:rsidR="004B74DF" w:rsidRPr="00040BEC">
        <w:rPr>
          <w:rFonts w:cs="Arial"/>
          <w:lang w:eastAsia="de-DE"/>
        </w:rPr>
        <w:t xml:space="preserve">ETSI </w:t>
      </w:r>
      <w:r w:rsidRPr="00040BEC">
        <w:rPr>
          <w:rFonts w:cs="Arial"/>
          <w:lang w:eastAsia="de-DE"/>
        </w:rPr>
        <w:t>EN 300 175-2</w:t>
      </w:r>
      <w:r w:rsidR="007C5C70" w:rsidRPr="00040BEC">
        <w:rPr>
          <w:rFonts w:cs="Arial"/>
          <w:lang w:eastAsia="de-DE"/>
        </w:rPr>
        <w:t xml:space="preserve"> </w:t>
      </w:r>
      <w:r w:rsidR="000A5980" w:rsidRPr="00040BEC">
        <w:rPr>
          <w:rFonts w:cs="Arial"/>
          <w:lang w:eastAsia="de-DE"/>
        </w:rPr>
        <w:fldChar w:fldCharType="begin"/>
      </w:r>
      <w:r w:rsidR="007C5C70" w:rsidRPr="00040BEC">
        <w:rPr>
          <w:rFonts w:cs="Arial"/>
          <w:lang w:eastAsia="de-DE"/>
        </w:rPr>
        <w:instrText xml:space="preserve"> REF _Ref356389916 \n \h </w:instrText>
      </w:r>
      <w:r w:rsidR="000A5980" w:rsidRPr="00040BEC">
        <w:rPr>
          <w:rFonts w:cs="Arial"/>
          <w:lang w:eastAsia="de-DE"/>
        </w:rPr>
      </w:r>
      <w:r w:rsidR="000A5980" w:rsidRPr="00040BEC">
        <w:rPr>
          <w:rFonts w:cs="Arial"/>
          <w:lang w:eastAsia="de-DE"/>
        </w:rPr>
        <w:fldChar w:fldCharType="separate"/>
      </w:r>
      <w:r w:rsidR="002327BB">
        <w:rPr>
          <w:rFonts w:cs="Arial"/>
          <w:lang w:eastAsia="de-DE"/>
        </w:rPr>
        <w:t>[16]</w:t>
      </w:r>
      <w:r w:rsidR="000A5980" w:rsidRPr="00040BEC">
        <w:rPr>
          <w:rFonts w:cs="Arial"/>
          <w:lang w:eastAsia="de-DE"/>
        </w:rPr>
        <w:fldChar w:fldCharType="end"/>
      </w:r>
      <w:r w:rsidRPr="00040BEC">
        <w:rPr>
          <w:rFonts w:cs="Arial"/>
          <w:lang w:eastAsia="de-DE"/>
        </w:rPr>
        <w:t>) as consequence of the IMT allocation. The Harmoni</w:t>
      </w:r>
      <w:r w:rsidR="0056016E" w:rsidRPr="00040BEC">
        <w:rPr>
          <w:rFonts w:cs="Arial"/>
          <w:lang w:eastAsia="de-DE"/>
        </w:rPr>
        <w:t>s</w:t>
      </w:r>
      <w:r w:rsidRPr="00040BEC">
        <w:rPr>
          <w:rFonts w:cs="Arial"/>
          <w:lang w:eastAsia="de-DE"/>
        </w:rPr>
        <w:t xml:space="preserve">ed standard for DECT over this band is already available as part of the IMT-2000 set. It is the ETSI EN 301 908-10 </w:t>
      </w:r>
      <w:r w:rsidR="000A5980" w:rsidRPr="00040BEC">
        <w:rPr>
          <w:rFonts w:cs="Arial"/>
          <w:lang w:eastAsia="de-DE"/>
        </w:rPr>
        <w:fldChar w:fldCharType="begin"/>
      </w:r>
      <w:r w:rsidR="007C5C70" w:rsidRPr="00040BEC">
        <w:rPr>
          <w:rFonts w:cs="Arial"/>
          <w:lang w:eastAsia="de-DE"/>
        </w:rPr>
        <w:instrText xml:space="preserve"> REF _Ref356390438 \n \h </w:instrText>
      </w:r>
      <w:r w:rsidR="000A5980" w:rsidRPr="00040BEC">
        <w:rPr>
          <w:rFonts w:cs="Arial"/>
          <w:lang w:eastAsia="de-DE"/>
        </w:rPr>
      </w:r>
      <w:r w:rsidR="000A5980" w:rsidRPr="00040BEC">
        <w:rPr>
          <w:rFonts w:cs="Arial"/>
          <w:lang w:eastAsia="de-DE"/>
        </w:rPr>
        <w:fldChar w:fldCharType="separate"/>
      </w:r>
      <w:r w:rsidR="002327BB">
        <w:rPr>
          <w:rFonts w:cs="Arial"/>
          <w:lang w:eastAsia="de-DE"/>
        </w:rPr>
        <w:t>[15]</w:t>
      </w:r>
      <w:r w:rsidR="000A5980" w:rsidRPr="00040BEC">
        <w:rPr>
          <w:rFonts w:cs="Arial"/>
          <w:lang w:eastAsia="de-DE"/>
        </w:rPr>
        <w:fldChar w:fldCharType="end"/>
      </w:r>
      <w:r w:rsidR="007C5C70" w:rsidRPr="00040BEC">
        <w:rPr>
          <w:rFonts w:cs="Arial"/>
          <w:lang w:eastAsia="de-DE"/>
        </w:rPr>
        <w:t xml:space="preserve"> </w:t>
      </w:r>
      <w:r w:rsidRPr="00040BEC">
        <w:rPr>
          <w:rFonts w:cs="Arial"/>
          <w:lang w:eastAsia="de-DE"/>
        </w:rPr>
        <w:t>(latest release, v4.1.1).</w:t>
      </w:r>
    </w:p>
    <w:p w14:paraId="18BA1B56" w14:textId="77777777" w:rsidR="00456887" w:rsidRPr="00040BEC" w:rsidRDefault="00456887" w:rsidP="00456887">
      <w:pPr>
        <w:pStyle w:val="ECCParagraph"/>
        <w:rPr>
          <w:rFonts w:cs="Arial"/>
          <w:lang w:eastAsia="de-DE"/>
        </w:rPr>
      </w:pPr>
      <w:r w:rsidRPr="00040BEC">
        <w:rPr>
          <w:rFonts w:cs="Arial"/>
          <w:lang w:eastAsia="de-DE"/>
        </w:rPr>
        <w:t xml:space="preserve">Immediate </w:t>
      </w:r>
      <w:r w:rsidR="00B32CDF" w:rsidRPr="00040BEC">
        <w:rPr>
          <w:rFonts w:cs="Arial"/>
          <w:lang w:eastAsia="de-DE"/>
        </w:rPr>
        <w:t xml:space="preserve">product </w:t>
      </w:r>
      <w:r w:rsidRPr="00040BEC">
        <w:rPr>
          <w:rFonts w:cs="Arial"/>
          <w:lang w:eastAsia="de-DE"/>
        </w:rPr>
        <w:t>implementation is possible</w:t>
      </w:r>
      <w:r w:rsidR="00B32CDF" w:rsidRPr="00040BEC">
        <w:rPr>
          <w:rFonts w:cs="Arial"/>
          <w:lang w:eastAsia="de-DE"/>
        </w:rPr>
        <w:t xml:space="preserve"> from the technical point of view</w:t>
      </w:r>
      <w:r w:rsidRPr="00040BEC">
        <w:rPr>
          <w:rFonts w:cs="Arial"/>
          <w:lang w:eastAsia="de-DE"/>
        </w:rPr>
        <w:t xml:space="preserve">. It </w:t>
      </w:r>
      <w:proofErr w:type="gramStart"/>
      <w:r w:rsidRPr="00040BEC">
        <w:rPr>
          <w:rFonts w:cs="Arial"/>
          <w:lang w:eastAsia="de-DE"/>
        </w:rPr>
        <w:t>should be noted</w:t>
      </w:r>
      <w:proofErr w:type="gramEnd"/>
      <w:r w:rsidRPr="00040BEC">
        <w:rPr>
          <w:rFonts w:cs="Arial"/>
          <w:lang w:eastAsia="de-DE"/>
        </w:rPr>
        <w:t xml:space="preserve"> that the frequencies 1900</w:t>
      </w:r>
      <w:r w:rsidR="004B74DF" w:rsidRPr="00040BEC">
        <w:rPr>
          <w:rFonts w:cs="Arial"/>
          <w:lang w:eastAsia="de-DE"/>
        </w:rPr>
        <w:t>-</w:t>
      </w:r>
      <w:r w:rsidRPr="00040BEC">
        <w:rPr>
          <w:rFonts w:cs="Arial"/>
          <w:lang w:eastAsia="de-DE"/>
        </w:rPr>
        <w:t xml:space="preserve">1930 MHz are already in use by DECT in </w:t>
      </w:r>
      <w:r w:rsidR="008712B6" w:rsidRPr="00040BEC">
        <w:rPr>
          <w:rFonts w:cs="Arial"/>
          <w:lang w:eastAsia="de-DE"/>
        </w:rPr>
        <w:t>non-EU</w:t>
      </w:r>
      <w:r w:rsidRPr="00040BEC">
        <w:rPr>
          <w:rFonts w:cs="Arial"/>
          <w:lang w:eastAsia="de-DE"/>
        </w:rPr>
        <w:t xml:space="preserve"> countries and </w:t>
      </w:r>
      <w:r w:rsidR="0021132E" w:rsidRPr="00040BEC">
        <w:rPr>
          <w:rFonts w:cs="Arial"/>
          <w:lang w:eastAsia="de-DE"/>
        </w:rPr>
        <w:t>that</w:t>
      </w:r>
      <w:r w:rsidRPr="00040BEC">
        <w:rPr>
          <w:rFonts w:cs="Arial"/>
          <w:lang w:eastAsia="de-DE"/>
        </w:rPr>
        <w:t xml:space="preserve"> are already products (&gt; 100 million of devices) in operation over these frequencies. Near all DECT chipset and RF parts vendors </w:t>
      </w:r>
      <w:r w:rsidRPr="00040BEC">
        <w:rPr>
          <w:rFonts w:cs="Arial"/>
          <w:lang w:eastAsia="de-DE"/>
        </w:rPr>
        <w:lastRenderedPageBreak/>
        <w:t>are already providing components compatible with the proposed new allocation. There is no other band where the DECT extension is as simple and immediate. This, combined with the proposed license</w:t>
      </w:r>
      <w:r w:rsidR="0056016E" w:rsidRPr="00040BEC">
        <w:rPr>
          <w:rFonts w:cs="Arial"/>
          <w:lang w:eastAsia="de-DE"/>
        </w:rPr>
        <w:t>-</w:t>
      </w:r>
      <w:r w:rsidRPr="00040BEC">
        <w:rPr>
          <w:rFonts w:cs="Arial"/>
          <w:lang w:eastAsia="de-DE"/>
        </w:rPr>
        <w:t>exempt regime, will make possible the real usage of the band by the public in the very short term.</w:t>
      </w:r>
    </w:p>
    <w:p w14:paraId="36B780B1" w14:textId="77777777" w:rsidR="00456887" w:rsidRPr="00040BEC" w:rsidRDefault="00B32CDF" w:rsidP="00456887">
      <w:pPr>
        <w:pStyle w:val="ECCParagraph"/>
        <w:rPr>
          <w:rFonts w:cs="Arial"/>
          <w:lang w:eastAsia="de-DE"/>
        </w:rPr>
      </w:pPr>
      <w:r w:rsidRPr="00040BEC">
        <w:rPr>
          <w:rFonts w:cs="Arial"/>
          <w:lang w:eastAsia="de-DE"/>
        </w:rPr>
        <w:t>A</w:t>
      </w:r>
      <w:r w:rsidR="00456887" w:rsidRPr="00040BEC">
        <w:rPr>
          <w:rFonts w:cs="Arial"/>
          <w:lang w:eastAsia="de-DE"/>
        </w:rPr>
        <w:t xml:space="preserve"> </w:t>
      </w:r>
      <w:r w:rsidRPr="00040BEC">
        <w:rPr>
          <w:rFonts w:cs="Arial"/>
          <w:lang w:eastAsia="de-DE"/>
        </w:rPr>
        <w:t>designation</w:t>
      </w:r>
      <w:r w:rsidR="00456887" w:rsidRPr="00040BEC">
        <w:rPr>
          <w:rFonts w:cs="Arial"/>
          <w:lang w:eastAsia="de-DE"/>
        </w:rPr>
        <w:t xml:space="preserve"> </w:t>
      </w:r>
      <w:r w:rsidRPr="00040BEC">
        <w:rPr>
          <w:rFonts w:cs="Arial"/>
          <w:lang w:eastAsia="de-DE"/>
        </w:rPr>
        <w:t>within the</w:t>
      </w:r>
      <w:r w:rsidR="00456887" w:rsidRPr="00040BEC">
        <w:rPr>
          <w:rFonts w:cs="Arial"/>
          <w:lang w:eastAsia="de-DE"/>
        </w:rPr>
        <w:t xml:space="preserve"> adjacent band 1900</w:t>
      </w:r>
      <w:r w:rsidR="004B74DF" w:rsidRPr="00040BEC">
        <w:rPr>
          <w:rFonts w:cs="Arial"/>
          <w:lang w:eastAsia="de-DE"/>
        </w:rPr>
        <w:t>-</w:t>
      </w:r>
      <w:r w:rsidR="00456887" w:rsidRPr="00040BEC">
        <w:rPr>
          <w:rFonts w:cs="Arial"/>
          <w:lang w:eastAsia="de-DE"/>
        </w:rPr>
        <w:t xml:space="preserve">1920 MHz to DECT will provide a single continuous block of </w:t>
      </w:r>
      <w:r w:rsidRPr="00040BEC">
        <w:rPr>
          <w:rFonts w:cs="Arial"/>
          <w:lang w:eastAsia="de-DE"/>
        </w:rPr>
        <w:t xml:space="preserve">up to </w:t>
      </w:r>
      <w:r w:rsidR="00456887" w:rsidRPr="00040BEC">
        <w:rPr>
          <w:rFonts w:cs="Arial"/>
          <w:lang w:eastAsia="de-DE"/>
        </w:rPr>
        <w:t xml:space="preserve">40 </w:t>
      </w:r>
      <w:proofErr w:type="spellStart"/>
      <w:r w:rsidR="00456887" w:rsidRPr="00040BEC">
        <w:rPr>
          <w:rFonts w:cs="Arial"/>
          <w:lang w:eastAsia="de-DE"/>
        </w:rPr>
        <w:t>MHz.</w:t>
      </w:r>
      <w:proofErr w:type="spellEnd"/>
      <w:r w:rsidR="00456887" w:rsidRPr="00040BEC">
        <w:rPr>
          <w:rFonts w:cs="Arial"/>
          <w:lang w:eastAsia="de-DE"/>
        </w:rPr>
        <w:t xml:space="preserve"> This, in combination with the use of already defined HLM (High Level Modulation - up to 64 QAM) would make possible the introduction of </w:t>
      </w:r>
      <w:r w:rsidR="002175AB" w:rsidRPr="00040BEC">
        <w:rPr>
          <w:rFonts w:cs="Arial"/>
          <w:lang w:eastAsia="de-DE"/>
        </w:rPr>
        <w:t xml:space="preserve">additional </w:t>
      </w:r>
      <w:r w:rsidR="00456887" w:rsidRPr="00040BEC">
        <w:rPr>
          <w:rFonts w:cs="Arial"/>
          <w:lang w:eastAsia="de-DE"/>
        </w:rPr>
        <w:t xml:space="preserve">broadband services </w:t>
      </w:r>
      <w:r w:rsidR="002175AB" w:rsidRPr="00040BEC">
        <w:rPr>
          <w:rFonts w:cs="Arial"/>
          <w:lang w:eastAsia="de-DE"/>
        </w:rPr>
        <w:t>via</w:t>
      </w:r>
      <w:r w:rsidR="00456887" w:rsidRPr="00040BEC">
        <w:rPr>
          <w:rFonts w:cs="Arial"/>
          <w:lang w:eastAsia="de-DE"/>
        </w:rPr>
        <w:t xml:space="preserve"> DECT. This would make also possible the further evolution of the standard towards OFDMA. A maximum bitrate of 1Gbit/sec is theoretically achievable over the combined 40 MHz block using already proposed evolutions of the standard.</w:t>
      </w:r>
    </w:p>
    <w:p w14:paraId="38D0E6F6" w14:textId="77777777" w:rsidR="00EE6B38" w:rsidRPr="00040BEC" w:rsidRDefault="00456887" w:rsidP="00456887">
      <w:pPr>
        <w:pStyle w:val="ECCParagraph"/>
        <w:rPr>
          <w:rFonts w:cs="Arial"/>
          <w:lang w:eastAsia="de-DE"/>
        </w:rPr>
      </w:pPr>
      <w:r w:rsidRPr="00040BEC">
        <w:rPr>
          <w:rFonts w:cs="Arial"/>
          <w:lang w:eastAsia="de-DE"/>
        </w:rPr>
        <w:t>If a</w:t>
      </w:r>
      <w:r w:rsidR="002175AB" w:rsidRPr="00040BEC">
        <w:rPr>
          <w:rFonts w:cs="Arial"/>
          <w:lang w:eastAsia="de-DE"/>
        </w:rPr>
        <w:t xml:space="preserve"> contiguous designation </w:t>
      </w:r>
      <w:proofErr w:type="gramStart"/>
      <w:r w:rsidRPr="00040BEC">
        <w:rPr>
          <w:rFonts w:cs="Arial"/>
          <w:lang w:eastAsia="de-DE"/>
        </w:rPr>
        <w:t>is given</w:t>
      </w:r>
      <w:proofErr w:type="gramEnd"/>
      <w:r w:rsidR="00A35627" w:rsidRPr="00040BEC">
        <w:rPr>
          <w:rFonts w:cs="Arial"/>
          <w:lang w:eastAsia="de-DE"/>
        </w:rPr>
        <w:t xml:space="preserve"> for the DECT technology</w:t>
      </w:r>
      <w:r w:rsidRPr="00040BEC">
        <w:rPr>
          <w:rFonts w:cs="Arial"/>
          <w:lang w:eastAsia="de-DE"/>
        </w:rPr>
        <w:t xml:space="preserve">, </w:t>
      </w:r>
      <w:r w:rsidR="0037312B" w:rsidRPr="00040BEC">
        <w:rPr>
          <w:rFonts w:cs="Arial"/>
          <w:lang w:eastAsia="de-DE"/>
        </w:rPr>
        <w:t>two</w:t>
      </w:r>
      <w:r w:rsidRPr="00040BEC">
        <w:rPr>
          <w:rFonts w:cs="Arial"/>
          <w:lang w:eastAsia="de-DE"/>
        </w:rPr>
        <w:t xml:space="preserve"> additional </w:t>
      </w:r>
      <w:r w:rsidR="002175AB" w:rsidRPr="00040BEC">
        <w:rPr>
          <w:rFonts w:cs="Arial"/>
          <w:lang w:eastAsia="de-DE"/>
        </w:rPr>
        <w:t xml:space="preserve">RF </w:t>
      </w:r>
      <w:r w:rsidRPr="00040BEC">
        <w:rPr>
          <w:rFonts w:cs="Arial"/>
          <w:lang w:eastAsia="de-DE"/>
        </w:rPr>
        <w:t xml:space="preserve">carriers can be obtained </w:t>
      </w:r>
      <w:r w:rsidR="002175AB" w:rsidRPr="00040BEC">
        <w:rPr>
          <w:rFonts w:cs="Arial"/>
          <w:lang w:eastAsia="de-DE"/>
        </w:rPr>
        <w:t xml:space="preserve">by avoiding </w:t>
      </w:r>
      <w:r w:rsidRPr="00040BEC">
        <w:rPr>
          <w:rFonts w:cs="Arial"/>
          <w:lang w:eastAsia="de-DE"/>
        </w:rPr>
        <w:t>guard space</w:t>
      </w:r>
      <w:r w:rsidR="002175AB" w:rsidRPr="00040BEC">
        <w:rPr>
          <w:rFonts w:cs="Arial"/>
          <w:lang w:eastAsia="de-DE"/>
        </w:rPr>
        <w:t>s</w:t>
      </w:r>
      <w:r w:rsidRPr="00040BEC">
        <w:rPr>
          <w:rFonts w:cs="Arial"/>
          <w:lang w:eastAsia="de-DE"/>
        </w:rPr>
        <w:t xml:space="preserve">. </w:t>
      </w:r>
    </w:p>
    <w:p w14:paraId="41392AFB" w14:textId="77777777" w:rsidR="00456887" w:rsidRPr="00040BEC" w:rsidRDefault="00A35627" w:rsidP="003435C2">
      <w:pPr>
        <w:pStyle w:val="Heading3"/>
        <w:rPr>
          <w:lang w:val="en-GB" w:eastAsia="de-DE"/>
        </w:rPr>
      </w:pPr>
      <w:r w:rsidRPr="00040BEC">
        <w:rPr>
          <w:lang w:val="en-GB" w:eastAsia="de-DE"/>
        </w:rPr>
        <w:t xml:space="preserve">Possible way forward for implementation of </w:t>
      </w:r>
      <w:r w:rsidR="00456887" w:rsidRPr="00040BEC">
        <w:rPr>
          <w:lang w:val="en-GB" w:eastAsia="de-DE"/>
        </w:rPr>
        <w:t xml:space="preserve">DECT </w:t>
      </w:r>
      <w:r w:rsidRPr="00040BEC">
        <w:rPr>
          <w:lang w:val="en-GB" w:eastAsia="de-DE"/>
        </w:rPr>
        <w:t>in 1900-1920 MHz</w:t>
      </w:r>
    </w:p>
    <w:p w14:paraId="4932C131" w14:textId="77777777" w:rsidR="00A35627" w:rsidRPr="00040BEC" w:rsidRDefault="00A35627" w:rsidP="0037312B">
      <w:pPr>
        <w:pStyle w:val="ECCParagraph"/>
        <w:rPr>
          <w:rFonts w:cs="Arial"/>
          <w:lang w:eastAsia="de-DE"/>
        </w:rPr>
      </w:pPr>
      <w:r w:rsidRPr="00040BEC">
        <w:rPr>
          <w:rFonts w:cs="Arial"/>
          <w:lang w:eastAsia="de-DE"/>
        </w:rPr>
        <w:t>It is understood that the DECT proposal is made on an application</w:t>
      </w:r>
      <w:r w:rsidR="0084262B" w:rsidRPr="00040BEC">
        <w:rPr>
          <w:rFonts w:cs="Arial"/>
          <w:lang w:eastAsia="de-DE"/>
        </w:rPr>
        <w:t>-</w:t>
      </w:r>
      <w:r w:rsidRPr="00040BEC">
        <w:rPr>
          <w:rFonts w:cs="Arial"/>
          <w:lang w:eastAsia="de-DE"/>
        </w:rPr>
        <w:t xml:space="preserve">neutral basis and </w:t>
      </w:r>
      <w:proofErr w:type="gramStart"/>
      <w:r w:rsidRPr="00040BEC">
        <w:rPr>
          <w:rFonts w:cs="Arial"/>
          <w:lang w:eastAsia="de-DE"/>
        </w:rPr>
        <w:t>can also</w:t>
      </w:r>
      <w:proofErr w:type="gramEnd"/>
      <w:r w:rsidRPr="00040BEC">
        <w:rPr>
          <w:rFonts w:cs="Arial"/>
          <w:lang w:eastAsia="de-DE"/>
        </w:rPr>
        <w:t xml:space="preserve"> be considered for a technology</w:t>
      </w:r>
      <w:r w:rsidR="0084262B" w:rsidRPr="00040BEC">
        <w:rPr>
          <w:rFonts w:cs="Arial"/>
          <w:lang w:eastAsia="de-DE"/>
        </w:rPr>
        <w:t>-</w:t>
      </w:r>
      <w:r w:rsidRPr="00040BEC">
        <w:rPr>
          <w:rFonts w:cs="Arial"/>
          <w:lang w:eastAsia="de-DE"/>
        </w:rPr>
        <w:t>neutral approach using general authorisation (exemption from individual licen</w:t>
      </w:r>
      <w:r w:rsidR="0056016E" w:rsidRPr="00040BEC">
        <w:rPr>
          <w:rFonts w:cs="Arial"/>
          <w:lang w:eastAsia="de-DE"/>
        </w:rPr>
        <w:t>c</w:t>
      </w:r>
      <w:r w:rsidRPr="00040BEC">
        <w:rPr>
          <w:rFonts w:cs="Arial"/>
          <w:lang w:eastAsia="de-DE"/>
        </w:rPr>
        <w:t>e).</w:t>
      </w:r>
    </w:p>
    <w:p w14:paraId="3B2A3EC1" w14:textId="77777777" w:rsidR="00E03923" w:rsidRPr="00040BEC" w:rsidRDefault="00E03923" w:rsidP="0037312B">
      <w:pPr>
        <w:pStyle w:val="ECCParagraph"/>
        <w:rPr>
          <w:rFonts w:cs="Arial"/>
          <w:lang w:eastAsia="de-DE"/>
        </w:rPr>
      </w:pPr>
      <w:r w:rsidRPr="00040BEC">
        <w:rPr>
          <w:rFonts w:cs="Arial"/>
          <w:lang w:eastAsia="de-DE"/>
        </w:rPr>
        <w:t xml:space="preserve">It should be noted that the request in ETSI TR 103 149 </w:t>
      </w:r>
      <w:r w:rsidR="002676E2" w:rsidRPr="00040BEC">
        <w:rPr>
          <w:rFonts w:cs="Arial"/>
          <w:lang w:eastAsia="de-DE"/>
        </w:rPr>
        <w:t xml:space="preserve">[34] </w:t>
      </w:r>
      <w:r w:rsidRPr="00040BEC">
        <w:rPr>
          <w:rFonts w:cs="Arial"/>
          <w:lang w:eastAsia="de-DE"/>
        </w:rPr>
        <w:t xml:space="preserve">does not include the requirement for DECT to access spectrum exclusively, e.g. as a pre-requisite to ensure high quality of service. Therefore, the status of DECT in a possible extension band would be different compared to the current exclusivity of accessing spectrum in the range 1880-1900 </w:t>
      </w:r>
      <w:proofErr w:type="spellStart"/>
      <w:r w:rsidRPr="00040BEC">
        <w:rPr>
          <w:rFonts w:cs="Arial"/>
          <w:lang w:eastAsia="de-DE"/>
        </w:rPr>
        <w:t>MHz.</w:t>
      </w:r>
      <w:proofErr w:type="spellEnd"/>
    </w:p>
    <w:p w14:paraId="5EB656AA" w14:textId="77777777" w:rsidR="007330AF" w:rsidRPr="00040BEC" w:rsidRDefault="00A35627" w:rsidP="0037312B">
      <w:pPr>
        <w:pStyle w:val="ECCParagraph"/>
        <w:rPr>
          <w:rFonts w:cs="Arial"/>
          <w:lang w:eastAsia="de-DE"/>
        </w:rPr>
      </w:pPr>
      <w:r w:rsidRPr="00040BEC">
        <w:rPr>
          <w:rFonts w:cs="Arial"/>
          <w:lang w:eastAsia="de-DE"/>
        </w:rPr>
        <w:t xml:space="preserve">DECT use cases are primarily </w:t>
      </w:r>
      <w:proofErr w:type="gramStart"/>
      <w:r w:rsidRPr="00040BEC">
        <w:rPr>
          <w:rFonts w:cs="Arial"/>
          <w:lang w:eastAsia="de-DE"/>
        </w:rPr>
        <w:t>indoor</w:t>
      </w:r>
      <w:proofErr w:type="gramEnd"/>
      <w:r w:rsidRPr="00040BEC">
        <w:rPr>
          <w:rFonts w:cs="Arial"/>
          <w:lang w:eastAsia="de-DE"/>
        </w:rPr>
        <w:t xml:space="preserve"> but not exclusively. Therefore, an indoor restriction in the band 1900-1920 MHz may be an option for consideration</w:t>
      </w:r>
      <w:r w:rsidR="00E03923" w:rsidRPr="00040BEC">
        <w:rPr>
          <w:rFonts w:cs="Arial"/>
          <w:lang w:eastAsia="de-DE"/>
        </w:rPr>
        <w:t>, although not the preferred one</w:t>
      </w:r>
      <w:r w:rsidRPr="00040BEC">
        <w:rPr>
          <w:rFonts w:cs="Arial"/>
          <w:lang w:eastAsia="de-DE"/>
        </w:rPr>
        <w:t>. Outdoor usage is possible under the current regulations</w:t>
      </w:r>
      <w:r w:rsidR="00834F89" w:rsidRPr="00040BEC">
        <w:rPr>
          <w:rFonts w:cs="Arial"/>
          <w:lang w:eastAsia="de-DE"/>
        </w:rPr>
        <w:t xml:space="preserve"> in the band 1880-1900 </w:t>
      </w:r>
      <w:proofErr w:type="spellStart"/>
      <w:r w:rsidR="00834F89" w:rsidRPr="00040BEC">
        <w:rPr>
          <w:rFonts w:cs="Arial"/>
          <w:lang w:eastAsia="de-DE"/>
        </w:rPr>
        <w:t>MHz.</w:t>
      </w:r>
      <w:proofErr w:type="spellEnd"/>
    </w:p>
    <w:p w14:paraId="1427AED2" w14:textId="77777777" w:rsidR="00661D4D" w:rsidRPr="00040BEC" w:rsidRDefault="00661D4D" w:rsidP="008E5B81">
      <w:pPr>
        <w:pStyle w:val="Heading2"/>
        <w:rPr>
          <w:lang w:val="en-GB"/>
        </w:rPr>
      </w:pPr>
      <w:bookmarkStart w:id="39" w:name="_Ref355901226"/>
      <w:bookmarkStart w:id="40" w:name="_Toc396904000"/>
      <w:bookmarkStart w:id="41" w:name="_Toc445129317"/>
      <w:r w:rsidRPr="00040BEC">
        <w:rPr>
          <w:lang w:val="en-GB"/>
        </w:rPr>
        <w:t xml:space="preserve">Public </w:t>
      </w:r>
      <w:r w:rsidR="00A31FE5" w:rsidRPr="00040BEC">
        <w:rPr>
          <w:lang w:val="en-GB"/>
        </w:rPr>
        <w:t>P</w:t>
      </w:r>
      <w:r w:rsidRPr="00040BEC">
        <w:rPr>
          <w:lang w:val="en-GB"/>
        </w:rPr>
        <w:t xml:space="preserve">rotection and </w:t>
      </w:r>
      <w:r w:rsidR="00A31FE5" w:rsidRPr="00040BEC">
        <w:rPr>
          <w:lang w:val="en-GB"/>
        </w:rPr>
        <w:t>D</w:t>
      </w:r>
      <w:r w:rsidRPr="00040BEC">
        <w:rPr>
          <w:lang w:val="en-GB"/>
        </w:rPr>
        <w:t xml:space="preserve">isaster </w:t>
      </w:r>
      <w:r w:rsidR="00A31FE5" w:rsidRPr="00040BEC">
        <w:rPr>
          <w:lang w:val="en-GB"/>
        </w:rPr>
        <w:t>R</w:t>
      </w:r>
      <w:r w:rsidRPr="00040BEC">
        <w:rPr>
          <w:lang w:val="en-GB"/>
        </w:rPr>
        <w:t>elief</w:t>
      </w:r>
      <w:bookmarkEnd w:id="39"/>
      <w:bookmarkEnd w:id="40"/>
      <w:bookmarkEnd w:id="41"/>
    </w:p>
    <w:p w14:paraId="516A79D1" w14:textId="77777777" w:rsidR="00205B28" w:rsidRPr="00040BEC" w:rsidRDefault="006E416B" w:rsidP="00205B28">
      <w:pPr>
        <w:pStyle w:val="ECCParagraph"/>
        <w:rPr>
          <w:rFonts w:cs="Arial"/>
          <w:lang w:eastAsia="de-DE"/>
        </w:rPr>
      </w:pPr>
      <w:r w:rsidRPr="00040BEC">
        <w:rPr>
          <w:rFonts w:cs="Arial"/>
          <w:lang w:eastAsia="de-DE"/>
        </w:rPr>
        <w:t xml:space="preserve">Within CEPT, </w:t>
      </w:r>
      <w:r w:rsidR="007A4616" w:rsidRPr="00040BEC">
        <w:rPr>
          <w:rFonts w:cs="Arial"/>
          <w:lang w:eastAsia="de-DE"/>
        </w:rPr>
        <w:t xml:space="preserve">the Unpaired 2 GHz bands (1900-1920 MHz and 2010-2025 MHz) </w:t>
      </w:r>
      <w:r w:rsidR="00834F89" w:rsidRPr="00040BEC">
        <w:rPr>
          <w:rFonts w:cs="Arial"/>
          <w:lang w:eastAsia="de-DE"/>
        </w:rPr>
        <w:t xml:space="preserve">are under discussion </w:t>
      </w:r>
      <w:r w:rsidR="007A4616" w:rsidRPr="00040BEC">
        <w:rPr>
          <w:rFonts w:cs="Arial"/>
          <w:lang w:eastAsia="de-DE"/>
        </w:rPr>
        <w:t xml:space="preserve">as a candidate for a harmonised solution </w:t>
      </w:r>
      <w:r w:rsidR="00834F89" w:rsidRPr="00040BEC">
        <w:rPr>
          <w:rFonts w:cs="Arial"/>
          <w:lang w:eastAsia="de-DE"/>
        </w:rPr>
        <w:t xml:space="preserve">above 1 GHz </w:t>
      </w:r>
      <w:r w:rsidR="007A4616" w:rsidRPr="00040BEC">
        <w:rPr>
          <w:rFonts w:cs="Arial"/>
          <w:lang w:eastAsia="de-DE"/>
        </w:rPr>
        <w:t>for ad-hoc PPDR network uses including, for some countries, PPDR</w:t>
      </w:r>
      <w:r w:rsidR="00901688" w:rsidRPr="00040BEC">
        <w:rPr>
          <w:rFonts w:cs="Arial"/>
          <w:lang w:eastAsia="de-DE"/>
        </w:rPr>
        <w:t xml:space="preserve"> broadband air-to-ground</w:t>
      </w:r>
      <w:r w:rsidR="007A4616" w:rsidRPr="00040BEC">
        <w:rPr>
          <w:rFonts w:cs="Arial"/>
          <w:lang w:eastAsia="de-DE"/>
        </w:rPr>
        <w:t xml:space="preserve"> applications.</w:t>
      </w:r>
      <w:r w:rsidR="00772D37" w:rsidRPr="00040BEC">
        <w:rPr>
          <w:rFonts w:cs="Arial"/>
          <w:lang w:eastAsia="de-DE"/>
        </w:rPr>
        <w:t xml:space="preserve"> </w:t>
      </w:r>
      <w:r w:rsidR="00205B28" w:rsidRPr="00040BEC">
        <w:rPr>
          <w:rFonts w:cs="Arial"/>
          <w:lang w:eastAsia="de-DE"/>
        </w:rPr>
        <w:t xml:space="preserve">Broadband PPDR temporary additional capacity (also known as “hot-spot” or “local area” networks) are supposed to provide additional local coverage at the scene of the incident in order to provide the necessary communication facilities to PPDR users in addition to those provided through the Wide Area network (WAN) or where the WAN </w:t>
      </w:r>
      <w:proofErr w:type="spellStart"/>
      <w:r w:rsidR="00205B28" w:rsidRPr="00040BEC">
        <w:rPr>
          <w:rFonts w:cs="Arial"/>
          <w:lang w:eastAsia="de-DE"/>
        </w:rPr>
        <w:t>radiocommunications</w:t>
      </w:r>
      <w:proofErr w:type="spellEnd"/>
      <w:r w:rsidR="00205B28" w:rsidRPr="00040BEC">
        <w:rPr>
          <w:rFonts w:cs="Arial"/>
          <w:lang w:eastAsia="de-DE"/>
        </w:rPr>
        <w:t xml:space="preserve"> are limited or not available. This additional capacity </w:t>
      </w:r>
      <w:proofErr w:type="gramStart"/>
      <w:r w:rsidR="00205B28" w:rsidRPr="00040BEC">
        <w:rPr>
          <w:rFonts w:cs="Arial"/>
          <w:lang w:eastAsia="de-DE"/>
        </w:rPr>
        <w:t>may be provided</w:t>
      </w:r>
      <w:proofErr w:type="gramEnd"/>
      <w:r w:rsidR="00205B28" w:rsidRPr="00040BEC">
        <w:rPr>
          <w:rFonts w:cs="Arial"/>
          <w:lang w:eastAsia="de-DE"/>
        </w:rPr>
        <w:t xml:space="preserve"> by Ad-hoc networks or other means (such as additional temporary base stations of the WAN) and are supposed to have high capacity and support PPDR users with low mobility. Ad-hoc networks may operate in the same (i.e. in a form of an ad-hoc micro-cell deployed at the event’s scene) as well as in a different frequency band. </w:t>
      </w:r>
    </w:p>
    <w:p w14:paraId="7CD0245C" w14:textId="77777777" w:rsidR="00205B28" w:rsidRPr="00040BEC" w:rsidRDefault="0037312B">
      <w:pPr>
        <w:pStyle w:val="ECCParagraph"/>
        <w:rPr>
          <w:rFonts w:cs="Arial"/>
          <w:lang w:eastAsia="de-DE"/>
        </w:rPr>
      </w:pPr>
      <w:r w:rsidRPr="00040BEC">
        <w:rPr>
          <w:rFonts w:cs="Arial"/>
          <w:lang w:eastAsia="de-DE"/>
        </w:rPr>
        <w:t xml:space="preserve">PPDR organisations may also have requirements for broadband air-to-ground applications to support PPDR operations. These typically involve a video stream </w:t>
      </w:r>
      <w:proofErr w:type="gramStart"/>
      <w:r w:rsidRPr="00040BEC">
        <w:rPr>
          <w:rFonts w:cs="Arial"/>
          <w:lang w:eastAsia="de-DE"/>
        </w:rPr>
        <w:t>being relayed</w:t>
      </w:r>
      <w:proofErr w:type="gramEnd"/>
      <w:r w:rsidRPr="00040BEC">
        <w:rPr>
          <w:rFonts w:cs="Arial"/>
          <w:lang w:eastAsia="de-DE"/>
        </w:rPr>
        <w:t xml:space="preserve"> from a camera mounted on an airborne platform to a monitoring station on the ground. The requirements for broadband air-to-ground PPDR spectrum within CEPT </w:t>
      </w:r>
      <w:proofErr w:type="gramStart"/>
      <w:r w:rsidRPr="00040BEC">
        <w:rPr>
          <w:rFonts w:cs="Arial"/>
          <w:lang w:eastAsia="de-DE"/>
        </w:rPr>
        <w:t>ha</w:t>
      </w:r>
      <w:r w:rsidR="00AF0215" w:rsidRPr="00040BEC">
        <w:rPr>
          <w:rFonts w:cs="Arial"/>
          <w:lang w:eastAsia="de-DE"/>
        </w:rPr>
        <w:t>ve</w:t>
      </w:r>
      <w:r w:rsidRPr="00040BEC">
        <w:rPr>
          <w:rFonts w:cs="Arial"/>
          <w:lang w:eastAsia="de-DE"/>
        </w:rPr>
        <w:t xml:space="preserve"> not b</w:t>
      </w:r>
      <w:r w:rsidR="007C5C70" w:rsidRPr="00040BEC">
        <w:rPr>
          <w:rFonts w:cs="Arial"/>
          <w:lang w:eastAsia="de-DE"/>
        </w:rPr>
        <w:t>een evaluated</w:t>
      </w:r>
      <w:proofErr w:type="gramEnd"/>
      <w:r w:rsidR="007C5C70" w:rsidRPr="00040BEC">
        <w:rPr>
          <w:rFonts w:cs="Arial"/>
          <w:lang w:eastAsia="de-DE"/>
        </w:rPr>
        <w:t xml:space="preserve"> in detail in ECC R</w:t>
      </w:r>
      <w:r w:rsidRPr="00040BEC">
        <w:rPr>
          <w:rFonts w:cs="Arial"/>
          <w:lang w:eastAsia="de-DE"/>
        </w:rPr>
        <w:t xml:space="preserve">eport 199 </w:t>
      </w:r>
      <w:r w:rsidR="000A5980" w:rsidRPr="00040BEC">
        <w:rPr>
          <w:rFonts w:cs="Arial"/>
          <w:lang w:eastAsia="de-DE"/>
        </w:rPr>
        <w:fldChar w:fldCharType="begin"/>
      </w:r>
      <w:r w:rsidR="007C5C70" w:rsidRPr="00040BEC">
        <w:rPr>
          <w:rFonts w:cs="Arial"/>
          <w:lang w:eastAsia="de-DE"/>
        </w:rPr>
        <w:instrText xml:space="preserve"> REF _Ref356390588 \n \h </w:instrText>
      </w:r>
      <w:r w:rsidR="000A5980" w:rsidRPr="00040BEC">
        <w:rPr>
          <w:rFonts w:cs="Arial"/>
          <w:lang w:eastAsia="de-DE"/>
        </w:rPr>
      </w:r>
      <w:r w:rsidR="000A5980" w:rsidRPr="00040BEC">
        <w:rPr>
          <w:rFonts w:cs="Arial"/>
          <w:lang w:eastAsia="de-DE"/>
        </w:rPr>
        <w:fldChar w:fldCharType="separate"/>
      </w:r>
      <w:r w:rsidR="002327BB">
        <w:rPr>
          <w:rFonts w:cs="Arial"/>
          <w:lang w:eastAsia="de-DE"/>
        </w:rPr>
        <w:t>[23]</w:t>
      </w:r>
      <w:r w:rsidR="000A5980" w:rsidRPr="00040BEC">
        <w:rPr>
          <w:rFonts w:cs="Arial"/>
          <w:lang w:eastAsia="de-DE"/>
        </w:rPr>
        <w:fldChar w:fldCharType="end"/>
      </w:r>
      <w:r w:rsidRPr="00040BEC">
        <w:rPr>
          <w:rFonts w:cs="Arial"/>
          <w:lang w:eastAsia="de-DE"/>
        </w:rPr>
        <w:t xml:space="preserve">. </w:t>
      </w:r>
      <w:r w:rsidR="008712B6" w:rsidRPr="00040BEC">
        <w:rPr>
          <w:rFonts w:cs="Arial"/>
          <w:lang w:eastAsia="de-DE"/>
        </w:rPr>
        <w:t>However,</w:t>
      </w:r>
      <w:r w:rsidRPr="00040BEC">
        <w:rPr>
          <w:rFonts w:cs="Arial"/>
          <w:lang w:eastAsia="de-DE"/>
        </w:rPr>
        <w:t xml:space="preserve"> some countries have provided a national estimate of their broadband air-to-ground spectrum needs. Based on this information, a realistic estimate for airborne PPDR is under investigation. For broadband air-to-ground usage, also cross-border coordination needs to </w:t>
      </w:r>
      <w:proofErr w:type="gramStart"/>
      <w:r w:rsidRPr="00040BEC">
        <w:rPr>
          <w:rFonts w:cs="Arial"/>
          <w:lang w:eastAsia="de-DE"/>
        </w:rPr>
        <w:t>be studied</w:t>
      </w:r>
      <w:proofErr w:type="gramEnd"/>
      <w:r w:rsidRPr="00040BEC">
        <w:rPr>
          <w:rFonts w:cs="Arial"/>
          <w:lang w:eastAsia="de-DE"/>
        </w:rPr>
        <w:t>.</w:t>
      </w:r>
    </w:p>
    <w:p w14:paraId="580FCAAB" w14:textId="77777777" w:rsidR="006C17E7" w:rsidRPr="00040BEC" w:rsidRDefault="00772D37" w:rsidP="00DC2B54">
      <w:pPr>
        <w:pStyle w:val="ECCParagraph"/>
      </w:pPr>
      <w:r w:rsidRPr="00040BEC">
        <w:rPr>
          <w:rFonts w:cs="Arial"/>
          <w:lang w:eastAsia="de-DE"/>
        </w:rPr>
        <w:t xml:space="preserve">Possible synergies between these applications and PMSE use described in section </w:t>
      </w:r>
      <w:r w:rsidR="000A5980" w:rsidRPr="00040BEC">
        <w:rPr>
          <w:rFonts w:cs="Arial"/>
          <w:lang w:eastAsia="de-DE"/>
        </w:rPr>
        <w:fldChar w:fldCharType="begin"/>
      </w:r>
      <w:r w:rsidR="00E52F73" w:rsidRPr="00040BEC">
        <w:rPr>
          <w:rFonts w:cs="Arial"/>
          <w:lang w:eastAsia="de-DE"/>
        </w:rPr>
        <w:instrText xml:space="preserve"> REF _Ref355888126 \r \h </w:instrText>
      </w:r>
      <w:r w:rsidR="000A5980" w:rsidRPr="00040BEC">
        <w:rPr>
          <w:rFonts w:cs="Arial"/>
          <w:lang w:eastAsia="de-DE"/>
        </w:rPr>
      </w:r>
      <w:r w:rsidR="000A5980" w:rsidRPr="00040BEC">
        <w:rPr>
          <w:rFonts w:cs="Arial"/>
          <w:lang w:eastAsia="de-DE"/>
        </w:rPr>
        <w:fldChar w:fldCharType="separate"/>
      </w:r>
      <w:r w:rsidR="002327BB">
        <w:rPr>
          <w:rFonts w:cs="Arial"/>
          <w:lang w:eastAsia="de-DE"/>
        </w:rPr>
        <w:t>3.2</w:t>
      </w:r>
      <w:r w:rsidR="000A5980" w:rsidRPr="00040BEC">
        <w:rPr>
          <w:rFonts w:cs="Arial"/>
          <w:lang w:eastAsia="de-DE"/>
        </w:rPr>
        <w:fldChar w:fldCharType="end"/>
      </w:r>
      <w:r w:rsidRPr="00040BEC">
        <w:rPr>
          <w:rFonts w:cs="Arial"/>
          <w:lang w:eastAsia="de-DE"/>
        </w:rPr>
        <w:t xml:space="preserve"> (</w:t>
      </w:r>
      <w:r w:rsidR="000A5980" w:rsidRPr="00040BEC">
        <w:rPr>
          <w:rFonts w:cs="Arial"/>
          <w:lang w:eastAsia="de-DE"/>
        </w:rPr>
        <w:fldChar w:fldCharType="begin"/>
      </w:r>
      <w:r w:rsidR="00E70539" w:rsidRPr="00040BEC">
        <w:rPr>
          <w:rFonts w:cs="Arial"/>
          <w:lang w:eastAsia="de-DE"/>
        </w:rPr>
        <w:instrText xml:space="preserve"> REF _Ref355888126 \h </w:instrText>
      </w:r>
      <w:r w:rsidR="000A5980" w:rsidRPr="00040BEC">
        <w:rPr>
          <w:rFonts w:cs="Arial"/>
          <w:lang w:eastAsia="de-DE"/>
        </w:rPr>
      </w:r>
      <w:r w:rsidR="000A5980" w:rsidRPr="00040BEC">
        <w:rPr>
          <w:rFonts w:cs="Arial"/>
          <w:lang w:eastAsia="de-DE"/>
        </w:rPr>
        <w:fldChar w:fldCharType="separate"/>
      </w:r>
      <w:r w:rsidR="002327BB" w:rsidRPr="00040BEC">
        <w:t>Programme Making and Special Events</w:t>
      </w:r>
      <w:r w:rsidR="000A5980" w:rsidRPr="00040BEC">
        <w:rPr>
          <w:rFonts w:cs="Arial"/>
          <w:lang w:eastAsia="de-DE"/>
        </w:rPr>
        <w:fldChar w:fldCharType="end"/>
      </w:r>
      <w:r w:rsidRPr="00040BEC">
        <w:rPr>
          <w:rFonts w:cs="Arial"/>
          <w:lang w:eastAsia="de-DE"/>
        </w:rPr>
        <w:t xml:space="preserve">) </w:t>
      </w:r>
      <w:r w:rsidR="006C17E7" w:rsidRPr="00040BEC">
        <w:rPr>
          <w:rFonts w:cs="Arial"/>
          <w:lang w:eastAsia="de-DE"/>
        </w:rPr>
        <w:t xml:space="preserve">are </w:t>
      </w:r>
      <w:r w:rsidRPr="00040BEC">
        <w:rPr>
          <w:rFonts w:cs="Arial"/>
          <w:lang w:eastAsia="de-DE"/>
        </w:rPr>
        <w:t>further explored</w:t>
      </w:r>
      <w:r w:rsidR="006C17E7" w:rsidRPr="00040BEC">
        <w:rPr>
          <w:rFonts w:cs="Arial"/>
          <w:lang w:eastAsia="de-DE"/>
        </w:rPr>
        <w:t>,</w:t>
      </w:r>
      <w:r w:rsidRPr="00040BEC">
        <w:rPr>
          <w:rFonts w:cs="Arial"/>
          <w:lang w:eastAsia="de-DE"/>
        </w:rPr>
        <w:t xml:space="preserve"> since the same technologies </w:t>
      </w:r>
      <w:r w:rsidR="006C17E7" w:rsidRPr="00040BEC">
        <w:rPr>
          <w:rFonts w:cs="Arial"/>
          <w:lang w:eastAsia="de-DE"/>
        </w:rPr>
        <w:t xml:space="preserve">/ equipment </w:t>
      </w:r>
      <w:r w:rsidRPr="00040BEC">
        <w:rPr>
          <w:rFonts w:cs="Arial"/>
          <w:lang w:eastAsia="de-DE"/>
        </w:rPr>
        <w:t>may be used</w:t>
      </w:r>
      <w:r w:rsidR="006C17E7" w:rsidRPr="00040BEC">
        <w:rPr>
          <w:rFonts w:cs="Arial"/>
          <w:lang w:eastAsia="de-DE"/>
        </w:rPr>
        <w:t xml:space="preserve"> and the same technical framework might </w:t>
      </w:r>
      <w:r w:rsidR="008712B6" w:rsidRPr="00040BEC">
        <w:rPr>
          <w:rFonts w:cs="Arial"/>
          <w:lang w:eastAsia="de-DE"/>
        </w:rPr>
        <w:t>apply</w:t>
      </w:r>
      <w:r w:rsidRPr="00040BEC">
        <w:rPr>
          <w:rFonts w:cs="Arial"/>
          <w:lang w:eastAsia="de-DE"/>
        </w:rPr>
        <w:t xml:space="preserve">. </w:t>
      </w:r>
    </w:p>
    <w:p w14:paraId="70DED5AA" w14:textId="77777777" w:rsidR="00E03923" w:rsidRPr="00040BEC" w:rsidRDefault="00E03923" w:rsidP="008E5B81">
      <w:pPr>
        <w:pStyle w:val="Heading2"/>
        <w:rPr>
          <w:lang w:val="en-GB"/>
        </w:rPr>
      </w:pPr>
      <w:bookmarkStart w:id="42" w:name="_Ref368347696"/>
      <w:bookmarkStart w:id="43" w:name="_Ref368347719"/>
      <w:bookmarkStart w:id="44" w:name="_Toc396904001"/>
      <w:bookmarkStart w:id="45" w:name="_Toc445129318"/>
      <w:r w:rsidRPr="00040BEC">
        <w:rPr>
          <w:lang w:val="en-GB"/>
        </w:rPr>
        <w:t xml:space="preserve">Synergies between </w:t>
      </w:r>
      <w:r w:rsidR="000E7E23" w:rsidRPr="00040BEC">
        <w:rPr>
          <w:lang w:val="en-GB"/>
        </w:rPr>
        <w:t>the proposed short list of selected use</w:t>
      </w:r>
      <w:bookmarkEnd w:id="42"/>
      <w:bookmarkEnd w:id="43"/>
      <w:bookmarkEnd w:id="44"/>
      <w:bookmarkEnd w:id="45"/>
    </w:p>
    <w:p w14:paraId="2FB7C8E7" w14:textId="77777777" w:rsidR="00E03923" w:rsidRPr="00040BEC" w:rsidRDefault="00E03923" w:rsidP="00BE115C">
      <w:pPr>
        <w:pStyle w:val="ECCParagraph"/>
        <w:numPr>
          <w:ilvl w:val="0"/>
          <w:numId w:val="27"/>
        </w:numPr>
        <w:rPr>
          <w:rFonts w:cs="Arial"/>
          <w:b/>
          <w:lang w:eastAsia="de-DE"/>
        </w:rPr>
      </w:pPr>
      <w:r w:rsidRPr="00040BEC">
        <w:rPr>
          <w:b/>
        </w:rPr>
        <w:t>Applications under general authorisation (DECT / SRD)</w:t>
      </w:r>
    </w:p>
    <w:p w14:paraId="38A3205B" w14:textId="77777777" w:rsidR="00E03923" w:rsidRPr="00040BEC" w:rsidRDefault="00E03923" w:rsidP="00E03923">
      <w:pPr>
        <w:pStyle w:val="ECCParagraph"/>
        <w:ind w:left="720"/>
        <w:rPr>
          <w:rFonts w:cs="Arial"/>
          <w:lang w:eastAsia="de-DE"/>
        </w:rPr>
      </w:pPr>
      <w:r w:rsidRPr="00040BEC">
        <w:rPr>
          <w:rFonts w:cs="Arial"/>
          <w:lang w:eastAsia="de-DE"/>
        </w:rPr>
        <w:t xml:space="preserve">DECT </w:t>
      </w:r>
      <w:r w:rsidR="00D369EE" w:rsidRPr="00040BEC">
        <w:rPr>
          <w:rFonts w:cs="Arial"/>
          <w:lang w:eastAsia="de-DE"/>
        </w:rPr>
        <w:t>and</w:t>
      </w:r>
      <w:r w:rsidRPr="00040BEC">
        <w:rPr>
          <w:rFonts w:cs="Arial"/>
          <w:lang w:eastAsia="de-DE"/>
        </w:rPr>
        <w:t xml:space="preserve"> SRD </w:t>
      </w:r>
      <w:r w:rsidR="00D369EE" w:rsidRPr="00040BEC">
        <w:rPr>
          <w:rFonts w:cs="Arial"/>
          <w:lang w:eastAsia="de-DE"/>
        </w:rPr>
        <w:t>are</w:t>
      </w:r>
      <w:r w:rsidRPr="00040BEC">
        <w:rPr>
          <w:rFonts w:cs="Arial"/>
          <w:lang w:eastAsia="de-DE"/>
        </w:rPr>
        <w:t xml:space="preserve"> candidates </w:t>
      </w:r>
      <w:r w:rsidR="00D369EE" w:rsidRPr="00040BEC">
        <w:rPr>
          <w:rFonts w:cs="Arial"/>
          <w:lang w:eastAsia="de-DE"/>
        </w:rPr>
        <w:t>to use the spectrum</w:t>
      </w:r>
      <w:r w:rsidRPr="00040BEC">
        <w:rPr>
          <w:rFonts w:cs="Arial"/>
          <w:lang w:eastAsia="de-DE"/>
        </w:rPr>
        <w:t xml:space="preserve"> under a general authorisation regime. There may be a possibility of having a common set of technical parameters to enable equal spectrum access.</w:t>
      </w:r>
    </w:p>
    <w:p w14:paraId="651D261D" w14:textId="77777777" w:rsidR="0031386D" w:rsidRPr="00040BEC" w:rsidRDefault="00D369EE" w:rsidP="0031386D">
      <w:pPr>
        <w:pStyle w:val="ECCParagraph"/>
        <w:ind w:left="720"/>
      </w:pPr>
      <w:r w:rsidRPr="00040BEC">
        <w:rPr>
          <w:rFonts w:cs="Arial"/>
          <w:lang w:eastAsia="de-DE"/>
        </w:rPr>
        <w:lastRenderedPageBreak/>
        <w:t>The</w:t>
      </w:r>
      <w:r w:rsidR="00E03923" w:rsidRPr="00040BEC">
        <w:rPr>
          <w:rFonts w:cs="Arial"/>
          <w:lang w:eastAsia="de-DE"/>
        </w:rPr>
        <w:t xml:space="preserve"> possibility</w:t>
      </w:r>
      <w:r w:rsidR="00E03923" w:rsidRPr="00040BEC">
        <w:t xml:space="preserve"> </w:t>
      </w:r>
      <w:r w:rsidRPr="00040BEC">
        <w:rPr>
          <w:rFonts w:cs="Arial"/>
          <w:lang w:eastAsia="de-DE"/>
        </w:rPr>
        <w:t xml:space="preserve">of operating under </w:t>
      </w:r>
      <w:r w:rsidRPr="00040BEC">
        <w:t>g</w:t>
      </w:r>
      <w:r w:rsidR="00E03923" w:rsidRPr="00040BEC">
        <w:t>eneral authorisation enabl</w:t>
      </w:r>
      <w:r w:rsidRPr="00040BEC">
        <w:t>es</w:t>
      </w:r>
      <w:r w:rsidR="00E03923" w:rsidRPr="00040BEC">
        <w:t xml:space="preserve"> DECT extension as well as application and technology</w:t>
      </w:r>
      <w:r w:rsidR="0084262B" w:rsidRPr="00040BEC">
        <w:t>-</w:t>
      </w:r>
      <w:r w:rsidR="00E03923" w:rsidRPr="00040BEC">
        <w:t xml:space="preserve">neutral access to spectrum in line with principles set out in CEPT Report </w:t>
      </w:r>
      <w:r w:rsidR="00E2014B" w:rsidRPr="00040BEC">
        <w:t>0</w:t>
      </w:r>
      <w:r w:rsidR="00E03923" w:rsidRPr="00040BEC">
        <w:t>14</w:t>
      </w:r>
      <w:r w:rsidR="00E2014B" w:rsidRPr="00040BEC">
        <w:t xml:space="preserve"> </w:t>
      </w:r>
      <w:r w:rsidR="000A5980" w:rsidRPr="00040BEC">
        <w:fldChar w:fldCharType="begin"/>
      </w:r>
      <w:r w:rsidR="00E2014B" w:rsidRPr="00040BEC">
        <w:instrText xml:space="preserve"> REF _Ref387908922 \r \h </w:instrText>
      </w:r>
      <w:r w:rsidR="000A5980" w:rsidRPr="00040BEC">
        <w:fldChar w:fldCharType="separate"/>
      </w:r>
      <w:r w:rsidR="002327BB">
        <w:t>[1]</w:t>
      </w:r>
      <w:r w:rsidR="000A5980" w:rsidRPr="00040BEC">
        <w:fldChar w:fldCharType="end"/>
      </w:r>
      <w:r w:rsidR="00E03923" w:rsidRPr="00040BEC">
        <w:t xml:space="preserve"> and </w:t>
      </w:r>
      <w:r w:rsidR="00E2014B" w:rsidRPr="00040BEC">
        <w:t>CEPT Report 0</w:t>
      </w:r>
      <w:r w:rsidR="00E03923" w:rsidRPr="00040BEC">
        <w:t>44</w:t>
      </w:r>
      <w:r w:rsidR="00E2014B" w:rsidRPr="00040BEC">
        <w:t xml:space="preserve"> </w:t>
      </w:r>
      <w:r w:rsidR="000A5980" w:rsidRPr="00040BEC">
        <w:fldChar w:fldCharType="begin"/>
      </w:r>
      <w:r w:rsidR="00E2014B" w:rsidRPr="00040BEC">
        <w:instrText xml:space="preserve"> REF _Ref387908941 \r \h </w:instrText>
      </w:r>
      <w:r w:rsidR="000A5980" w:rsidRPr="00040BEC">
        <w:fldChar w:fldCharType="separate"/>
      </w:r>
      <w:r w:rsidR="002327BB">
        <w:t>[2]</w:t>
      </w:r>
      <w:r w:rsidR="000A5980" w:rsidRPr="00040BEC">
        <w:fldChar w:fldCharType="end"/>
      </w:r>
      <w:r w:rsidR="00E03923" w:rsidRPr="00040BEC">
        <w:t xml:space="preserve"> (SRD strategy and principles).</w:t>
      </w:r>
      <w:r w:rsidR="0031386D" w:rsidRPr="00040BEC">
        <w:t xml:space="preserve"> </w:t>
      </w:r>
    </w:p>
    <w:p w14:paraId="2A4C0552" w14:textId="77777777" w:rsidR="0031386D" w:rsidRPr="00040BEC" w:rsidRDefault="0031386D" w:rsidP="0031386D">
      <w:pPr>
        <w:pStyle w:val="ECCParagraph"/>
        <w:ind w:left="720"/>
        <w:rPr>
          <w:rFonts w:cs="Arial"/>
          <w:lang w:eastAsia="de-DE"/>
        </w:rPr>
      </w:pPr>
      <w:r w:rsidRPr="00040BEC">
        <w:rPr>
          <w:rFonts w:cs="Arial"/>
          <w:lang w:eastAsia="de-DE"/>
        </w:rPr>
        <w:t xml:space="preserve">During the Call for Inputs, the responding administrations clearly indicated that DECT should operate under a generic SRD regulation on a shared basis with other technology on a non-protected non-interfered basis. Spectrum access techniques should be mutually compatible and frequency segmentation amongst such applications </w:t>
      </w:r>
      <w:proofErr w:type="gramStart"/>
      <w:r w:rsidRPr="00040BEC">
        <w:rPr>
          <w:rFonts w:cs="Arial"/>
          <w:lang w:eastAsia="de-DE"/>
        </w:rPr>
        <w:t>should be avoided</w:t>
      </w:r>
      <w:proofErr w:type="gramEnd"/>
      <w:r w:rsidRPr="00040BEC">
        <w:rPr>
          <w:rFonts w:cs="Arial"/>
          <w:lang w:eastAsia="de-DE"/>
        </w:rPr>
        <w:t xml:space="preserve">. It is important that the regulation also in practice </w:t>
      </w:r>
      <w:proofErr w:type="gramStart"/>
      <w:r w:rsidRPr="00040BEC">
        <w:rPr>
          <w:rFonts w:cs="Arial"/>
          <w:lang w:eastAsia="de-DE"/>
        </w:rPr>
        <w:t>provides</w:t>
      </w:r>
      <w:proofErr w:type="gramEnd"/>
      <w:r w:rsidRPr="00040BEC">
        <w:rPr>
          <w:rFonts w:cs="Arial"/>
          <w:lang w:eastAsia="de-DE"/>
        </w:rPr>
        <w:t xml:space="preserve"> an opportunity for alternative technologies to use the spectrum so that a competitive market is created. </w:t>
      </w:r>
    </w:p>
    <w:p w14:paraId="4174EC03" w14:textId="77777777" w:rsidR="00E03923" w:rsidRPr="00040BEC" w:rsidRDefault="0031386D" w:rsidP="0031386D">
      <w:pPr>
        <w:pStyle w:val="ECCParagraph"/>
        <w:ind w:left="720"/>
        <w:rPr>
          <w:rFonts w:cs="Arial"/>
          <w:lang w:eastAsia="de-DE"/>
        </w:rPr>
      </w:pPr>
      <w:r w:rsidRPr="00040BEC">
        <w:rPr>
          <w:rFonts w:cs="Arial"/>
          <w:lang w:eastAsia="de-DE"/>
        </w:rPr>
        <w:t xml:space="preserve">Once defined with appropriate mitigation techniques and restrictions, DA2GC could share </w:t>
      </w:r>
      <w:r w:rsidR="007035C3" w:rsidRPr="00040BEC">
        <w:rPr>
          <w:rFonts w:cs="Arial"/>
          <w:lang w:eastAsia="de-DE"/>
        </w:rPr>
        <w:t xml:space="preserve">the spectrum </w:t>
      </w:r>
      <w:r w:rsidRPr="00040BEC">
        <w:rPr>
          <w:rFonts w:cs="Arial"/>
          <w:lang w:eastAsia="de-DE"/>
        </w:rPr>
        <w:t>with DECT/SRD</w:t>
      </w:r>
      <w:r w:rsidR="007035C3" w:rsidRPr="00040BEC">
        <w:rPr>
          <w:rFonts w:cs="Arial"/>
          <w:lang w:eastAsia="de-DE"/>
        </w:rPr>
        <w:t>,</w:t>
      </w:r>
      <w:r w:rsidRPr="00040BEC">
        <w:rPr>
          <w:rFonts w:cs="Arial"/>
          <w:lang w:eastAsia="de-DE"/>
        </w:rPr>
        <w:t xml:space="preserve"> </w:t>
      </w:r>
      <w:r w:rsidR="007035C3" w:rsidRPr="00040BEC">
        <w:rPr>
          <w:rFonts w:cs="Arial"/>
          <w:lang w:eastAsia="de-DE"/>
        </w:rPr>
        <w:t>the later</w:t>
      </w:r>
      <w:r w:rsidRPr="00040BEC">
        <w:rPr>
          <w:rFonts w:cs="Arial"/>
          <w:lang w:eastAsia="de-DE"/>
        </w:rPr>
        <w:t xml:space="preserve"> to </w:t>
      </w:r>
      <w:proofErr w:type="gramStart"/>
      <w:r w:rsidRPr="00040BEC">
        <w:rPr>
          <w:rFonts w:cs="Arial"/>
          <w:lang w:eastAsia="de-DE"/>
        </w:rPr>
        <w:t>be introduced</w:t>
      </w:r>
      <w:proofErr w:type="gramEnd"/>
      <w:r w:rsidRPr="00040BEC">
        <w:rPr>
          <w:rFonts w:cs="Arial"/>
          <w:lang w:eastAsia="de-DE"/>
        </w:rPr>
        <w:t xml:space="preserve"> on a non-protection </w:t>
      </w:r>
      <w:r w:rsidR="007035C3" w:rsidRPr="00040BEC">
        <w:rPr>
          <w:rFonts w:cs="Arial"/>
          <w:lang w:eastAsia="de-DE"/>
        </w:rPr>
        <w:t>and</w:t>
      </w:r>
      <w:r w:rsidRPr="00040BEC">
        <w:rPr>
          <w:rFonts w:cs="Arial"/>
          <w:lang w:eastAsia="de-DE"/>
        </w:rPr>
        <w:t xml:space="preserve"> non-interference basis without </w:t>
      </w:r>
      <w:r w:rsidR="00AD0E4F" w:rsidRPr="00040BEC">
        <w:rPr>
          <w:rFonts w:cs="Arial"/>
          <w:lang w:eastAsia="de-DE"/>
        </w:rPr>
        <w:t>affecting</w:t>
      </w:r>
      <w:r w:rsidRPr="00040BEC">
        <w:rPr>
          <w:rFonts w:cs="Arial"/>
          <w:lang w:eastAsia="de-DE"/>
        </w:rPr>
        <w:t xml:space="preserve"> the DA2GC</w:t>
      </w:r>
      <w:r w:rsidR="007035C3" w:rsidRPr="00040BEC">
        <w:rPr>
          <w:rFonts w:cs="Arial"/>
          <w:lang w:eastAsia="de-DE"/>
        </w:rPr>
        <w:t xml:space="preserve"> systems</w:t>
      </w:r>
      <w:r w:rsidRPr="00040BEC">
        <w:rPr>
          <w:rFonts w:cs="Arial"/>
          <w:lang w:eastAsia="de-DE"/>
        </w:rPr>
        <w:t>, as an optimised scenario.</w:t>
      </w:r>
    </w:p>
    <w:p w14:paraId="3D8F0508" w14:textId="77777777" w:rsidR="00070F33" w:rsidRPr="00040BEC" w:rsidRDefault="00070F33" w:rsidP="00BE115C">
      <w:pPr>
        <w:pStyle w:val="ECCParagraph"/>
        <w:numPr>
          <w:ilvl w:val="0"/>
          <w:numId w:val="27"/>
        </w:numPr>
        <w:rPr>
          <w:rFonts w:cs="Arial"/>
          <w:b/>
          <w:lang w:eastAsia="de-DE"/>
        </w:rPr>
      </w:pPr>
      <w:r w:rsidRPr="00040BEC">
        <w:rPr>
          <w:b/>
        </w:rPr>
        <w:t xml:space="preserve">Video Links and </w:t>
      </w:r>
      <w:r w:rsidR="001E6530" w:rsidRPr="00040BEC">
        <w:rPr>
          <w:b/>
        </w:rPr>
        <w:t xml:space="preserve">Cordless Cameras </w:t>
      </w:r>
      <w:r w:rsidRPr="00040BEC">
        <w:rPr>
          <w:b/>
        </w:rPr>
        <w:t>(VLCC - PMSE / ad-hoc PPDR)</w:t>
      </w:r>
    </w:p>
    <w:p w14:paraId="32C0EADC" w14:textId="77777777" w:rsidR="00070F33" w:rsidRPr="00040BEC" w:rsidRDefault="00070F33" w:rsidP="00070F33">
      <w:pPr>
        <w:pStyle w:val="ECCParagraph"/>
        <w:ind w:left="720"/>
        <w:rPr>
          <w:rFonts w:cs="Arial"/>
          <w:lang w:eastAsia="de-DE"/>
        </w:rPr>
      </w:pPr>
      <w:r w:rsidRPr="00040BEC">
        <w:rPr>
          <w:rFonts w:cs="Arial"/>
          <w:lang w:eastAsia="de-DE"/>
        </w:rPr>
        <w:t xml:space="preserve">The same technical framework and equipment, i.e. temporary video links and cordless cameras </w:t>
      </w:r>
      <w:r w:rsidR="007035C3" w:rsidRPr="00040BEC">
        <w:rPr>
          <w:rFonts w:cs="Arial"/>
          <w:lang w:eastAsia="de-DE"/>
        </w:rPr>
        <w:t>(VLCC)</w:t>
      </w:r>
      <w:r w:rsidRPr="00040BEC">
        <w:rPr>
          <w:rFonts w:cs="Arial"/>
          <w:lang w:eastAsia="de-DE"/>
        </w:rPr>
        <w:t xml:space="preserve">, may be foreseen for both PMSE and some ad-hoc PPDR applications and therefore there may be a possibility of having a common set of technical parameters for spectrum access. It </w:t>
      </w:r>
      <w:proofErr w:type="gramStart"/>
      <w:r w:rsidRPr="00040BEC">
        <w:rPr>
          <w:rFonts w:cs="Arial"/>
          <w:lang w:eastAsia="de-DE"/>
        </w:rPr>
        <w:t>is assumed</w:t>
      </w:r>
      <w:proofErr w:type="gramEnd"/>
      <w:r w:rsidRPr="00040BEC">
        <w:rPr>
          <w:rFonts w:cs="Arial"/>
          <w:lang w:eastAsia="de-DE"/>
        </w:rPr>
        <w:t xml:space="preserve"> that coordination and the associated usage demand will be dealt with on a national level. It </w:t>
      </w:r>
      <w:proofErr w:type="gramStart"/>
      <w:r w:rsidRPr="00040BEC">
        <w:rPr>
          <w:rFonts w:cs="Arial"/>
          <w:lang w:eastAsia="de-DE"/>
        </w:rPr>
        <w:t>should be noted</w:t>
      </w:r>
      <w:proofErr w:type="gramEnd"/>
      <w:r w:rsidRPr="00040BEC">
        <w:rPr>
          <w:rFonts w:cs="Arial"/>
          <w:lang w:eastAsia="de-DE"/>
        </w:rPr>
        <w:t xml:space="preserve"> that video applications</w:t>
      </w:r>
      <w:r w:rsidR="00DD5EF9" w:rsidRPr="00040BEC">
        <w:rPr>
          <w:rFonts w:cs="Arial"/>
          <w:lang w:eastAsia="de-DE"/>
        </w:rPr>
        <w:t>,</w:t>
      </w:r>
      <w:r w:rsidRPr="00040BEC">
        <w:rPr>
          <w:rFonts w:cs="Arial"/>
          <w:lang w:eastAsia="de-DE"/>
        </w:rPr>
        <w:t xml:space="preserve"> such as surveillance cameras</w:t>
      </w:r>
      <w:r w:rsidR="007035C3" w:rsidRPr="00040BEC">
        <w:rPr>
          <w:rFonts w:cs="Arial"/>
          <w:lang w:eastAsia="de-DE"/>
        </w:rPr>
        <w:t>,</w:t>
      </w:r>
      <w:r w:rsidRPr="00040BEC">
        <w:rPr>
          <w:rFonts w:cs="Arial"/>
          <w:lang w:eastAsia="de-DE"/>
        </w:rPr>
        <w:t xml:space="preserve"> </w:t>
      </w:r>
      <w:r w:rsidR="007035C3" w:rsidRPr="00040BEC">
        <w:rPr>
          <w:rFonts w:cs="Arial"/>
          <w:lang w:eastAsia="de-DE"/>
        </w:rPr>
        <w:t>operating</w:t>
      </w:r>
      <w:r w:rsidRPr="00040BEC">
        <w:rPr>
          <w:rFonts w:cs="Arial"/>
          <w:lang w:eastAsia="de-DE"/>
        </w:rPr>
        <w:t xml:space="preserve"> under general authorisation</w:t>
      </w:r>
      <w:r w:rsidR="007035C3" w:rsidRPr="00040BEC">
        <w:rPr>
          <w:rFonts w:cs="Arial"/>
          <w:lang w:eastAsia="de-DE"/>
        </w:rPr>
        <w:t xml:space="preserve"> regime,</w:t>
      </w:r>
      <w:r w:rsidRPr="00040BEC">
        <w:rPr>
          <w:rFonts w:cs="Arial"/>
          <w:lang w:eastAsia="de-DE"/>
        </w:rPr>
        <w:t xml:space="preserve"> are not included in this usage </w:t>
      </w:r>
      <w:r w:rsidR="00DD7F0E" w:rsidRPr="00040BEC">
        <w:rPr>
          <w:rFonts w:cs="Arial"/>
          <w:lang w:eastAsia="de-DE"/>
        </w:rPr>
        <w:t>category</w:t>
      </w:r>
      <w:r w:rsidRPr="00040BEC">
        <w:rPr>
          <w:rFonts w:cs="Arial"/>
          <w:lang w:eastAsia="de-DE"/>
        </w:rPr>
        <w:t>.</w:t>
      </w:r>
    </w:p>
    <w:p w14:paraId="2DFEC36E" w14:textId="77777777" w:rsidR="00070F33" w:rsidRPr="00040BEC" w:rsidRDefault="00070F33" w:rsidP="00070F33">
      <w:pPr>
        <w:pStyle w:val="ECCParagraph"/>
        <w:ind w:left="720"/>
      </w:pPr>
      <w:r w:rsidRPr="00040BEC">
        <w:t>The 2010-2025 MHz band is directly adjacent to the 2025-2110 MHz band that is already part of the tuning range for video PMSE applications, and indeed 2010-2015 MHz is already included in the available frequencies for video PMSE in certain CEPT countries. Extending the tuning range for video links and cordless cameras into the unpaired 2 GHz bands would allow opportunities for both PMSE and ad-hoc PPDR usage.</w:t>
      </w:r>
    </w:p>
    <w:p w14:paraId="219C0DB5" w14:textId="77777777" w:rsidR="00070F33" w:rsidRPr="00040BEC" w:rsidRDefault="00070F33" w:rsidP="00070F33">
      <w:pPr>
        <w:pStyle w:val="ECCParagraph"/>
        <w:ind w:left="720"/>
      </w:pPr>
      <w:r w:rsidRPr="00040BEC">
        <w:t>For ad-hoc PPDR, other frequency options are also under discussion in CEPT.</w:t>
      </w:r>
    </w:p>
    <w:p w14:paraId="7AC69BD0" w14:textId="77777777" w:rsidR="00070F33" w:rsidRPr="00040BEC" w:rsidRDefault="00070F33" w:rsidP="00070F33">
      <w:pPr>
        <w:pStyle w:val="ECCParagraph"/>
        <w:ind w:left="720"/>
      </w:pPr>
      <w:r w:rsidRPr="00040BEC">
        <w:t xml:space="preserve">The unpaired 2GHz bands may ultimately offer only a small amount of available spectrum for ad-hoc PPDR and practical difficulties of sharing with PMSE </w:t>
      </w:r>
      <w:proofErr w:type="gramStart"/>
      <w:r w:rsidRPr="00040BEC">
        <w:t>are envisaged</w:t>
      </w:r>
      <w:proofErr w:type="gramEnd"/>
      <w:r w:rsidRPr="00040BEC">
        <w:t xml:space="preserve"> in unplanned event situations. Technology issues may also arise due to the different trends towards using DVB-based technology in the PMSE community for video links and LTE-based technologies for BB-PPDR solutions. The amount of support expressed for ad-hoc PPDR solutions in the Call for Inputs has been very limited. Nevertheless, the bundling of video links and cordless cameras under a co-ordinated approach leaves the door open for dedicated ad-hoc PPDR broadband applications in the 2 GHz unpaired bands under the same technical environment.</w:t>
      </w:r>
    </w:p>
    <w:p w14:paraId="30546A35" w14:textId="77777777" w:rsidR="00070F33" w:rsidRPr="00040BEC" w:rsidRDefault="00070F33" w:rsidP="00070F33">
      <w:pPr>
        <w:pStyle w:val="ECCParagraph"/>
        <w:ind w:left="720"/>
      </w:pPr>
      <w:r w:rsidRPr="00040BEC">
        <w:t xml:space="preserve">During the Call for Inputs, all PMSE proponents indicated that they do not consider that PMSE can share with unlicensed applications such as DECT/SRD. Usage of these license-free devices in the same band where essential PMSE professional services </w:t>
      </w:r>
      <w:proofErr w:type="gramStart"/>
      <w:r w:rsidRPr="00040BEC">
        <w:t>are being deployed</w:t>
      </w:r>
      <w:proofErr w:type="gramEnd"/>
      <w:r w:rsidRPr="00040BEC">
        <w:t xml:space="preserve"> impairs the error free use of these professional services. This notion </w:t>
      </w:r>
      <w:proofErr w:type="gramStart"/>
      <w:r w:rsidRPr="00040BEC">
        <w:t>has also been provided</w:t>
      </w:r>
      <w:proofErr w:type="gramEnd"/>
      <w:r w:rsidRPr="00040BEC">
        <w:t xml:space="preserve"> by the one response from a PPDR solutions provider. </w:t>
      </w:r>
    </w:p>
    <w:p w14:paraId="317B3F9B" w14:textId="77777777" w:rsidR="00070F33" w:rsidRPr="00040BEC" w:rsidRDefault="00070F33" w:rsidP="00070F33">
      <w:pPr>
        <w:pStyle w:val="ECCParagraph"/>
        <w:ind w:left="720"/>
      </w:pPr>
      <w:r w:rsidRPr="00040BEC">
        <w:t xml:space="preserve">Within the VLCC </w:t>
      </w:r>
      <w:r w:rsidR="00DD7F0E" w:rsidRPr="00040BEC">
        <w:t>category</w:t>
      </w:r>
      <w:r w:rsidRPr="00040BEC">
        <w:t xml:space="preserve">, coordination between PMSE and ad-hoc PPDR is essential for an </w:t>
      </w:r>
      <w:r w:rsidRPr="00040BEC">
        <w:rPr>
          <w:rFonts w:cs="Arial"/>
          <w:lang w:eastAsia="de-DE"/>
        </w:rPr>
        <w:t>optimised scenario between those two uses of the proposed shortlist, in order to profit from the synergies between them.</w:t>
      </w:r>
      <w:r w:rsidRPr="00040BEC">
        <w:t xml:space="preserve"> The UK’s experience on such a coordination process, currently in place, </w:t>
      </w:r>
      <w:proofErr w:type="gramStart"/>
      <w:r w:rsidRPr="00040BEC">
        <w:t>is presented</w:t>
      </w:r>
      <w:proofErr w:type="gramEnd"/>
      <w:r w:rsidRPr="00040BEC">
        <w:t xml:space="preserve"> below:</w:t>
      </w:r>
    </w:p>
    <w:p w14:paraId="6043FAAB" w14:textId="77777777" w:rsidR="00070F33" w:rsidRPr="00040BEC" w:rsidRDefault="00070F33" w:rsidP="00070F33">
      <w:pPr>
        <w:pStyle w:val="ECCParagraph"/>
        <w:ind w:left="1440"/>
      </w:pPr>
      <w:r w:rsidRPr="00040BEC">
        <w:t xml:space="preserve">For a number of major events the supply of spectrum allocated for PMSE is not sufficient to meet the demands of the event itself, e.g. British Grand Prix, Open golf Championship, National events etc. In these circumstances, it is necessary to source additional spectrum from alternative bands and users. In the United </w:t>
      </w:r>
      <w:proofErr w:type="gramStart"/>
      <w:r w:rsidRPr="00040BEC">
        <w:t>Kingdom</w:t>
      </w:r>
      <w:proofErr w:type="gramEnd"/>
      <w:r w:rsidRPr="00040BEC">
        <w:t xml:space="preserve"> it is common to source and coordinate additional spectrum for PMSE from the PPDR services.</w:t>
      </w:r>
    </w:p>
    <w:p w14:paraId="2AF45866" w14:textId="77777777" w:rsidR="00070F33" w:rsidRPr="00040BEC" w:rsidRDefault="00070F33" w:rsidP="00070F33">
      <w:pPr>
        <w:pStyle w:val="ECCParagraph"/>
        <w:ind w:left="1440"/>
      </w:pPr>
      <w:r w:rsidRPr="00040BEC">
        <w:t xml:space="preserve">An example of this is wireless camera use in the band 2302-2380 MHz that </w:t>
      </w:r>
      <w:proofErr w:type="gramStart"/>
      <w:r w:rsidRPr="00040BEC">
        <w:t>is currently allocated</w:t>
      </w:r>
      <w:proofErr w:type="gramEnd"/>
      <w:r w:rsidRPr="00040BEC">
        <w:t xml:space="preserve"> to PPDR. For </w:t>
      </w:r>
      <w:proofErr w:type="gramStart"/>
      <w:r w:rsidRPr="00040BEC">
        <w:t>peak</w:t>
      </w:r>
      <w:proofErr w:type="gramEnd"/>
      <w:r w:rsidRPr="00040BEC">
        <w:t xml:space="preserve"> demand events where PMSE spectrum demand cannot be met from that allocated to PMSE access to 2302-2380 MHz is often arranged in order to supplement the PMSE core bands.</w:t>
      </w:r>
    </w:p>
    <w:p w14:paraId="7AF01891" w14:textId="77777777" w:rsidR="00070F33" w:rsidRPr="00040BEC" w:rsidRDefault="00070F33" w:rsidP="00070F33">
      <w:pPr>
        <w:pStyle w:val="ECCParagraph"/>
        <w:ind w:left="1440"/>
      </w:pPr>
      <w:r w:rsidRPr="00040BEC">
        <w:lastRenderedPageBreak/>
        <w:t>In addition, there are some circumstances where PPDR may require supplementary spectrum and there are arrangements in place whereby PPDR services can coordinate access to spectrum allocated to PMSE.</w:t>
      </w:r>
    </w:p>
    <w:p w14:paraId="67EB78DF" w14:textId="77777777" w:rsidR="00070F33" w:rsidRPr="00040BEC" w:rsidRDefault="00070F33" w:rsidP="00070F33">
      <w:pPr>
        <w:pStyle w:val="ECCParagraph"/>
        <w:ind w:left="1440"/>
      </w:pPr>
      <w:r w:rsidRPr="00040BEC">
        <w:t xml:space="preserve">The UK’s experience shows that the need for supplementary spectrum for PMSE or PPDR does not generally occur for the same event i.e. when there is excessive demand for PMSE spectrum at an event PPDR interest is low and vice versa. If this is not the </w:t>
      </w:r>
      <w:proofErr w:type="gramStart"/>
      <w:r w:rsidRPr="00040BEC">
        <w:t>case</w:t>
      </w:r>
      <w:proofErr w:type="gramEnd"/>
      <w:r w:rsidRPr="00040BEC">
        <w:t xml:space="preserve"> a significant effort is put in to coordinating and accommodating the conflicting requirements. Should an emergency occur at an event where PMSE is utilising PPDR spectrum it is our view that the event itself would be unlikely to continue and spectrum would </w:t>
      </w:r>
      <w:proofErr w:type="gramStart"/>
      <w:r w:rsidRPr="00040BEC">
        <w:t>revert back</w:t>
      </w:r>
      <w:proofErr w:type="gramEnd"/>
      <w:r w:rsidRPr="00040BEC">
        <w:t xml:space="preserve"> to PPDR.</w:t>
      </w:r>
    </w:p>
    <w:p w14:paraId="4F88E923" w14:textId="77777777" w:rsidR="00070F33" w:rsidRPr="00040BEC" w:rsidRDefault="00070F33" w:rsidP="00070F33">
      <w:pPr>
        <w:pStyle w:val="ECCParagraph"/>
        <w:ind w:left="1440"/>
      </w:pPr>
      <w:r w:rsidRPr="00040BEC">
        <w:t xml:space="preserve">It </w:t>
      </w:r>
      <w:proofErr w:type="gramStart"/>
      <w:r w:rsidRPr="00040BEC">
        <w:t>is highlighted</w:t>
      </w:r>
      <w:proofErr w:type="gramEnd"/>
      <w:r w:rsidRPr="00040BEC">
        <w:t xml:space="preserve"> that PMSE can only access PPDR spectrum where use for PPDR is intermittent in both location and time thereby affording PMSE the opportunity to interleave with PPDR use. Similarly, PPDR access to PMSE spectrum is for applications that are specific to a particular time and location so can be coordinated with PMSE requirements. In the event that the unpaired 2 GHz spectrum </w:t>
      </w:r>
      <w:proofErr w:type="gramStart"/>
      <w:r w:rsidRPr="00040BEC">
        <w:t>was made</w:t>
      </w:r>
      <w:proofErr w:type="gramEnd"/>
      <w:r w:rsidRPr="00040BEC">
        <w:t xml:space="preserve"> available for ‘always on, everywhere’ use by PPDR there would be no opportunity for PMSE to share access. </w:t>
      </w:r>
    </w:p>
    <w:p w14:paraId="5264D3A8" w14:textId="77777777" w:rsidR="00070F33" w:rsidRPr="00040BEC" w:rsidRDefault="00070F33" w:rsidP="00BE115C">
      <w:pPr>
        <w:pStyle w:val="ECCParagraph"/>
        <w:numPr>
          <w:ilvl w:val="0"/>
          <w:numId w:val="27"/>
        </w:numPr>
        <w:rPr>
          <w:rFonts w:cs="Arial"/>
          <w:b/>
          <w:lang w:eastAsia="de-DE"/>
        </w:rPr>
      </w:pPr>
      <w:r w:rsidRPr="00040BEC">
        <w:rPr>
          <w:b/>
        </w:rPr>
        <w:t>Conclusions</w:t>
      </w:r>
    </w:p>
    <w:p w14:paraId="0118BC1C" w14:textId="4CD85F0A" w:rsidR="00070F33" w:rsidRPr="00040BEC" w:rsidRDefault="007035C3" w:rsidP="00070F33">
      <w:pPr>
        <w:pStyle w:val="ECCParagraph"/>
        <w:ind w:left="720"/>
        <w:rPr>
          <w:rFonts w:cs="Arial"/>
          <w:lang w:eastAsia="de-DE"/>
        </w:rPr>
      </w:pPr>
      <w:proofErr w:type="gramStart"/>
      <w:r w:rsidRPr="00040BEC">
        <w:rPr>
          <w:rFonts w:cs="Arial"/>
          <w:lang w:eastAsia="de-DE"/>
        </w:rPr>
        <w:t>Due to</w:t>
      </w:r>
      <w:r w:rsidR="00070F33" w:rsidRPr="00040BEC">
        <w:rPr>
          <w:rFonts w:cs="Arial"/>
          <w:lang w:eastAsia="de-DE"/>
        </w:rPr>
        <w:t xml:space="preserve"> the synergies between DECT and SRD and between video PMSE and certain ad-hoc PPDR applications, the </w:t>
      </w:r>
      <w:r w:rsidR="00070F33" w:rsidRPr="00040BEC">
        <w:t xml:space="preserve">shortlist indicated in the EC Mandate, composed of five potential harmonised uses of the 1900-1920 MHz and 2010-2025 MHz frequency bands (DA2GC, PMSE, PPDR, DECT and SRD), is considered to be adequately studied by using three usage </w:t>
      </w:r>
      <w:r w:rsidR="00F72E57" w:rsidRPr="00040BEC">
        <w:t>categories</w:t>
      </w:r>
      <w:r w:rsidR="00070F33" w:rsidRPr="00040BEC">
        <w:t xml:space="preserve"> as presented in the following </w:t>
      </w:r>
      <w:r w:rsidR="00190B71" w:rsidRPr="00040BEC">
        <w:fldChar w:fldCharType="begin"/>
      </w:r>
      <w:r w:rsidR="00190B71" w:rsidRPr="00040BEC">
        <w:instrText xml:space="preserve"> REF _Ref412119894 \h </w:instrText>
      </w:r>
      <w:r w:rsidR="00190B71" w:rsidRPr="00040BEC">
        <w:fldChar w:fldCharType="separate"/>
      </w:r>
      <w:r w:rsidR="002327BB" w:rsidRPr="00040BEC">
        <w:t xml:space="preserve">Figure </w:t>
      </w:r>
      <w:r w:rsidR="002327BB">
        <w:rPr>
          <w:noProof/>
        </w:rPr>
        <w:t>11</w:t>
      </w:r>
      <w:r w:rsidR="00190B71" w:rsidRPr="00040BEC">
        <w:fldChar w:fldCharType="end"/>
      </w:r>
      <w:r w:rsidR="00070F33" w:rsidRPr="00040BEC">
        <w:t>.</w:t>
      </w:r>
      <w:proofErr w:type="gramEnd"/>
    </w:p>
    <w:p w14:paraId="2CF53D1D" w14:textId="77777777" w:rsidR="00070F33" w:rsidRPr="00040BEC" w:rsidRDefault="007C40FF" w:rsidP="00070F33">
      <w:pPr>
        <w:pStyle w:val="ECCParagraph"/>
        <w:ind w:left="720"/>
        <w:rPr>
          <w:rFonts w:cs="Arial"/>
          <w:lang w:eastAsia="de-DE"/>
        </w:rPr>
      </w:pPr>
      <w:r w:rsidRPr="00040BEC">
        <w:rPr>
          <w:rFonts w:cs="Arial"/>
          <w:noProof/>
          <w:lang w:val="da-DK" w:eastAsia="da-DK"/>
        </w:rPr>
        <w:drawing>
          <wp:inline distT="0" distB="0" distL="0" distR="0" wp14:anchorId="3959D583" wp14:editId="4660D550">
            <wp:extent cx="5489962" cy="1272209"/>
            <wp:effectExtent l="0" t="19050" r="15875" b="4445"/>
            <wp:docPr id="8" name="Diagram 1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1" r:lo="rId22" r:qs="rId23" r:cs="rId24"/>
              </a:graphicData>
            </a:graphic>
          </wp:inline>
        </w:drawing>
      </w:r>
    </w:p>
    <w:p w14:paraId="57364B31" w14:textId="77777777" w:rsidR="00070F33" w:rsidRPr="00040BEC" w:rsidRDefault="00070F33" w:rsidP="00070F33">
      <w:pPr>
        <w:pStyle w:val="Caption"/>
        <w:ind w:left="360"/>
        <w:rPr>
          <w:szCs w:val="24"/>
          <w:lang w:val="en-GB"/>
        </w:rPr>
      </w:pPr>
      <w:bookmarkStart w:id="46" w:name="_Ref412119894"/>
      <w:r w:rsidRPr="00040BEC">
        <w:rPr>
          <w:lang w:val="en-GB"/>
        </w:rPr>
        <w:t xml:space="preserve">Figure </w:t>
      </w:r>
      <w:r w:rsidR="000A5980" w:rsidRPr="00040BEC">
        <w:rPr>
          <w:lang w:val="en-GB"/>
        </w:rPr>
        <w:fldChar w:fldCharType="begin"/>
      </w:r>
      <w:r w:rsidRPr="00040BEC">
        <w:rPr>
          <w:lang w:val="en-GB"/>
        </w:rPr>
        <w:instrText xml:space="preserve"> SEQ Figure \* ARABIC </w:instrText>
      </w:r>
      <w:r w:rsidR="000A5980" w:rsidRPr="00040BEC">
        <w:rPr>
          <w:lang w:val="en-GB"/>
        </w:rPr>
        <w:fldChar w:fldCharType="separate"/>
      </w:r>
      <w:r w:rsidR="002327BB">
        <w:rPr>
          <w:noProof/>
          <w:lang w:val="en-GB"/>
        </w:rPr>
        <w:t>11</w:t>
      </w:r>
      <w:r w:rsidR="000A5980" w:rsidRPr="00040BEC">
        <w:rPr>
          <w:lang w:val="en-GB"/>
        </w:rPr>
        <w:fldChar w:fldCharType="end"/>
      </w:r>
      <w:bookmarkEnd w:id="46"/>
      <w:r w:rsidRPr="00040BEC">
        <w:rPr>
          <w:lang w:val="en-GB"/>
        </w:rPr>
        <w:t xml:space="preserve">: </w:t>
      </w:r>
      <w:r w:rsidRPr="00040BEC">
        <w:rPr>
          <w:szCs w:val="24"/>
          <w:lang w:val="en-GB"/>
        </w:rPr>
        <w:t>Synergies amongst the proposed short list of selected use</w:t>
      </w:r>
    </w:p>
    <w:p w14:paraId="73E80EF9" w14:textId="34290F34" w:rsidR="00766EB0" w:rsidRPr="00040BEC" w:rsidRDefault="00070F33" w:rsidP="004F12A1">
      <w:pPr>
        <w:pStyle w:val="ECCParagraph"/>
        <w:ind w:left="720"/>
      </w:pPr>
      <w:r w:rsidRPr="00040BEC">
        <w:rPr>
          <w:rFonts w:cs="Arial"/>
          <w:lang w:eastAsia="de-DE"/>
        </w:rPr>
        <w:t xml:space="preserve">As a result, the compatibility / sharing scenarios that </w:t>
      </w:r>
      <w:proofErr w:type="gramStart"/>
      <w:r w:rsidRPr="00040BEC">
        <w:rPr>
          <w:rFonts w:cs="Arial"/>
          <w:lang w:eastAsia="de-DE"/>
        </w:rPr>
        <w:t>are being studied</w:t>
      </w:r>
      <w:proofErr w:type="gramEnd"/>
      <w:r w:rsidRPr="00040BEC">
        <w:rPr>
          <w:rFonts w:cs="Arial"/>
          <w:lang w:eastAsia="de-DE"/>
        </w:rPr>
        <w:t xml:space="preserve"> within the aim of </w:t>
      </w:r>
      <w:r w:rsidRPr="00040BEC">
        <w:rPr>
          <w:szCs w:val="20"/>
        </w:rPr>
        <w:t>the outline of the response to the Commission</w:t>
      </w:r>
      <w:r w:rsidRPr="00040BEC">
        <w:rPr>
          <w:rFonts w:cs="Arial"/>
          <w:lang w:eastAsia="de-DE"/>
        </w:rPr>
        <w:t xml:space="preserve"> consider as a basis the three usage </w:t>
      </w:r>
      <w:r w:rsidR="00F72E57" w:rsidRPr="00040BEC">
        <w:t>categories</w:t>
      </w:r>
      <w:r w:rsidRPr="00040BEC">
        <w:rPr>
          <w:rFonts w:cs="Arial"/>
          <w:lang w:eastAsia="de-DE"/>
        </w:rPr>
        <w:t xml:space="preserve"> set out in </w:t>
      </w:r>
      <w:r w:rsidR="00190B71" w:rsidRPr="00040BEC">
        <w:rPr>
          <w:rFonts w:cs="Arial"/>
          <w:lang w:eastAsia="de-DE"/>
        </w:rPr>
        <w:fldChar w:fldCharType="begin"/>
      </w:r>
      <w:r w:rsidR="00190B71" w:rsidRPr="00040BEC">
        <w:rPr>
          <w:rFonts w:cs="Arial"/>
          <w:lang w:eastAsia="de-DE"/>
        </w:rPr>
        <w:instrText xml:space="preserve"> REF _Ref412119894 \h </w:instrText>
      </w:r>
      <w:r w:rsidR="00190B71" w:rsidRPr="00040BEC">
        <w:rPr>
          <w:rFonts w:cs="Arial"/>
          <w:lang w:eastAsia="de-DE"/>
        </w:rPr>
      </w:r>
      <w:r w:rsidR="00190B71" w:rsidRPr="00040BEC">
        <w:rPr>
          <w:rFonts w:cs="Arial"/>
          <w:lang w:eastAsia="de-DE"/>
        </w:rPr>
        <w:fldChar w:fldCharType="separate"/>
      </w:r>
      <w:r w:rsidR="002327BB" w:rsidRPr="00040BEC">
        <w:t xml:space="preserve">Figure </w:t>
      </w:r>
      <w:r w:rsidR="002327BB">
        <w:rPr>
          <w:noProof/>
        </w:rPr>
        <w:t>11</w:t>
      </w:r>
      <w:r w:rsidR="00190B71" w:rsidRPr="00040BEC">
        <w:rPr>
          <w:rFonts w:cs="Arial"/>
          <w:lang w:eastAsia="de-DE"/>
        </w:rPr>
        <w:fldChar w:fldCharType="end"/>
      </w:r>
      <w:r w:rsidRPr="00040BEC">
        <w:rPr>
          <w:rFonts w:cs="Arial"/>
          <w:lang w:eastAsia="de-DE"/>
        </w:rPr>
        <w:t>.</w:t>
      </w:r>
      <w:bookmarkStart w:id="47" w:name="_Toc366675066"/>
      <w:bookmarkStart w:id="48" w:name="_Toc366675343"/>
      <w:bookmarkStart w:id="49" w:name="_Toc366675711"/>
      <w:bookmarkEnd w:id="47"/>
      <w:bookmarkEnd w:id="48"/>
      <w:bookmarkEnd w:id="49"/>
      <w:r w:rsidR="00766EB0" w:rsidRPr="00040BEC">
        <w:br w:type="page"/>
      </w:r>
    </w:p>
    <w:p w14:paraId="289366F6" w14:textId="77777777" w:rsidR="00766EB0" w:rsidRPr="00040BEC" w:rsidRDefault="001F03EE" w:rsidP="00176CF0">
      <w:pPr>
        <w:pStyle w:val="Heading1"/>
      </w:pPr>
      <w:bookmarkStart w:id="50" w:name="_Toc396904002"/>
      <w:bookmarkStart w:id="51" w:name="_Toc445129319"/>
      <w:bookmarkStart w:id="52" w:name="_Toc368435957"/>
      <w:bookmarkStart w:id="53" w:name="_Ref380054058"/>
      <w:bookmarkStart w:id="54" w:name="_Ref355341837"/>
      <w:bookmarkStart w:id="55" w:name="_Ref366594951"/>
      <w:r w:rsidRPr="00040BEC">
        <w:lastRenderedPageBreak/>
        <w:t>Compatibility with existing services/applications in the bands adjacent to the unpaired 2 GH</w:t>
      </w:r>
      <w:r w:rsidRPr="00040BEC">
        <w:rPr>
          <w:sz w:val="16"/>
        </w:rPr>
        <w:t>z</w:t>
      </w:r>
      <w:r w:rsidRPr="00040BEC">
        <w:t xml:space="preserve"> bands</w:t>
      </w:r>
      <w:bookmarkEnd w:id="50"/>
      <w:bookmarkEnd w:id="51"/>
      <w:r w:rsidRPr="00040BEC" w:rsidDel="001F03EE">
        <w:t xml:space="preserve"> </w:t>
      </w:r>
      <w:bookmarkEnd w:id="52"/>
      <w:bookmarkEnd w:id="53"/>
      <w:r w:rsidR="00766EB0" w:rsidRPr="00040BEC">
        <w:t xml:space="preserve"> </w:t>
      </w:r>
    </w:p>
    <w:p w14:paraId="39E1B2A0" w14:textId="77777777" w:rsidR="00070F33" w:rsidRPr="00040BEC" w:rsidRDefault="00070F33" w:rsidP="00070F33">
      <w:pPr>
        <w:pStyle w:val="ECCParagraph"/>
        <w:ind w:left="432"/>
      </w:pPr>
      <w:bookmarkStart w:id="56" w:name="_Toc368435958"/>
      <w:r w:rsidRPr="00040BEC">
        <w:t xml:space="preserve">For the three usage </w:t>
      </w:r>
      <w:r w:rsidR="00F72E57" w:rsidRPr="00040BEC">
        <w:t>categories</w:t>
      </w:r>
      <w:r w:rsidRPr="00040BEC">
        <w:t xml:space="preserve">, DA2GC, VLCC and DECT/SRD, adjacent spectrum compatibility is important with the radio services and applications in the adjacent bands. </w:t>
      </w:r>
    </w:p>
    <w:p w14:paraId="228E7400" w14:textId="77777777" w:rsidR="00070F33" w:rsidRPr="00040BEC" w:rsidRDefault="00531617" w:rsidP="00070F33">
      <w:pPr>
        <w:pStyle w:val="ECCParagraph"/>
        <w:ind w:left="432"/>
      </w:pPr>
      <w:r w:rsidRPr="00040BEC">
        <w:rPr>
          <w:noProof/>
          <w:lang w:val="da-DK" w:eastAsia="da-DK"/>
        </w:rPr>
        <mc:AlternateContent>
          <mc:Choice Requires="wpc">
            <w:drawing>
              <wp:inline distT="0" distB="0" distL="0" distR="0" wp14:anchorId="0BE425EC" wp14:editId="4A8F89A1">
                <wp:extent cx="5486400" cy="5361940"/>
                <wp:effectExtent l="0" t="0" r="0" b="635"/>
                <wp:docPr id="59" name="Canvas 27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277" name="Rectangle 279"/>
                        <wps:cNvSpPr>
                          <a:spLocks noChangeArrowheads="1"/>
                        </wps:cNvSpPr>
                        <wps:spPr bwMode="auto">
                          <a:xfrm>
                            <a:off x="1799500" y="358403"/>
                            <a:ext cx="2201900" cy="307202"/>
                          </a:xfrm>
                          <a:prstGeom prst="rect">
                            <a:avLst/>
                          </a:prstGeom>
                          <a:solidFill>
                            <a:srgbClr val="FFFF00"/>
                          </a:solidFill>
                          <a:ln w="9525">
                            <a:solidFill>
                              <a:schemeClr val="tx1">
                                <a:lumMod val="100000"/>
                                <a:lumOff val="0"/>
                              </a:schemeClr>
                            </a:solidFill>
                            <a:miter lim="800000"/>
                            <a:headEnd/>
                            <a:tailEnd/>
                          </a:ln>
                          <a:effectLst>
                            <a:outerShdw dist="23000" dir="5400000" rotWithShape="0">
                              <a:srgbClr val="000000">
                                <a:alpha val="34998"/>
                              </a:srgbClr>
                            </a:outerShdw>
                          </a:effectLst>
                        </wps:spPr>
                        <wps:txbx>
                          <w:txbxContent>
                            <w:p w14:paraId="148F3C83" w14:textId="77777777" w:rsidR="00DA7779" w:rsidRPr="00CC0389" w:rsidRDefault="00DA7779" w:rsidP="00070F33">
                              <w:pPr>
                                <w:pStyle w:val="NormalWeb"/>
                                <w:spacing w:before="0" w:beforeAutospacing="0" w:after="0" w:afterAutospacing="0"/>
                                <w:jc w:val="center"/>
                                <w:rPr>
                                  <w:color w:val="000000" w:themeColor="text1"/>
                                </w:rPr>
                              </w:pPr>
                              <w:r w:rsidRPr="00CC0389">
                                <w:rPr>
                                  <w:rFonts w:ascii="Arial" w:hAnsi="Arial"/>
                                  <w:color w:val="000000" w:themeColor="text1"/>
                                  <w:sz w:val="20"/>
                                  <w:szCs w:val="20"/>
                                </w:rPr>
                                <w:t>DECT</w:t>
                              </w:r>
                            </w:p>
                          </w:txbxContent>
                        </wps:txbx>
                        <wps:bodyPr rot="0" vert="horz" wrap="square" lIns="91440" tIns="45720" rIns="91440" bIns="45720" anchor="ctr" anchorCtr="0" upright="1">
                          <a:noAutofit/>
                        </wps:bodyPr>
                      </wps:wsp>
                      <wps:wsp>
                        <wps:cNvPr id="278" name="Rectangle 280"/>
                        <wps:cNvSpPr>
                          <a:spLocks noChangeArrowheads="1"/>
                        </wps:cNvSpPr>
                        <wps:spPr bwMode="auto">
                          <a:xfrm>
                            <a:off x="1796600" y="662805"/>
                            <a:ext cx="2201600" cy="306702"/>
                          </a:xfrm>
                          <a:prstGeom prst="rect">
                            <a:avLst/>
                          </a:prstGeom>
                          <a:solidFill>
                            <a:srgbClr val="FF0000"/>
                          </a:solidFill>
                          <a:ln w="9525">
                            <a:solidFill>
                              <a:schemeClr val="tx1">
                                <a:lumMod val="100000"/>
                                <a:lumOff val="0"/>
                              </a:schemeClr>
                            </a:solidFill>
                            <a:miter lim="800000"/>
                            <a:headEnd/>
                            <a:tailEnd/>
                          </a:ln>
                          <a:effectLst>
                            <a:outerShdw dist="23000" dir="5400000" rotWithShape="0">
                              <a:srgbClr val="000000">
                                <a:alpha val="34998"/>
                              </a:srgbClr>
                            </a:outerShdw>
                          </a:effectLst>
                        </wps:spPr>
                        <wps:txbx>
                          <w:txbxContent>
                            <w:p w14:paraId="6B5F0D23" w14:textId="77777777" w:rsidR="00DA7779" w:rsidRPr="00CC0389" w:rsidRDefault="00DA7779" w:rsidP="00070F33">
                              <w:pPr>
                                <w:pStyle w:val="NormalWeb"/>
                                <w:spacing w:before="0" w:beforeAutospacing="0" w:after="0" w:afterAutospacing="0"/>
                                <w:jc w:val="center"/>
                              </w:pPr>
                              <w:r>
                                <w:rPr>
                                  <w:rFonts w:ascii="Arial" w:hAnsi="Arial"/>
                                  <w:sz w:val="20"/>
                                  <w:szCs w:val="20"/>
                                </w:rPr>
                                <w:t>Unpaired 2 GHz</w:t>
                              </w:r>
                            </w:p>
                          </w:txbxContent>
                        </wps:txbx>
                        <wps:bodyPr rot="0" vert="horz" wrap="square" lIns="91440" tIns="45720" rIns="91440" bIns="45720" anchor="ctr" anchorCtr="0" upright="1">
                          <a:noAutofit/>
                        </wps:bodyPr>
                      </wps:wsp>
                      <wps:wsp>
                        <wps:cNvPr id="279" name="Rectangle 281"/>
                        <wps:cNvSpPr>
                          <a:spLocks noChangeArrowheads="1"/>
                        </wps:cNvSpPr>
                        <wps:spPr bwMode="auto">
                          <a:xfrm>
                            <a:off x="1799500" y="972907"/>
                            <a:ext cx="2201500" cy="918207"/>
                          </a:xfrm>
                          <a:prstGeom prst="rect">
                            <a:avLst/>
                          </a:prstGeom>
                          <a:solidFill>
                            <a:srgbClr val="9933FF"/>
                          </a:solidFill>
                          <a:ln w="9525">
                            <a:solidFill>
                              <a:schemeClr val="tx1">
                                <a:lumMod val="100000"/>
                                <a:lumOff val="0"/>
                              </a:schemeClr>
                            </a:solidFill>
                            <a:miter lim="800000"/>
                            <a:headEnd/>
                            <a:tailEnd/>
                          </a:ln>
                          <a:effectLst>
                            <a:outerShdw dist="23000" dir="5400000" rotWithShape="0">
                              <a:srgbClr val="000000">
                                <a:alpha val="34998"/>
                              </a:srgbClr>
                            </a:outerShdw>
                          </a:effectLst>
                        </wps:spPr>
                        <wps:txbx>
                          <w:txbxContent>
                            <w:p w14:paraId="50F45E80" w14:textId="77777777" w:rsidR="00DA7779" w:rsidRPr="00CC0389" w:rsidRDefault="00DA7779" w:rsidP="00070F33">
                              <w:pPr>
                                <w:pStyle w:val="NormalWeb"/>
                                <w:spacing w:before="0" w:beforeAutospacing="0" w:after="0" w:afterAutospacing="0"/>
                                <w:jc w:val="center"/>
                              </w:pPr>
                              <w:r w:rsidRPr="00CC0389">
                                <w:rPr>
                                  <w:rFonts w:ascii="Arial" w:hAnsi="Arial"/>
                                  <w:sz w:val="20"/>
                                  <w:szCs w:val="20"/>
                                </w:rPr>
                                <w:t>UMTS (FDD uplink)</w:t>
                              </w:r>
                            </w:p>
                          </w:txbxContent>
                        </wps:txbx>
                        <wps:bodyPr rot="0" vert="horz" wrap="square" lIns="91440" tIns="45720" rIns="91440" bIns="45720" anchor="ctr" anchorCtr="0" upright="1">
                          <a:noAutofit/>
                        </wps:bodyPr>
                      </wps:wsp>
                      <wps:wsp>
                        <wps:cNvPr id="280" name="Rectangle 282"/>
                        <wps:cNvSpPr>
                          <a:spLocks noChangeArrowheads="1"/>
                        </wps:cNvSpPr>
                        <wps:spPr bwMode="auto">
                          <a:xfrm>
                            <a:off x="1803900" y="3925329"/>
                            <a:ext cx="2201600" cy="917607"/>
                          </a:xfrm>
                          <a:prstGeom prst="rect">
                            <a:avLst/>
                          </a:prstGeom>
                          <a:solidFill>
                            <a:srgbClr val="9933FF"/>
                          </a:solidFill>
                          <a:ln w="9525">
                            <a:solidFill>
                              <a:schemeClr val="tx1">
                                <a:lumMod val="100000"/>
                                <a:lumOff val="0"/>
                              </a:schemeClr>
                            </a:solidFill>
                            <a:miter lim="800000"/>
                            <a:headEnd/>
                            <a:tailEnd/>
                          </a:ln>
                          <a:effectLst>
                            <a:outerShdw dist="23000" dir="5400000" rotWithShape="0">
                              <a:srgbClr val="000000">
                                <a:alpha val="34998"/>
                              </a:srgbClr>
                            </a:outerShdw>
                          </a:effectLst>
                        </wps:spPr>
                        <wps:txbx>
                          <w:txbxContent>
                            <w:p w14:paraId="52AC2BB7" w14:textId="77777777" w:rsidR="00DA7779" w:rsidRPr="00CC0389" w:rsidRDefault="00DA7779" w:rsidP="00070F33">
                              <w:pPr>
                                <w:pStyle w:val="NormalWeb"/>
                                <w:spacing w:before="0" w:beforeAutospacing="0" w:after="0" w:afterAutospacing="0"/>
                                <w:jc w:val="center"/>
                                <w:rPr>
                                  <w:rFonts w:ascii="Arial" w:hAnsi="Arial" w:cs="Arial"/>
                                  <w:sz w:val="20"/>
                                  <w:szCs w:val="20"/>
                                </w:rPr>
                              </w:pPr>
                              <w:r w:rsidRPr="00CC0389">
                                <w:rPr>
                                  <w:rFonts w:ascii="Arial" w:hAnsi="Arial" w:cs="Arial"/>
                                  <w:sz w:val="20"/>
                                  <w:szCs w:val="20"/>
                                </w:rPr>
                                <w:t>UMTS (FDD downlink)</w:t>
                              </w:r>
                            </w:p>
                          </w:txbxContent>
                        </wps:txbx>
                        <wps:bodyPr rot="0" vert="horz" wrap="square" lIns="91440" tIns="45720" rIns="91440" bIns="45720" anchor="ctr" anchorCtr="0" upright="1">
                          <a:noAutofit/>
                        </wps:bodyPr>
                      </wps:wsp>
                      <wps:wsp>
                        <wps:cNvPr id="281" name="Rectangle 283"/>
                        <wps:cNvSpPr>
                          <a:spLocks noChangeArrowheads="1"/>
                        </wps:cNvSpPr>
                        <wps:spPr bwMode="auto">
                          <a:xfrm>
                            <a:off x="1796600" y="1899014"/>
                            <a:ext cx="2201600" cy="463803"/>
                          </a:xfrm>
                          <a:prstGeom prst="rect">
                            <a:avLst/>
                          </a:prstGeom>
                          <a:solidFill>
                            <a:schemeClr val="tx2">
                              <a:lumMod val="40000"/>
                              <a:lumOff val="60000"/>
                            </a:schemeClr>
                          </a:solidFill>
                          <a:ln w="9525">
                            <a:solidFill>
                              <a:schemeClr val="tx1">
                                <a:lumMod val="100000"/>
                                <a:lumOff val="0"/>
                              </a:schemeClr>
                            </a:solidFill>
                            <a:miter lim="800000"/>
                            <a:headEnd/>
                            <a:tailEnd/>
                          </a:ln>
                          <a:effectLst>
                            <a:outerShdw dist="23000" dir="5400000" rotWithShape="0">
                              <a:srgbClr val="000000">
                                <a:alpha val="34998"/>
                              </a:srgbClr>
                            </a:outerShdw>
                          </a:effectLst>
                        </wps:spPr>
                        <wps:txbx>
                          <w:txbxContent>
                            <w:p w14:paraId="0F2A9406" w14:textId="77777777" w:rsidR="00DA7779" w:rsidRPr="00CC0389" w:rsidRDefault="00DA7779" w:rsidP="00070F33">
                              <w:pPr>
                                <w:pStyle w:val="NormalWeb"/>
                                <w:spacing w:before="0" w:beforeAutospacing="0" w:after="0" w:afterAutospacing="0"/>
                                <w:jc w:val="center"/>
                                <w:rPr>
                                  <w:color w:val="000000" w:themeColor="text1"/>
                                </w:rPr>
                              </w:pPr>
                              <w:r>
                                <w:rPr>
                                  <w:rFonts w:ascii="Arial" w:hAnsi="Arial"/>
                                  <w:color w:val="000000" w:themeColor="text1"/>
                                  <w:sz w:val="20"/>
                                  <w:szCs w:val="20"/>
                                </w:rPr>
                                <w:t>MSS</w:t>
                              </w:r>
                            </w:p>
                          </w:txbxContent>
                        </wps:txbx>
                        <wps:bodyPr rot="0" vert="horz" wrap="square" lIns="91440" tIns="45720" rIns="91440" bIns="45720" anchor="ctr" anchorCtr="0" upright="1">
                          <a:noAutofit/>
                        </wps:bodyPr>
                      </wps:wsp>
                      <wps:wsp>
                        <wps:cNvPr id="282" name="Rectangle 284"/>
                        <wps:cNvSpPr>
                          <a:spLocks noChangeArrowheads="1"/>
                        </wps:cNvSpPr>
                        <wps:spPr bwMode="auto">
                          <a:xfrm>
                            <a:off x="1796600" y="2370118"/>
                            <a:ext cx="2201600" cy="226402"/>
                          </a:xfrm>
                          <a:prstGeom prst="rect">
                            <a:avLst/>
                          </a:prstGeom>
                          <a:solidFill>
                            <a:srgbClr val="FF0000"/>
                          </a:solidFill>
                          <a:ln w="9525">
                            <a:solidFill>
                              <a:schemeClr val="tx1">
                                <a:lumMod val="100000"/>
                                <a:lumOff val="0"/>
                              </a:schemeClr>
                            </a:solidFill>
                            <a:miter lim="800000"/>
                            <a:headEnd/>
                            <a:tailEnd/>
                          </a:ln>
                          <a:effectLst>
                            <a:outerShdw dist="23000" dir="5400000" rotWithShape="0">
                              <a:srgbClr val="000000">
                                <a:alpha val="34998"/>
                              </a:srgbClr>
                            </a:outerShdw>
                          </a:effectLst>
                        </wps:spPr>
                        <wps:txbx>
                          <w:txbxContent>
                            <w:p w14:paraId="35AFFC87" w14:textId="77777777" w:rsidR="00DA7779" w:rsidRPr="00CC0389" w:rsidRDefault="00DA7779" w:rsidP="00070F33">
                              <w:pPr>
                                <w:pStyle w:val="NormalWeb"/>
                                <w:spacing w:before="0" w:beforeAutospacing="0" w:after="0" w:afterAutospacing="0"/>
                                <w:jc w:val="center"/>
                              </w:pPr>
                              <w:r>
                                <w:rPr>
                                  <w:rFonts w:ascii="Arial" w:hAnsi="Arial"/>
                                  <w:sz w:val="20"/>
                                  <w:szCs w:val="20"/>
                                </w:rPr>
                                <w:t>Unpaired 2 GHz</w:t>
                              </w:r>
                            </w:p>
                            <w:p w14:paraId="3B778575" w14:textId="77777777" w:rsidR="00DA7779" w:rsidRPr="00DE2211" w:rsidRDefault="00DA7779" w:rsidP="00070F33">
                              <w:pPr>
                                <w:pStyle w:val="NormalWeb"/>
                                <w:spacing w:before="0" w:beforeAutospacing="0" w:after="0" w:afterAutospacing="0"/>
                                <w:jc w:val="center"/>
                              </w:pPr>
                            </w:p>
                          </w:txbxContent>
                        </wps:txbx>
                        <wps:bodyPr rot="0" vert="horz" wrap="square" lIns="91440" tIns="45720" rIns="91440" bIns="45720" anchor="ctr" anchorCtr="0" upright="1">
                          <a:noAutofit/>
                        </wps:bodyPr>
                      </wps:wsp>
                      <wps:wsp>
                        <wps:cNvPr id="283" name="Rectangle 285"/>
                        <wps:cNvSpPr>
                          <a:spLocks noChangeArrowheads="1"/>
                        </wps:cNvSpPr>
                        <wps:spPr bwMode="auto">
                          <a:xfrm>
                            <a:off x="1785800" y="2603619"/>
                            <a:ext cx="548700" cy="1316510"/>
                          </a:xfrm>
                          <a:prstGeom prst="rect">
                            <a:avLst/>
                          </a:prstGeom>
                          <a:solidFill>
                            <a:schemeClr val="bg1">
                              <a:lumMod val="85000"/>
                              <a:lumOff val="0"/>
                            </a:schemeClr>
                          </a:solidFill>
                          <a:ln w="9525">
                            <a:solidFill>
                              <a:schemeClr val="tx1">
                                <a:lumMod val="100000"/>
                                <a:lumOff val="0"/>
                              </a:schemeClr>
                            </a:solidFill>
                            <a:miter lim="800000"/>
                            <a:headEnd/>
                            <a:tailEnd/>
                          </a:ln>
                          <a:effectLst>
                            <a:outerShdw dist="23000" dir="5400000" rotWithShape="0">
                              <a:srgbClr val="000000">
                                <a:alpha val="34998"/>
                              </a:srgbClr>
                            </a:outerShdw>
                          </a:effectLst>
                        </wps:spPr>
                        <wps:txbx>
                          <w:txbxContent>
                            <w:p w14:paraId="227B5457" w14:textId="77777777" w:rsidR="00DA7779" w:rsidRPr="00880902" w:rsidRDefault="00DA7779" w:rsidP="00070F33">
                              <w:pPr>
                                <w:jc w:val="center"/>
                                <w:rPr>
                                  <w:color w:val="000000" w:themeColor="text1"/>
                                  <w:sz w:val="18"/>
                                  <w:szCs w:val="18"/>
                                </w:rPr>
                              </w:pPr>
                              <w:r w:rsidRPr="00880902">
                                <w:rPr>
                                  <w:color w:val="000000" w:themeColor="text1"/>
                                  <w:sz w:val="18"/>
                                  <w:szCs w:val="18"/>
                                </w:rPr>
                                <w:t>Space Service (SRS, SOS, EESS)</w:t>
                              </w:r>
                            </w:p>
                          </w:txbxContent>
                        </wps:txbx>
                        <wps:bodyPr rot="0" vert="vert270" wrap="square" lIns="91440" tIns="45720" rIns="91440" bIns="45720" anchor="ctr" anchorCtr="0" upright="1">
                          <a:noAutofit/>
                        </wps:bodyPr>
                      </wps:wsp>
                      <wps:wsp>
                        <wps:cNvPr id="284" name="Rectangle 286"/>
                        <wps:cNvSpPr>
                          <a:spLocks noChangeArrowheads="1"/>
                        </wps:cNvSpPr>
                        <wps:spPr bwMode="auto">
                          <a:xfrm>
                            <a:off x="3449800" y="2600819"/>
                            <a:ext cx="548000" cy="1316310"/>
                          </a:xfrm>
                          <a:prstGeom prst="rect">
                            <a:avLst/>
                          </a:prstGeom>
                          <a:solidFill>
                            <a:srgbClr val="92D050"/>
                          </a:solidFill>
                          <a:ln w="9525">
                            <a:solidFill>
                              <a:schemeClr val="tx1">
                                <a:lumMod val="100000"/>
                                <a:lumOff val="0"/>
                              </a:schemeClr>
                            </a:solidFill>
                            <a:miter lim="800000"/>
                            <a:headEnd/>
                            <a:tailEnd/>
                          </a:ln>
                          <a:effectLst>
                            <a:outerShdw dist="23000" dir="5400000" rotWithShape="0">
                              <a:srgbClr val="000000">
                                <a:alpha val="34998"/>
                              </a:srgbClr>
                            </a:outerShdw>
                          </a:effectLst>
                        </wps:spPr>
                        <wps:txbx>
                          <w:txbxContent>
                            <w:p w14:paraId="12088C07" w14:textId="77777777" w:rsidR="00DA7779" w:rsidRPr="00CC0389" w:rsidRDefault="00DA7779" w:rsidP="00070F33">
                              <w:pPr>
                                <w:jc w:val="center"/>
                                <w:rPr>
                                  <w:color w:val="000000" w:themeColor="text1"/>
                                </w:rPr>
                              </w:pPr>
                              <w:r w:rsidRPr="00CC0389">
                                <w:rPr>
                                  <w:color w:val="000000" w:themeColor="text1"/>
                                </w:rPr>
                                <w:t>Defense systems</w:t>
                              </w:r>
                            </w:p>
                          </w:txbxContent>
                        </wps:txbx>
                        <wps:bodyPr rot="0" vert="vert270" wrap="square" lIns="91440" tIns="45720" rIns="91440" bIns="45720" anchor="ctr" anchorCtr="0" upright="1">
                          <a:noAutofit/>
                        </wps:bodyPr>
                      </wps:wsp>
                      <wps:wsp>
                        <wps:cNvPr id="285" name="Rectangle 287"/>
                        <wps:cNvSpPr>
                          <a:spLocks noChangeArrowheads="1"/>
                        </wps:cNvSpPr>
                        <wps:spPr bwMode="auto">
                          <a:xfrm>
                            <a:off x="2900500" y="2606919"/>
                            <a:ext cx="548000" cy="1316310"/>
                          </a:xfrm>
                          <a:prstGeom prst="rect">
                            <a:avLst/>
                          </a:prstGeom>
                          <a:solidFill>
                            <a:srgbClr val="00B050"/>
                          </a:solidFill>
                          <a:ln w="9525">
                            <a:solidFill>
                              <a:schemeClr val="tx1">
                                <a:lumMod val="100000"/>
                                <a:lumOff val="0"/>
                              </a:schemeClr>
                            </a:solidFill>
                            <a:miter lim="800000"/>
                            <a:headEnd/>
                            <a:tailEnd/>
                          </a:ln>
                          <a:effectLst>
                            <a:outerShdw dist="23000" dir="5400000" rotWithShape="0">
                              <a:srgbClr val="000000">
                                <a:alpha val="34998"/>
                              </a:srgbClr>
                            </a:outerShdw>
                          </a:effectLst>
                        </wps:spPr>
                        <wps:txbx>
                          <w:txbxContent>
                            <w:p w14:paraId="664AB5BA" w14:textId="77777777" w:rsidR="00DA7779" w:rsidRPr="00CC0389" w:rsidRDefault="00DA7779" w:rsidP="00070F33">
                              <w:pPr>
                                <w:jc w:val="center"/>
                                <w:rPr>
                                  <w:color w:val="000000" w:themeColor="text1"/>
                                </w:rPr>
                              </w:pPr>
                              <w:r w:rsidRPr="00CC0389">
                                <w:rPr>
                                  <w:color w:val="000000" w:themeColor="text1"/>
                                </w:rPr>
                                <w:t>Fixed</w:t>
                              </w:r>
                            </w:p>
                          </w:txbxContent>
                        </wps:txbx>
                        <wps:bodyPr rot="0" vert="vert270" wrap="square" lIns="91440" tIns="45720" rIns="91440" bIns="45720" anchor="ctr" anchorCtr="0" upright="1">
                          <a:noAutofit/>
                        </wps:bodyPr>
                      </wps:wsp>
                      <wps:wsp>
                        <wps:cNvPr id="286" name="Rectangle 288"/>
                        <wps:cNvSpPr>
                          <a:spLocks noChangeArrowheads="1"/>
                        </wps:cNvSpPr>
                        <wps:spPr bwMode="auto">
                          <a:xfrm>
                            <a:off x="2343300" y="2598419"/>
                            <a:ext cx="548000" cy="1316310"/>
                          </a:xfrm>
                          <a:prstGeom prst="rect">
                            <a:avLst/>
                          </a:prstGeom>
                          <a:solidFill>
                            <a:srgbClr val="FFC000"/>
                          </a:solidFill>
                          <a:ln w="9525">
                            <a:solidFill>
                              <a:schemeClr val="tx1">
                                <a:lumMod val="100000"/>
                                <a:lumOff val="0"/>
                              </a:schemeClr>
                            </a:solidFill>
                            <a:miter lim="800000"/>
                            <a:headEnd/>
                            <a:tailEnd/>
                          </a:ln>
                          <a:effectLst>
                            <a:outerShdw dist="23000" dir="5400000" rotWithShape="0">
                              <a:srgbClr val="000000">
                                <a:alpha val="34998"/>
                              </a:srgbClr>
                            </a:outerShdw>
                          </a:effectLst>
                        </wps:spPr>
                        <wps:txbx>
                          <w:txbxContent>
                            <w:p w14:paraId="0ACBBB9C" w14:textId="77777777" w:rsidR="00DA7779" w:rsidRPr="00CC0389" w:rsidRDefault="00DA7779" w:rsidP="00070F33">
                              <w:pPr>
                                <w:jc w:val="center"/>
                                <w:rPr>
                                  <w:color w:val="000000" w:themeColor="text1"/>
                                </w:rPr>
                              </w:pPr>
                              <w:r w:rsidRPr="00CC0389">
                                <w:rPr>
                                  <w:color w:val="000000" w:themeColor="text1"/>
                                </w:rPr>
                                <w:t>PMSE</w:t>
                              </w:r>
                            </w:p>
                          </w:txbxContent>
                        </wps:txbx>
                        <wps:bodyPr rot="0" vert="vert270" wrap="square" lIns="91440" tIns="45720" rIns="91440" bIns="45720" anchor="ctr" anchorCtr="0" upright="1">
                          <a:noAutofit/>
                        </wps:bodyPr>
                      </wps:wsp>
                      <wps:wsp>
                        <wps:cNvPr id="287" name="Straight Connector 289"/>
                        <wps:cNvCnPr/>
                        <wps:spPr bwMode="auto">
                          <a:xfrm>
                            <a:off x="1792200" y="138901"/>
                            <a:ext cx="0" cy="4959737"/>
                          </a:xfrm>
                          <a:prstGeom prst="line">
                            <a:avLst/>
                          </a:prstGeom>
                          <a:noFill/>
                          <a:ln w="25400">
                            <a:solidFill>
                              <a:schemeClr val="dk1">
                                <a:lumMod val="100000"/>
                                <a:lumOff val="0"/>
                              </a:schemeClr>
                            </a:solidFill>
                            <a:round/>
                            <a:headEnd/>
                            <a:tailEnd/>
                          </a:ln>
                          <a:effectLst>
                            <a:outerShdw dist="20000" dir="5400000" rotWithShape="0">
                              <a:srgbClr val="000000">
                                <a:alpha val="37999"/>
                              </a:srgbClr>
                            </a:outerShdw>
                          </a:effectLst>
                          <a:extLst>
                            <a:ext uri="{909E8E84-426E-40DD-AFC4-6F175D3DCCD1}">
                              <a14:hiddenFill xmlns:a14="http://schemas.microsoft.com/office/drawing/2010/main">
                                <a:noFill/>
                              </a14:hiddenFill>
                            </a:ext>
                          </a:extLst>
                        </wps:spPr>
                        <wps:bodyPr/>
                      </wps:wsp>
                      <wps:wsp>
                        <wps:cNvPr id="34" name="Straight Connector 290"/>
                        <wps:cNvCnPr/>
                        <wps:spPr bwMode="auto">
                          <a:xfrm flipH="1" flipV="1">
                            <a:off x="1674400" y="356203"/>
                            <a:ext cx="117800" cy="2200"/>
                          </a:xfrm>
                          <a:prstGeom prst="line">
                            <a:avLst/>
                          </a:prstGeom>
                          <a:noFill/>
                          <a:ln w="25400">
                            <a:solidFill>
                              <a:schemeClr val="dk1">
                                <a:lumMod val="100000"/>
                                <a:lumOff val="0"/>
                              </a:schemeClr>
                            </a:solidFill>
                            <a:round/>
                            <a:headEnd/>
                            <a:tailEnd/>
                          </a:ln>
                          <a:effectLst>
                            <a:outerShdw dist="20000" dir="5400000" rotWithShape="0">
                              <a:srgbClr val="000000">
                                <a:alpha val="37999"/>
                              </a:srgbClr>
                            </a:outerShdw>
                          </a:effectLst>
                          <a:extLst>
                            <a:ext uri="{909E8E84-426E-40DD-AFC4-6F175D3DCCD1}">
                              <a14:hiddenFill xmlns:a14="http://schemas.microsoft.com/office/drawing/2010/main">
                                <a:noFill/>
                              </a14:hiddenFill>
                            </a:ext>
                          </a:extLst>
                        </wps:spPr>
                        <wps:bodyPr/>
                      </wps:wsp>
                      <wps:wsp>
                        <wps:cNvPr id="35" name="Straight Connector 292"/>
                        <wps:cNvCnPr/>
                        <wps:spPr bwMode="auto">
                          <a:xfrm flipH="1">
                            <a:off x="1697100" y="972907"/>
                            <a:ext cx="102400" cy="0"/>
                          </a:xfrm>
                          <a:prstGeom prst="line">
                            <a:avLst/>
                          </a:prstGeom>
                          <a:noFill/>
                          <a:ln w="25400">
                            <a:solidFill>
                              <a:schemeClr val="dk1">
                                <a:lumMod val="100000"/>
                                <a:lumOff val="0"/>
                              </a:schemeClr>
                            </a:solidFill>
                            <a:round/>
                            <a:headEnd/>
                            <a:tailEnd/>
                          </a:ln>
                          <a:effectLst>
                            <a:outerShdw dist="20000" dir="5400000" rotWithShape="0">
                              <a:srgbClr val="000000">
                                <a:alpha val="37999"/>
                              </a:srgbClr>
                            </a:outerShdw>
                          </a:effectLst>
                          <a:extLst>
                            <a:ext uri="{909E8E84-426E-40DD-AFC4-6F175D3DCCD1}">
                              <a14:hiddenFill xmlns:a14="http://schemas.microsoft.com/office/drawing/2010/main">
                                <a:noFill/>
                              </a14:hiddenFill>
                            </a:ext>
                          </a:extLst>
                        </wps:spPr>
                        <wps:bodyPr/>
                      </wps:wsp>
                      <wps:wsp>
                        <wps:cNvPr id="36" name="Straight Connector 293"/>
                        <wps:cNvCnPr/>
                        <wps:spPr bwMode="auto">
                          <a:xfrm flipH="1">
                            <a:off x="1697100" y="1909214"/>
                            <a:ext cx="102400" cy="0"/>
                          </a:xfrm>
                          <a:prstGeom prst="line">
                            <a:avLst/>
                          </a:prstGeom>
                          <a:noFill/>
                          <a:ln w="25400">
                            <a:solidFill>
                              <a:schemeClr val="dk1">
                                <a:lumMod val="100000"/>
                                <a:lumOff val="0"/>
                              </a:schemeClr>
                            </a:solidFill>
                            <a:round/>
                            <a:headEnd/>
                            <a:tailEnd/>
                          </a:ln>
                          <a:effectLst>
                            <a:outerShdw dist="20000" dir="5400000" rotWithShape="0">
                              <a:srgbClr val="000000">
                                <a:alpha val="37999"/>
                              </a:srgbClr>
                            </a:outerShdw>
                          </a:effectLst>
                          <a:extLst>
                            <a:ext uri="{909E8E84-426E-40DD-AFC4-6F175D3DCCD1}">
                              <a14:hiddenFill xmlns:a14="http://schemas.microsoft.com/office/drawing/2010/main">
                                <a:noFill/>
                              </a14:hiddenFill>
                            </a:ext>
                          </a:extLst>
                        </wps:spPr>
                        <wps:bodyPr/>
                      </wps:wsp>
                      <wps:wsp>
                        <wps:cNvPr id="37" name="Straight Connector 295"/>
                        <wps:cNvCnPr/>
                        <wps:spPr bwMode="auto">
                          <a:xfrm flipH="1" flipV="1">
                            <a:off x="1667800" y="2348018"/>
                            <a:ext cx="139000" cy="100"/>
                          </a:xfrm>
                          <a:prstGeom prst="line">
                            <a:avLst/>
                          </a:prstGeom>
                          <a:noFill/>
                          <a:ln w="25400">
                            <a:solidFill>
                              <a:schemeClr val="dk1">
                                <a:lumMod val="100000"/>
                                <a:lumOff val="0"/>
                              </a:schemeClr>
                            </a:solidFill>
                            <a:round/>
                            <a:headEnd/>
                            <a:tailEnd/>
                          </a:ln>
                          <a:effectLst>
                            <a:outerShdw dist="20000" dir="5400000" rotWithShape="0">
                              <a:srgbClr val="000000">
                                <a:alpha val="37999"/>
                              </a:srgbClr>
                            </a:outerShdw>
                          </a:effectLst>
                          <a:extLst>
                            <a:ext uri="{909E8E84-426E-40DD-AFC4-6F175D3DCCD1}">
                              <a14:hiddenFill xmlns:a14="http://schemas.microsoft.com/office/drawing/2010/main">
                                <a:noFill/>
                              </a14:hiddenFill>
                            </a:ext>
                          </a:extLst>
                        </wps:spPr>
                        <wps:bodyPr/>
                      </wps:wsp>
                      <wps:wsp>
                        <wps:cNvPr id="38" name="Straight Connector 296"/>
                        <wps:cNvCnPr/>
                        <wps:spPr bwMode="auto">
                          <a:xfrm flipH="1">
                            <a:off x="1682400" y="2604219"/>
                            <a:ext cx="109800" cy="0"/>
                          </a:xfrm>
                          <a:prstGeom prst="line">
                            <a:avLst/>
                          </a:prstGeom>
                          <a:noFill/>
                          <a:ln w="25400">
                            <a:solidFill>
                              <a:schemeClr val="dk1">
                                <a:lumMod val="100000"/>
                                <a:lumOff val="0"/>
                              </a:schemeClr>
                            </a:solidFill>
                            <a:round/>
                            <a:headEnd/>
                            <a:tailEnd/>
                          </a:ln>
                          <a:effectLst>
                            <a:outerShdw dist="20000" dir="5400000" rotWithShape="0">
                              <a:srgbClr val="000000">
                                <a:alpha val="37999"/>
                              </a:srgbClr>
                            </a:outerShdw>
                          </a:effectLst>
                          <a:extLst>
                            <a:ext uri="{909E8E84-426E-40DD-AFC4-6F175D3DCCD1}">
                              <a14:hiddenFill xmlns:a14="http://schemas.microsoft.com/office/drawing/2010/main">
                                <a:noFill/>
                              </a14:hiddenFill>
                            </a:ext>
                          </a:extLst>
                        </wps:spPr>
                        <wps:bodyPr/>
                      </wps:wsp>
                      <wps:wsp>
                        <wps:cNvPr id="39" name="Straight Connector 297"/>
                        <wps:cNvCnPr/>
                        <wps:spPr bwMode="auto">
                          <a:xfrm flipH="1">
                            <a:off x="1704400" y="3928229"/>
                            <a:ext cx="87800" cy="0"/>
                          </a:xfrm>
                          <a:prstGeom prst="line">
                            <a:avLst/>
                          </a:prstGeom>
                          <a:noFill/>
                          <a:ln w="25400">
                            <a:solidFill>
                              <a:schemeClr val="dk1">
                                <a:lumMod val="100000"/>
                                <a:lumOff val="0"/>
                              </a:schemeClr>
                            </a:solidFill>
                            <a:round/>
                            <a:headEnd/>
                            <a:tailEnd/>
                          </a:ln>
                          <a:effectLst>
                            <a:outerShdw dist="20000" dir="5400000" rotWithShape="0">
                              <a:srgbClr val="000000">
                                <a:alpha val="37999"/>
                              </a:srgbClr>
                            </a:outerShdw>
                          </a:effectLst>
                          <a:extLst>
                            <a:ext uri="{909E8E84-426E-40DD-AFC4-6F175D3DCCD1}">
                              <a14:hiddenFill xmlns:a14="http://schemas.microsoft.com/office/drawing/2010/main">
                                <a:noFill/>
                              </a14:hiddenFill>
                            </a:ext>
                          </a:extLst>
                        </wps:spPr>
                        <wps:bodyPr/>
                      </wps:wsp>
                      <wps:wsp>
                        <wps:cNvPr id="40" name="Straight Connector 298"/>
                        <wps:cNvCnPr/>
                        <wps:spPr bwMode="auto">
                          <a:xfrm flipH="1">
                            <a:off x="1667800" y="4849936"/>
                            <a:ext cx="124400" cy="0"/>
                          </a:xfrm>
                          <a:prstGeom prst="line">
                            <a:avLst/>
                          </a:prstGeom>
                          <a:noFill/>
                          <a:ln w="25400">
                            <a:solidFill>
                              <a:schemeClr val="dk1">
                                <a:lumMod val="100000"/>
                                <a:lumOff val="0"/>
                              </a:schemeClr>
                            </a:solidFill>
                            <a:round/>
                            <a:headEnd/>
                            <a:tailEnd/>
                          </a:ln>
                          <a:effectLst>
                            <a:outerShdw dist="20000" dir="5400000" rotWithShape="0">
                              <a:srgbClr val="000000">
                                <a:alpha val="37999"/>
                              </a:srgbClr>
                            </a:outerShdw>
                          </a:effectLst>
                          <a:extLst>
                            <a:ext uri="{909E8E84-426E-40DD-AFC4-6F175D3DCCD1}">
                              <a14:hiddenFill xmlns:a14="http://schemas.microsoft.com/office/drawing/2010/main">
                                <a:noFill/>
                              </a14:hiddenFill>
                            </a:ext>
                          </a:extLst>
                        </wps:spPr>
                        <wps:bodyPr/>
                      </wps:wsp>
                      <wpg:wgp>
                        <wpg:cNvPr id="41" name="Group 300"/>
                        <wpg:cNvGrpSpPr>
                          <a:grpSpLocks/>
                        </wpg:cNvGrpSpPr>
                        <wpg:grpSpPr bwMode="auto">
                          <a:xfrm>
                            <a:off x="1306200" y="658305"/>
                            <a:ext cx="500600" cy="3156724"/>
                            <a:chOff x="39982" y="3657"/>
                            <a:chExt cx="5005" cy="31566"/>
                          </a:xfrm>
                        </wpg:grpSpPr>
                        <wps:wsp>
                          <wps:cNvPr id="42" name="Straight Connector 291"/>
                          <wps:cNvCnPr/>
                          <wps:spPr bwMode="auto">
                            <a:xfrm flipH="1">
                              <a:off x="40014" y="3657"/>
                              <a:ext cx="4974" cy="0"/>
                            </a:xfrm>
                            <a:prstGeom prst="line">
                              <a:avLst/>
                            </a:prstGeom>
                            <a:noFill/>
                            <a:ln w="25400">
                              <a:solidFill>
                                <a:schemeClr val="dk1">
                                  <a:lumMod val="100000"/>
                                  <a:lumOff val="0"/>
                                </a:schemeClr>
                              </a:solidFill>
                              <a:round/>
                              <a:headEnd/>
                              <a:tailEnd/>
                            </a:ln>
                            <a:effectLst>
                              <a:outerShdw dist="20000" dir="5400000" rotWithShape="0">
                                <a:srgbClr val="000000">
                                  <a:alpha val="37999"/>
                                </a:srgbClr>
                              </a:outerShdw>
                            </a:effectLst>
                            <a:extLst>
                              <a:ext uri="{909E8E84-426E-40DD-AFC4-6F175D3DCCD1}">
                                <a14:hiddenFill xmlns:a14="http://schemas.microsoft.com/office/drawing/2010/main">
                                  <a:noFill/>
                                </a14:hiddenFill>
                              </a:ext>
                            </a:extLst>
                          </wps:spPr>
                          <wps:bodyPr/>
                        </wps:wsp>
                        <wps:wsp>
                          <wps:cNvPr id="45" name="Straight Connector 294"/>
                          <wps:cNvCnPr/>
                          <wps:spPr bwMode="auto">
                            <a:xfrm flipH="1" flipV="1">
                              <a:off x="40014" y="18946"/>
                              <a:ext cx="4653" cy="22"/>
                            </a:xfrm>
                            <a:prstGeom prst="line">
                              <a:avLst/>
                            </a:prstGeom>
                            <a:noFill/>
                            <a:ln w="25400">
                              <a:solidFill>
                                <a:schemeClr val="dk1">
                                  <a:lumMod val="100000"/>
                                  <a:lumOff val="0"/>
                                </a:schemeClr>
                              </a:solidFill>
                              <a:round/>
                              <a:headEnd/>
                              <a:tailEnd/>
                            </a:ln>
                            <a:effectLst>
                              <a:outerShdw dist="20000" dir="5400000" rotWithShape="0">
                                <a:srgbClr val="000000">
                                  <a:alpha val="37999"/>
                                </a:srgbClr>
                              </a:outerShdw>
                            </a:effectLst>
                            <a:extLst>
                              <a:ext uri="{909E8E84-426E-40DD-AFC4-6F175D3DCCD1}">
                                <a14:hiddenFill xmlns:a14="http://schemas.microsoft.com/office/drawing/2010/main">
                                  <a:noFill/>
                                </a14:hiddenFill>
                              </a:ext>
                            </a:extLst>
                          </wps:spPr>
                          <wps:bodyPr/>
                        </wps:wsp>
                        <wps:wsp>
                          <wps:cNvPr id="46" name="Straight Connector 299"/>
                          <wps:cNvCnPr/>
                          <wps:spPr bwMode="auto">
                            <a:xfrm flipH="1">
                              <a:off x="39982" y="35224"/>
                              <a:ext cx="4972" cy="0"/>
                            </a:xfrm>
                            <a:prstGeom prst="line">
                              <a:avLst/>
                            </a:prstGeom>
                            <a:noFill/>
                            <a:ln w="25400">
                              <a:solidFill>
                                <a:schemeClr val="dk1">
                                  <a:lumMod val="100000"/>
                                  <a:lumOff val="0"/>
                                </a:schemeClr>
                              </a:solidFill>
                              <a:round/>
                              <a:headEnd/>
                              <a:tailEnd/>
                            </a:ln>
                            <a:effectLst>
                              <a:outerShdw dist="20000" dir="5400000" rotWithShape="0">
                                <a:srgbClr val="000000">
                                  <a:alpha val="37999"/>
                                </a:srgbClr>
                              </a:outerShdw>
                            </a:effectLst>
                            <a:extLst>
                              <a:ext uri="{909E8E84-426E-40DD-AFC4-6F175D3DCCD1}">
                                <a14:hiddenFill xmlns:a14="http://schemas.microsoft.com/office/drawing/2010/main">
                                  <a:noFill/>
                                </a14:hiddenFill>
                              </a:ext>
                            </a:extLst>
                          </wps:spPr>
                          <wps:bodyPr/>
                        </wps:wsp>
                      </wpg:wgp>
                      <wps:wsp>
                        <wps:cNvPr id="47" name="Text Box 301"/>
                        <wps:cNvSpPr txBox="1">
                          <a:spLocks noChangeArrowheads="1"/>
                        </wps:cNvSpPr>
                        <wps:spPr bwMode="auto">
                          <a:xfrm>
                            <a:off x="1232100" y="250002"/>
                            <a:ext cx="629100" cy="285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9A6606D" w14:textId="77777777" w:rsidR="00DA7779" w:rsidRDefault="00DA7779" w:rsidP="00070F33">
                              <w:r>
                                <w:t>1880</w:t>
                              </w:r>
                            </w:p>
                          </w:txbxContent>
                        </wps:txbx>
                        <wps:bodyPr rot="0" vert="horz" wrap="square" lIns="91440" tIns="45720" rIns="91440" bIns="45720" anchor="t" anchorCtr="0" upright="1">
                          <a:noAutofit/>
                        </wps:bodyPr>
                      </wps:wsp>
                      <wps:wsp>
                        <wps:cNvPr id="48" name="Text Box 301"/>
                        <wps:cNvSpPr txBox="1">
                          <a:spLocks noChangeArrowheads="1"/>
                        </wps:cNvSpPr>
                        <wps:spPr bwMode="auto">
                          <a:xfrm>
                            <a:off x="1248700" y="869406"/>
                            <a:ext cx="628700" cy="2851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01CB9205" w14:textId="77777777" w:rsidR="00DA7779" w:rsidRPr="00DE2211" w:rsidRDefault="00DA7779" w:rsidP="00070F33">
                              <w:pPr>
                                <w:pStyle w:val="NormalWeb"/>
                                <w:spacing w:before="0" w:beforeAutospacing="0" w:after="0" w:afterAutospacing="0"/>
                              </w:pPr>
                              <w:r w:rsidRPr="00DE2211">
                                <w:rPr>
                                  <w:rFonts w:ascii="Arial" w:hAnsi="Arial"/>
                                  <w:sz w:val="20"/>
                                  <w:szCs w:val="20"/>
                                </w:rPr>
                                <w:t>1920</w:t>
                              </w:r>
                            </w:p>
                          </w:txbxContent>
                        </wps:txbx>
                        <wps:bodyPr rot="0" vert="horz" wrap="square" lIns="91440" tIns="45720" rIns="91440" bIns="45720" anchor="t" anchorCtr="0" upright="1">
                          <a:noAutofit/>
                        </wps:bodyPr>
                      </wps:wsp>
                      <wps:wsp>
                        <wps:cNvPr id="49" name="Text Box 301"/>
                        <wps:cNvSpPr txBox="1">
                          <a:spLocks noChangeArrowheads="1"/>
                        </wps:cNvSpPr>
                        <wps:spPr bwMode="auto">
                          <a:xfrm>
                            <a:off x="1257900" y="1795713"/>
                            <a:ext cx="628700" cy="2851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0ED7C17E" w14:textId="77777777" w:rsidR="00DA7779" w:rsidRPr="00DE2211" w:rsidRDefault="00DA7779" w:rsidP="00070F33">
                              <w:pPr>
                                <w:pStyle w:val="NormalWeb"/>
                                <w:spacing w:before="0" w:beforeAutospacing="0" w:after="0" w:afterAutospacing="0"/>
                              </w:pPr>
                              <w:r w:rsidRPr="00DE2211">
                                <w:rPr>
                                  <w:rFonts w:ascii="Arial" w:hAnsi="Arial"/>
                                  <w:sz w:val="20"/>
                                  <w:szCs w:val="20"/>
                                </w:rPr>
                                <w:t>1980</w:t>
                              </w:r>
                            </w:p>
                          </w:txbxContent>
                        </wps:txbx>
                        <wps:bodyPr rot="0" vert="horz" wrap="square" lIns="91440" tIns="45720" rIns="91440" bIns="45720" anchor="t" anchorCtr="0" upright="1">
                          <a:noAutofit/>
                        </wps:bodyPr>
                      </wps:wsp>
                      <wps:wsp>
                        <wps:cNvPr id="50" name="Text Box 301"/>
                        <wps:cNvSpPr txBox="1">
                          <a:spLocks noChangeArrowheads="1"/>
                        </wps:cNvSpPr>
                        <wps:spPr bwMode="auto">
                          <a:xfrm>
                            <a:off x="855100" y="540204"/>
                            <a:ext cx="628600" cy="2851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18AA6F3B" w14:textId="77777777" w:rsidR="00DA7779" w:rsidRPr="00DE2211" w:rsidRDefault="00DA7779" w:rsidP="00070F33">
                              <w:pPr>
                                <w:pStyle w:val="NormalWeb"/>
                                <w:spacing w:before="0" w:beforeAutospacing="0" w:after="0" w:afterAutospacing="0"/>
                              </w:pPr>
                              <w:r w:rsidRPr="00DE2211">
                                <w:rPr>
                                  <w:rFonts w:ascii="Arial" w:hAnsi="Arial"/>
                                  <w:sz w:val="20"/>
                                  <w:szCs w:val="20"/>
                                </w:rPr>
                                <w:t>1900</w:t>
                              </w:r>
                            </w:p>
                          </w:txbxContent>
                        </wps:txbx>
                        <wps:bodyPr rot="0" vert="horz" wrap="square" lIns="91440" tIns="45720" rIns="91440" bIns="45720" anchor="t" anchorCtr="0" upright="1">
                          <a:noAutofit/>
                        </wps:bodyPr>
                      </wps:wsp>
                      <wps:wsp>
                        <wps:cNvPr id="51" name="Text Box 301"/>
                        <wps:cNvSpPr txBox="1">
                          <a:spLocks noChangeArrowheads="1"/>
                        </wps:cNvSpPr>
                        <wps:spPr bwMode="auto">
                          <a:xfrm>
                            <a:off x="871900" y="2067715"/>
                            <a:ext cx="628700" cy="2851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29372ED1" w14:textId="77777777" w:rsidR="00DA7779" w:rsidRPr="00DE2211" w:rsidRDefault="00DA7779" w:rsidP="00070F33">
                              <w:pPr>
                                <w:pStyle w:val="NormalWeb"/>
                                <w:spacing w:before="0" w:beforeAutospacing="0" w:after="0" w:afterAutospacing="0"/>
                              </w:pPr>
                              <w:r w:rsidRPr="00DE2211">
                                <w:rPr>
                                  <w:rFonts w:ascii="Arial" w:hAnsi="Arial"/>
                                  <w:sz w:val="20"/>
                                  <w:szCs w:val="20"/>
                                </w:rPr>
                                <w:t>2000</w:t>
                              </w:r>
                            </w:p>
                          </w:txbxContent>
                        </wps:txbx>
                        <wps:bodyPr rot="0" vert="horz" wrap="square" lIns="91440" tIns="45720" rIns="91440" bIns="45720" anchor="t" anchorCtr="0" upright="1">
                          <a:noAutofit/>
                        </wps:bodyPr>
                      </wps:wsp>
                      <wps:wsp>
                        <wps:cNvPr id="52" name="Text Box 301"/>
                        <wps:cNvSpPr txBox="1">
                          <a:spLocks noChangeArrowheads="1"/>
                        </wps:cNvSpPr>
                        <wps:spPr bwMode="auto">
                          <a:xfrm>
                            <a:off x="1239700" y="2246017"/>
                            <a:ext cx="628700" cy="2851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FD61C6E" w14:textId="77777777" w:rsidR="00DA7779" w:rsidRPr="00DE2211" w:rsidRDefault="00DA7779" w:rsidP="00070F33">
                              <w:pPr>
                                <w:pStyle w:val="NormalWeb"/>
                                <w:spacing w:before="0" w:beforeAutospacing="0" w:after="0" w:afterAutospacing="0"/>
                              </w:pPr>
                              <w:r w:rsidRPr="00DE2211">
                                <w:rPr>
                                  <w:rFonts w:ascii="Arial" w:hAnsi="Arial"/>
                                  <w:sz w:val="20"/>
                                  <w:szCs w:val="20"/>
                                </w:rPr>
                                <w:t>2010</w:t>
                              </w:r>
                            </w:p>
                          </w:txbxContent>
                        </wps:txbx>
                        <wps:bodyPr rot="0" vert="horz" wrap="square" lIns="91440" tIns="45720" rIns="91440" bIns="45720" anchor="t" anchorCtr="0" upright="1">
                          <a:noAutofit/>
                        </wps:bodyPr>
                      </wps:wsp>
                      <wps:wsp>
                        <wps:cNvPr id="54" name="Text Box 301"/>
                        <wps:cNvSpPr txBox="1">
                          <a:spLocks noChangeArrowheads="1"/>
                        </wps:cNvSpPr>
                        <wps:spPr bwMode="auto">
                          <a:xfrm>
                            <a:off x="1243300" y="2492019"/>
                            <a:ext cx="628700" cy="2851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1904FB83" w14:textId="77777777" w:rsidR="00DA7779" w:rsidRPr="00DE2211" w:rsidRDefault="00DA7779" w:rsidP="00070F33">
                              <w:pPr>
                                <w:pStyle w:val="NormalWeb"/>
                                <w:spacing w:before="0" w:beforeAutospacing="0" w:after="0" w:afterAutospacing="0"/>
                              </w:pPr>
                              <w:r w:rsidRPr="00DE2211">
                                <w:rPr>
                                  <w:rFonts w:ascii="Arial" w:hAnsi="Arial"/>
                                  <w:sz w:val="20"/>
                                  <w:szCs w:val="20"/>
                                </w:rPr>
                                <w:t>2025</w:t>
                              </w:r>
                            </w:p>
                          </w:txbxContent>
                        </wps:txbx>
                        <wps:bodyPr rot="0" vert="horz" wrap="square" lIns="91440" tIns="45720" rIns="91440" bIns="45720" anchor="t" anchorCtr="0" upright="1">
                          <a:noAutofit/>
                        </wps:bodyPr>
                      </wps:wsp>
                      <wps:wsp>
                        <wps:cNvPr id="55" name="Text Box 301"/>
                        <wps:cNvSpPr txBox="1">
                          <a:spLocks noChangeArrowheads="1"/>
                        </wps:cNvSpPr>
                        <wps:spPr bwMode="auto">
                          <a:xfrm>
                            <a:off x="872600" y="3694428"/>
                            <a:ext cx="628600" cy="2851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8D83B07" w14:textId="77777777" w:rsidR="00DA7779" w:rsidRPr="00DE2211" w:rsidRDefault="00DA7779" w:rsidP="00070F33">
                              <w:pPr>
                                <w:pStyle w:val="NormalWeb"/>
                                <w:spacing w:before="0" w:beforeAutospacing="0" w:after="0" w:afterAutospacing="0"/>
                              </w:pPr>
                              <w:r w:rsidRPr="00DE2211">
                                <w:rPr>
                                  <w:rFonts w:ascii="Arial" w:hAnsi="Arial"/>
                                  <w:sz w:val="20"/>
                                  <w:szCs w:val="20"/>
                                </w:rPr>
                                <w:t>2100</w:t>
                              </w:r>
                            </w:p>
                          </w:txbxContent>
                        </wps:txbx>
                        <wps:bodyPr rot="0" vert="horz" wrap="square" lIns="91440" tIns="45720" rIns="91440" bIns="45720" anchor="t" anchorCtr="0" upright="1">
                          <a:noAutofit/>
                        </wps:bodyPr>
                      </wps:wsp>
                      <wps:wsp>
                        <wps:cNvPr id="56" name="Text Box 301"/>
                        <wps:cNvSpPr txBox="1">
                          <a:spLocks noChangeArrowheads="1"/>
                        </wps:cNvSpPr>
                        <wps:spPr bwMode="auto">
                          <a:xfrm>
                            <a:off x="1242900" y="3804728"/>
                            <a:ext cx="628600" cy="2851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D2DB967" w14:textId="77777777" w:rsidR="00DA7779" w:rsidRPr="00DE2211" w:rsidRDefault="00DA7779" w:rsidP="00070F33">
                              <w:pPr>
                                <w:pStyle w:val="NormalWeb"/>
                                <w:spacing w:before="0" w:beforeAutospacing="0" w:after="0" w:afterAutospacing="0"/>
                              </w:pPr>
                              <w:r w:rsidRPr="00DE2211">
                                <w:rPr>
                                  <w:rFonts w:ascii="Arial" w:hAnsi="Arial"/>
                                  <w:sz w:val="20"/>
                                  <w:szCs w:val="20"/>
                                </w:rPr>
                                <w:t>2110</w:t>
                              </w:r>
                            </w:p>
                          </w:txbxContent>
                        </wps:txbx>
                        <wps:bodyPr rot="0" vert="horz" wrap="square" lIns="91440" tIns="45720" rIns="91440" bIns="45720" anchor="t" anchorCtr="0" upright="1">
                          <a:noAutofit/>
                        </wps:bodyPr>
                      </wps:wsp>
                      <wps:wsp>
                        <wps:cNvPr id="57" name="Text Box 301"/>
                        <wps:cNvSpPr txBox="1">
                          <a:spLocks noChangeArrowheads="1"/>
                        </wps:cNvSpPr>
                        <wps:spPr bwMode="auto">
                          <a:xfrm>
                            <a:off x="1253400" y="4745135"/>
                            <a:ext cx="628600" cy="2851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2EB33668" w14:textId="77777777" w:rsidR="00DA7779" w:rsidRPr="00DE2211" w:rsidRDefault="00DA7779" w:rsidP="00070F33">
                              <w:pPr>
                                <w:pStyle w:val="NormalWeb"/>
                                <w:spacing w:before="0" w:beforeAutospacing="0" w:after="0" w:afterAutospacing="0"/>
                              </w:pPr>
                              <w:r w:rsidRPr="00DE2211">
                                <w:rPr>
                                  <w:rFonts w:ascii="Arial" w:hAnsi="Arial"/>
                                  <w:sz w:val="20"/>
                                  <w:szCs w:val="20"/>
                                </w:rPr>
                                <w:t>2170</w:t>
                              </w:r>
                            </w:p>
                          </w:txbxContent>
                        </wps:txbx>
                        <wps:bodyPr rot="0" vert="horz" wrap="square" lIns="91440" tIns="45720" rIns="91440" bIns="45720" anchor="t" anchorCtr="0" upright="1">
                          <a:noAutofit/>
                        </wps:bodyPr>
                      </wps:wsp>
                      <wps:wsp>
                        <wps:cNvPr id="58" name="Text Box 301"/>
                        <wps:cNvSpPr txBox="1">
                          <a:spLocks noChangeArrowheads="1"/>
                        </wps:cNvSpPr>
                        <wps:spPr bwMode="auto">
                          <a:xfrm>
                            <a:off x="251200" y="1248709"/>
                            <a:ext cx="1393500" cy="4316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E2D9976" w14:textId="77777777" w:rsidR="00DA7779" w:rsidRDefault="00DA7779" w:rsidP="00070F33">
                              <w:pPr>
                                <w:pStyle w:val="NormalWeb"/>
                                <w:spacing w:before="0" w:beforeAutospacing="0" w:after="0" w:afterAutospacing="0"/>
                              </w:pPr>
                              <w:r>
                                <w:rPr>
                                  <w:rFonts w:ascii="Arial" w:hAnsi="Arial"/>
                                  <w:sz w:val="20"/>
                                  <w:szCs w:val="20"/>
                                </w:rPr>
                                <w:t>Frequency, MHz</w:t>
                              </w:r>
                            </w:p>
                          </w:txbxContent>
                        </wps:txbx>
                        <wps:bodyPr rot="0" vert="horz" wrap="square" lIns="91440" tIns="45720" rIns="91440" bIns="45720" anchor="t" anchorCtr="0" upright="1">
                          <a:noAutofit/>
                        </wps:bodyPr>
                      </wps:wsp>
                    </wpc:wpc>
                  </a:graphicData>
                </a:graphic>
              </wp:inline>
            </w:drawing>
          </mc:Choice>
          <mc:Fallback>
            <w:pict>
              <v:group id="Canvas 278" o:spid="_x0000_s1076" editas="canvas" style="width:6in;height:422.2pt;mso-position-horizontal-relative:char;mso-position-vertical-relative:line" coordsize="54864,53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77" type="#_x0000_t75" style="position:absolute;width:54864;height:53619;visibility:visible;mso-wrap-style:square">
                  <v:fill o:detectmouseclick="t"/>
                  <v:path o:connecttype="none"/>
                </v:shape>
                <v:rect id="Rectangle 279" o:spid="_x0000_s1078" style="position:absolute;left:17995;top:3584;width:22019;height:307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mbDcMA&#10;AADcAAAADwAAAGRycy9kb3ducmV2LnhtbESP3YrCMBSE7wXfIRzBG9FUL1atRhGr4IJe+PMAh+bY&#10;FpuTkkTtvv1mYcHLYWa+YZbr1tTiRc5XlhWMRwkI4tzqigsFt+t+OAPhA7LG2jIp+CEP61W3s8RU&#10;2zef6XUJhYgQ9ikqKENoUil9XpJBP7INcfTu1hkMUbpCaofvCDe1nCTJlzRYcVwosaFtSfnj8jQK&#10;vm1xzAb2YDCT9dbdT7tsP38o1e+1mwWIQG34hP/bB61gMp3C35l4BOTq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cmbDcMAAADcAAAADwAAAAAAAAAAAAAAAACYAgAAZHJzL2Rv&#10;d25yZXYueG1sUEsFBgAAAAAEAAQA9QAAAIgDAAAAAA==&#10;" fillcolor="yellow" strokecolor="black [3213]">
                  <v:shadow on="t" color="black" opacity="22936f" origin=",.5" offset="0,.63889mm"/>
                  <v:textbox>
                    <w:txbxContent>
                      <w:p w14:paraId="148F3C83" w14:textId="77777777" w:rsidR="00DA7779" w:rsidRPr="00CC0389" w:rsidRDefault="00DA7779" w:rsidP="00070F33">
                        <w:pPr>
                          <w:pStyle w:val="NormalWeb"/>
                          <w:spacing w:before="0" w:beforeAutospacing="0" w:after="0" w:afterAutospacing="0"/>
                          <w:jc w:val="center"/>
                          <w:rPr>
                            <w:color w:val="000000" w:themeColor="text1"/>
                          </w:rPr>
                        </w:pPr>
                        <w:r w:rsidRPr="00CC0389">
                          <w:rPr>
                            <w:rFonts w:ascii="Arial" w:hAnsi="Arial"/>
                            <w:color w:val="000000" w:themeColor="text1"/>
                            <w:sz w:val="20"/>
                            <w:szCs w:val="20"/>
                          </w:rPr>
                          <w:t>DECT</w:t>
                        </w:r>
                      </w:p>
                    </w:txbxContent>
                  </v:textbox>
                </v:rect>
                <v:rect id="Rectangle 280" o:spid="_x0000_s1079" style="position:absolute;left:17966;top:6628;width:22016;height:306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5vhcMA&#10;AADcAAAADwAAAGRycy9kb3ducmV2LnhtbERPy2rCQBTdF/yH4QrudKJgldRR1CK4K/GBXV4yt0lq&#10;5k6aGZPo1zsLocvDeS9WnSlFQ7UrLCsYjyIQxKnVBWcKTsfdcA7CeWSNpWVScCcHq2XvbYGxti0n&#10;1Bx8JkIIuxgV5N5XsZQuzcmgG9mKOHA/tjboA6wzqWtsQ7gp5SSK3qXBgkNDjhVtc0qvh5tR8Ofv&#10;m9+HOc/a5NIk18+v6f72PVVq0O/WHyA8df5f/HLvtYLJLKwNZ8IRkM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W5vhcMAAADcAAAADwAAAAAAAAAAAAAAAACYAgAAZHJzL2Rv&#10;d25yZXYueG1sUEsFBgAAAAAEAAQA9QAAAIgDAAAAAA==&#10;" fillcolor="red" strokecolor="black [3213]">
                  <v:shadow on="t" color="black" opacity="22936f" origin=",.5" offset="0,.63889mm"/>
                  <v:textbox>
                    <w:txbxContent>
                      <w:p w14:paraId="6B5F0D23" w14:textId="77777777" w:rsidR="00DA7779" w:rsidRPr="00CC0389" w:rsidRDefault="00DA7779" w:rsidP="00070F33">
                        <w:pPr>
                          <w:pStyle w:val="NormalWeb"/>
                          <w:spacing w:before="0" w:beforeAutospacing="0" w:after="0" w:afterAutospacing="0"/>
                          <w:jc w:val="center"/>
                        </w:pPr>
                        <w:r>
                          <w:rPr>
                            <w:rFonts w:ascii="Arial" w:hAnsi="Arial"/>
                            <w:sz w:val="20"/>
                            <w:szCs w:val="20"/>
                          </w:rPr>
                          <w:t>Unpaired 2 GHz</w:t>
                        </w:r>
                      </w:p>
                    </w:txbxContent>
                  </v:textbox>
                </v:rect>
                <v:rect id="Rectangle 281" o:spid="_x0000_s1080" style="position:absolute;left:17995;top:9729;width:22015;height:918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WjbNcUA&#10;AADcAAAADwAAAGRycy9kb3ducmV2LnhtbESPQWvCQBSE74L/YXmCN900lqipqxRBsEgF0yJ4e2Rf&#10;k9Ds2zS7avz3rlDwOMzMN8xi1ZlaXKh1lWUFL+MIBHFudcWFgu+vzWgGwnlkjbVlUnAjB6tlv7fA&#10;VNsrH+iS+UIECLsUFZTeN6mULi/JoBvbhjh4P7Y16INsC6lbvAa4qWUcRYk0WHFYKLGhdUn5b3Y2&#10;Cl53+Sn5/DPJCZOP/TSeZDN7rJQaDrr3NxCeOv8M/7e3WkE8ncPjTDgCcnk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aNs1xQAAANwAAAAPAAAAAAAAAAAAAAAAAJgCAABkcnMv&#10;ZG93bnJldi54bWxQSwUGAAAAAAQABAD1AAAAigMAAAAA&#10;" fillcolor="#93f" strokecolor="black [3213]">
                  <v:shadow on="t" color="black" opacity="22936f" origin=",.5" offset="0,.63889mm"/>
                  <v:textbox>
                    <w:txbxContent>
                      <w:p w14:paraId="50F45E80" w14:textId="77777777" w:rsidR="00DA7779" w:rsidRPr="00CC0389" w:rsidRDefault="00DA7779" w:rsidP="00070F33">
                        <w:pPr>
                          <w:pStyle w:val="NormalWeb"/>
                          <w:spacing w:before="0" w:beforeAutospacing="0" w:after="0" w:afterAutospacing="0"/>
                          <w:jc w:val="center"/>
                        </w:pPr>
                        <w:r w:rsidRPr="00CC0389">
                          <w:rPr>
                            <w:rFonts w:ascii="Arial" w:hAnsi="Arial"/>
                            <w:sz w:val="20"/>
                            <w:szCs w:val="20"/>
                          </w:rPr>
                          <w:t>UMTS (FDD uplink)</w:t>
                        </w:r>
                      </w:p>
                    </w:txbxContent>
                  </v:textbox>
                </v:rect>
                <v:rect id="Rectangle 282" o:spid="_x0000_s1081" style="position:absolute;left:18039;top:39253;width:22016;height:917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YcCj8IA&#10;AADcAAAADwAAAGRycy9kb3ducmV2LnhtbERPTWvCQBC9F/wPywje6sYoaUhdRQRBEQuNUvA2ZKdJ&#10;aHY2ZleN/949CD0+3vd82ZtG3KhztWUFk3EEgriwuuZSwem4eU9BOI+ssbFMCh7kYLkYvM0x0/bO&#10;33TLfSlCCLsMFVTet5mUrqjIoBvbljhwv7Yz6APsSqk7vIdw08g4ihJpsObQUGFL64qKv/xqFMz2&#10;xTk5XExyxmT39RFP89T+1EqNhv3qE4Sn3v+LX+6tVhCnYX44E46AXD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VhwKPwgAAANwAAAAPAAAAAAAAAAAAAAAAAJgCAABkcnMvZG93&#10;bnJldi54bWxQSwUGAAAAAAQABAD1AAAAhwMAAAAA&#10;" fillcolor="#93f" strokecolor="black [3213]">
                  <v:shadow on="t" color="black" opacity="22936f" origin=",.5" offset="0,.63889mm"/>
                  <v:textbox>
                    <w:txbxContent>
                      <w:p w14:paraId="52AC2BB7" w14:textId="77777777" w:rsidR="00DA7779" w:rsidRPr="00CC0389" w:rsidRDefault="00DA7779" w:rsidP="00070F33">
                        <w:pPr>
                          <w:pStyle w:val="NormalWeb"/>
                          <w:spacing w:before="0" w:beforeAutospacing="0" w:after="0" w:afterAutospacing="0"/>
                          <w:jc w:val="center"/>
                          <w:rPr>
                            <w:rFonts w:ascii="Arial" w:hAnsi="Arial" w:cs="Arial"/>
                            <w:sz w:val="20"/>
                            <w:szCs w:val="20"/>
                          </w:rPr>
                        </w:pPr>
                        <w:r w:rsidRPr="00CC0389">
                          <w:rPr>
                            <w:rFonts w:ascii="Arial" w:hAnsi="Arial" w:cs="Arial"/>
                            <w:sz w:val="20"/>
                            <w:szCs w:val="20"/>
                          </w:rPr>
                          <w:t>UMTS (FDD downlink)</w:t>
                        </w:r>
                      </w:p>
                    </w:txbxContent>
                  </v:textbox>
                </v:rect>
                <v:rect id="Rectangle 283" o:spid="_x0000_s1082" style="position:absolute;left:17966;top:18990;width:22016;height:463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SbAXcYA&#10;AADcAAAADwAAAGRycy9kb3ducmV2LnhtbESPT2sCMRDF7wW/Q5iCt5p1QZGtUUpFaD1Ua9v7dDP7&#10;h24ma5Lurt/eCILHx5v3e/OW68E0oiPna8sKppMEBHFudc2lgu+v7dMChA/IGhvLpOBMHtar0cMS&#10;M217/qTuGEoRIewzVFCF0GZS+rwig35iW+LoFdYZDFG6UmqHfYSbRqZJMpcGa44NFbb0WlH+d/w3&#10;8Y356f1jV8wORd50v5ud69OffanU+HF4eQYRaAj341v6TStIF1O4jokEkKs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SbAXcYAAADcAAAADwAAAAAAAAAAAAAAAACYAgAAZHJz&#10;L2Rvd25yZXYueG1sUEsFBgAAAAAEAAQA9QAAAIsDAAAAAA==&#10;" fillcolor="#8db3e2 [1311]" strokecolor="black [3213]">
                  <v:shadow on="t" color="black" opacity="22936f" origin=",.5" offset="0,.63889mm"/>
                  <v:textbox>
                    <w:txbxContent>
                      <w:p w14:paraId="0F2A9406" w14:textId="77777777" w:rsidR="00DA7779" w:rsidRPr="00CC0389" w:rsidRDefault="00DA7779" w:rsidP="00070F33">
                        <w:pPr>
                          <w:pStyle w:val="NormalWeb"/>
                          <w:spacing w:before="0" w:beforeAutospacing="0" w:after="0" w:afterAutospacing="0"/>
                          <w:jc w:val="center"/>
                          <w:rPr>
                            <w:color w:val="000000" w:themeColor="text1"/>
                          </w:rPr>
                        </w:pPr>
                        <w:r>
                          <w:rPr>
                            <w:rFonts w:ascii="Arial" w:hAnsi="Arial"/>
                            <w:color w:val="000000" w:themeColor="text1"/>
                            <w:sz w:val="20"/>
                            <w:szCs w:val="20"/>
                          </w:rPr>
                          <w:t>MSS</w:t>
                        </w:r>
                      </w:p>
                    </w:txbxContent>
                  </v:textbox>
                </v:rect>
                <v:rect id="Rectangle 284" o:spid="_x0000_s1083" style="position:absolute;left:17966;top:23701;width:22016;height:226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VMoSMYA&#10;AADcAAAADwAAAGRycy9kb3ducmV2LnhtbESPT2vCQBTE7wW/w/IEb3VjwD9EV6kVwZvEtrTHR/aZ&#10;pGbfptk1iX76bkHocZiZ3zCrTW8q0VLjSssKJuMIBHFmdcm5gve3/fMChPPIGivLpOBGDjbrwdMK&#10;E207Tqk9+VwECLsEFRTe14mULivIoBvbmjh4Z9sY9EE2udQNdgFuKhlH0UwaLDksFFjTa0HZ5XQ1&#10;Cn78bft9Nx/zLv1s08vuOD1cv6ZKjYb9yxKEp97/hx/tg1YQL2L4OxOOgF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VMoSMYAAADcAAAADwAAAAAAAAAAAAAAAACYAgAAZHJz&#10;L2Rvd25yZXYueG1sUEsFBgAAAAAEAAQA9QAAAIsDAAAAAA==&#10;" fillcolor="red" strokecolor="black [3213]">
                  <v:shadow on="t" color="black" opacity="22936f" origin=",.5" offset="0,.63889mm"/>
                  <v:textbox>
                    <w:txbxContent>
                      <w:p w14:paraId="35AFFC87" w14:textId="77777777" w:rsidR="00DA7779" w:rsidRPr="00CC0389" w:rsidRDefault="00DA7779" w:rsidP="00070F33">
                        <w:pPr>
                          <w:pStyle w:val="NormalWeb"/>
                          <w:spacing w:before="0" w:beforeAutospacing="0" w:after="0" w:afterAutospacing="0"/>
                          <w:jc w:val="center"/>
                        </w:pPr>
                        <w:r>
                          <w:rPr>
                            <w:rFonts w:ascii="Arial" w:hAnsi="Arial"/>
                            <w:sz w:val="20"/>
                            <w:szCs w:val="20"/>
                          </w:rPr>
                          <w:t>Unpaired 2 GHz</w:t>
                        </w:r>
                      </w:p>
                      <w:p w14:paraId="3B778575" w14:textId="77777777" w:rsidR="00DA7779" w:rsidRPr="00DE2211" w:rsidRDefault="00DA7779" w:rsidP="00070F33">
                        <w:pPr>
                          <w:pStyle w:val="NormalWeb"/>
                          <w:spacing w:before="0" w:beforeAutospacing="0" w:after="0" w:afterAutospacing="0"/>
                          <w:jc w:val="center"/>
                        </w:pPr>
                      </w:p>
                    </w:txbxContent>
                  </v:textbox>
                </v:rect>
                <v:rect id="Rectangle 285" o:spid="_x0000_s1084" style="position:absolute;left:17858;top:26036;width:5487;height:1316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34LsYA&#10;AADcAAAADwAAAGRycy9kb3ducmV2LnhtbESPQWvCQBSE74L/YXlCL6VumoKG1FWKUKgVBa3eX7PP&#10;JDb7NuyuGvvru0LB4zAz3zCTWWcacSbna8sKnocJCOLC6ppLBbuv96cMhA/IGhvLpOBKHmbTfm+C&#10;ubYX3tB5G0oRIexzVFCF0OZS+qIig35oW+LoHawzGKJ0pdQOLxFuGpkmyUgarDkuVNjSvKLiZ3sy&#10;Cpbfbu3LeVgvDvXneLX/PT5m6VGph0H39goiUBfu4f/2h1aQZi9wOxOPgJ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F34LsYAAADcAAAADwAAAAAAAAAAAAAAAACYAgAAZHJz&#10;L2Rvd25yZXYueG1sUEsFBgAAAAAEAAQA9QAAAIsDAAAAAA==&#10;" fillcolor="#d8d8d8 [2732]" strokecolor="black [3213]">
                  <v:shadow on="t" color="black" opacity="22936f" origin=",.5" offset="0,.63889mm"/>
                  <v:textbox style="layout-flow:vertical;mso-layout-flow-alt:bottom-to-top">
                    <w:txbxContent>
                      <w:p w14:paraId="227B5457" w14:textId="77777777" w:rsidR="00DA7779" w:rsidRPr="00880902" w:rsidRDefault="00DA7779" w:rsidP="00070F33">
                        <w:pPr>
                          <w:jc w:val="center"/>
                          <w:rPr>
                            <w:color w:val="000000" w:themeColor="text1"/>
                            <w:sz w:val="18"/>
                            <w:szCs w:val="18"/>
                          </w:rPr>
                        </w:pPr>
                        <w:r w:rsidRPr="00880902">
                          <w:rPr>
                            <w:color w:val="000000" w:themeColor="text1"/>
                            <w:sz w:val="18"/>
                            <w:szCs w:val="18"/>
                          </w:rPr>
                          <w:t>Space Service (SRS, SOS, EESS)</w:t>
                        </w:r>
                      </w:p>
                    </w:txbxContent>
                  </v:textbox>
                </v:rect>
                <v:rect id="Rectangle 286" o:spid="_x0000_s1085" style="position:absolute;left:34498;top:26008;width:5480;height:1316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xC08MA&#10;AADcAAAADwAAAGRycy9kb3ducmV2LnhtbESPT4vCMBTE7wt+h/AEb2uqyK5Uo4giq3hZ/92fzbMp&#10;Ni/dJtrutzcLCx6HmfkNM523thQPqn3hWMGgn4AgzpwuOFdwOq7fxyB8QNZYOiYFv+RhPuu8TTHV&#10;ruE9PQ4hFxHCPkUFJoQqldJnhiz6vquIo3d1tcUQZZ1LXWMT4baUwyT5kBYLjgsGK1oaym6Hu1Ww&#10;/bLGnD/DdrX+bnY/FyNXkq9K9brtYgIiUBte4f/2RisYjkfwdyYeATl7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zxC08MAAADcAAAADwAAAAAAAAAAAAAAAACYAgAAZHJzL2Rv&#10;d25yZXYueG1sUEsFBgAAAAAEAAQA9QAAAIgDAAAAAA==&#10;" fillcolor="#92d050" strokecolor="black [3213]">
                  <v:shadow on="t" color="black" opacity="22936f" origin=",.5" offset="0,.63889mm"/>
                  <v:textbox style="layout-flow:vertical;mso-layout-flow-alt:bottom-to-top">
                    <w:txbxContent>
                      <w:p w14:paraId="12088C07" w14:textId="77777777" w:rsidR="00DA7779" w:rsidRPr="00CC0389" w:rsidRDefault="00DA7779" w:rsidP="00070F33">
                        <w:pPr>
                          <w:jc w:val="center"/>
                          <w:rPr>
                            <w:color w:val="000000" w:themeColor="text1"/>
                          </w:rPr>
                        </w:pPr>
                        <w:r w:rsidRPr="00CC0389">
                          <w:rPr>
                            <w:color w:val="000000" w:themeColor="text1"/>
                          </w:rPr>
                          <w:t>Defense systems</w:t>
                        </w:r>
                      </w:p>
                    </w:txbxContent>
                  </v:textbox>
                </v:rect>
                <v:rect id="Rectangle 287" o:spid="_x0000_s1086" style="position:absolute;left:29005;top:26069;width:5480;height:1316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cfn8cA&#10;AADcAAAADwAAAGRycy9kb3ducmV2LnhtbESP3WoCMRSE7wXfIZxC7zSroMjWKGKpCC0t/hTx7rA5&#10;ZrduTtZN6m7fvhEEL4eZ+YaZzltbiivVvnCsYNBPQBBnThdsFOx3b70JCB+QNZaOScEfeZjPup0p&#10;pto1vKHrNhgRIexTVJCHUKVS+iwni77vKuLonVxtMURZG6lrbCLclnKYJGNpseC4kGNFy5yy8/bX&#10;Krh8HL42q+VuYI6vi8/vw9i8/xSNUs9P7eIFRKA2PML39lorGE5GcDsTj4Cc/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ZnH5/HAAAA3AAAAA8AAAAAAAAAAAAAAAAAmAIAAGRy&#10;cy9kb3ducmV2LnhtbFBLBQYAAAAABAAEAPUAAACMAwAAAAA=&#10;" fillcolor="#00b050" strokecolor="black [3213]">
                  <v:shadow on="t" color="black" opacity="22936f" origin=",.5" offset="0,.63889mm"/>
                  <v:textbox style="layout-flow:vertical;mso-layout-flow-alt:bottom-to-top">
                    <w:txbxContent>
                      <w:p w14:paraId="664AB5BA" w14:textId="77777777" w:rsidR="00DA7779" w:rsidRPr="00CC0389" w:rsidRDefault="00DA7779" w:rsidP="00070F33">
                        <w:pPr>
                          <w:jc w:val="center"/>
                          <w:rPr>
                            <w:color w:val="000000" w:themeColor="text1"/>
                          </w:rPr>
                        </w:pPr>
                        <w:r w:rsidRPr="00CC0389">
                          <w:rPr>
                            <w:color w:val="000000" w:themeColor="text1"/>
                          </w:rPr>
                          <w:t>Fixed</w:t>
                        </w:r>
                      </w:p>
                    </w:txbxContent>
                  </v:textbox>
                </v:rect>
                <v:rect id="Rectangle 288" o:spid="_x0000_s1087" style="position:absolute;left:23433;top:25984;width:5480;height:1316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RPEasUA&#10;AADcAAAADwAAAGRycy9kb3ducmV2LnhtbESPT2vCQBTE7wW/w/KE3urGUFSiq5RSpXrzL/b2yL5m&#10;Q7NvQ3aj6bd3BcHjMDO/YWaLzlbiQo0vHSsYDhIQxLnTJRcKDvvl2wSED8gaK8ek4J88LOa9lxlm&#10;2l15S5ddKESEsM9QgQmhzqT0uSGLfuBq4uj9usZiiLIppG7wGuG2kmmSjKTFkuOCwZo+DeV/u9Yq&#10;GFfteni2+9P7V2026bj9OZ5Wa6Ve+93HFESgLjzDj/a3VpBORnA/E4+An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E8RqxQAAANwAAAAPAAAAAAAAAAAAAAAAAJgCAABkcnMv&#10;ZG93bnJldi54bWxQSwUGAAAAAAQABAD1AAAAigMAAAAA&#10;" fillcolor="#ffc000" strokecolor="black [3213]">
                  <v:shadow on="t" color="black" opacity="22936f" origin=",.5" offset="0,.63889mm"/>
                  <v:textbox style="layout-flow:vertical;mso-layout-flow-alt:bottom-to-top">
                    <w:txbxContent>
                      <w:p w14:paraId="0ACBBB9C" w14:textId="77777777" w:rsidR="00DA7779" w:rsidRPr="00CC0389" w:rsidRDefault="00DA7779" w:rsidP="00070F33">
                        <w:pPr>
                          <w:jc w:val="center"/>
                          <w:rPr>
                            <w:color w:val="000000" w:themeColor="text1"/>
                          </w:rPr>
                        </w:pPr>
                        <w:r w:rsidRPr="00CC0389">
                          <w:rPr>
                            <w:color w:val="000000" w:themeColor="text1"/>
                          </w:rPr>
                          <w:t>PMSE</w:t>
                        </w:r>
                      </w:p>
                    </w:txbxContent>
                  </v:textbox>
                </v:rect>
                <v:line id="Straight Connector 289" o:spid="_x0000_s1088" style="position:absolute;visibility:visible;mso-wrap-style:square" from="17922,1389" to="17922,509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ie2tMUAAADcAAAADwAAAGRycy9kb3ducmV2LnhtbESPUWvCMBSF3wf+h3AF3zS1sK2rRhnC&#10;hpOBs9sPuDZ3bVhzU5Ko3b9fBGGPh3POdzjL9WA7cSYfjGMF81kGgrh22nCj4OvzZVqACBFZY+eY&#10;FPxSgPVqdLfEUrsLH+hcxUYkCIcSFbQx9qWUoW7JYpi5njh5385bjEn6RmqPlwS3ncyz7EFaNJwW&#10;Wuxp01L9U52sAnM8dLt8+7b3pnqaF/H+9X3zkSs1GQ/PCxCRhvgfvrW3WkFePML1TDoCcvU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ie2tMUAAADcAAAADwAAAAAAAAAA&#10;AAAAAAChAgAAZHJzL2Rvd25yZXYueG1sUEsFBgAAAAAEAAQA+QAAAJMDAAAAAA==&#10;" strokecolor="black [3200]" strokeweight="2pt">
                  <v:shadow on="t" color="black" opacity="24903f" origin=",.5" offset="0,.55556mm"/>
                </v:line>
                <v:line id="Straight Connector 290" o:spid="_x0000_s1089" style="position:absolute;flip:x y;visibility:visible;mso-wrap-style:square" from="16744,3562" to="17922,35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kf7sMAAADbAAAADwAAAGRycy9kb3ducmV2LnhtbESPQWvCQBSE74L/YXmCF9FNrSYldZVS&#10;kHo0MeD1kX1NQrNvQ3Yb03/fFQSPw8x8w+wOo2nFQL1rLCt4WUUgiEurG64UFJfj8g2E88gaW8uk&#10;4I8cHPbTyQ5TbW+c0ZD7SgQIuxQV1N53qZSurMmgW9mOOHjftjfog+wrqXu8Bbhp5TqKYmmw4bBQ&#10;Y0efNZU/+a9RkMRxkeXJ4K/Rab34Oifbc5V1Ss1n48c7CE+jf4Yf7ZNW8LqB+5fwA+T+H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rZH+7DAAAA2wAAAA8AAAAAAAAAAAAA&#10;AAAAoQIAAGRycy9kb3ducmV2LnhtbFBLBQYAAAAABAAEAPkAAACRAwAAAAA=&#10;" strokecolor="black [3200]" strokeweight="2pt">
                  <v:shadow on="t" color="black" opacity="24903f" origin=",.5" offset="0,.55556mm"/>
                </v:line>
                <v:line id="Straight Connector 292" o:spid="_x0000_s1090" style="position:absolute;flip:x;visibility:visible;mso-wrap-style:square" from="16971,9729" to="17995,97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W7IH8EAAADbAAAADwAAAGRycy9kb3ducmV2LnhtbESPzarCMBSE94LvEI7gTlOVeynVKCII&#10;LgR/N+4OzbGtNicliVrf3lwQ7nKYmW+Y2aI1tXiS85VlBaNhAoI4t7riQsH5tB6kIHxA1lhbJgVv&#10;8rCYdzszzLR98YGex1CICGGfoYIyhCaT0uclGfRD2xBH72qdwRClK6R2+IpwU8txkvxKgxXHhRIb&#10;WpWU348Po+Bi6p2j7fuaT86jPfrU3dKdU6rfa5dTEIHa8B/+tjdaweQH/r7EHyDnH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NbsgfwQAAANsAAAAPAAAAAAAAAAAAAAAA&#10;AKECAABkcnMvZG93bnJldi54bWxQSwUGAAAAAAQABAD5AAAAjwMAAAAA&#10;" strokecolor="black [3200]" strokeweight="2pt">
                  <v:shadow on="t" color="black" opacity="24903f" origin=",.5" offset="0,.55556mm"/>
                </v:line>
                <v:line id="Straight Connector 293" o:spid="_x0000_s1091" style="position:absolute;flip:x;visibility:visible;mso-wrap-style:square" from="16971,19092" to="17995,1909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bxWaMMAAADbAAAADwAAAGRycy9kb3ducmV2LnhtbESPzWrDMBCE74W8g9hAb42cBoxxI4cS&#10;CPQQcJvkkttirX9aa2UkJbbfvioUchxm5htmu5tML+7kfGdZwXqVgCCurO64UXA5H14yED4ga+wt&#10;k4KZPOyKxdMWc21H/qL7KTQiQtjnqKANYcil9FVLBv3KDsTRq60zGKJ0jdQOxwg3vXxNklQa7Dgu&#10;tDjQvqXq53QzCq6mLx0d57raXNaf6DP3nZVOqefl9P4GItAUHuH/9odWsEnh70v8AbL4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28VmjDAAAA2wAAAA8AAAAAAAAAAAAA&#10;AAAAoQIAAGRycy9kb3ducmV2LnhtbFBLBQYAAAAABAAEAPkAAACRAwAAAAA=&#10;" strokecolor="black [3200]" strokeweight="2pt">
                  <v:shadow on="t" color="black" opacity="24903f" origin=",.5" offset="0,.55556mm"/>
                </v:line>
                <v:line id="Straight Connector 295" o:spid="_x0000_s1092" style="position:absolute;flip:x y;visibility:visible;mso-wrap-style:square" from="16678,23480" to="18068,234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guBmcIAAADbAAAADwAAAGRycy9kb3ducmV2LnhtbESPQYvCMBSE7wv+h/AEL4umuthKNYos&#10;yHq0VfD6aJ5tsXkpTbZ2//1GEDwOM/MNs9kNphE9da62rGA+i0AQF1bXXCq4nA/TFQjnkTU2lknB&#10;HznYbUcfG0y1fXBGfe5LESDsUlRQed+mUrqiIoNuZlvi4N1sZ9AH2ZVSd/gIcNPIRRTF0mDNYaHC&#10;lr4rKu75r1GQxPEly5PeX6Pj4vPnlCxPZdYqNRkP+zUIT4N/h1/to1bwlcDzS/gBcvs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CguBmcIAAADbAAAADwAAAAAAAAAAAAAA&#10;AAChAgAAZHJzL2Rvd25yZXYueG1sUEsFBgAAAAAEAAQA+QAAAJADAAAAAA==&#10;" strokecolor="black [3200]" strokeweight="2pt">
                  <v:shadow on="t" color="black" opacity="24903f" origin=",.5" offset="0,.55556mm"/>
                </v:line>
                <v:line id="Straight Connector 296" o:spid="_x0000_s1093" style="position:absolute;flip:x;visibility:visible;mso-wrap-style:square" from="16824,26042" to="17922,260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" strokecolor="black [3200]" strokeweight="2pt">
                  <v:shadow on="t" color="black" opacity="24903f" origin=",.5" offset="0,.55556mm"/>
                </v:line>
                <v:line id="Straight Connector 297" o:spid="_x0000_s1094" style="position:absolute;flip:x;visibility:visible;mso-wrap-style:square" from="17044,39282" to="17922,392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CPCGsMAAADbAAAADwAAAGRycy9kb3ducmV2LnhtbESPT2vCQBTE74LfYXlCb7qxgZJGVxFB&#10;6KGQ+ufS2yP7TKLZt2F3a5Jv3y0UPA4z8xtmvR1MKx7kfGNZwXKRgCAurW64UnA5H+YZCB+QNbaW&#10;ScFIHrab6WSNubY9H+lxCpWIEPY5KqhD6HIpfVmTQb+wHXH0rtYZDFG6SmqHfYSbVr4myZs02HBc&#10;qLGjfU3l/fRjFHybtnD0OV7L9LL8Qp+5W1Y4pV5mw24FItAQnuH/9odWkL7D35f4A+TmF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wjwhrDAAAA2wAAAA8AAAAAAAAAAAAA&#10;AAAAoQIAAGRycy9kb3ducmV2LnhtbFBLBQYAAAAABAAEAPkAAACRAwAAAAA=&#10;" strokecolor="black [3200]" strokeweight="2pt">
                  <v:shadow on="t" color="black" opacity="24903f" origin=",.5" offset="0,.55556mm"/>
                </v:line>
                <v:line id="Straight Connector 298" o:spid="_x0000_s1095" style="position:absolute;flip:x;visibility:visible;mso-wrap-style:square" from="16678,48499" to="17922,4849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R8Y+sEAAADbAAAADwAAAGRycy9kb3ducmV2LnhtbERPu2rDMBTdA/kHcQvdEjltKcaxHEqg&#10;0KHgNvGS7WLd2E6sKyOpfvx9NRQ6Hs47P8ymFyM531lWsNsmIIhrqztuFFTn900Kwgdkjb1lUrCQ&#10;h0OxXuWYaTvxN42n0IgYwj5DBW0IQyalr1sy6Ld2II7c1TqDIULXSO1wiuGml09J8ioNdhwbWhzo&#10;2FJ9P/0YBRfTl44+l2v9XO2+0KfulpZOqceH+W0PItAc/sV/7g+t4CWuj1/iD5DFL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FHxj6wQAAANsAAAAPAAAAAAAAAAAAAAAA&#10;AKECAABkcnMvZG93bnJldi54bWxQSwUGAAAAAAQABAD5AAAAjwMAAAAA&#10;" strokecolor="black [3200]" strokeweight="2pt">
                  <v:shadow on="t" color="black" opacity="24903f" origin=",.5" offset="0,.55556mm"/>
                </v:line>
                <v:group id="Group 300" o:spid="_x0000_s1096" style="position:absolute;left:13062;top:6583;width:5006;height:31567" coordorigin="39982,3657" coordsize="5005,3156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HCSJzFAAAA2wAA&#10;AA8AAAAAAAAAAAAAAAAAqgIAAGRycy9kb3ducmV2LnhtbFBLBQYAAAAABAAEAPoAAACcAwAAAAA=&#10;">
                  <v:line id="Straight Connector 291" o:spid="_x0000_s1097" style="position:absolute;flip:x;visibility:visible;mso-wrap-style:square" from="40014,3657" to="44988,36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oEjFsMAAADbAAAADwAAAGRycy9kb3ducmV2LnhtbESPzYvCMBTE74L/Q3gL3jT1AynVtCyC&#10;sIcF14+Lt0fzbLvbvJQkav3vN4LgcZiZ3zDrojetuJHzjWUF00kCgri0uuFKwem4HacgfEDW2Fom&#10;BQ/yUOTDwRozbe+8p9shVCJC2GeooA6hy6T0ZU0G/cR2xNG7WGcwROkqqR3eI9y0cpYkS2mw4bhQ&#10;Y0ebmsq/w9UoOJt25+j7cSnnp+kP+tT9pjun1Oij/1yBCNSHd/jV/tIKFjN4fok/QOb/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qBIxbDAAAA2wAAAA8AAAAAAAAAAAAA&#10;AAAAoQIAAGRycy9kb3ducmV2LnhtbFBLBQYAAAAABAAEAPkAAACRAwAAAAA=&#10;" strokecolor="black [3200]" strokeweight="2pt">
                    <v:shadow on="t" color="black" opacity="24903f" origin=",.5" offset="0,.55556mm"/>
                  </v:line>
                  <v:line id="Straight Connector 294" o:spid="_x0000_s1098" style="position:absolute;flip:x y;visibility:visible;mso-wrap-style:square" from="40014,18946" to="44667,189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ZPJCMIAAADbAAAADwAAAGRycy9kb3ducmV2LnhtbESPQYvCMBSE7wv+h/AEL4umK2sr1Sgi&#10;iB5tV9jro3m2xealNNla/71ZEDwOM/MNs94OphE9da62rOBrFoEgLqyuuVRw+TlMlyCcR9bYWCYF&#10;D3Kw3Yw+1phqe+eM+tyXIkDYpaig8r5NpXRFRQbdzLbEwbvazqAPsiul7vAe4KaR8yiKpcGaw0KF&#10;Le0rKm75n1GQxPEly5Pe/0an+efxnCzOZdYqNRkPuxUIT4N/h1/tk1bwvYD/L+EHyM0T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zZPJCMIAAADbAAAADwAAAAAAAAAAAAAA&#10;AAChAgAAZHJzL2Rvd25yZXYueG1sUEsFBgAAAAAEAAQA+QAAAJADAAAAAA==&#10;" strokecolor="black [3200]" strokeweight="2pt">
                    <v:shadow on="t" color="black" opacity="24903f" origin=",.5" offset="0,.55556mm"/>
                  </v:line>
                  <v:line id="Straight Connector 299" o:spid="_x0000_s1099" style="position:absolute;flip:x;visibility:visible;mso-wrap-style:square" from="39982,35224" to="44954,352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bolFcEAAADbAAAADwAAAGRycy9kb3ducmV2LnhtbESPzarCMBSE94LvEI7gTlN/kFKNIoLg&#10;QtCrbtwdmmPbe5uTkkStb28E4S6HmfmGWaxaU4sHOV9ZVjAaJiCIc6srLhRczttBCsIHZI21ZVLw&#10;Ig+rZbezwEzbJ//Q4xQKESHsM1RQhtBkUvq8JIN+aBvi6N2sMxiidIXUDp8Rbmo5TpKZNFhxXCix&#10;oU1J+d/pbhRcTX1wtH/d8slldESfut/04JTq99r1HESgNvyHv+2dVjCdwedL/AFy+QY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luiUVwQAAANsAAAAPAAAAAAAAAAAAAAAA&#10;AKECAABkcnMvZG93bnJldi54bWxQSwUGAAAAAAQABAD5AAAAjwMAAAAA&#10;" strokecolor="black [3200]" strokeweight="2pt">
                    <v:shadow on="t" color="black" opacity="24903f" origin=",.5" offset="0,.55556mm"/>
                  </v:line>
                </v:group>
                <v:shape id="Text Box 301" o:spid="_x0000_s1100" type="#_x0000_t202" style="position:absolute;left:12321;top:2500;width:6291;height:28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2t5sUA&#10;AADbAAAADwAAAGRycy9kb3ducmV2LnhtbESPT4vCMBTE7wt+h/AEb2uqrKtUo0hBVsQ9+Ofi7dk8&#10;22LzUpuo1U+/WRA8DjPzG2Yya0wpblS7wrKCXjcCQZxaXXCmYL9bfI5AOI+ssbRMCh7kYDZtfUww&#10;1vbOG7ptfSYChF2MCnLvq1hKl+Zk0HVtRRy8k60N+iDrTOoa7wFuStmPom9psOCwkGNFSU7peXs1&#10;ClbJ4hc3x74ZPcvkZ32aV5f9YaBUp93MxyA8Nf4dfrWXWsHXEP6/hB8gp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Ta3mxQAAANsAAAAPAAAAAAAAAAAAAAAAAJgCAABkcnMv&#10;ZG93bnJldi54bWxQSwUGAAAAAAQABAD1AAAAigMAAAAA&#10;" filled="f" stroked="f" strokeweight=".5pt">
                  <v:textbox>
                    <w:txbxContent>
                      <w:p w14:paraId="39A6606D" w14:textId="77777777" w:rsidR="00DA7779" w:rsidRDefault="00DA7779" w:rsidP="00070F33">
                        <w:r>
                          <w:t>1880</w:t>
                        </w:r>
                      </w:p>
                    </w:txbxContent>
                  </v:textbox>
                </v:shape>
                <v:shape id="Text Box 301" o:spid="_x0000_s1101" type="#_x0000_t202" style="position:absolute;left:12487;top:8694;width:6287;height:28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dI5lMMA&#10;AADbAAAADwAAAGRycy9kb3ducmV2LnhtbERPy2rCQBTdF/yH4Ra6q5NKFYlOQgiIpbQLrZvubjM3&#10;D8zciZkxSf36zkLo8nDe23QyrRiod41lBS/zCARxYXXDlYLT1+55DcJ5ZI2tZVLwSw7SZPawxVjb&#10;kQ80HH0lQgi7GBXU3nexlK6oyaCb2444cKXtDfoA+0rqHscQblq5iKKVNNhwaKixo7ym4ny8GgXv&#10;+e4TDz8Ls761+f6jzLrL6Xup1NPjlG1AeJr8v/juftMKXsPY8CX8AJn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dI5lMMAAADbAAAADwAAAAAAAAAAAAAAAACYAgAAZHJzL2Rv&#10;d25yZXYueG1sUEsFBgAAAAAEAAQA9QAAAIgDAAAAAA==&#10;" filled="f" stroked="f" strokeweight=".5pt">
                  <v:textbox>
                    <w:txbxContent>
                      <w:p w14:paraId="01CB9205" w14:textId="77777777" w:rsidR="00DA7779" w:rsidRPr="00DE2211" w:rsidRDefault="00DA7779" w:rsidP="00070F33">
                        <w:pPr>
                          <w:pStyle w:val="NormalWeb"/>
                          <w:spacing w:before="0" w:beforeAutospacing="0" w:after="0" w:afterAutospacing="0"/>
                        </w:pPr>
                        <w:r w:rsidRPr="00DE2211">
                          <w:rPr>
                            <w:rFonts w:ascii="Arial" w:hAnsi="Arial"/>
                            <w:sz w:val="20"/>
                            <w:szCs w:val="20"/>
                          </w:rPr>
                          <w:t>1920</w:t>
                        </w:r>
                      </w:p>
                    </w:txbxContent>
                  </v:textbox>
                </v:shape>
                <v:shape id="Text Box 301" o:spid="_x0000_s1102" type="#_x0000_t202" style="position:absolute;left:12579;top:17957;width:6287;height:28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p6cD8YA&#10;AADbAAAADwAAAGRycy9kb3ducmV2LnhtbESPQWvCQBSE74L/YXmF3nTTYMWmriKBYCl6SOqlt9fs&#10;MwnNvo3Zrab+elco9DjMzDfMcj2YVpypd41lBU/TCARxaXXDlYLDRzZZgHAeWWNrmRT8koP1ajxa&#10;YqLthXM6F74SAcIuQQW1910ipStrMuimtiMO3tH2Bn2QfSV1j5cAN62Mo2guDTYcFmrsKK2p/C5+&#10;jIL3NNtj/hWbxbVNt7vjpjsdPp+VenwYNq8gPA3+P/zXftMKZi9w/xJ+gFz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p6cD8YAAADbAAAADwAAAAAAAAAAAAAAAACYAgAAZHJz&#10;L2Rvd25yZXYueG1sUEsFBgAAAAAEAAQA9QAAAIsDAAAAAA==&#10;" filled="f" stroked="f" strokeweight=".5pt">
                  <v:textbox>
                    <w:txbxContent>
                      <w:p w14:paraId="0ED7C17E" w14:textId="77777777" w:rsidR="00DA7779" w:rsidRPr="00DE2211" w:rsidRDefault="00DA7779" w:rsidP="00070F33">
                        <w:pPr>
                          <w:pStyle w:val="NormalWeb"/>
                          <w:spacing w:before="0" w:beforeAutospacing="0" w:after="0" w:afterAutospacing="0"/>
                        </w:pPr>
                        <w:r w:rsidRPr="00DE2211">
                          <w:rPr>
                            <w:rFonts w:ascii="Arial" w:hAnsi="Arial"/>
                            <w:sz w:val="20"/>
                            <w:szCs w:val="20"/>
                          </w:rPr>
                          <w:t>1980</w:t>
                        </w:r>
                      </w:p>
                    </w:txbxContent>
                  </v:textbox>
                </v:shape>
                <v:shape id="Text Box 301" o:spid="_x0000_s1103" type="#_x0000_t202" style="position:absolute;left:8551;top:5402;width:6286;height:28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2jT8IA&#10;AADbAAAADwAAAGRycy9kb3ducmV2LnhtbERPTWvCQBC9F/wPywje6saARaKrSCBYxB5ivfQ2Zsck&#10;mJ2N2a2J/fXdg+Dx8b5Xm8E04k6dqy0rmE0jEMSF1TWXCk7f2fsChPPIGhvLpOBBDjbr0dsKE217&#10;zul+9KUIIewSVFB53yZSuqIig25qW+LAXWxn0AfYlVJ32Idw08g4ij6kwZpDQ4UtpRUV1+OvUbBP&#10;sy/Mz7FZ/DXp7nDZtrfTz1ypyXjYLkF4GvxL/HR/agXzsD58CT9Arv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CfaNPwgAAANsAAAAPAAAAAAAAAAAAAAAAAJgCAABkcnMvZG93&#10;bnJldi54bWxQSwUGAAAAAAQABAD1AAAAhwMAAAAA&#10;" filled="f" stroked="f" strokeweight=".5pt">
                  <v:textbox>
                    <w:txbxContent>
                      <w:p w14:paraId="18AA6F3B" w14:textId="77777777" w:rsidR="00DA7779" w:rsidRPr="00DE2211" w:rsidRDefault="00DA7779" w:rsidP="00070F33">
                        <w:pPr>
                          <w:pStyle w:val="NormalWeb"/>
                          <w:spacing w:before="0" w:beforeAutospacing="0" w:after="0" w:afterAutospacing="0"/>
                        </w:pPr>
                        <w:r w:rsidRPr="00DE2211">
                          <w:rPr>
                            <w:rFonts w:ascii="Arial" w:hAnsi="Arial"/>
                            <w:sz w:val="20"/>
                            <w:szCs w:val="20"/>
                          </w:rPr>
                          <w:t>1900</w:t>
                        </w:r>
                      </w:p>
                    </w:txbxContent>
                  </v:textbox>
                </v:shape>
                <v:shape id="Text Box 301" o:spid="_x0000_s1104" type="#_x0000_t202" style="position:absolute;left:8719;top:20677;width:6287;height:28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TEG1MUA&#10;AADbAAAADwAAAGRycy9kb3ducmV2LnhtbESPQWvCQBSE70L/w/IK3nQTISKpq4SAVMQetF56e80+&#10;k9Ds2zS7xthf7wpCj8PMfMMs14NpRE+dqy0riKcRCOLC6ppLBafPzWQBwnlkjY1lUnAjB+vVy2iJ&#10;qbZXPlB/9KUIEHYpKqi8b1MpXVGRQTe1LXHwzrYz6IPsSqk7vAa4aeQsiubSYM1hocKW8oqKn+PF&#10;KNjlmw88fM/M4q/J3/fnrP09fSVKjV+H7A2Ep8H/h5/trVaQxPD4En6AXN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MQbUxQAAANsAAAAPAAAAAAAAAAAAAAAAAJgCAABkcnMv&#10;ZG93bnJldi54bWxQSwUGAAAAAAQABAD1AAAAigMAAAAA&#10;" filled="f" stroked="f" strokeweight=".5pt">
                  <v:textbox>
                    <w:txbxContent>
                      <w:p w14:paraId="29372ED1" w14:textId="77777777" w:rsidR="00DA7779" w:rsidRPr="00DE2211" w:rsidRDefault="00DA7779" w:rsidP="00070F33">
                        <w:pPr>
                          <w:pStyle w:val="NormalWeb"/>
                          <w:spacing w:before="0" w:beforeAutospacing="0" w:after="0" w:afterAutospacing="0"/>
                        </w:pPr>
                        <w:r w:rsidRPr="00DE2211">
                          <w:rPr>
                            <w:rFonts w:ascii="Arial" w:hAnsi="Arial"/>
                            <w:sz w:val="20"/>
                            <w:szCs w:val="20"/>
                          </w:rPr>
                          <w:t>2000</w:t>
                        </w:r>
                      </w:p>
                    </w:txbxContent>
                  </v:textbox>
                </v:shape>
                <v:shape id="Text Box 301" o:spid="_x0000_s1105" type="#_x0000_t202" style="position:absolute;left:12397;top:22460;width:6287;height:28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eOYo8UA&#10;AADbAAAADwAAAGRycy9kb3ducmV2LnhtbESPQWvCQBSE70L/w/IK3szGgCJpVpGAtEh70Hrp7TX7&#10;TILZt2l2m6T99a4geBxm5hsm24ymET11rrasYB7FIIgLq2suFZw+d7MVCOeRNTaWScEfOdisnyYZ&#10;ptoOfKD+6EsRIOxSVFB536ZSuqIigy6yLXHwzrYz6IPsSqk7HALcNDKJ46U0WHNYqLClvKLicvw1&#10;Cvb57gMP34lZ/Tf56/t52/6cvhZKTZ/H7QsIT6N/hO/tN61gkcDtS/gBcn0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45ijxQAAANsAAAAPAAAAAAAAAAAAAAAAAJgCAABkcnMv&#10;ZG93bnJldi54bWxQSwUGAAAAAAQABAD1AAAAigMAAAAA&#10;" filled="f" stroked="f" strokeweight=".5pt">
                  <v:textbox>
                    <w:txbxContent>
                      <w:p w14:paraId="6FD61C6E" w14:textId="77777777" w:rsidR="00DA7779" w:rsidRPr="00DE2211" w:rsidRDefault="00DA7779" w:rsidP="00070F33">
                        <w:pPr>
                          <w:pStyle w:val="NormalWeb"/>
                          <w:spacing w:before="0" w:beforeAutospacing="0" w:after="0" w:afterAutospacing="0"/>
                        </w:pPr>
                        <w:r w:rsidRPr="00DE2211">
                          <w:rPr>
                            <w:rFonts w:ascii="Arial" w:hAnsi="Arial"/>
                            <w:sz w:val="20"/>
                            <w:szCs w:val="20"/>
                          </w:rPr>
                          <w:t>2010</w:t>
                        </w:r>
                      </w:p>
                    </w:txbxContent>
                  </v:textbox>
                </v:shape>
                <v:shape id="Text Box 301" o:spid="_x0000_s1106" type="#_x0000_t202" style="position:absolute;left:12433;top:24920;width:6287;height:28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alTMUA&#10;AADbAAAADwAAAGRycy9kb3ducmV2LnhtbESPQWvCQBSE74X+h+UJvdWN0ohEVwkBaSn2oPXi7Zl9&#10;JsHs2zS7TaK/3i0IPQ4z8w2zXA+mFh21rrKsYDKOQBDnVldcKDh8b17nIJxH1lhbJgVXcrBePT8t&#10;MdG25x11e1+IAGGXoILS+yaR0uUlGXRj2xAH72xbgz7ItpC6xT7ATS2nUTSTBisOCyU2lJWUX/a/&#10;RsFntvnC3Wlq5rc6e9+e0+bncIyVehkN6QKEp8H/hx/tD60gfoO/L+EHyN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9RqVMxQAAANsAAAAPAAAAAAAAAAAAAAAAAJgCAABkcnMv&#10;ZG93bnJldi54bWxQSwUGAAAAAAQABAD1AAAAigMAAAAA&#10;" filled="f" stroked="f" strokeweight=".5pt">
                  <v:textbox>
                    <w:txbxContent>
                      <w:p w14:paraId="1904FB83" w14:textId="77777777" w:rsidR="00DA7779" w:rsidRPr="00DE2211" w:rsidRDefault="00DA7779" w:rsidP="00070F33">
                        <w:pPr>
                          <w:pStyle w:val="NormalWeb"/>
                          <w:spacing w:before="0" w:beforeAutospacing="0" w:after="0" w:afterAutospacing="0"/>
                        </w:pPr>
                        <w:r w:rsidRPr="00DE2211">
                          <w:rPr>
                            <w:rFonts w:ascii="Arial" w:hAnsi="Arial"/>
                            <w:sz w:val="20"/>
                            <w:szCs w:val="20"/>
                          </w:rPr>
                          <w:t>2025</w:t>
                        </w:r>
                      </w:p>
                    </w:txbxContent>
                  </v:textbox>
                </v:shape>
                <v:shape id="Text Box 301" o:spid="_x0000_s1107" type="#_x0000_t202" style="position:absolute;left:8726;top:36944;width:6286;height:28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oA18YA&#10;AADbAAAADwAAAGRycy9kb3ducmV2LnhtbESPQWvCQBSE74X+h+UVems2CimSZhUJSKXoQZtLb6/Z&#10;ZxLMvk2zaxL99d1CweMwM98w2WoyrRiod41lBbMoBkFcWt1wpaD43LwsQDiPrLG1TAqu5GC1fHzI&#10;MNV25AMNR1+JAGGXooLa+y6V0pU1GXSR7YiDd7K9QR9kX0nd4xjgppXzOH6VBhsOCzV2lNdUno8X&#10;o+Aj3+zx8D03i1ubv+9O6+6n+EqUen6a1m8gPE3+Hv5vb7WCJIG/L+EHyO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goA18YAAADbAAAADwAAAAAAAAAAAAAAAACYAgAAZHJz&#10;L2Rvd25yZXYueG1sUEsFBgAAAAAEAAQA9QAAAIsDAAAAAA==&#10;" filled="f" stroked="f" strokeweight=".5pt">
                  <v:textbox>
                    <w:txbxContent>
                      <w:p w14:paraId="58D83B07" w14:textId="77777777" w:rsidR="00DA7779" w:rsidRPr="00DE2211" w:rsidRDefault="00DA7779" w:rsidP="00070F33">
                        <w:pPr>
                          <w:pStyle w:val="NormalWeb"/>
                          <w:spacing w:before="0" w:beforeAutospacing="0" w:after="0" w:afterAutospacing="0"/>
                        </w:pPr>
                        <w:r w:rsidRPr="00DE2211">
                          <w:rPr>
                            <w:rFonts w:ascii="Arial" w:hAnsi="Arial"/>
                            <w:sz w:val="20"/>
                            <w:szCs w:val="20"/>
                          </w:rPr>
                          <w:t>2100</w:t>
                        </w:r>
                      </w:p>
                    </w:txbxContent>
                  </v:textbox>
                </v:shape>
                <v:shape id="Text Box 301" o:spid="_x0000_s1108" type="#_x0000_t202" style="position:absolute;left:12429;top:38047;width:6286;height:28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ieoMYA&#10;AADbAAAADwAAAGRycy9kb3ducmV2LnhtbESPQWvCQBSE74L/YXlCb7oxEJHUTZCAtJT2oPXS2zP7&#10;TIK7b2N2q2l/fbdQ6HGYmW+YTTlaI240+M6xguUiAUFcO91xo+D4vpuvQfiArNE4JgVf5KEsppMN&#10;5trdeU+3Q2hEhLDPUUEbQp9L6euWLPqF64mjd3aDxRDl0Eg94D3CrZFpkqykxY7jQos9VS3Vl8On&#10;VfBS7d5wf0rt+ttUT6/nbX89fmRKPczG7SOIQGP4D/+1n7WCbAW/X+IPkM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tieoMYAAADbAAAADwAAAAAAAAAAAAAAAACYAgAAZHJz&#10;L2Rvd25yZXYueG1sUEsFBgAAAAAEAAQA9QAAAIsDAAAAAA==&#10;" filled="f" stroked="f" strokeweight=".5pt">
                  <v:textbox>
                    <w:txbxContent>
                      <w:p w14:paraId="6D2DB967" w14:textId="77777777" w:rsidR="00DA7779" w:rsidRPr="00DE2211" w:rsidRDefault="00DA7779" w:rsidP="00070F33">
                        <w:pPr>
                          <w:pStyle w:val="NormalWeb"/>
                          <w:spacing w:before="0" w:beforeAutospacing="0" w:after="0" w:afterAutospacing="0"/>
                        </w:pPr>
                        <w:r w:rsidRPr="00DE2211">
                          <w:rPr>
                            <w:rFonts w:ascii="Arial" w:hAnsi="Arial"/>
                            <w:sz w:val="20"/>
                            <w:szCs w:val="20"/>
                          </w:rPr>
                          <w:t>2110</w:t>
                        </w:r>
                      </w:p>
                    </w:txbxContent>
                  </v:textbox>
                </v:shape>
                <v:shape id="Text Box 301" o:spid="_x0000_s1109" type="#_x0000_t202" style="position:absolute;left:12534;top:47451;width:6286;height:28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Q7O8UA&#10;AADbAAAADwAAAGRycy9kb3ducmV2LnhtbESPT4vCMBTE74LfITxhb5oqqKUaRQrisujBP5e9vW2e&#10;bbF5qU3U7n76jSB4HGbmN8x82ZpK3KlxpWUFw0EEgjizuuRcwem47scgnEfWWFkmBb/kYLnoduaY&#10;aPvgPd0PPhcBwi5BBYX3dSKlywoy6Aa2Jg7e2TYGfZBNLnWDjwA3lRxF0UQaLDksFFhTWlB2OdyM&#10;gq90vcP9z8jEf1W62Z5X9fX0PVbqo9euZiA8tf4dfrU/tYLxFJ5fwg+Qi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lDs7xQAAANsAAAAPAAAAAAAAAAAAAAAAAJgCAABkcnMv&#10;ZG93bnJldi54bWxQSwUGAAAAAAQABAD1AAAAigMAAAAA&#10;" filled="f" stroked="f" strokeweight=".5pt">
                  <v:textbox>
                    <w:txbxContent>
                      <w:p w14:paraId="2EB33668" w14:textId="77777777" w:rsidR="00DA7779" w:rsidRPr="00DE2211" w:rsidRDefault="00DA7779" w:rsidP="00070F33">
                        <w:pPr>
                          <w:pStyle w:val="NormalWeb"/>
                          <w:spacing w:before="0" w:beforeAutospacing="0" w:after="0" w:afterAutospacing="0"/>
                        </w:pPr>
                        <w:r w:rsidRPr="00DE2211">
                          <w:rPr>
                            <w:rFonts w:ascii="Arial" w:hAnsi="Arial"/>
                            <w:sz w:val="20"/>
                            <w:szCs w:val="20"/>
                          </w:rPr>
                          <w:t>2170</w:t>
                        </w:r>
                      </w:p>
                    </w:txbxContent>
                  </v:textbox>
                </v:shape>
                <v:shape id="Text Box 301" o:spid="_x0000_s1110" type="#_x0000_t202" style="position:absolute;left:2512;top:12487;width:13935;height:43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AuvScIA&#10;AADbAAAADwAAAGRycy9kb3ducmV2LnhtbERPTWvCQBC9F/wPywje6saARaKrSCBYxB5ivfQ2Zsck&#10;mJ2N2a2J/fXdg+Dx8b5Xm8E04k6dqy0rmE0jEMSF1TWXCk7f2fsChPPIGhvLpOBBDjbr0dsKE217&#10;zul+9KUIIewSVFB53yZSuqIig25qW+LAXWxn0AfYlVJ32Idw08g4ij6kwZpDQ4UtpRUV1+OvUbBP&#10;sy/Mz7FZ/DXp7nDZtrfTz1ypyXjYLkF4GvxL/HR/agXzMDZ8CT9Arv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8C69JwgAAANsAAAAPAAAAAAAAAAAAAAAAAJgCAABkcnMvZG93&#10;bnJldi54bWxQSwUGAAAAAAQABAD1AAAAhwMAAAAA&#10;" filled="f" stroked="f" strokeweight=".5pt">
                  <v:textbox>
                    <w:txbxContent>
                      <w:p w14:paraId="6E2D9976" w14:textId="77777777" w:rsidR="00DA7779" w:rsidRDefault="00DA7779" w:rsidP="00070F33">
                        <w:pPr>
                          <w:pStyle w:val="NormalWeb"/>
                          <w:spacing w:before="0" w:beforeAutospacing="0" w:after="0" w:afterAutospacing="0"/>
                        </w:pPr>
                        <w:r>
                          <w:rPr>
                            <w:rFonts w:ascii="Arial" w:hAnsi="Arial"/>
                            <w:sz w:val="20"/>
                            <w:szCs w:val="20"/>
                          </w:rPr>
                          <w:t>Frequency, MHz</w:t>
                        </w:r>
                      </w:p>
                    </w:txbxContent>
                  </v:textbox>
                </v:shape>
                <w10:anchorlock/>
              </v:group>
            </w:pict>
          </mc:Fallback>
        </mc:AlternateContent>
      </w:r>
    </w:p>
    <w:p w14:paraId="4E04EF9A" w14:textId="77777777" w:rsidR="00070F33" w:rsidRPr="00040BEC" w:rsidRDefault="00070F33" w:rsidP="00070F33">
      <w:pPr>
        <w:pStyle w:val="Caption"/>
        <w:ind w:left="432"/>
        <w:rPr>
          <w:szCs w:val="24"/>
          <w:lang w:val="en-GB"/>
        </w:rPr>
      </w:pPr>
      <w:r w:rsidRPr="00040BEC">
        <w:rPr>
          <w:lang w:val="en-GB"/>
        </w:rPr>
        <w:t xml:space="preserve">Figure </w:t>
      </w:r>
      <w:r w:rsidR="000A5980" w:rsidRPr="00040BEC">
        <w:rPr>
          <w:lang w:val="en-GB"/>
        </w:rPr>
        <w:fldChar w:fldCharType="begin"/>
      </w:r>
      <w:r w:rsidRPr="00040BEC">
        <w:rPr>
          <w:lang w:val="en-GB"/>
        </w:rPr>
        <w:instrText xml:space="preserve"> SEQ Figure \* ARABIC </w:instrText>
      </w:r>
      <w:r w:rsidR="000A5980" w:rsidRPr="00040BEC">
        <w:rPr>
          <w:lang w:val="en-GB"/>
        </w:rPr>
        <w:fldChar w:fldCharType="separate"/>
      </w:r>
      <w:r w:rsidR="002327BB">
        <w:rPr>
          <w:noProof/>
          <w:lang w:val="en-GB"/>
        </w:rPr>
        <w:t>12</w:t>
      </w:r>
      <w:r w:rsidR="000A5980" w:rsidRPr="00040BEC">
        <w:rPr>
          <w:lang w:val="en-GB"/>
        </w:rPr>
        <w:fldChar w:fldCharType="end"/>
      </w:r>
      <w:r w:rsidRPr="00040BEC">
        <w:rPr>
          <w:lang w:val="en-GB"/>
        </w:rPr>
        <w:t xml:space="preserve">: </w:t>
      </w:r>
      <w:r w:rsidRPr="00040BEC">
        <w:rPr>
          <w:szCs w:val="24"/>
          <w:lang w:val="en-GB"/>
        </w:rPr>
        <w:t>Adjacent band usage</w:t>
      </w:r>
    </w:p>
    <w:p w14:paraId="2E68CB5A" w14:textId="77777777" w:rsidR="00766EB0" w:rsidRPr="00040BEC" w:rsidRDefault="00766EB0" w:rsidP="00CF5445">
      <w:pPr>
        <w:pStyle w:val="Heading2"/>
        <w:rPr>
          <w:lang w:val="en-GB"/>
        </w:rPr>
      </w:pPr>
      <w:bookmarkStart w:id="57" w:name="_Toc396904003"/>
      <w:bookmarkStart w:id="58" w:name="_Toc445129320"/>
      <w:r w:rsidRPr="00040BEC">
        <w:rPr>
          <w:lang w:val="en-GB"/>
        </w:rPr>
        <w:t>DA2GC</w:t>
      </w:r>
      <w:bookmarkEnd w:id="56"/>
      <w:bookmarkEnd w:id="57"/>
      <w:bookmarkEnd w:id="58"/>
    </w:p>
    <w:p w14:paraId="054DFE76" w14:textId="43A9C3D9" w:rsidR="00766EB0" w:rsidRPr="00040BEC" w:rsidRDefault="00766EB0" w:rsidP="00766EB0">
      <w:pPr>
        <w:spacing w:after="240"/>
        <w:jc w:val="both"/>
        <w:rPr>
          <w:lang w:val="en-GB"/>
        </w:rPr>
      </w:pPr>
      <w:r w:rsidRPr="00040BEC">
        <w:rPr>
          <w:rFonts w:cs="Arial"/>
          <w:lang w:val="en-GB" w:eastAsia="de-DE"/>
        </w:rPr>
        <w:t>The following results have been achieved by studying three different system proposals (ETSI TR 103</w:t>
      </w:r>
      <w:r w:rsidR="00454BBF" w:rsidRPr="00040BEC">
        <w:rPr>
          <w:rFonts w:cs="Arial"/>
          <w:lang w:val="en-GB" w:eastAsia="de-DE"/>
        </w:rPr>
        <w:t> </w:t>
      </w:r>
      <w:r w:rsidRPr="00040BEC">
        <w:rPr>
          <w:rFonts w:cs="Arial"/>
          <w:lang w:val="en-GB" w:eastAsia="de-DE"/>
        </w:rPr>
        <w:t>054</w:t>
      </w:r>
      <w:r w:rsidR="00454BBF" w:rsidRPr="00040BEC">
        <w:rPr>
          <w:rFonts w:cs="Arial"/>
          <w:lang w:val="en-GB" w:eastAsia="de-DE"/>
        </w:rPr>
        <w:t xml:space="preserve"> </w:t>
      </w:r>
      <w:r w:rsidR="000A5980" w:rsidRPr="00040BEC">
        <w:rPr>
          <w:rFonts w:cs="Arial"/>
          <w:lang w:val="en-GB" w:eastAsia="de-DE"/>
        </w:rPr>
        <w:fldChar w:fldCharType="begin"/>
      </w:r>
      <w:r w:rsidR="00454BBF" w:rsidRPr="00040BEC">
        <w:rPr>
          <w:rFonts w:cs="Arial"/>
          <w:lang w:val="en-GB" w:eastAsia="de-DE"/>
        </w:rPr>
        <w:instrText xml:space="preserve"> REF _Ref388513496 \r \h </w:instrText>
      </w:r>
      <w:r w:rsidR="000A5980" w:rsidRPr="00040BEC">
        <w:rPr>
          <w:rFonts w:cs="Arial"/>
          <w:lang w:val="en-GB" w:eastAsia="de-DE"/>
        </w:rPr>
      </w:r>
      <w:r w:rsidR="000A5980" w:rsidRPr="00040BEC">
        <w:rPr>
          <w:rFonts w:cs="Arial"/>
          <w:lang w:val="en-GB" w:eastAsia="de-DE"/>
        </w:rPr>
        <w:fldChar w:fldCharType="separate"/>
      </w:r>
      <w:r w:rsidR="002327BB">
        <w:rPr>
          <w:rFonts w:cs="Arial"/>
          <w:lang w:val="en-GB" w:eastAsia="de-DE"/>
        </w:rPr>
        <w:t>[31]</w:t>
      </w:r>
      <w:r w:rsidR="000A5980" w:rsidRPr="00040BEC">
        <w:rPr>
          <w:rFonts w:cs="Arial"/>
          <w:lang w:val="en-GB" w:eastAsia="de-DE"/>
        </w:rPr>
        <w:fldChar w:fldCharType="end"/>
      </w:r>
      <w:r w:rsidRPr="00040BEC">
        <w:rPr>
          <w:rFonts w:cs="Arial"/>
          <w:lang w:val="en-GB" w:eastAsia="de-DE"/>
        </w:rPr>
        <w:t>, ETSI TR 101</w:t>
      </w:r>
      <w:r w:rsidR="00454BBF" w:rsidRPr="00040BEC">
        <w:rPr>
          <w:rFonts w:cs="Arial"/>
          <w:lang w:val="en-GB" w:eastAsia="de-DE"/>
        </w:rPr>
        <w:t> </w:t>
      </w:r>
      <w:r w:rsidRPr="00040BEC">
        <w:rPr>
          <w:rFonts w:cs="Arial"/>
          <w:lang w:val="en-GB" w:eastAsia="de-DE"/>
        </w:rPr>
        <w:t>599</w:t>
      </w:r>
      <w:r w:rsidR="00454BBF" w:rsidRPr="00040BEC">
        <w:rPr>
          <w:rFonts w:cs="Arial"/>
          <w:lang w:val="en-GB" w:eastAsia="de-DE"/>
        </w:rPr>
        <w:t xml:space="preserve"> </w:t>
      </w:r>
      <w:r w:rsidR="000A5980" w:rsidRPr="00040BEC">
        <w:rPr>
          <w:rFonts w:cs="Arial"/>
          <w:lang w:val="en-GB" w:eastAsia="de-DE"/>
        </w:rPr>
        <w:fldChar w:fldCharType="begin"/>
      </w:r>
      <w:r w:rsidR="00454BBF" w:rsidRPr="00040BEC">
        <w:rPr>
          <w:rFonts w:cs="Arial"/>
          <w:lang w:val="en-GB" w:eastAsia="de-DE"/>
        </w:rPr>
        <w:instrText xml:space="preserve"> REF _Ref388513504 \r \h </w:instrText>
      </w:r>
      <w:r w:rsidR="000A5980" w:rsidRPr="00040BEC">
        <w:rPr>
          <w:rFonts w:cs="Arial"/>
          <w:lang w:val="en-GB" w:eastAsia="de-DE"/>
        </w:rPr>
      </w:r>
      <w:r w:rsidR="000A5980" w:rsidRPr="00040BEC">
        <w:rPr>
          <w:rFonts w:cs="Arial"/>
          <w:lang w:val="en-GB" w:eastAsia="de-DE"/>
        </w:rPr>
        <w:fldChar w:fldCharType="separate"/>
      </w:r>
      <w:r w:rsidR="002327BB">
        <w:rPr>
          <w:rFonts w:cs="Arial"/>
          <w:lang w:val="en-GB" w:eastAsia="de-DE"/>
        </w:rPr>
        <w:t>[32]</w:t>
      </w:r>
      <w:r w:rsidR="000A5980" w:rsidRPr="00040BEC">
        <w:rPr>
          <w:rFonts w:cs="Arial"/>
          <w:lang w:val="en-GB" w:eastAsia="de-DE"/>
        </w:rPr>
        <w:fldChar w:fldCharType="end"/>
      </w:r>
      <w:r w:rsidRPr="00040BEC">
        <w:rPr>
          <w:rFonts w:cs="Arial"/>
          <w:lang w:val="en-GB" w:eastAsia="de-DE"/>
        </w:rPr>
        <w:t xml:space="preserve"> and ETSI TR 103</w:t>
      </w:r>
      <w:r w:rsidR="00454BBF" w:rsidRPr="00040BEC">
        <w:rPr>
          <w:rFonts w:cs="Arial"/>
          <w:lang w:val="en-GB" w:eastAsia="de-DE"/>
        </w:rPr>
        <w:t> </w:t>
      </w:r>
      <w:r w:rsidRPr="00040BEC">
        <w:rPr>
          <w:rFonts w:cs="Arial"/>
          <w:lang w:val="en-GB" w:eastAsia="de-DE"/>
        </w:rPr>
        <w:t>108</w:t>
      </w:r>
      <w:r w:rsidR="00454BBF" w:rsidRPr="00040BEC">
        <w:rPr>
          <w:rFonts w:cs="Arial"/>
          <w:lang w:val="en-GB" w:eastAsia="de-DE"/>
        </w:rPr>
        <w:t xml:space="preserve"> </w:t>
      </w:r>
      <w:r w:rsidR="000A5980" w:rsidRPr="00040BEC">
        <w:rPr>
          <w:rFonts w:cs="Arial"/>
          <w:lang w:val="en-GB" w:eastAsia="de-DE"/>
        </w:rPr>
        <w:fldChar w:fldCharType="begin"/>
      </w:r>
      <w:r w:rsidR="00454BBF" w:rsidRPr="00040BEC">
        <w:rPr>
          <w:rFonts w:cs="Arial"/>
          <w:lang w:val="en-GB" w:eastAsia="de-DE"/>
        </w:rPr>
        <w:instrText xml:space="preserve"> REF _Ref388513513 \r \h </w:instrText>
      </w:r>
      <w:r w:rsidR="000A5980" w:rsidRPr="00040BEC">
        <w:rPr>
          <w:rFonts w:cs="Arial"/>
          <w:lang w:val="en-GB" w:eastAsia="de-DE"/>
        </w:rPr>
      </w:r>
      <w:r w:rsidR="000A5980" w:rsidRPr="00040BEC">
        <w:rPr>
          <w:rFonts w:cs="Arial"/>
          <w:lang w:val="en-GB" w:eastAsia="de-DE"/>
        </w:rPr>
        <w:fldChar w:fldCharType="separate"/>
      </w:r>
      <w:r w:rsidR="002327BB">
        <w:rPr>
          <w:rFonts w:cs="Arial"/>
          <w:lang w:val="en-GB" w:eastAsia="de-DE"/>
        </w:rPr>
        <w:t>[33]</w:t>
      </w:r>
      <w:r w:rsidR="000A5980" w:rsidRPr="00040BEC">
        <w:rPr>
          <w:rFonts w:cs="Arial"/>
          <w:lang w:val="en-GB" w:eastAsia="de-DE"/>
        </w:rPr>
        <w:fldChar w:fldCharType="end"/>
      </w:r>
      <w:r w:rsidRPr="00040BEC">
        <w:rPr>
          <w:rFonts w:cs="Arial"/>
          <w:lang w:val="en-GB" w:eastAsia="de-DE"/>
        </w:rPr>
        <w:t>). Unless otherwise stated in the following sections, the results are applicable for all three system</w:t>
      </w:r>
      <w:r w:rsidR="0077609E" w:rsidRPr="00040BEC">
        <w:rPr>
          <w:rFonts w:cs="Arial"/>
          <w:lang w:val="en-GB" w:eastAsia="de-DE"/>
        </w:rPr>
        <w:t>s</w:t>
      </w:r>
      <w:r w:rsidRPr="00040BEC">
        <w:rPr>
          <w:rFonts w:cs="Arial"/>
          <w:lang w:val="en-GB" w:eastAsia="de-DE"/>
        </w:rPr>
        <w:t xml:space="preserve"> proposals. Detailed descriptions of all relevant compatibility aspects </w:t>
      </w:r>
      <w:proofErr w:type="gramStart"/>
      <w:r w:rsidRPr="00040BEC">
        <w:rPr>
          <w:rFonts w:cs="Arial"/>
          <w:lang w:val="en-GB" w:eastAsia="de-DE"/>
        </w:rPr>
        <w:t>are described</w:t>
      </w:r>
      <w:proofErr w:type="gramEnd"/>
      <w:r w:rsidRPr="00040BEC">
        <w:rPr>
          <w:rFonts w:cs="Arial"/>
          <w:lang w:val="en-GB" w:eastAsia="de-DE"/>
        </w:rPr>
        <w:t xml:space="preserve"> in ECC Report </w:t>
      </w:r>
      <w:r w:rsidR="00EA3FEC" w:rsidRPr="00040BEC">
        <w:rPr>
          <w:rFonts w:cs="Arial"/>
          <w:lang w:val="en-GB" w:eastAsia="de-DE"/>
        </w:rPr>
        <w:t>209</w:t>
      </w:r>
      <w:r w:rsidR="00454BBF" w:rsidRPr="00040BEC">
        <w:rPr>
          <w:rFonts w:cs="Arial"/>
          <w:lang w:val="en-GB" w:eastAsia="de-DE"/>
        </w:rPr>
        <w:t xml:space="preserve"> </w:t>
      </w:r>
      <w:r w:rsidR="000A5980" w:rsidRPr="00040BEC">
        <w:rPr>
          <w:rFonts w:cs="Arial"/>
          <w:lang w:val="en-GB" w:eastAsia="de-DE"/>
        </w:rPr>
        <w:fldChar w:fldCharType="begin"/>
      </w:r>
      <w:r w:rsidR="00454BBF" w:rsidRPr="00040BEC">
        <w:rPr>
          <w:rFonts w:cs="Arial"/>
          <w:lang w:val="en-GB" w:eastAsia="de-DE"/>
        </w:rPr>
        <w:instrText xml:space="preserve"> REF _Ref365920775 \r \h </w:instrText>
      </w:r>
      <w:r w:rsidR="000A5980" w:rsidRPr="00040BEC">
        <w:rPr>
          <w:rFonts w:cs="Arial"/>
          <w:lang w:val="en-GB" w:eastAsia="de-DE"/>
        </w:rPr>
      </w:r>
      <w:r w:rsidR="000A5980" w:rsidRPr="00040BEC">
        <w:rPr>
          <w:rFonts w:cs="Arial"/>
          <w:lang w:val="en-GB" w:eastAsia="de-DE"/>
        </w:rPr>
        <w:fldChar w:fldCharType="separate"/>
      </w:r>
      <w:r w:rsidR="002327BB">
        <w:rPr>
          <w:rFonts w:cs="Arial"/>
          <w:lang w:val="en-GB" w:eastAsia="de-DE"/>
        </w:rPr>
        <w:t>[27]</w:t>
      </w:r>
      <w:r w:rsidR="000A5980" w:rsidRPr="00040BEC">
        <w:rPr>
          <w:rFonts w:cs="Arial"/>
          <w:lang w:val="en-GB" w:eastAsia="de-DE"/>
        </w:rPr>
        <w:fldChar w:fldCharType="end"/>
      </w:r>
      <w:r w:rsidR="00EA3FEC" w:rsidRPr="00040BEC">
        <w:rPr>
          <w:rFonts w:cs="Arial"/>
          <w:lang w:val="en-GB" w:eastAsia="de-DE"/>
        </w:rPr>
        <w:t xml:space="preserve"> </w:t>
      </w:r>
      <w:r w:rsidRPr="00040BEC">
        <w:rPr>
          <w:rFonts w:cs="Arial"/>
          <w:lang w:val="en-GB" w:eastAsia="de-DE"/>
        </w:rPr>
        <w:t>on Compatibility/sharing studies related to Broadband Direct-Air-to-Ground Communications (DA2</w:t>
      </w:r>
      <w:r w:rsidR="00176CF0" w:rsidRPr="00040BEC">
        <w:rPr>
          <w:rFonts w:cs="Arial"/>
          <w:lang w:val="en-GB" w:eastAsia="de-DE"/>
        </w:rPr>
        <w:t>GC) in the frequency bands 1900-</w:t>
      </w:r>
      <w:r w:rsidRPr="00040BEC">
        <w:rPr>
          <w:rFonts w:cs="Arial"/>
          <w:lang w:val="en-GB" w:eastAsia="de-DE"/>
        </w:rPr>
        <w:t>1920 MHz / 2010</w:t>
      </w:r>
      <w:r w:rsidR="00176CF0" w:rsidRPr="00040BEC">
        <w:rPr>
          <w:rFonts w:cs="Arial"/>
          <w:lang w:val="en-GB" w:eastAsia="de-DE"/>
        </w:rPr>
        <w:t>-</w:t>
      </w:r>
      <w:r w:rsidRPr="00040BEC">
        <w:rPr>
          <w:rFonts w:cs="Arial"/>
          <w:lang w:val="en-GB" w:eastAsia="de-DE"/>
        </w:rPr>
        <w:t xml:space="preserve">2025 MHz and services/applications in the adjacent bands </w:t>
      </w:r>
      <w:r w:rsidR="000A5980" w:rsidRPr="00040BEC">
        <w:rPr>
          <w:rFonts w:cs="Arial"/>
          <w:lang w:val="en-GB" w:eastAsia="de-DE"/>
        </w:rPr>
        <w:fldChar w:fldCharType="begin"/>
      </w:r>
      <w:r w:rsidRPr="00040BEC">
        <w:rPr>
          <w:rFonts w:cs="Arial"/>
          <w:lang w:val="en-GB" w:eastAsia="de-DE"/>
        </w:rPr>
        <w:instrText xml:space="preserve"> REF _Ref365920775 \n \h </w:instrText>
      </w:r>
      <w:r w:rsidR="000A5980" w:rsidRPr="00040BEC">
        <w:rPr>
          <w:rFonts w:cs="Arial"/>
          <w:lang w:val="en-GB" w:eastAsia="de-DE"/>
        </w:rPr>
      </w:r>
      <w:r w:rsidR="000A5980" w:rsidRPr="00040BEC">
        <w:rPr>
          <w:rFonts w:cs="Arial"/>
          <w:lang w:val="en-GB" w:eastAsia="de-DE"/>
        </w:rPr>
        <w:fldChar w:fldCharType="separate"/>
      </w:r>
      <w:r w:rsidR="002327BB">
        <w:rPr>
          <w:rFonts w:cs="Arial"/>
          <w:lang w:val="en-GB" w:eastAsia="de-DE"/>
        </w:rPr>
        <w:t>[27]</w:t>
      </w:r>
      <w:r w:rsidR="000A5980" w:rsidRPr="00040BEC">
        <w:rPr>
          <w:rFonts w:cs="Arial"/>
          <w:lang w:val="en-GB" w:eastAsia="de-DE"/>
        </w:rPr>
        <w:fldChar w:fldCharType="end"/>
      </w:r>
      <w:r w:rsidRPr="00040BEC">
        <w:rPr>
          <w:rFonts w:cs="Arial"/>
          <w:lang w:val="en-GB" w:eastAsia="de-DE"/>
        </w:rPr>
        <w:t>.</w:t>
      </w:r>
      <w:r w:rsidRPr="00040BEC">
        <w:rPr>
          <w:lang w:val="en-GB"/>
        </w:rPr>
        <w:t xml:space="preserve"> For DA2GC a FDD solution as well as a TDD solution </w:t>
      </w:r>
      <w:proofErr w:type="gramStart"/>
      <w:r w:rsidR="0075359E" w:rsidRPr="00040BEC">
        <w:rPr>
          <w:lang w:val="en-GB"/>
        </w:rPr>
        <w:t xml:space="preserve">has </w:t>
      </w:r>
      <w:r w:rsidRPr="00040BEC">
        <w:rPr>
          <w:lang w:val="en-GB"/>
        </w:rPr>
        <w:t xml:space="preserve"> been</w:t>
      </w:r>
      <w:proofErr w:type="gramEnd"/>
      <w:r w:rsidRPr="00040BEC">
        <w:rPr>
          <w:lang w:val="en-GB"/>
        </w:rPr>
        <w:t xml:space="preserve"> studied. </w:t>
      </w:r>
    </w:p>
    <w:p w14:paraId="1C27A247" w14:textId="77777777" w:rsidR="00766EB0" w:rsidRPr="00040BEC" w:rsidRDefault="00766EB0" w:rsidP="004034FC">
      <w:pPr>
        <w:pStyle w:val="Heading3"/>
        <w:keepLines/>
        <w:rPr>
          <w:lang w:val="en-GB"/>
        </w:rPr>
      </w:pPr>
      <w:r w:rsidRPr="00040BEC">
        <w:rPr>
          <w:lang w:val="en-GB"/>
        </w:rPr>
        <w:lastRenderedPageBreak/>
        <w:t>1900-1920 MHz</w:t>
      </w:r>
    </w:p>
    <w:p w14:paraId="3789341E" w14:textId="77777777" w:rsidR="00766EB0" w:rsidRPr="00040BEC" w:rsidRDefault="00766EB0" w:rsidP="0071779A">
      <w:pPr>
        <w:pStyle w:val="Heading4"/>
        <w:rPr>
          <w:lang w:val="en-GB" w:eastAsia="de-DE"/>
        </w:rPr>
      </w:pPr>
      <w:r w:rsidRPr="00040BEC">
        <w:rPr>
          <w:lang w:val="en-GB" w:eastAsia="de-DE"/>
        </w:rPr>
        <w:t>Compatibility between Broadband DA2GC and DECT below 1900 MHz</w:t>
      </w:r>
    </w:p>
    <w:p w14:paraId="25A130D3" w14:textId="77777777" w:rsidR="00766EB0" w:rsidRPr="00040BEC" w:rsidRDefault="00766EB0" w:rsidP="004034FC">
      <w:pPr>
        <w:keepNext/>
        <w:rPr>
          <w:u w:val="single"/>
          <w:lang w:val="en-GB"/>
        </w:rPr>
      </w:pPr>
      <w:r w:rsidRPr="00040BEC">
        <w:rPr>
          <w:u w:val="single"/>
          <w:lang w:val="en-GB"/>
        </w:rPr>
        <w:t>Results of compatibility between DA2GC Reverse Link (RL) and DECT</w:t>
      </w:r>
      <w:r w:rsidR="00CF5445" w:rsidRPr="00040BEC">
        <w:rPr>
          <w:u w:val="single"/>
          <w:lang w:val="en-GB"/>
        </w:rPr>
        <w:t>:</w:t>
      </w:r>
      <w:r w:rsidRPr="00040BEC">
        <w:rPr>
          <w:u w:val="single"/>
          <w:lang w:val="en-GB"/>
        </w:rPr>
        <w:t xml:space="preserve"> </w:t>
      </w:r>
    </w:p>
    <w:p w14:paraId="33DAE4E5" w14:textId="77777777" w:rsidR="00766EB0" w:rsidRPr="00040BEC" w:rsidRDefault="00766EB0" w:rsidP="004034FC">
      <w:pPr>
        <w:keepNext/>
        <w:spacing w:after="240"/>
        <w:jc w:val="both"/>
        <w:rPr>
          <w:lang w:val="en-GB"/>
        </w:rPr>
      </w:pPr>
      <w:r w:rsidRPr="00040BEC">
        <w:rPr>
          <w:lang w:val="en-GB"/>
        </w:rPr>
        <w:t xml:space="preserve">There will be no negative impact from DA2GC emissions on DECT systems below 1900 </w:t>
      </w:r>
      <w:proofErr w:type="spellStart"/>
      <w:r w:rsidRPr="00040BEC">
        <w:rPr>
          <w:lang w:val="en-GB"/>
        </w:rPr>
        <w:t>MHz.</w:t>
      </w:r>
      <w:proofErr w:type="spellEnd"/>
      <w:r w:rsidR="00CF5445" w:rsidRPr="00040BEC">
        <w:rPr>
          <w:lang w:val="en-GB"/>
        </w:rPr>
        <w:t xml:space="preserve"> </w:t>
      </w:r>
      <w:r w:rsidRPr="00040BEC">
        <w:rPr>
          <w:lang w:val="en-GB"/>
        </w:rPr>
        <w:t xml:space="preserve">There is only a very low risk for any performance degradation of the DA2GC RL </w:t>
      </w:r>
      <w:r w:rsidR="007035C3" w:rsidRPr="00040BEC">
        <w:rPr>
          <w:lang w:val="en-GB"/>
        </w:rPr>
        <w:t xml:space="preserve">reception (i.e., at the GS) </w:t>
      </w:r>
      <w:r w:rsidRPr="00040BEC">
        <w:rPr>
          <w:lang w:val="en-GB"/>
        </w:rPr>
        <w:t>operation caused by DECT stations.</w:t>
      </w:r>
    </w:p>
    <w:p w14:paraId="6F8C01A6" w14:textId="77777777" w:rsidR="00766EB0" w:rsidRPr="00040BEC" w:rsidRDefault="00766EB0" w:rsidP="00CF5445">
      <w:pPr>
        <w:rPr>
          <w:u w:val="single"/>
          <w:lang w:val="en-GB"/>
        </w:rPr>
      </w:pPr>
      <w:r w:rsidRPr="00040BEC">
        <w:rPr>
          <w:u w:val="single"/>
          <w:lang w:val="en-GB"/>
        </w:rPr>
        <w:t>Results of compatibility between DA2GC Forward Link (FL) and DECT</w:t>
      </w:r>
      <w:r w:rsidR="00CF5445" w:rsidRPr="00040BEC">
        <w:rPr>
          <w:u w:val="single"/>
          <w:lang w:val="en-GB"/>
        </w:rPr>
        <w:t>:</w:t>
      </w:r>
    </w:p>
    <w:p w14:paraId="6928430D" w14:textId="77777777" w:rsidR="00766EB0" w:rsidRPr="00040BEC" w:rsidRDefault="00766EB0" w:rsidP="00AA5E84">
      <w:pPr>
        <w:spacing w:after="240"/>
        <w:jc w:val="both"/>
        <w:rPr>
          <w:lang w:val="en-GB"/>
        </w:rPr>
      </w:pPr>
      <w:r w:rsidRPr="00040BEC">
        <w:rPr>
          <w:lang w:val="en-GB"/>
        </w:rPr>
        <w:t xml:space="preserve">The implementation of a DA2GC FL in the band 1900-1920 MHz would have no negative impact on DECT operations in the adjacent band below 1900 </w:t>
      </w:r>
      <w:proofErr w:type="spellStart"/>
      <w:r w:rsidRPr="00040BEC">
        <w:rPr>
          <w:lang w:val="en-GB"/>
        </w:rPr>
        <w:t>MHz.</w:t>
      </w:r>
      <w:proofErr w:type="spellEnd"/>
      <w:r w:rsidRPr="00040BEC">
        <w:rPr>
          <w:lang w:val="en-GB"/>
        </w:rPr>
        <w:t xml:space="preserve"> The interference impact of DECT stations on DA2GC FL reception </w:t>
      </w:r>
      <w:r w:rsidR="0009234C" w:rsidRPr="00040BEC">
        <w:rPr>
          <w:lang w:val="en-GB"/>
        </w:rPr>
        <w:t xml:space="preserve">(i.e., </w:t>
      </w:r>
      <w:r w:rsidRPr="00040BEC">
        <w:rPr>
          <w:lang w:val="en-GB"/>
        </w:rPr>
        <w:t>at the AS</w:t>
      </w:r>
      <w:r w:rsidR="0009234C" w:rsidRPr="00040BEC">
        <w:rPr>
          <w:lang w:val="en-GB"/>
        </w:rPr>
        <w:t>)</w:t>
      </w:r>
      <w:r w:rsidRPr="00040BEC">
        <w:rPr>
          <w:lang w:val="en-GB"/>
        </w:rPr>
        <w:t xml:space="preserve"> is not considered critical.</w:t>
      </w:r>
    </w:p>
    <w:p w14:paraId="48A12C67" w14:textId="77777777" w:rsidR="00766EB0" w:rsidRPr="00040BEC" w:rsidRDefault="00766EB0" w:rsidP="0071779A">
      <w:pPr>
        <w:pStyle w:val="Heading4"/>
        <w:rPr>
          <w:lang w:val="en-GB" w:eastAsia="de-DE"/>
        </w:rPr>
      </w:pPr>
      <w:r w:rsidRPr="00040BEC">
        <w:rPr>
          <w:lang w:val="en-GB" w:eastAsia="de-DE"/>
        </w:rPr>
        <w:t xml:space="preserve">Compatibility between Broadband DA2GC and UMTS above 1920 MHz </w:t>
      </w:r>
    </w:p>
    <w:p w14:paraId="6A314DB9" w14:textId="77777777" w:rsidR="00766EB0" w:rsidRPr="00040BEC" w:rsidRDefault="00766EB0" w:rsidP="00CF5445">
      <w:pPr>
        <w:rPr>
          <w:u w:val="single"/>
          <w:lang w:val="en-GB"/>
        </w:rPr>
      </w:pPr>
      <w:r w:rsidRPr="00040BEC">
        <w:rPr>
          <w:u w:val="single"/>
          <w:lang w:val="en-GB"/>
        </w:rPr>
        <w:t>Results of compatibility between DA2GC Reverse Link (RL) and UMTS</w:t>
      </w:r>
      <w:r w:rsidR="00CF5445" w:rsidRPr="00040BEC">
        <w:rPr>
          <w:u w:val="single"/>
          <w:lang w:val="en-GB"/>
        </w:rPr>
        <w:t>:</w:t>
      </w:r>
    </w:p>
    <w:p w14:paraId="007F980A" w14:textId="77777777" w:rsidR="00766EB0" w:rsidRPr="00040BEC" w:rsidRDefault="00766EB0" w:rsidP="00AA5E84">
      <w:pPr>
        <w:pStyle w:val="ECCParagraph"/>
        <w:rPr>
          <w:rFonts w:cs="Arial"/>
          <w:lang w:eastAsia="de-DE"/>
        </w:rPr>
      </w:pPr>
      <w:r w:rsidRPr="00040BEC">
        <w:rPr>
          <w:rFonts w:cs="Arial"/>
          <w:lang w:eastAsia="de-DE"/>
        </w:rPr>
        <w:t xml:space="preserve">The </w:t>
      </w:r>
      <w:proofErr w:type="gramStart"/>
      <w:r w:rsidRPr="00040BEC">
        <w:rPr>
          <w:rFonts w:cs="Arial"/>
          <w:lang w:eastAsia="de-DE"/>
        </w:rPr>
        <w:t>worst case</w:t>
      </w:r>
      <w:proofErr w:type="gramEnd"/>
      <w:r w:rsidRPr="00040BEC">
        <w:rPr>
          <w:rFonts w:cs="Arial"/>
          <w:lang w:eastAsia="de-DE"/>
        </w:rPr>
        <w:t xml:space="preserve"> link evaluations have shown that there will be no negative impact on UMTS FDD UL.</w:t>
      </w:r>
      <w:r w:rsidR="00CF5445" w:rsidRPr="00040BEC">
        <w:rPr>
          <w:rFonts w:cs="Arial"/>
          <w:lang w:eastAsia="de-DE"/>
        </w:rPr>
        <w:t xml:space="preserve"> </w:t>
      </w:r>
      <w:r w:rsidRPr="00040BEC">
        <w:rPr>
          <w:rFonts w:cs="Arial"/>
          <w:lang w:eastAsia="de-DE"/>
        </w:rPr>
        <w:t xml:space="preserve">There is a very low risk for any performance degradation of the DA2GC RL </w:t>
      </w:r>
      <w:r w:rsidR="0009234C" w:rsidRPr="00040BEC">
        <w:rPr>
          <w:rFonts w:cs="Arial"/>
          <w:lang w:eastAsia="de-DE"/>
        </w:rPr>
        <w:t xml:space="preserve">reception (i.e., at the GS) </w:t>
      </w:r>
      <w:r w:rsidRPr="00040BEC">
        <w:rPr>
          <w:rFonts w:cs="Arial"/>
          <w:lang w:eastAsia="de-DE"/>
        </w:rPr>
        <w:t>operation caused by UMTS User Equipment (UE).</w:t>
      </w:r>
    </w:p>
    <w:p w14:paraId="39F86557" w14:textId="77777777" w:rsidR="00766EB0" w:rsidRPr="00040BEC" w:rsidRDefault="00766EB0" w:rsidP="00CF5445">
      <w:pPr>
        <w:rPr>
          <w:u w:val="single"/>
          <w:lang w:val="en-GB"/>
        </w:rPr>
      </w:pPr>
      <w:r w:rsidRPr="00040BEC">
        <w:rPr>
          <w:u w:val="single"/>
          <w:lang w:val="en-GB"/>
        </w:rPr>
        <w:t>Results of Compatibility between DA2GC Forward Link (FL) and UMTS</w:t>
      </w:r>
      <w:r w:rsidR="00CF5445" w:rsidRPr="00040BEC">
        <w:rPr>
          <w:u w:val="single"/>
          <w:lang w:val="en-GB"/>
        </w:rPr>
        <w:t>:</w:t>
      </w:r>
    </w:p>
    <w:p w14:paraId="09548CCE" w14:textId="77777777" w:rsidR="00B47926" w:rsidRPr="00040BEC" w:rsidRDefault="00B47926" w:rsidP="00D747F9">
      <w:pPr>
        <w:pStyle w:val="ECCParagraph"/>
        <w:rPr>
          <w:rFonts w:cs="Arial"/>
          <w:lang w:eastAsia="de-DE"/>
        </w:rPr>
      </w:pPr>
      <w:r w:rsidRPr="00040BEC">
        <w:rPr>
          <w:rFonts w:cs="Arial"/>
          <w:lang w:eastAsia="de-DE"/>
        </w:rPr>
        <w:t>Studies performed within the framework of the ECC Report 209 indicate that the UMTS base station receiving system will suffer from interference generated by the operation of the DA2GC Ground Station (GS) in the adjacent band (1900-19</w:t>
      </w:r>
      <w:r w:rsidR="001C74E2" w:rsidRPr="00040BEC">
        <w:rPr>
          <w:rFonts w:cs="Arial"/>
          <w:lang w:eastAsia="de-DE"/>
        </w:rPr>
        <w:t>1</w:t>
      </w:r>
      <w:r w:rsidRPr="00040BEC">
        <w:rPr>
          <w:rFonts w:cs="Arial"/>
          <w:lang w:eastAsia="de-DE"/>
        </w:rPr>
        <w:t>0 MHz) without mitigation techniques.</w:t>
      </w:r>
    </w:p>
    <w:p w14:paraId="0BAA83BF" w14:textId="77777777" w:rsidR="00D747F9" w:rsidRPr="00040BEC" w:rsidRDefault="00D747F9" w:rsidP="00D747F9">
      <w:pPr>
        <w:pStyle w:val="ECCParagraph"/>
        <w:rPr>
          <w:rFonts w:cs="Arial"/>
          <w:lang w:eastAsia="de-DE"/>
        </w:rPr>
      </w:pPr>
      <w:r w:rsidRPr="00040BEC">
        <w:rPr>
          <w:rFonts w:cs="Arial"/>
          <w:lang w:eastAsia="de-DE"/>
        </w:rPr>
        <w:t>This case represents the most critical case for integration of the DA2GC FL in the lower 2 GHz unpaired band, as the transmission is in the opposite direction compared to UMTS and therefore corresponds to a similar case as applying UMTS (and/or LTE) TDD and FDD (or TDD) systems in adjacent channels (see also CEPT Report 39).</w:t>
      </w:r>
    </w:p>
    <w:p w14:paraId="278CDFC0" w14:textId="77777777" w:rsidR="00766EB0" w:rsidRPr="00040BEC" w:rsidRDefault="00D747F9" w:rsidP="00AA5E84">
      <w:pPr>
        <w:spacing w:after="240"/>
        <w:jc w:val="both"/>
        <w:rPr>
          <w:lang w:val="en-GB"/>
        </w:rPr>
      </w:pPr>
      <w:proofErr w:type="gramStart"/>
      <w:r w:rsidRPr="00040BEC">
        <w:rPr>
          <w:lang w:val="en-GB"/>
        </w:rPr>
        <w:t>Based on the results of compatibility studies included in ECC Report 209, t</w:t>
      </w:r>
      <w:r w:rsidR="00766EB0" w:rsidRPr="00040BEC">
        <w:rPr>
          <w:lang w:val="en-GB"/>
        </w:rPr>
        <w:t xml:space="preserve">o keep the impact from DA2GC GS emissions at a UMTS BS (Base Station) low, appropriate separation distances between the DA2GC Ground Station (GS) and the UMTS BS </w:t>
      </w:r>
      <w:r w:rsidR="00C454A6" w:rsidRPr="00040BEC">
        <w:rPr>
          <w:lang w:val="en-GB"/>
        </w:rPr>
        <w:t xml:space="preserve">(up to several </w:t>
      </w:r>
      <w:r w:rsidR="001C74E2" w:rsidRPr="00040BEC">
        <w:rPr>
          <w:lang w:val="en-GB"/>
        </w:rPr>
        <w:t>kilometres</w:t>
      </w:r>
      <w:r w:rsidR="00C454A6" w:rsidRPr="00040BEC">
        <w:rPr>
          <w:lang w:val="en-GB"/>
        </w:rPr>
        <w:t xml:space="preserve">) </w:t>
      </w:r>
      <w:r w:rsidR="00766EB0" w:rsidRPr="00040BEC">
        <w:rPr>
          <w:lang w:val="en-GB"/>
        </w:rPr>
        <w:t xml:space="preserve">and/or a guard </w:t>
      </w:r>
      <w:r w:rsidR="0009234C" w:rsidRPr="00040BEC">
        <w:rPr>
          <w:lang w:val="en-GB"/>
        </w:rPr>
        <w:t>band</w:t>
      </w:r>
      <w:r w:rsidR="00766EB0" w:rsidRPr="00040BEC">
        <w:rPr>
          <w:lang w:val="en-GB"/>
        </w:rPr>
        <w:t xml:space="preserve"> between Broadband DA2GC below 1920 MHz and UMTS above 1920 MHz, </w:t>
      </w:r>
      <w:r w:rsidR="0009234C" w:rsidRPr="00040BEC">
        <w:rPr>
          <w:lang w:val="en-GB"/>
        </w:rPr>
        <w:t>as well as</w:t>
      </w:r>
      <w:r w:rsidRPr="00040BEC">
        <w:rPr>
          <w:lang w:val="en-GB"/>
        </w:rPr>
        <w:t xml:space="preserve"> </w:t>
      </w:r>
      <w:r w:rsidR="00766EB0" w:rsidRPr="00040BEC">
        <w:rPr>
          <w:lang w:val="en-GB"/>
        </w:rPr>
        <w:t>careful radio network planning for DA2GC in combination with site coordination with UMTS operators</w:t>
      </w:r>
      <w:r w:rsidR="0009234C" w:rsidRPr="00040BEC">
        <w:rPr>
          <w:lang w:val="en-GB"/>
        </w:rPr>
        <w:t>,</w:t>
      </w:r>
      <w:r w:rsidR="00766EB0" w:rsidRPr="00040BEC">
        <w:rPr>
          <w:lang w:val="en-GB"/>
        </w:rPr>
        <w:t xml:space="preserve"> </w:t>
      </w:r>
      <w:r w:rsidRPr="00040BEC">
        <w:rPr>
          <w:lang w:val="en-GB"/>
        </w:rPr>
        <w:t xml:space="preserve"> are .</w:t>
      </w:r>
      <w:r w:rsidR="00766EB0" w:rsidRPr="00040BEC">
        <w:rPr>
          <w:lang w:val="en-GB"/>
        </w:rPr>
        <w:t>required.</w:t>
      </w:r>
      <w:proofErr w:type="gramEnd"/>
      <w:r w:rsidR="00766EB0" w:rsidRPr="00040BEC">
        <w:rPr>
          <w:lang w:val="en-GB"/>
        </w:rPr>
        <w:t xml:space="preserve"> The appropriate mitigation</w:t>
      </w:r>
      <w:r w:rsidRPr="00040BEC">
        <w:rPr>
          <w:lang w:val="en-GB"/>
        </w:rPr>
        <w:t xml:space="preserve"> technique</w:t>
      </w:r>
      <w:r w:rsidR="00766EB0" w:rsidRPr="00040BEC">
        <w:rPr>
          <w:lang w:val="en-GB"/>
        </w:rPr>
        <w:t>s (e.</w:t>
      </w:r>
      <w:r w:rsidR="00FA0EC0" w:rsidRPr="00040BEC">
        <w:rPr>
          <w:lang w:val="en-GB"/>
        </w:rPr>
        <w:t>g.</w:t>
      </w:r>
      <w:r w:rsidR="00766EB0" w:rsidRPr="00040BEC">
        <w:rPr>
          <w:lang w:val="en-GB"/>
        </w:rPr>
        <w:t xml:space="preserve"> separation distance, size of a guard band</w:t>
      </w:r>
      <w:r w:rsidR="005D3B64" w:rsidRPr="00040BEC">
        <w:rPr>
          <w:lang w:val="en-GB"/>
        </w:rPr>
        <w:t>, power reduction and the need for extended filtering</w:t>
      </w:r>
      <w:r w:rsidR="00766EB0" w:rsidRPr="00040BEC">
        <w:rPr>
          <w:lang w:val="en-GB"/>
        </w:rPr>
        <w:t>) will be dependent upon the DA2GC system characteristics.</w:t>
      </w:r>
    </w:p>
    <w:p w14:paraId="6270866A" w14:textId="77777777" w:rsidR="00766EB0" w:rsidRPr="00040BEC" w:rsidRDefault="00766EB0" w:rsidP="00AA5E84">
      <w:pPr>
        <w:spacing w:after="240"/>
        <w:jc w:val="both"/>
        <w:rPr>
          <w:lang w:val="en-GB"/>
        </w:rPr>
      </w:pPr>
      <w:r w:rsidRPr="00040BEC">
        <w:rPr>
          <w:lang w:val="en-GB"/>
        </w:rPr>
        <w:t xml:space="preserve">The interference impact of UMTS UEs on the DA2GC FL reception </w:t>
      </w:r>
      <w:r w:rsidR="0009234C" w:rsidRPr="00040BEC">
        <w:rPr>
          <w:lang w:val="en-GB"/>
        </w:rPr>
        <w:t xml:space="preserve">(i.e., </w:t>
      </w:r>
      <w:r w:rsidRPr="00040BEC">
        <w:rPr>
          <w:lang w:val="en-GB"/>
        </w:rPr>
        <w:t>at the AS</w:t>
      </w:r>
      <w:r w:rsidR="0009234C" w:rsidRPr="00040BEC">
        <w:rPr>
          <w:lang w:val="en-GB"/>
        </w:rPr>
        <w:t>)</w:t>
      </w:r>
      <w:r w:rsidRPr="00040BEC">
        <w:rPr>
          <w:lang w:val="en-GB"/>
        </w:rPr>
        <w:t xml:space="preserve"> is not considered critical. </w:t>
      </w:r>
    </w:p>
    <w:p w14:paraId="11E17D28" w14:textId="77777777" w:rsidR="00766EB0" w:rsidRPr="00040BEC" w:rsidRDefault="00766EB0" w:rsidP="003435C2">
      <w:pPr>
        <w:pStyle w:val="Heading3"/>
        <w:rPr>
          <w:lang w:val="en-GB"/>
        </w:rPr>
      </w:pPr>
      <w:r w:rsidRPr="00040BEC">
        <w:rPr>
          <w:lang w:val="en-GB"/>
        </w:rPr>
        <w:t>2010-2025 MHz</w:t>
      </w:r>
    </w:p>
    <w:p w14:paraId="128B298C" w14:textId="77777777" w:rsidR="00766EB0" w:rsidRPr="00040BEC" w:rsidRDefault="00766EB0" w:rsidP="00454BBF">
      <w:pPr>
        <w:pStyle w:val="ECCParagraph"/>
      </w:pPr>
      <w:r w:rsidRPr="00040BEC">
        <w:rPr>
          <w:lang w:eastAsia="de-DE"/>
        </w:rPr>
        <w:t>The following results have been achieved by studying the system proposal in ETSI TR 103</w:t>
      </w:r>
      <w:r w:rsidR="00454BBF" w:rsidRPr="00040BEC">
        <w:rPr>
          <w:lang w:eastAsia="de-DE"/>
        </w:rPr>
        <w:t> </w:t>
      </w:r>
      <w:r w:rsidRPr="00040BEC">
        <w:rPr>
          <w:lang w:eastAsia="de-DE"/>
        </w:rPr>
        <w:t>054</w:t>
      </w:r>
      <w:r w:rsidR="00454BBF" w:rsidRPr="00040BEC">
        <w:rPr>
          <w:lang w:eastAsia="de-DE"/>
        </w:rPr>
        <w:t xml:space="preserve"> </w:t>
      </w:r>
      <w:r w:rsidR="000A5980" w:rsidRPr="00040BEC">
        <w:rPr>
          <w:lang w:eastAsia="de-DE"/>
        </w:rPr>
        <w:fldChar w:fldCharType="begin"/>
      </w:r>
      <w:r w:rsidR="00454BBF" w:rsidRPr="00040BEC">
        <w:rPr>
          <w:lang w:eastAsia="de-DE"/>
        </w:rPr>
        <w:instrText xml:space="preserve"> REF _Ref388513496 \r \h </w:instrText>
      </w:r>
      <w:r w:rsidR="000A5980" w:rsidRPr="00040BEC">
        <w:rPr>
          <w:lang w:eastAsia="de-DE"/>
        </w:rPr>
      </w:r>
      <w:r w:rsidR="000A5980" w:rsidRPr="00040BEC">
        <w:rPr>
          <w:lang w:eastAsia="de-DE"/>
        </w:rPr>
        <w:fldChar w:fldCharType="separate"/>
      </w:r>
      <w:r w:rsidR="002327BB">
        <w:rPr>
          <w:lang w:eastAsia="de-DE"/>
        </w:rPr>
        <w:t>[31]</w:t>
      </w:r>
      <w:r w:rsidR="000A5980" w:rsidRPr="00040BEC">
        <w:rPr>
          <w:lang w:eastAsia="de-DE"/>
        </w:rPr>
        <w:fldChar w:fldCharType="end"/>
      </w:r>
      <w:r w:rsidRPr="00040BEC">
        <w:rPr>
          <w:lang w:eastAsia="de-DE"/>
        </w:rPr>
        <w:t>. For the system proposal in ETSI TR 101</w:t>
      </w:r>
      <w:r w:rsidR="00454BBF" w:rsidRPr="00040BEC">
        <w:rPr>
          <w:lang w:eastAsia="de-DE"/>
        </w:rPr>
        <w:t> </w:t>
      </w:r>
      <w:r w:rsidRPr="00040BEC">
        <w:rPr>
          <w:lang w:eastAsia="de-DE"/>
        </w:rPr>
        <w:t>599</w:t>
      </w:r>
      <w:r w:rsidR="00454BBF" w:rsidRPr="00040BEC">
        <w:rPr>
          <w:lang w:eastAsia="de-DE"/>
        </w:rPr>
        <w:t xml:space="preserve"> </w:t>
      </w:r>
      <w:r w:rsidR="000A5980" w:rsidRPr="00040BEC">
        <w:rPr>
          <w:lang w:eastAsia="de-DE"/>
        </w:rPr>
        <w:fldChar w:fldCharType="begin"/>
      </w:r>
      <w:r w:rsidR="00454BBF" w:rsidRPr="00040BEC">
        <w:rPr>
          <w:lang w:eastAsia="de-DE"/>
        </w:rPr>
        <w:instrText xml:space="preserve"> REF _Ref388513504 \r \h </w:instrText>
      </w:r>
      <w:r w:rsidR="000A5980" w:rsidRPr="00040BEC">
        <w:rPr>
          <w:lang w:eastAsia="de-DE"/>
        </w:rPr>
      </w:r>
      <w:r w:rsidR="000A5980" w:rsidRPr="00040BEC">
        <w:rPr>
          <w:lang w:eastAsia="de-DE"/>
        </w:rPr>
        <w:fldChar w:fldCharType="separate"/>
      </w:r>
      <w:r w:rsidR="002327BB">
        <w:rPr>
          <w:lang w:eastAsia="de-DE"/>
        </w:rPr>
        <w:t>[32]</w:t>
      </w:r>
      <w:r w:rsidR="000A5980" w:rsidRPr="00040BEC">
        <w:rPr>
          <w:lang w:eastAsia="de-DE"/>
        </w:rPr>
        <w:fldChar w:fldCharType="end"/>
      </w:r>
      <w:r w:rsidRPr="00040BEC">
        <w:rPr>
          <w:lang w:eastAsia="de-DE"/>
        </w:rPr>
        <w:t xml:space="preserve"> studies were made on the compatibility with space services. No studies were made in this band for the system proposal in ETSI TR 103</w:t>
      </w:r>
      <w:r w:rsidR="00454BBF" w:rsidRPr="00040BEC">
        <w:rPr>
          <w:lang w:eastAsia="de-DE"/>
        </w:rPr>
        <w:t> </w:t>
      </w:r>
      <w:r w:rsidRPr="00040BEC">
        <w:rPr>
          <w:lang w:eastAsia="de-DE"/>
        </w:rPr>
        <w:t>108</w:t>
      </w:r>
      <w:r w:rsidR="00454BBF" w:rsidRPr="00040BEC">
        <w:rPr>
          <w:lang w:eastAsia="de-DE"/>
        </w:rPr>
        <w:t xml:space="preserve"> </w:t>
      </w:r>
      <w:r w:rsidR="000A5980" w:rsidRPr="00040BEC">
        <w:rPr>
          <w:lang w:eastAsia="de-DE"/>
        </w:rPr>
        <w:fldChar w:fldCharType="begin"/>
      </w:r>
      <w:r w:rsidR="00454BBF" w:rsidRPr="00040BEC">
        <w:rPr>
          <w:lang w:eastAsia="de-DE"/>
        </w:rPr>
        <w:instrText xml:space="preserve"> REF _Ref388513513 \r \h </w:instrText>
      </w:r>
      <w:r w:rsidR="000A5980" w:rsidRPr="00040BEC">
        <w:rPr>
          <w:lang w:eastAsia="de-DE"/>
        </w:rPr>
      </w:r>
      <w:r w:rsidR="000A5980" w:rsidRPr="00040BEC">
        <w:rPr>
          <w:lang w:eastAsia="de-DE"/>
        </w:rPr>
        <w:fldChar w:fldCharType="separate"/>
      </w:r>
      <w:r w:rsidR="002327BB">
        <w:rPr>
          <w:lang w:eastAsia="de-DE"/>
        </w:rPr>
        <w:t>[33]</w:t>
      </w:r>
      <w:r w:rsidR="000A5980" w:rsidRPr="00040BEC">
        <w:rPr>
          <w:lang w:eastAsia="de-DE"/>
        </w:rPr>
        <w:fldChar w:fldCharType="end"/>
      </w:r>
      <w:r w:rsidRPr="00040BEC">
        <w:t>.</w:t>
      </w:r>
    </w:p>
    <w:p w14:paraId="7FC5944E" w14:textId="77777777" w:rsidR="00766EB0" w:rsidRPr="00040BEC" w:rsidRDefault="00766EB0" w:rsidP="0071779A">
      <w:pPr>
        <w:pStyle w:val="Heading4"/>
        <w:rPr>
          <w:lang w:val="en-GB" w:eastAsia="de-DE"/>
        </w:rPr>
      </w:pPr>
      <w:r w:rsidRPr="00040BEC">
        <w:rPr>
          <w:lang w:val="en-GB" w:eastAsia="de-DE"/>
        </w:rPr>
        <w:t xml:space="preserve">Compatibility between Broadband DA2GC and MSS below 2010 MHz </w:t>
      </w:r>
    </w:p>
    <w:p w14:paraId="59D77A3B" w14:textId="77777777" w:rsidR="00766EB0" w:rsidRPr="00040BEC" w:rsidRDefault="00766EB0" w:rsidP="00CF5445">
      <w:pPr>
        <w:rPr>
          <w:u w:val="single"/>
          <w:lang w:val="en-GB"/>
        </w:rPr>
      </w:pPr>
      <w:r w:rsidRPr="00040BEC">
        <w:rPr>
          <w:u w:val="single"/>
          <w:lang w:val="en-GB"/>
        </w:rPr>
        <w:t xml:space="preserve">Results of compatibility between </w:t>
      </w:r>
      <w:r w:rsidR="008E3EAA" w:rsidRPr="00040BEC">
        <w:rPr>
          <w:u w:val="single"/>
          <w:lang w:val="en-GB"/>
        </w:rPr>
        <w:t xml:space="preserve">Broadband </w:t>
      </w:r>
      <w:r w:rsidRPr="00040BEC">
        <w:rPr>
          <w:u w:val="single"/>
          <w:lang w:val="en-GB"/>
        </w:rPr>
        <w:t>DA2GC and MSS satellite receiver</w:t>
      </w:r>
      <w:r w:rsidR="00CF5445" w:rsidRPr="00040BEC">
        <w:rPr>
          <w:u w:val="single"/>
          <w:lang w:val="en-GB"/>
        </w:rPr>
        <w:t>:</w:t>
      </w:r>
    </w:p>
    <w:p w14:paraId="3A791A0D" w14:textId="77777777" w:rsidR="00766EB0" w:rsidRPr="00040BEC" w:rsidRDefault="00766EB0" w:rsidP="00701280">
      <w:pPr>
        <w:pStyle w:val="ECCParagraph"/>
        <w:spacing w:after="120"/>
        <w:jc w:val="left"/>
      </w:pPr>
      <w:r w:rsidRPr="00040BEC">
        <w:t xml:space="preserve">The DA2GC RL can be implemented in the upper 2GHz unpaired band without any degradation on the MSS satellite reception (independent on the positioning of the DA2GC carrier frequency between </w:t>
      </w:r>
      <w:proofErr w:type="gramStart"/>
      <w:r w:rsidRPr="00040BEC">
        <w:t xml:space="preserve">2015 </w:t>
      </w:r>
      <w:r w:rsidR="0009234C" w:rsidRPr="00040BEC">
        <w:t> </w:t>
      </w:r>
      <w:r w:rsidRPr="00040BEC">
        <w:t>MHz</w:t>
      </w:r>
      <w:proofErr w:type="gramEnd"/>
      <w:r w:rsidR="0009234C" w:rsidRPr="00040BEC">
        <w:t xml:space="preserve"> </w:t>
      </w:r>
      <w:r w:rsidRPr="00040BEC">
        <w:t>and 2020 MHz).</w:t>
      </w:r>
    </w:p>
    <w:p w14:paraId="52E93EC9" w14:textId="77777777" w:rsidR="00766EB0" w:rsidRPr="00040BEC" w:rsidRDefault="00766EB0" w:rsidP="00CF5445">
      <w:pPr>
        <w:rPr>
          <w:u w:val="single"/>
          <w:lang w:val="en-GB"/>
        </w:rPr>
      </w:pPr>
      <w:r w:rsidRPr="00040BEC">
        <w:rPr>
          <w:u w:val="single"/>
          <w:lang w:val="en-GB"/>
        </w:rPr>
        <w:t xml:space="preserve">Results of compatibility between </w:t>
      </w:r>
      <w:r w:rsidR="008E3EAA" w:rsidRPr="00040BEC">
        <w:rPr>
          <w:u w:val="single"/>
          <w:lang w:val="en-GB"/>
        </w:rPr>
        <w:t xml:space="preserve">Broadband </w:t>
      </w:r>
      <w:r w:rsidRPr="00040BEC">
        <w:rPr>
          <w:u w:val="single"/>
          <w:lang w:val="en-GB"/>
        </w:rPr>
        <w:t>DA2GC and MSS CGC BS and UT</w:t>
      </w:r>
      <w:r w:rsidR="00CF5445" w:rsidRPr="00040BEC">
        <w:rPr>
          <w:u w:val="single"/>
          <w:lang w:val="en-GB"/>
        </w:rPr>
        <w:t>:</w:t>
      </w:r>
    </w:p>
    <w:p w14:paraId="591A8B98" w14:textId="77777777" w:rsidR="00766EB0" w:rsidRPr="00040BEC" w:rsidRDefault="00766EB0" w:rsidP="00454BBF">
      <w:pPr>
        <w:pStyle w:val="ECCParagraph"/>
      </w:pPr>
      <w:r w:rsidRPr="00040BEC">
        <w:t xml:space="preserve">Wideband and narrowband User </w:t>
      </w:r>
      <w:r w:rsidR="00A262C6" w:rsidRPr="00040BEC">
        <w:t>T</w:t>
      </w:r>
      <w:r w:rsidRPr="00040BEC">
        <w:t>erminals</w:t>
      </w:r>
      <w:r w:rsidR="0009234C" w:rsidRPr="00040BEC">
        <w:t xml:space="preserve"> (UTs)</w:t>
      </w:r>
      <w:r w:rsidRPr="00040BEC">
        <w:t xml:space="preserve"> as well as CGC Base Stations have </w:t>
      </w:r>
      <w:proofErr w:type="gramStart"/>
      <w:r w:rsidRPr="00040BEC">
        <w:t>been considered</w:t>
      </w:r>
      <w:proofErr w:type="gramEnd"/>
      <w:r w:rsidRPr="00040BEC">
        <w:t xml:space="preserve">. Interference from high gain MSS UTs may occur at the AS receiver at low aircraft altitudes (3 km). No interferences from AS transmitters </w:t>
      </w:r>
      <w:proofErr w:type="gramStart"/>
      <w:r w:rsidRPr="00040BEC">
        <w:t>are expected</w:t>
      </w:r>
      <w:proofErr w:type="gramEnd"/>
      <w:r w:rsidRPr="00040BEC">
        <w:t xml:space="preserve"> at the CGC BS receiver. Separation distances are required between DA2GC GS and MSS CGC BS. Because of the very low density of MSS </w:t>
      </w:r>
      <w:proofErr w:type="gramStart"/>
      <w:r w:rsidRPr="00040BEC">
        <w:t>UTs</w:t>
      </w:r>
      <w:proofErr w:type="gramEnd"/>
      <w:r w:rsidRPr="00040BEC">
        <w:t xml:space="preserve"> the probability for interferences at the DA2GC system is negligible.</w:t>
      </w:r>
    </w:p>
    <w:p w14:paraId="6A6A399B" w14:textId="77777777" w:rsidR="00766EB0" w:rsidRPr="00040BEC" w:rsidRDefault="00766EB0" w:rsidP="0071779A">
      <w:pPr>
        <w:pStyle w:val="Heading4"/>
        <w:rPr>
          <w:lang w:val="en-GB" w:eastAsia="de-DE"/>
        </w:rPr>
      </w:pPr>
      <w:r w:rsidRPr="00040BEC">
        <w:rPr>
          <w:lang w:val="en-GB" w:eastAsia="de-DE"/>
        </w:rPr>
        <w:lastRenderedPageBreak/>
        <w:t xml:space="preserve">Compatibility between Broadband DA2GC and space services* above 2025 MHz </w:t>
      </w:r>
    </w:p>
    <w:p w14:paraId="0830E506" w14:textId="77777777" w:rsidR="00766EB0" w:rsidRPr="00040BEC" w:rsidRDefault="00766EB0" w:rsidP="004034FC">
      <w:pPr>
        <w:pStyle w:val="ECCParagraph"/>
        <w:keepNext/>
        <w:rPr>
          <w:rFonts w:cs="Arial"/>
        </w:rPr>
      </w:pPr>
      <w:r w:rsidRPr="00040BEC">
        <w:rPr>
          <w:rFonts w:cs="Arial"/>
        </w:rPr>
        <w:t>*Space Services encompass the Space Research Service, the Space Operation Service and the Earth Exploration Satellite Service.</w:t>
      </w:r>
      <w:r w:rsidRPr="00040BEC">
        <w:t xml:space="preserve"> Studies have been carried out for SRS as the </w:t>
      </w:r>
      <w:proofErr w:type="gramStart"/>
      <w:r w:rsidRPr="00040BEC">
        <w:t>worst case</w:t>
      </w:r>
      <w:proofErr w:type="gramEnd"/>
      <w:r w:rsidRPr="00040BEC">
        <w:t xml:space="preserve"> scenario. </w:t>
      </w:r>
      <w:proofErr w:type="gramStart"/>
      <w:r w:rsidRPr="00040BEC">
        <w:t>Therefore</w:t>
      </w:r>
      <w:proofErr w:type="gramEnd"/>
      <w:r w:rsidRPr="00040BEC">
        <w:t xml:space="preserve"> there is no need to carry out additional studies with SOS and EESS.</w:t>
      </w:r>
    </w:p>
    <w:p w14:paraId="56CED85E" w14:textId="77777777" w:rsidR="00766EB0" w:rsidRPr="00040BEC" w:rsidRDefault="00766EB0" w:rsidP="00CF5445">
      <w:pPr>
        <w:rPr>
          <w:u w:val="single"/>
          <w:lang w:val="en-GB"/>
        </w:rPr>
      </w:pPr>
      <w:bookmarkStart w:id="59" w:name="_Toc347922849"/>
      <w:r w:rsidRPr="00040BEC">
        <w:rPr>
          <w:u w:val="single"/>
          <w:lang w:val="en-GB"/>
        </w:rPr>
        <w:t>Results of compatibility between DA2GC RL and space services</w:t>
      </w:r>
      <w:bookmarkEnd w:id="59"/>
      <w:r w:rsidR="00CF5445" w:rsidRPr="00040BEC">
        <w:rPr>
          <w:u w:val="single"/>
          <w:lang w:val="en-GB"/>
        </w:rPr>
        <w:t>:</w:t>
      </w:r>
    </w:p>
    <w:p w14:paraId="584F6909" w14:textId="77777777" w:rsidR="00766EB0" w:rsidRPr="00040BEC" w:rsidRDefault="00766EB0" w:rsidP="00AA5E84">
      <w:pPr>
        <w:pStyle w:val="ECCParagraph"/>
      </w:pPr>
      <w:r w:rsidRPr="00040BEC">
        <w:t xml:space="preserve">The DA2GC RL in the band 2010-2025 MHz would cause no harmful interference into space station receivers of the Space Services operating in the adjacent band above 2025 </w:t>
      </w:r>
      <w:proofErr w:type="spellStart"/>
      <w:r w:rsidRPr="00040BEC">
        <w:t>MHz.</w:t>
      </w:r>
      <w:proofErr w:type="spellEnd"/>
    </w:p>
    <w:p w14:paraId="797D64C5" w14:textId="77777777" w:rsidR="00766EB0" w:rsidRPr="00040BEC" w:rsidRDefault="00766EB0" w:rsidP="00AE0F2F">
      <w:pPr>
        <w:pStyle w:val="ECCParagraph"/>
      </w:pPr>
      <w:r w:rsidRPr="00040BEC">
        <w:t xml:space="preserve">Concerning the impact of SRS Earth stations on DA2GC GS, a maximum separation distance of around 50 km might be required in rural areas. Taking into account real situations, in particular </w:t>
      </w:r>
      <w:r w:rsidR="0009234C" w:rsidRPr="00040BEC">
        <w:t xml:space="preserve">SRS </w:t>
      </w:r>
      <w:r w:rsidRPr="00040BEC">
        <w:t xml:space="preserve">Earth Station surrounding and terrain as well as the </w:t>
      </w:r>
      <w:r w:rsidR="0009234C" w:rsidRPr="00040BEC">
        <w:t>SRS</w:t>
      </w:r>
      <w:r w:rsidRPr="00040BEC">
        <w:t xml:space="preserve"> Earth </w:t>
      </w:r>
      <w:r w:rsidR="0009234C" w:rsidRPr="00040BEC">
        <w:t>S</w:t>
      </w:r>
      <w:r w:rsidRPr="00040BEC">
        <w:t xml:space="preserve">tation azimuth, the necessary separation distances between those stations will be less. Taking further into account the quite low number of </w:t>
      </w:r>
      <w:r w:rsidR="0009234C" w:rsidRPr="00040BEC">
        <w:t xml:space="preserve">SRS </w:t>
      </w:r>
      <w:r w:rsidRPr="00040BEC">
        <w:t xml:space="preserve">Earth </w:t>
      </w:r>
      <w:r w:rsidR="0009234C" w:rsidRPr="00040BEC">
        <w:t>S</w:t>
      </w:r>
      <w:r w:rsidRPr="00040BEC">
        <w:t xml:space="preserve">tations and DA2GC </w:t>
      </w:r>
      <w:r w:rsidR="0009234C" w:rsidRPr="00040BEC">
        <w:t>GS</w:t>
      </w:r>
      <w:r w:rsidRPr="00040BEC">
        <w:t xml:space="preserve"> it </w:t>
      </w:r>
      <w:proofErr w:type="gramStart"/>
      <w:r w:rsidRPr="00040BEC">
        <w:t>is not expected</w:t>
      </w:r>
      <w:proofErr w:type="gramEnd"/>
      <w:r w:rsidRPr="00040BEC">
        <w:t xml:space="preserve"> to be difficult finding locations for DA2GC GS in the 2010-2025 MHz band.</w:t>
      </w:r>
    </w:p>
    <w:p w14:paraId="5A8FC5FD" w14:textId="77777777" w:rsidR="00766EB0" w:rsidRPr="00040BEC" w:rsidRDefault="00766EB0" w:rsidP="0071779A">
      <w:pPr>
        <w:pStyle w:val="Heading4"/>
        <w:rPr>
          <w:lang w:val="en-GB" w:eastAsia="de-DE"/>
        </w:rPr>
      </w:pPr>
      <w:r w:rsidRPr="00040BEC">
        <w:rPr>
          <w:lang w:val="en-GB" w:eastAsia="de-DE"/>
        </w:rPr>
        <w:t xml:space="preserve">Compatibility between Broadband DA2GC and </w:t>
      </w:r>
      <w:r w:rsidR="00CF5445" w:rsidRPr="00040BEC">
        <w:rPr>
          <w:lang w:val="en-GB" w:eastAsia="de-DE"/>
        </w:rPr>
        <w:t>the F</w:t>
      </w:r>
      <w:r w:rsidRPr="00040BEC">
        <w:rPr>
          <w:lang w:val="en-GB" w:eastAsia="de-DE"/>
        </w:rPr>
        <w:t xml:space="preserve">ixed </w:t>
      </w:r>
      <w:r w:rsidR="00CF5445" w:rsidRPr="00040BEC">
        <w:rPr>
          <w:lang w:val="en-GB" w:eastAsia="de-DE"/>
        </w:rPr>
        <w:t>S</w:t>
      </w:r>
      <w:r w:rsidRPr="00040BEC">
        <w:rPr>
          <w:lang w:val="en-GB" w:eastAsia="de-DE"/>
        </w:rPr>
        <w:t xml:space="preserve">ervice above 2025 MHz </w:t>
      </w:r>
    </w:p>
    <w:p w14:paraId="58AB4E74" w14:textId="77777777" w:rsidR="00766EB0" w:rsidRPr="00040BEC" w:rsidRDefault="00766EB0" w:rsidP="00CF5445">
      <w:pPr>
        <w:rPr>
          <w:u w:val="single"/>
          <w:lang w:val="en-GB"/>
        </w:rPr>
      </w:pPr>
      <w:r w:rsidRPr="00040BEC">
        <w:rPr>
          <w:u w:val="single"/>
          <w:lang w:val="en-GB"/>
        </w:rPr>
        <w:t xml:space="preserve">Results of compatibility between </w:t>
      </w:r>
      <w:r w:rsidR="008E3EAA" w:rsidRPr="00040BEC">
        <w:rPr>
          <w:u w:val="single"/>
          <w:lang w:val="en-GB"/>
        </w:rPr>
        <w:t xml:space="preserve">Broadband </w:t>
      </w:r>
      <w:r w:rsidRPr="00040BEC">
        <w:rPr>
          <w:u w:val="single"/>
          <w:lang w:val="en-GB"/>
        </w:rPr>
        <w:t>DA2GC and FS (civil and military)</w:t>
      </w:r>
      <w:r w:rsidR="00035C83" w:rsidRPr="00040BEC">
        <w:rPr>
          <w:u w:val="single"/>
          <w:lang w:val="en-GB"/>
        </w:rPr>
        <w:t>:</w:t>
      </w:r>
    </w:p>
    <w:p w14:paraId="3EEDA649" w14:textId="77777777" w:rsidR="00766EB0" w:rsidRPr="00040BEC" w:rsidRDefault="00766EB0" w:rsidP="00AA5E84">
      <w:pPr>
        <w:pStyle w:val="ECCParagraph"/>
      </w:pPr>
      <w:r w:rsidRPr="00040BEC">
        <w:t xml:space="preserve">For the DA2GC </w:t>
      </w:r>
      <w:proofErr w:type="gramStart"/>
      <w:r w:rsidRPr="00040BEC">
        <w:t>system</w:t>
      </w:r>
      <w:proofErr w:type="gramEnd"/>
      <w:r w:rsidRPr="00040BEC">
        <w:t xml:space="preserve"> the two different alternatives for the realization of RL and FL in the band 2010-2025 MHz were taken into account. No interferences are expected between DA2GC AS and FS stations in case the DA2GC carrier frequency is at 2015 </w:t>
      </w:r>
      <w:proofErr w:type="spellStart"/>
      <w:r w:rsidRPr="00040BEC">
        <w:t>MHz.</w:t>
      </w:r>
      <w:proofErr w:type="spellEnd"/>
      <w:r w:rsidRPr="00040BEC">
        <w:t xml:space="preserve"> Separation distances are required between DA2GC GS and FS stations to achieve compatibility. Also for military FS stations (</w:t>
      </w:r>
      <w:proofErr w:type="gramStart"/>
      <w:r w:rsidRPr="00040BEC">
        <w:t>TRR)</w:t>
      </w:r>
      <w:proofErr w:type="gramEnd"/>
      <w:r w:rsidRPr="00040BEC">
        <w:t xml:space="preserve"> this is considered as manageable because of the temporary usage.</w:t>
      </w:r>
    </w:p>
    <w:p w14:paraId="3E1118CF" w14:textId="77777777" w:rsidR="00070F33" w:rsidRPr="00040BEC" w:rsidRDefault="00070F33" w:rsidP="0071779A">
      <w:pPr>
        <w:pStyle w:val="Heading4"/>
        <w:rPr>
          <w:lang w:val="en-GB" w:eastAsia="de-DE"/>
        </w:rPr>
      </w:pPr>
      <w:r w:rsidRPr="00040BEC">
        <w:rPr>
          <w:lang w:val="en-GB" w:eastAsia="de-DE"/>
        </w:rPr>
        <w:t xml:space="preserve">Compatibility between Broadband DA2GC and PMSE above 2025 MHz </w:t>
      </w:r>
    </w:p>
    <w:p w14:paraId="30F19252" w14:textId="77777777" w:rsidR="00070F33" w:rsidRPr="00040BEC" w:rsidRDefault="00070F33" w:rsidP="00035C83">
      <w:pPr>
        <w:rPr>
          <w:u w:val="single"/>
          <w:lang w:val="en-GB"/>
        </w:rPr>
      </w:pPr>
      <w:r w:rsidRPr="00040BEC">
        <w:rPr>
          <w:u w:val="single"/>
          <w:lang w:val="en-GB"/>
        </w:rPr>
        <w:t>Results of compatibility between DA2GC RL and PMSE</w:t>
      </w:r>
      <w:r w:rsidR="00035C83" w:rsidRPr="00040BEC">
        <w:rPr>
          <w:u w:val="single"/>
          <w:lang w:val="en-GB"/>
        </w:rPr>
        <w:t>:</w:t>
      </w:r>
    </w:p>
    <w:p w14:paraId="3E871474" w14:textId="77777777" w:rsidR="007931AD" w:rsidRPr="00040BEC" w:rsidRDefault="007931AD" w:rsidP="007931AD">
      <w:pPr>
        <w:pStyle w:val="ECCParagraph"/>
      </w:pPr>
      <w:r w:rsidRPr="00040BEC">
        <w:t xml:space="preserve">Studies carried out have indicated that some impact is to </w:t>
      </w:r>
      <w:proofErr w:type="gramStart"/>
      <w:r w:rsidRPr="00040BEC">
        <w:t>be expected</w:t>
      </w:r>
      <w:proofErr w:type="gramEnd"/>
      <w:r w:rsidRPr="00040BEC">
        <w:t xml:space="preserve"> to PMSE in the adjacent channel to the DA2GC</w:t>
      </w:r>
      <w:r w:rsidR="00C36960" w:rsidRPr="00040BEC">
        <w:t xml:space="preserve"> system</w:t>
      </w:r>
      <w:r w:rsidRPr="00040BEC">
        <w:t xml:space="preserve">. However, taking into account the frequency separation when implementing </w:t>
      </w:r>
      <w:r w:rsidR="008E3EAA" w:rsidRPr="00040BEC">
        <w:t xml:space="preserve">Broadband </w:t>
      </w:r>
      <w:r w:rsidRPr="00040BEC">
        <w:t xml:space="preserve">DA2GC according to scenario 1 </w:t>
      </w:r>
      <w:r w:rsidR="002D4F5E" w:rsidRPr="00040BEC">
        <w:t xml:space="preserve">(see section 5) </w:t>
      </w:r>
      <w:r w:rsidRPr="00040BEC">
        <w:t xml:space="preserve">and further mitigation measures </w:t>
      </w:r>
      <w:r w:rsidR="00213F04" w:rsidRPr="00040BEC">
        <w:t>such as</w:t>
      </w:r>
      <w:r w:rsidRPr="00040BEC">
        <w:t xml:space="preserve"> adaptive scheduling at the DA2GC AS</w:t>
      </w:r>
      <w:r w:rsidR="00213F04" w:rsidRPr="00040BEC">
        <w:t>,</w:t>
      </w:r>
      <w:r w:rsidRPr="00040BEC">
        <w:t xml:space="preserve"> no impact on PMSE operation is to be expected. </w:t>
      </w:r>
    </w:p>
    <w:p w14:paraId="5F28769D" w14:textId="77777777" w:rsidR="00070F33" w:rsidRPr="00040BEC" w:rsidRDefault="007931AD" w:rsidP="007931AD">
      <w:pPr>
        <w:pStyle w:val="ECCParagraph"/>
      </w:pPr>
      <w:r w:rsidRPr="00040BEC">
        <w:t xml:space="preserve">Studies carried out </w:t>
      </w:r>
      <w:r w:rsidR="0091541B" w:rsidRPr="00040BEC">
        <w:t xml:space="preserve">in ECC Report 220 </w:t>
      </w:r>
      <w:r w:rsidR="000A5980" w:rsidRPr="00040BEC">
        <w:fldChar w:fldCharType="begin"/>
      </w:r>
      <w:r w:rsidR="0077609E" w:rsidRPr="00040BEC">
        <w:instrText xml:space="preserve"> REF _Ref388514212 \r \h </w:instrText>
      </w:r>
      <w:r w:rsidR="000A5980" w:rsidRPr="00040BEC">
        <w:fldChar w:fldCharType="separate"/>
      </w:r>
      <w:r w:rsidR="002327BB">
        <w:t>[29]</w:t>
      </w:r>
      <w:r w:rsidR="000A5980" w:rsidRPr="00040BEC">
        <w:fldChar w:fldCharType="end"/>
      </w:r>
      <w:r w:rsidR="0091541B" w:rsidRPr="00040BEC">
        <w:t xml:space="preserve"> </w:t>
      </w:r>
      <w:r w:rsidRPr="00040BEC">
        <w:t xml:space="preserve">have indicated the need for separation distances for PMSE operations around DA2GC GS. For adjacent </w:t>
      </w:r>
      <w:proofErr w:type="gramStart"/>
      <w:r w:rsidRPr="00040BEC">
        <w:t>channel</w:t>
      </w:r>
      <w:proofErr w:type="gramEnd"/>
      <w:r w:rsidRPr="00040BEC">
        <w:t xml:space="preserve"> operation these distances are 1.5 km maximum assuming the PMSE </w:t>
      </w:r>
      <w:proofErr w:type="spellStart"/>
      <w:r w:rsidRPr="00040BEC">
        <w:t>Tx</w:t>
      </w:r>
      <w:proofErr w:type="spellEnd"/>
      <w:r w:rsidRPr="00040BEC">
        <w:t xml:space="preserve"> antenna directed towards the DA2GC GS Rx antenna in rural area. Thus, taking into account the frequency separation when implementing </w:t>
      </w:r>
      <w:r w:rsidR="00C36960" w:rsidRPr="00040BEC">
        <w:t xml:space="preserve">Broadband </w:t>
      </w:r>
      <w:r w:rsidRPr="00040BEC">
        <w:t xml:space="preserve">DA2GC according to scenario </w:t>
      </w:r>
      <w:proofErr w:type="gramStart"/>
      <w:r w:rsidRPr="00040BEC">
        <w:t>1,</w:t>
      </w:r>
      <w:proofErr w:type="gramEnd"/>
      <w:r w:rsidRPr="00040BEC">
        <w:t xml:space="preserve"> and the low penetration of DA2GC GS, no real </w:t>
      </w:r>
      <w:r w:rsidR="00A53C61" w:rsidRPr="00040BEC">
        <w:t xml:space="preserve">impact from </w:t>
      </w:r>
      <w:r w:rsidRPr="00040BEC">
        <w:t>PMSE operation above 2025 MHz</w:t>
      </w:r>
      <w:r w:rsidR="00A53C61" w:rsidRPr="00040BEC">
        <w:t xml:space="preserve"> on DA2GC GS is</w:t>
      </w:r>
      <w:r w:rsidRPr="00040BEC">
        <w:t xml:space="preserve"> expected.</w:t>
      </w:r>
    </w:p>
    <w:p w14:paraId="2E5B4206" w14:textId="77777777" w:rsidR="00766EB0" w:rsidRPr="00040BEC" w:rsidRDefault="00315B67" w:rsidP="008E5B81">
      <w:pPr>
        <w:pStyle w:val="Heading2"/>
        <w:rPr>
          <w:lang w:val="en-GB"/>
        </w:rPr>
      </w:pPr>
      <w:bookmarkStart w:id="60" w:name="_Toc388457063"/>
      <w:bookmarkStart w:id="61" w:name="_Toc396904004"/>
      <w:bookmarkStart w:id="62" w:name="_Toc445129321"/>
      <w:bookmarkEnd w:id="60"/>
      <w:r w:rsidRPr="00040BEC">
        <w:rPr>
          <w:lang w:val="en-GB"/>
        </w:rPr>
        <w:t>VLCC</w:t>
      </w:r>
      <w:bookmarkEnd w:id="61"/>
      <w:bookmarkEnd w:id="62"/>
    </w:p>
    <w:p w14:paraId="7E00A39D" w14:textId="77777777" w:rsidR="00766EB0" w:rsidRPr="00040BEC" w:rsidRDefault="00766EB0" w:rsidP="003435C2">
      <w:pPr>
        <w:pStyle w:val="Heading3"/>
        <w:rPr>
          <w:lang w:val="en-GB"/>
        </w:rPr>
      </w:pPr>
      <w:r w:rsidRPr="00040BEC">
        <w:rPr>
          <w:lang w:val="en-GB"/>
        </w:rPr>
        <w:t>1900-1920 MHz</w:t>
      </w:r>
    </w:p>
    <w:p w14:paraId="7991AA27" w14:textId="77777777" w:rsidR="00766EB0" w:rsidRPr="00040BEC" w:rsidRDefault="00766EB0" w:rsidP="0071779A">
      <w:pPr>
        <w:pStyle w:val="Heading4"/>
        <w:rPr>
          <w:lang w:val="en-GB" w:eastAsia="de-DE"/>
        </w:rPr>
      </w:pPr>
      <w:r w:rsidRPr="00040BEC">
        <w:rPr>
          <w:lang w:val="en-GB" w:eastAsia="de-DE"/>
        </w:rPr>
        <w:t xml:space="preserve">Compatibility between </w:t>
      </w:r>
      <w:r w:rsidR="00315B67" w:rsidRPr="00040BEC">
        <w:rPr>
          <w:lang w:val="en-GB" w:eastAsia="de-DE"/>
        </w:rPr>
        <w:t>VLCC</w:t>
      </w:r>
      <w:r w:rsidRPr="00040BEC">
        <w:rPr>
          <w:lang w:val="en-GB" w:eastAsia="de-DE"/>
        </w:rPr>
        <w:t xml:space="preserve"> and DECT below 1900 MHz </w:t>
      </w:r>
    </w:p>
    <w:p w14:paraId="64399E90" w14:textId="77777777" w:rsidR="007931AD" w:rsidRPr="00040BEC" w:rsidRDefault="007931AD" w:rsidP="007931AD">
      <w:pPr>
        <w:spacing w:after="240"/>
        <w:jc w:val="both"/>
        <w:rPr>
          <w:lang w:val="en-GB"/>
        </w:rPr>
      </w:pPr>
      <w:r w:rsidRPr="00040BEC">
        <w:rPr>
          <w:rFonts w:cs="Arial"/>
          <w:lang w:val="en-GB" w:eastAsia="de-DE"/>
        </w:rPr>
        <w:t xml:space="preserve">No compatibility studies </w:t>
      </w:r>
      <w:proofErr w:type="gramStart"/>
      <w:r w:rsidRPr="00040BEC">
        <w:rPr>
          <w:rFonts w:cs="Arial"/>
          <w:lang w:val="en-GB" w:eastAsia="de-DE"/>
        </w:rPr>
        <w:t>have been conducted</w:t>
      </w:r>
      <w:proofErr w:type="gramEnd"/>
      <w:r w:rsidRPr="00040BEC">
        <w:rPr>
          <w:rFonts w:cs="Arial"/>
          <w:lang w:val="en-GB" w:eastAsia="de-DE"/>
        </w:rPr>
        <w:t xml:space="preserve">. This </w:t>
      </w:r>
      <w:proofErr w:type="gramStart"/>
      <w:r w:rsidRPr="00040BEC">
        <w:rPr>
          <w:rFonts w:cs="Arial"/>
          <w:lang w:val="en-GB" w:eastAsia="de-DE"/>
        </w:rPr>
        <w:t>may be attributed</w:t>
      </w:r>
      <w:proofErr w:type="gramEnd"/>
      <w:r w:rsidRPr="00040BEC">
        <w:rPr>
          <w:rFonts w:cs="Arial"/>
          <w:lang w:val="en-GB" w:eastAsia="de-DE"/>
        </w:rPr>
        <w:t xml:space="preserve"> to the low interest from the PMSE community in usage of the 1900-1920 MHz band for VLCC applications. This band falls outside the tuning range of current PMSE equipment thus necessitating costs for the development or modification of equipment to tune to one or possibly two channels, with the likelihood of restrictions in availability to provide sharing with DA2GC</w:t>
      </w:r>
      <w:proofErr w:type="gramStart"/>
      <w:r w:rsidRPr="00040BEC">
        <w:rPr>
          <w:rFonts w:cs="Arial"/>
          <w:lang w:val="en-GB" w:eastAsia="de-DE"/>
        </w:rPr>
        <w:t>.</w:t>
      </w:r>
      <w:r w:rsidR="008850AA" w:rsidRPr="00040BEC">
        <w:rPr>
          <w:rFonts w:cs="Arial"/>
          <w:lang w:val="en-GB" w:eastAsia="de-DE"/>
        </w:rPr>
        <w:t>.</w:t>
      </w:r>
      <w:proofErr w:type="gramEnd"/>
    </w:p>
    <w:p w14:paraId="1184F905" w14:textId="77777777" w:rsidR="00766EB0" w:rsidRPr="00040BEC" w:rsidRDefault="00766EB0" w:rsidP="0071779A">
      <w:pPr>
        <w:pStyle w:val="Heading4"/>
        <w:rPr>
          <w:lang w:val="en-GB" w:eastAsia="de-DE"/>
        </w:rPr>
      </w:pPr>
      <w:r w:rsidRPr="00040BEC">
        <w:rPr>
          <w:lang w:val="en-GB" w:eastAsia="de-DE"/>
        </w:rPr>
        <w:t xml:space="preserve">Compatibility between </w:t>
      </w:r>
      <w:r w:rsidR="00315B67" w:rsidRPr="00040BEC">
        <w:rPr>
          <w:lang w:val="en-GB" w:eastAsia="de-DE"/>
        </w:rPr>
        <w:t>VLCC</w:t>
      </w:r>
      <w:r w:rsidRPr="00040BEC">
        <w:rPr>
          <w:lang w:val="en-GB" w:eastAsia="de-DE"/>
        </w:rPr>
        <w:t xml:space="preserve"> and </w:t>
      </w:r>
      <w:r w:rsidR="00E1693D" w:rsidRPr="00040BEC">
        <w:rPr>
          <w:lang w:val="en-GB" w:eastAsia="de-DE"/>
        </w:rPr>
        <w:t xml:space="preserve">MFCN </w:t>
      </w:r>
      <w:r w:rsidRPr="00040BEC">
        <w:rPr>
          <w:lang w:val="en-GB" w:eastAsia="de-DE"/>
        </w:rPr>
        <w:t xml:space="preserve">above 1920 MHz </w:t>
      </w:r>
    </w:p>
    <w:p w14:paraId="232C6CB4" w14:textId="77777777" w:rsidR="0086374A" w:rsidRPr="00040BEC" w:rsidRDefault="0086374A" w:rsidP="0086374A">
      <w:pPr>
        <w:spacing w:after="240"/>
        <w:jc w:val="both"/>
        <w:rPr>
          <w:lang w:val="en-GB"/>
        </w:rPr>
      </w:pPr>
      <w:r w:rsidRPr="00040BEC">
        <w:rPr>
          <w:lang w:val="en-GB"/>
        </w:rPr>
        <w:t xml:space="preserve">This scenario </w:t>
      </w:r>
      <w:proofErr w:type="gramStart"/>
      <w:r w:rsidRPr="00040BEC">
        <w:rPr>
          <w:lang w:val="en-GB"/>
        </w:rPr>
        <w:t>has been carried out and reported in ECC Report 220</w:t>
      </w:r>
      <w:r w:rsidR="00E1693D" w:rsidRPr="00040BEC">
        <w:rPr>
          <w:lang w:val="en-GB"/>
        </w:rPr>
        <w:t xml:space="preserve"> [29]</w:t>
      </w:r>
      <w:proofErr w:type="gramEnd"/>
      <w:r w:rsidRPr="00040BEC">
        <w:rPr>
          <w:lang w:val="en-GB"/>
        </w:rPr>
        <w:t xml:space="preserve">. The study </w:t>
      </w:r>
      <w:proofErr w:type="gramStart"/>
      <w:r w:rsidRPr="00040BEC">
        <w:rPr>
          <w:lang w:val="en-GB"/>
        </w:rPr>
        <w:t>is based</w:t>
      </w:r>
      <w:proofErr w:type="gramEnd"/>
      <w:r w:rsidRPr="00040BEC">
        <w:rPr>
          <w:lang w:val="en-GB"/>
        </w:rPr>
        <w:t xml:space="preserve"> on typical statistical situation of MFCN user equipment and the conclusion shows that the compatibility may be ensured by using appropriate mitigation techniques such as separation distance, guard band or reducing the maximum typical </w:t>
      </w:r>
      <w:proofErr w:type="spellStart"/>
      <w:r w:rsidRPr="00040BEC">
        <w:rPr>
          <w:lang w:val="en-GB"/>
        </w:rPr>
        <w:t>e.i.r.p</w:t>
      </w:r>
      <w:proofErr w:type="spellEnd"/>
      <w:r w:rsidRPr="00040BEC">
        <w:rPr>
          <w:lang w:val="en-GB"/>
        </w:rPr>
        <w:t xml:space="preserve"> of PMSE equipment.</w:t>
      </w:r>
      <w:r w:rsidR="00E1693D" w:rsidRPr="00040BEC">
        <w:rPr>
          <w:lang w:val="en-GB"/>
        </w:rPr>
        <w:t xml:space="preserve"> Only Cordless Camera Links and Mobile Video Links seem to be able to coexist with adjacent MFCN systems.</w:t>
      </w:r>
    </w:p>
    <w:p w14:paraId="7A52FC1F" w14:textId="77777777" w:rsidR="00E405EA" w:rsidRPr="00040BEC" w:rsidRDefault="0086374A" w:rsidP="0086374A">
      <w:pPr>
        <w:spacing w:after="240"/>
        <w:jc w:val="both"/>
        <w:rPr>
          <w:lang w:val="en-GB"/>
        </w:rPr>
      </w:pPr>
      <w:r w:rsidRPr="00040BEC">
        <w:rPr>
          <w:lang w:val="en-GB"/>
        </w:rPr>
        <w:lastRenderedPageBreak/>
        <w:t xml:space="preserve">However, it should be noted that taking into account the </w:t>
      </w:r>
      <w:proofErr w:type="gramStart"/>
      <w:r w:rsidRPr="00040BEC">
        <w:rPr>
          <w:lang w:val="en-GB"/>
        </w:rPr>
        <w:t>high density</w:t>
      </w:r>
      <w:proofErr w:type="gramEnd"/>
      <w:r w:rsidRPr="00040BEC">
        <w:rPr>
          <w:lang w:val="en-GB"/>
        </w:rPr>
        <w:t xml:space="preserve"> deployment of MFCN networks above 1920 MHz, such mitigation techniques may be difficult to apply in practice.</w:t>
      </w:r>
    </w:p>
    <w:p w14:paraId="5C9F1D15" w14:textId="77777777" w:rsidR="00E405EA" w:rsidRPr="00040BEC" w:rsidRDefault="00E405EA" w:rsidP="00E405EA">
      <w:pPr>
        <w:spacing w:after="240"/>
        <w:jc w:val="both"/>
        <w:rPr>
          <w:lang w:val="en-GB"/>
        </w:rPr>
      </w:pPr>
      <w:r w:rsidRPr="00040BEC">
        <w:rPr>
          <w:lang w:val="en-GB"/>
        </w:rPr>
        <w:t xml:space="preserve">Due to very low density of video PMSE using the same channel at the same place and at the same time, further investigations may be required in order to </w:t>
      </w:r>
      <w:r w:rsidR="00FC3116" w:rsidRPr="00040BEC">
        <w:rPr>
          <w:lang w:val="en-GB"/>
        </w:rPr>
        <w:t>define the most suitable value</w:t>
      </w:r>
      <w:r w:rsidRPr="00040BEC">
        <w:rPr>
          <w:lang w:val="en-GB"/>
        </w:rPr>
        <w:t xml:space="preserve"> of this maximum radiated power. </w:t>
      </w:r>
      <w:r w:rsidR="00FC3116" w:rsidRPr="00040BEC">
        <w:rPr>
          <w:lang w:val="en-GB"/>
        </w:rPr>
        <w:t xml:space="preserve">In addition, it is underlined that </w:t>
      </w:r>
      <w:r w:rsidRPr="00040BEC">
        <w:rPr>
          <w:lang w:val="en-GB"/>
        </w:rPr>
        <w:t xml:space="preserve">PMSE devices are licensed equipment and usually, the use of each channel </w:t>
      </w:r>
      <w:proofErr w:type="gramStart"/>
      <w:r w:rsidRPr="00040BEC">
        <w:rPr>
          <w:lang w:val="en-GB"/>
        </w:rPr>
        <w:t>is decided</w:t>
      </w:r>
      <w:proofErr w:type="gramEnd"/>
      <w:r w:rsidRPr="00040BEC">
        <w:rPr>
          <w:lang w:val="en-GB"/>
        </w:rPr>
        <w:t xml:space="preserve"> for an event by the regulatory authority. This process will lead to restrict the use of each channel by one video link in a </w:t>
      </w:r>
      <w:r w:rsidR="00053D6A" w:rsidRPr="00040BEC">
        <w:rPr>
          <w:lang w:val="en-GB"/>
        </w:rPr>
        <w:t>given</w:t>
      </w:r>
      <w:r w:rsidRPr="00040BEC">
        <w:rPr>
          <w:lang w:val="en-GB"/>
        </w:rPr>
        <w:t xml:space="preserve"> area to avoid interferences between PMSE users.</w:t>
      </w:r>
    </w:p>
    <w:p w14:paraId="5F2B9727" w14:textId="77777777" w:rsidR="00FC3116" w:rsidRPr="00040BEC" w:rsidRDefault="00FC3116" w:rsidP="00E405EA">
      <w:pPr>
        <w:spacing w:after="240"/>
        <w:jc w:val="both"/>
        <w:rPr>
          <w:lang w:val="en-GB"/>
        </w:rPr>
      </w:pPr>
      <w:proofErr w:type="gramStart"/>
      <w:r w:rsidRPr="00040BEC">
        <w:rPr>
          <w:lang w:val="en-GB"/>
        </w:rPr>
        <w:t xml:space="preserve">Finally, as mentioned in section 4.2.1.1 of this report, the </w:t>
      </w:r>
      <w:r w:rsidRPr="00040BEC">
        <w:rPr>
          <w:rFonts w:cs="Arial"/>
          <w:lang w:val="en-GB" w:eastAsia="de-DE"/>
        </w:rPr>
        <w:t xml:space="preserve">usage of the 1900-1920 MHz band for VLCC applications is not </w:t>
      </w:r>
      <w:r w:rsidR="00EE1C91" w:rsidRPr="00040BEC">
        <w:rPr>
          <w:rFonts w:cs="Arial"/>
          <w:lang w:val="en-GB" w:eastAsia="de-DE"/>
        </w:rPr>
        <w:t xml:space="preserve">the </w:t>
      </w:r>
      <w:r w:rsidRPr="00040BEC">
        <w:rPr>
          <w:rFonts w:cs="Arial"/>
          <w:lang w:val="en-GB" w:eastAsia="de-DE"/>
        </w:rPr>
        <w:t>preferred solution due to the fact that this band falls outside the tuning range of current PMSE equipment thus necessitating costs for the development or modification of equipment to tune to one or possibly two channels, with the likelihood of restrictions in availability to provide sharing with DA2GC.</w:t>
      </w:r>
      <w:proofErr w:type="gramEnd"/>
    </w:p>
    <w:p w14:paraId="26529BEB" w14:textId="77777777" w:rsidR="00766EB0" w:rsidRPr="00040BEC" w:rsidRDefault="00766EB0" w:rsidP="003435C2">
      <w:pPr>
        <w:pStyle w:val="Heading3"/>
        <w:rPr>
          <w:lang w:val="en-GB"/>
        </w:rPr>
      </w:pPr>
      <w:r w:rsidRPr="00040BEC">
        <w:rPr>
          <w:lang w:val="en-GB"/>
        </w:rPr>
        <w:t>2010-2025 MHz</w:t>
      </w:r>
    </w:p>
    <w:p w14:paraId="4A345DAA" w14:textId="77777777" w:rsidR="00766EB0" w:rsidRPr="00040BEC" w:rsidRDefault="00766EB0" w:rsidP="0071779A">
      <w:pPr>
        <w:pStyle w:val="Heading4"/>
        <w:rPr>
          <w:lang w:val="en-GB" w:eastAsia="de-DE"/>
        </w:rPr>
      </w:pPr>
      <w:r w:rsidRPr="00040BEC">
        <w:rPr>
          <w:lang w:val="en-GB" w:eastAsia="de-DE"/>
        </w:rPr>
        <w:t xml:space="preserve">Compatibility between </w:t>
      </w:r>
      <w:r w:rsidR="00315B67" w:rsidRPr="00040BEC">
        <w:rPr>
          <w:lang w:val="en-GB" w:eastAsia="de-DE"/>
        </w:rPr>
        <w:t>VLCC</w:t>
      </w:r>
      <w:r w:rsidRPr="00040BEC">
        <w:rPr>
          <w:lang w:val="en-GB" w:eastAsia="de-DE"/>
        </w:rPr>
        <w:t xml:space="preserve"> and MSS below 2010 MHz </w:t>
      </w:r>
    </w:p>
    <w:p w14:paraId="55FA0DAF" w14:textId="77777777" w:rsidR="007931AD" w:rsidRPr="00040BEC" w:rsidRDefault="007931AD" w:rsidP="007931AD">
      <w:pPr>
        <w:rPr>
          <w:rFonts w:cs="Arial"/>
          <w:lang w:val="en-GB"/>
        </w:rPr>
      </w:pPr>
      <w:r w:rsidRPr="00040BEC">
        <w:rPr>
          <w:rFonts w:cs="Arial"/>
          <w:lang w:val="en-GB"/>
        </w:rPr>
        <w:t xml:space="preserve">No compatibility studies </w:t>
      </w:r>
      <w:proofErr w:type="gramStart"/>
      <w:r w:rsidRPr="00040BEC">
        <w:rPr>
          <w:rFonts w:cs="Arial"/>
          <w:lang w:val="en-GB"/>
        </w:rPr>
        <w:t>have been conducted</w:t>
      </w:r>
      <w:proofErr w:type="gramEnd"/>
      <w:r w:rsidRPr="00040BEC">
        <w:rPr>
          <w:rFonts w:cs="Arial"/>
          <w:lang w:val="en-GB"/>
        </w:rPr>
        <w:t xml:space="preserve">. However, it </w:t>
      </w:r>
      <w:proofErr w:type="gramStart"/>
      <w:r w:rsidRPr="00040BEC">
        <w:rPr>
          <w:rFonts w:cs="Arial"/>
          <w:lang w:val="en-GB"/>
        </w:rPr>
        <w:t>should be noted</w:t>
      </w:r>
      <w:proofErr w:type="gramEnd"/>
      <w:r w:rsidRPr="00040BEC">
        <w:rPr>
          <w:rFonts w:cs="Arial"/>
          <w:lang w:val="en-GB"/>
        </w:rPr>
        <w:t xml:space="preserve"> that PMSE use, including airborne use, is permitted in some CEPT countries without reported issues. This </w:t>
      </w:r>
      <w:proofErr w:type="gramStart"/>
      <w:r w:rsidRPr="00040BEC">
        <w:rPr>
          <w:rFonts w:cs="Arial"/>
          <w:lang w:val="en-GB"/>
        </w:rPr>
        <w:t>cannot be seen</w:t>
      </w:r>
      <w:proofErr w:type="gramEnd"/>
      <w:r w:rsidRPr="00040BEC">
        <w:rPr>
          <w:rFonts w:cs="Arial"/>
          <w:lang w:val="en-GB"/>
        </w:rPr>
        <w:t xml:space="preserve"> to be a guarantee that issues may not arise in future.</w:t>
      </w:r>
    </w:p>
    <w:p w14:paraId="74EBE4FD" w14:textId="77777777" w:rsidR="007931AD" w:rsidRPr="00040BEC" w:rsidRDefault="007931AD" w:rsidP="0071779A">
      <w:pPr>
        <w:pStyle w:val="Heading4"/>
        <w:rPr>
          <w:lang w:val="en-GB" w:eastAsia="de-DE"/>
        </w:rPr>
      </w:pPr>
      <w:bookmarkStart w:id="63" w:name="_Toc368435960"/>
      <w:r w:rsidRPr="00040BEC">
        <w:rPr>
          <w:lang w:val="en-GB" w:eastAsia="de-DE"/>
        </w:rPr>
        <w:t xml:space="preserve">Compatibility between VLCC and services above 2025 MHz </w:t>
      </w:r>
    </w:p>
    <w:p w14:paraId="18BCA5C3" w14:textId="77777777" w:rsidR="008A0753" w:rsidRPr="00040BEC" w:rsidRDefault="008A0753" w:rsidP="008A0753">
      <w:pPr>
        <w:pStyle w:val="xmsonormal"/>
        <w:rPr>
          <w:lang w:val="en-GB"/>
        </w:rPr>
      </w:pPr>
      <w:r w:rsidRPr="00040BEC">
        <w:rPr>
          <w:rFonts w:ascii="Arial" w:hAnsi="Arial" w:cs="Arial"/>
          <w:sz w:val="20"/>
          <w:szCs w:val="20"/>
          <w:lang w:val="en-GB"/>
        </w:rPr>
        <w:t>Sharing between PMSE and other services (space services, fixed service) in the band 2025-2110 MHz is possible according to ERC</w:t>
      </w:r>
      <w:r w:rsidR="00454BBF" w:rsidRPr="00040BEC">
        <w:rPr>
          <w:rFonts w:ascii="Arial" w:hAnsi="Arial" w:cs="Arial"/>
          <w:sz w:val="20"/>
          <w:szCs w:val="20"/>
          <w:lang w:val="en-GB"/>
        </w:rPr>
        <w:t>/</w:t>
      </w:r>
      <w:r w:rsidRPr="00040BEC">
        <w:rPr>
          <w:rFonts w:ascii="Arial" w:hAnsi="Arial" w:cs="Arial"/>
          <w:sz w:val="20"/>
          <w:szCs w:val="20"/>
          <w:lang w:val="en-GB"/>
        </w:rPr>
        <w:t>R</w:t>
      </w:r>
      <w:r w:rsidR="00454BBF" w:rsidRPr="00040BEC">
        <w:rPr>
          <w:rFonts w:ascii="Arial" w:hAnsi="Arial" w:cs="Arial"/>
          <w:sz w:val="20"/>
          <w:szCs w:val="20"/>
          <w:lang w:val="en-GB"/>
        </w:rPr>
        <w:t>EC</w:t>
      </w:r>
      <w:r w:rsidRPr="00040BEC">
        <w:rPr>
          <w:rFonts w:ascii="Arial" w:hAnsi="Arial" w:cs="Arial"/>
          <w:sz w:val="20"/>
          <w:szCs w:val="20"/>
          <w:lang w:val="en-GB"/>
        </w:rPr>
        <w:t xml:space="preserve"> 25-10</w:t>
      </w:r>
      <w:r w:rsidR="00454BBF" w:rsidRPr="00040BEC">
        <w:rPr>
          <w:rFonts w:ascii="Arial" w:hAnsi="Arial" w:cs="Arial"/>
          <w:sz w:val="20"/>
          <w:szCs w:val="20"/>
          <w:lang w:val="en-GB"/>
        </w:rPr>
        <w:t xml:space="preserve"> </w:t>
      </w:r>
      <w:r w:rsidR="000A5980" w:rsidRPr="00040BEC">
        <w:rPr>
          <w:rFonts w:ascii="Arial" w:hAnsi="Arial" w:cs="Arial"/>
          <w:sz w:val="20"/>
          <w:szCs w:val="20"/>
          <w:lang w:val="en-GB"/>
        </w:rPr>
        <w:fldChar w:fldCharType="begin"/>
      </w:r>
      <w:r w:rsidR="00454BBF" w:rsidRPr="00040BEC">
        <w:rPr>
          <w:rFonts w:ascii="Arial" w:hAnsi="Arial" w:cs="Arial"/>
          <w:sz w:val="20"/>
          <w:szCs w:val="20"/>
          <w:lang w:val="en-GB"/>
        </w:rPr>
        <w:instrText xml:space="preserve"> REF _Ref356389398 \r \h </w:instrText>
      </w:r>
      <w:r w:rsidR="000A5980" w:rsidRPr="00040BEC">
        <w:rPr>
          <w:rFonts w:ascii="Arial" w:hAnsi="Arial" w:cs="Arial"/>
          <w:sz w:val="20"/>
          <w:szCs w:val="20"/>
          <w:lang w:val="en-GB"/>
        </w:rPr>
      </w:r>
      <w:r w:rsidR="000A5980" w:rsidRPr="00040BEC">
        <w:rPr>
          <w:rFonts w:ascii="Arial" w:hAnsi="Arial" w:cs="Arial"/>
          <w:sz w:val="20"/>
          <w:szCs w:val="20"/>
          <w:lang w:val="en-GB"/>
        </w:rPr>
        <w:fldChar w:fldCharType="separate"/>
      </w:r>
      <w:r w:rsidR="002327BB">
        <w:rPr>
          <w:rFonts w:ascii="Arial" w:hAnsi="Arial" w:cs="Arial"/>
          <w:sz w:val="20"/>
          <w:szCs w:val="20"/>
          <w:lang w:val="en-GB"/>
        </w:rPr>
        <w:t>[17]</w:t>
      </w:r>
      <w:r w:rsidR="000A5980" w:rsidRPr="00040BEC">
        <w:rPr>
          <w:rFonts w:ascii="Arial" w:hAnsi="Arial" w:cs="Arial"/>
          <w:sz w:val="20"/>
          <w:szCs w:val="20"/>
          <w:lang w:val="en-GB"/>
        </w:rPr>
        <w:fldChar w:fldCharType="end"/>
      </w:r>
      <w:r w:rsidRPr="00040BEC">
        <w:rPr>
          <w:rFonts w:ascii="Arial" w:hAnsi="Arial" w:cs="Arial"/>
          <w:sz w:val="20"/>
          <w:szCs w:val="20"/>
          <w:lang w:val="en-GB"/>
        </w:rPr>
        <w:t xml:space="preserve"> (including for air-to-ground applications). Similar provisions would apply to VLCC (the same technology as PMSE) for adjacent band operation.</w:t>
      </w:r>
    </w:p>
    <w:p w14:paraId="182FFA64" w14:textId="77777777" w:rsidR="00766EB0" w:rsidRPr="00040BEC" w:rsidRDefault="00766EB0" w:rsidP="0003307A">
      <w:pPr>
        <w:pStyle w:val="Heading2"/>
        <w:rPr>
          <w:lang w:val="en-GB"/>
        </w:rPr>
      </w:pPr>
      <w:bookmarkStart w:id="64" w:name="_Toc388457065"/>
      <w:bookmarkStart w:id="65" w:name="_Toc388457066"/>
      <w:bookmarkStart w:id="66" w:name="_Toc388457067"/>
      <w:bookmarkStart w:id="67" w:name="_Toc388457068"/>
      <w:bookmarkStart w:id="68" w:name="_Toc388457069"/>
      <w:bookmarkStart w:id="69" w:name="_Toc396904005"/>
      <w:bookmarkStart w:id="70" w:name="_Toc445129322"/>
      <w:bookmarkEnd w:id="64"/>
      <w:bookmarkEnd w:id="65"/>
      <w:bookmarkEnd w:id="66"/>
      <w:bookmarkEnd w:id="67"/>
      <w:bookmarkEnd w:id="68"/>
      <w:r w:rsidRPr="00040BEC">
        <w:rPr>
          <w:lang w:val="en-GB"/>
        </w:rPr>
        <w:t>DECT/SRD</w:t>
      </w:r>
      <w:bookmarkEnd w:id="63"/>
      <w:bookmarkEnd w:id="69"/>
      <w:bookmarkEnd w:id="70"/>
    </w:p>
    <w:p w14:paraId="03A58BEC" w14:textId="77777777" w:rsidR="00466753" w:rsidRPr="00040BEC" w:rsidRDefault="00466753" w:rsidP="00466753">
      <w:pPr>
        <w:spacing w:after="240"/>
        <w:jc w:val="both"/>
        <w:rPr>
          <w:lang w:val="en-GB"/>
        </w:rPr>
      </w:pPr>
      <w:r w:rsidRPr="00040BEC">
        <w:rPr>
          <w:lang w:val="en-GB"/>
        </w:rPr>
        <w:t xml:space="preserve">DECT and SRD are both seeking </w:t>
      </w:r>
      <w:r w:rsidR="0009234C" w:rsidRPr="00040BEC">
        <w:rPr>
          <w:rFonts w:cs="Arial"/>
          <w:lang w:val="en-GB" w:eastAsia="de-DE"/>
        </w:rPr>
        <w:t>to use spectrum</w:t>
      </w:r>
      <w:r w:rsidR="00053D6A" w:rsidRPr="00040BEC">
        <w:rPr>
          <w:rFonts w:cs="Arial"/>
          <w:lang w:val="en-GB" w:eastAsia="de-DE"/>
        </w:rPr>
        <w:t xml:space="preserve">, </w:t>
      </w:r>
      <w:r w:rsidRPr="00040BEC">
        <w:rPr>
          <w:lang w:val="en-GB"/>
        </w:rPr>
        <w:t>without coordination</w:t>
      </w:r>
      <w:r w:rsidR="00053D6A" w:rsidRPr="00040BEC">
        <w:rPr>
          <w:lang w:val="en-GB"/>
        </w:rPr>
        <w:t>,</w:t>
      </w:r>
      <w:r w:rsidRPr="00040BEC">
        <w:rPr>
          <w:lang w:val="en-GB"/>
        </w:rPr>
        <w:t xml:space="preserve"> under a general authorisation regime</w:t>
      </w:r>
      <w:r w:rsidR="00994984" w:rsidRPr="00040BEC">
        <w:rPr>
          <w:lang w:val="en-GB"/>
        </w:rPr>
        <w:t xml:space="preserve"> and usage restrictions to protect primary services</w:t>
      </w:r>
      <w:r w:rsidRPr="00040BEC">
        <w:rPr>
          <w:lang w:val="en-GB"/>
        </w:rPr>
        <w:t>.</w:t>
      </w:r>
    </w:p>
    <w:p w14:paraId="00F59C0E" w14:textId="77777777" w:rsidR="00466753" w:rsidRPr="00040BEC" w:rsidRDefault="00466753" w:rsidP="003435C2">
      <w:pPr>
        <w:pStyle w:val="Heading3"/>
        <w:rPr>
          <w:lang w:val="en-GB"/>
        </w:rPr>
      </w:pPr>
      <w:r w:rsidRPr="00040BEC">
        <w:rPr>
          <w:lang w:val="en-GB"/>
        </w:rPr>
        <w:t>1900-1920 MHz</w:t>
      </w:r>
    </w:p>
    <w:p w14:paraId="697064DA" w14:textId="77777777" w:rsidR="00466753" w:rsidRPr="00040BEC" w:rsidRDefault="00466753" w:rsidP="0071779A">
      <w:pPr>
        <w:pStyle w:val="Heading4"/>
        <w:rPr>
          <w:lang w:val="en-GB" w:eastAsia="de-DE"/>
        </w:rPr>
      </w:pPr>
      <w:r w:rsidRPr="00040BEC">
        <w:rPr>
          <w:lang w:val="en-GB" w:eastAsia="de-DE"/>
        </w:rPr>
        <w:t>Compatibility between DECT/</w:t>
      </w:r>
      <w:r w:rsidR="00C41272" w:rsidRPr="00040BEC">
        <w:rPr>
          <w:lang w:val="en-GB" w:eastAsia="de-DE"/>
        </w:rPr>
        <w:t>SRD</w:t>
      </w:r>
      <w:r w:rsidRPr="00040BEC">
        <w:rPr>
          <w:lang w:val="en-GB" w:eastAsia="de-DE"/>
        </w:rPr>
        <w:t xml:space="preserve"> and DECT below 1900 MHz</w:t>
      </w:r>
    </w:p>
    <w:p w14:paraId="17DA0000" w14:textId="77777777" w:rsidR="0003307A" w:rsidRPr="00040BEC" w:rsidRDefault="0003307A" w:rsidP="00466753">
      <w:pPr>
        <w:spacing w:after="240"/>
        <w:jc w:val="both"/>
        <w:rPr>
          <w:lang w:val="en-GB"/>
        </w:rPr>
      </w:pPr>
      <w:r w:rsidRPr="00040BEC">
        <w:rPr>
          <w:lang w:val="en-GB"/>
        </w:rPr>
        <w:t xml:space="preserve">In this case, the same technology </w:t>
      </w:r>
      <w:proofErr w:type="gramStart"/>
      <w:r w:rsidRPr="00040BEC">
        <w:rPr>
          <w:lang w:val="en-GB"/>
        </w:rPr>
        <w:t>is used</w:t>
      </w:r>
      <w:proofErr w:type="gramEnd"/>
      <w:r w:rsidRPr="00040BEC">
        <w:rPr>
          <w:lang w:val="en-GB"/>
        </w:rPr>
        <w:t xml:space="preserve"> above and below 1900 MHz (DECT core</w:t>
      </w:r>
      <w:r w:rsidR="00E17D99" w:rsidRPr="00040BEC">
        <w:rPr>
          <w:lang w:val="en-GB"/>
        </w:rPr>
        <w:t xml:space="preserve"> </w:t>
      </w:r>
      <w:r w:rsidRPr="00040BEC">
        <w:rPr>
          <w:lang w:val="en-GB"/>
        </w:rPr>
        <w:t xml:space="preserve">band in 1880-1900 MHz), therefore compatibility is achieved. SRD applications with duty cycle restriction are also considered </w:t>
      </w:r>
      <w:proofErr w:type="gramStart"/>
      <w:r w:rsidRPr="00040BEC">
        <w:rPr>
          <w:lang w:val="en-GB"/>
        </w:rPr>
        <w:t xml:space="preserve">to </w:t>
      </w:r>
      <w:r w:rsidR="00C54CBF" w:rsidRPr="00040BEC">
        <w:rPr>
          <w:lang w:val="en-GB"/>
        </w:rPr>
        <w:t>be compatible</w:t>
      </w:r>
      <w:proofErr w:type="gramEnd"/>
      <w:r w:rsidR="00C54CBF" w:rsidRPr="00040BEC">
        <w:rPr>
          <w:lang w:val="en-GB"/>
        </w:rPr>
        <w:t xml:space="preserve"> </w:t>
      </w:r>
      <w:r w:rsidRPr="00040BEC">
        <w:rPr>
          <w:lang w:val="en-GB"/>
        </w:rPr>
        <w:t>with the DECT core</w:t>
      </w:r>
      <w:r w:rsidR="00E17D99" w:rsidRPr="00040BEC">
        <w:rPr>
          <w:lang w:val="en-GB"/>
        </w:rPr>
        <w:t xml:space="preserve"> </w:t>
      </w:r>
      <w:r w:rsidRPr="00040BEC">
        <w:rPr>
          <w:lang w:val="en-GB"/>
        </w:rPr>
        <w:t>band.</w:t>
      </w:r>
    </w:p>
    <w:p w14:paraId="213EC828" w14:textId="77777777" w:rsidR="0003307A" w:rsidRPr="00040BEC" w:rsidRDefault="0003307A" w:rsidP="0071779A">
      <w:pPr>
        <w:pStyle w:val="Heading4"/>
        <w:rPr>
          <w:lang w:val="en-GB" w:eastAsia="de-DE"/>
        </w:rPr>
      </w:pPr>
      <w:r w:rsidRPr="00040BEC">
        <w:rPr>
          <w:lang w:val="en-GB" w:eastAsia="de-DE"/>
        </w:rPr>
        <w:t xml:space="preserve">Compatibility with </w:t>
      </w:r>
      <w:r w:rsidR="008F35E0" w:rsidRPr="00040BEC">
        <w:rPr>
          <w:lang w:val="en-GB" w:eastAsia="de-DE"/>
        </w:rPr>
        <w:t xml:space="preserve">MFCN </w:t>
      </w:r>
      <w:r w:rsidRPr="00040BEC">
        <w:rPr>
          <w:lang w:val="en-GB" w:eastAsia="de-DE"/>
        </w:rPr>
        <w:t>above 1920 MHz</w:t>
      </w:r>
    </w:p>
    <w:p w14:paraId="6880B37C" w14:textId="26E81AFC" w:rsidR="0003307A" w:rsidRPr="00040BEC" w:rsidRDefault="00255D50" w:rsidP="004F12A1">
      <w:pPr>
        <w:spacing w:after="240"/>
        <w:jc w:val="both"/>
        <w:rPr>
          <w:lang w:val="en-GB"/>
        </w:rPr>
      </w:pPr>
      <w:r w:rsidRPr="00040BEC">
        <w:rPr>
          <w:lang w:val="en-GB"/>
        </w:rPr>
        <w:t xml:space="preserve">The ECC Report 220 [29] studies the impact of DECT devices on MFCN BS and shows that DECT devices can operate in the 1900-1920 MHz band. </w:t>
      </w:r>
      <w:proofErr w:type="gramStart"/>
      <w:r w:rsidRPr="00040BEC">
        <w:rPr>
          <w:lang w:val="en-GB"/>
        </w:rPr>
        <w:t>However</w:t>
      </w:r>
      <w:proofErr w:type="gramEnd"/>
      <w:r w:rsidRPr="00040BEC">
        <w:rPr>
          <w:lang w:val="en-GB"/>
        </w:rPr>
        <w:t xml:space="preserve"> DECT stations with directional antenna should not use DECT channels F20 and F21.</w:t>
      </w:r>
    </w:p>
    <w:p w14:paraId="2C7284F3" w14:textId="77777777" w:rsidR="00215180" w:rsidRPr="00040BEC" w:rsidRDefault="0003307A" w:rsidP="00215180">
      <w:pPr>
        <w:spacing w:after="240"/>
        <w:jc w:val="both"/>
        <w:rPr>
          <w:lang w:val="en-GB"/>
        </w:rPr>
      </w:pPr>
      <w:r w:rsidRPr="00040BEC">
        <w:rPr>
          <w:lang w:val="en-GB"/>
        </w:rPr>
        <w:t xml:space="preserve">These considerations are also representative for other unlicensed applications such as SRDs with duty </w:t>
      </w:r>
      <w:proofErr w:type="gramStart"/>
      <w:r w:rsidRPr="00040BEC">
        <w:rPr>
          <w:lang w:val="en-GB"/>
        </w:rPr>
        <w:t xml:space="preserve">cycle </w:t>
      </w:r>
      <w:r w:rsidR="003D6081" w:rsidRPr="00040BEC">
        <w:rPr>
          <w:lang w:val="en-GB"/>
        </w:rPr>
        <w:t xml:space="preserve"> </w:t>
      </w:r>
      <w:r w:rsidR="00761D62" w:rsidRPr="00040BEC">
        <w:rPr>
          <w:lang w:val="en-GB"/>
        </w:rPr>
        <w:t>and</w:t>
      </w:r>
      <w:proofErr w:type="gramEnd"/>
      <w:r w:rsidR="00761D62" w:rsidRPr="00040BEC">
        <w:rPr>
          <w:lang w:val="en-GB"/>
        </w:rPr>
        <w:t xml:space="preserve"> indoor usage restrictions</w:t>
      </w:r>
      <w:r w:rsidRPr="00040BEC">
        <w:rPr>
          <w:lang w:val="en-GB"/>
        </w:rPr>
        <w:t>.</w:t>
      </w:r>
      <w:r w:rsidR="00761D62" w:rsidRPr="00040BEC">
        <w:rPr>
          <w:lang w:val="en-GB"/>
        </w:rPr>
        <w:t xml:space="preserve"> In addition, it has to be noted that based on the compatibility studies presented in ECC </w:t>
      </w:r>
      <w:r w:rsidR="00053D6A" w:rsidRPr="00040BEC">
        <w:rPr>
          <w:lang w:val="en-GB"/>
        </w:rPr>
        <w:t>R</w:t>
      </w:r>
      <w:r w:rsidR="00761D62" w:rsidRPr="00040BEC">
        <w:rPr>
          <w:lang w:val="en-GB"/>
        </w:rPr>
        <w:t xml:space="preserve">eport 207 for SRD operation in 863-870 MHz adjacent to MFCN UL below 862 MHz, it was concluded that some SRDs receivers </w:t>
      </w:r>
      <w:proofErr w:type="gramStart"/>
      <w:r w:rsidR="00053D6A" w:rsidRPr="00040BEC">
        <w:rPr>
          <w:lang w:val="en-GB"/>
        </w:rPr>
        <w:t>may</w:t>
      </w:r>
      <w:proofErr w:type="gramEnd"/>
      <w:r w:rsidR="00053D6A" w:rsidRPr="00040BEC">
        <w:rPr>
          <w:lang w:val="en-GB"/>
        </w:rPr>
        <w:t xml:space="preserve"> </w:t>
      </w:r>
      <w:r w:rsidR="00761D62" w:rsidRPr="00040BEC">
        <w:rPr>
          <w:lang w:val="en-GB"/>
        </w:rPr>
        <w:t>suffer interference from MFCN terminal OOB</w:t>
      </w:r>
      <w:r w:rsidR="00053D6A" w:rsidRPr="00040BEC">
        <w:rPr>
          <w:lang w:val="en-GB"/>
        </w:rPr>
        <w:t xml:space="preserve"> emission</w:t>
      </w:r>
      <w:r w:rsidR="00761D62" w:rsidRPr="00040BEC">
        <w:rPr>
          <w:lang w:val="en-GB"/>
        </w:rPr>
        <w:t xml:space="preserve"> limits. This means that new SRD application</w:t>
      </w:r>
      <w:r w:rsidR="00053D6A" w:rsidRPr="00040BEC">
        <w:rPr>
          <w:lang w:val="en-GB"/>
        </w:rPr>
        <w:t>s</w:t>
      </w:r>
      <w:r w:rsidR="00761D62" w:rsidRPr="00040BEC">
        <w:rPr>
          <w:lang w:val="en-GB"/>
        </w:rPr>
        <w:t xml:space="preserve"> in 1900-1920 MHz should adapt their specifications in order to take into account the existing spectral environment.</w:t>
      </w:r>
    </w:p>
    <w:p w14:paraId="4063289B" w14:textId="77777777" w:rsidR="008E5B81" w:rsidRPr="00040BEC" w:rsidRDefault="008E5B81" w:rsidP="003435C2">
      <w:pPr>
        <w:pStyle w:val="Heading3"/>
        <w:rPr>
          <w:lang w:val="en-GB"/>
        </w:rPr>
      </w:pPr>
      <w:r w:rsidRPr="00040BEC">
        <w:rPr>
          <w:lang w:val="en-GB"/>
        </w:rPr>
        <w:t>2010-2025 MHz</w:t>
      </w:r>
    </w:p>
    <w:p w14:paraId="6D9C230F" w14:textId="31600E6A" w:rsidR="00766EB0" w:rsidRPr="00040BEC" w:rsidRDefault="00466753" w:rsidP="004F12A1">
      <w:pPr>
        <w:spacing w:after="240"/>
        <w:jc w:val="both"/>
        <w:rPr>
          <w:lang w:val="en-GB"/>
        </w:rPr>
      </w:pPr>
      <w:r w:rsidRPr="00040BEC">
        <w:rPr>
          <w:lang w:val="en-GB"/>
        </w:rPr>
        <w:t xml:space="preserve">This band </w:t>
      </w:r>
      <w:proofErr w:type="gramStart"/>
      <w:r w:rsidRPr="00040BEC">
        <w:rPr>
          <w:lang w:val="en-GB"/>
        </w:rPr>
        <w:t>is not requested</w:t>
      </w:r>
      <w:proofErr w:type="gramEnd"/>
      <w:r w:rsidRPr="00040BEC">
        <w:rPr>
          <w:lang w:val="en-GB"/>
        </w:rPr>
        <w:t xml:space="preserve"> for operation of DECT/SRD under a general authorisation regime.</w:t>
      </w:r>
    </w:p>
    <w:p w14:paraId="19F9EA37" w14:textId="77777777" w:rsidR="00766EB0" w:rsidRPr="00040BEC" w:rsidRDefault="001F03EE" w:rsidP="00176CF0">
      <w:pPr>
        <w:pStyle w:val="Heading1"/>
      </w:pPr>
      <w:bookmarkStart w:id="71" w:name="_Ref367891521"/>
      <w:bookmarkStart w:id="72" w:name="_Ref368259053"/>
      <w:bookmarkStart w:id="73" w:name="_Toc368435961"/>
      <w:bookmarkStart w:id="74" w:name="_Toc396904006"/>
      <w:bookmarkStart w:id="75" w:name="_Toc445129323"/>
      <w:r w:rsidRPr="00040BEC">
        <w:lastRenderedPageBreak/>
        <w:t>Possibilities for co-channel and adjacent channel coexistence within the unpaired 2 GH</w:t>
      </w:r>
      <w:r w:rsidRPr="00040BEC">
        <w:rPr>
          <w:sz w:val="16"/>
        </w:rPr>
        <w:t>z</w:t>
      </w:r>
      <w:r w:rsidRPr="00040BEC">
        <w:t xml:space="preserve"> bands</w:t>
      </w:r>
      <w:bookmarkEnd w:id="54"/>
      <w:bookmarkEnd w:id="71"/>
      <w:bookmarkEnd w:id="72"/>
      <w:bookmarkEnd w:id="73"/>
      <w:bookmarkEnd w:id="74"/>
      <w:bookmarkEnd w:id="75"/>
      <w:r w:rsidR="00766EB0" w:rsidRPr="00040BEC">
        <w:t xml:space="preserve"> </w:t>
      </w:r>
      <w:bookmarkEnd w:id="55"/>
    </w:p>
    <w:p w14:paraId="239B0BE3" w14:textId="77777777" w:rsidR="00FE577B" w:rsidRPr="00040BEC" w:rsidRDefault="00766EB0" w:rsidP="00766EB0">
      <w:pPr>
        <w:pStyle w:val="ECCParagraph"/>
      </w:pPr>
      <w:r w:rsidRPr="00040BEC">
        <w:t xml:space="preserve">The sharing possibilities between </w:t>
      </w:r>
      <w:r w:rsidR="001433B5" w:rsidRPr="00040BEC">
        <w:t xml:space="preserve">the three usage </w:t>
      </w:r>
      <w:r w:rsidR="00F72E57" w:rsidRPr="00040BEC">
        <w:t>categories</w:t>
      </w:r>
      <w:r w:rsidR="001433B5" w:rsidRPr="00040BEC">
        <w:t xml:space="preserve"> as shown in </w:t>
      </w:r>
      <w:r w:rsidR="000A5980" w:rsidRPr="00040BEC">
        <w:fldChar w:fldCharType="begin"/>
      </w:r>
      <w:r w:rsidR="00240669" w:rsidRPr="00040BEC">
        <w:instrText xml:space="preserve"> REF _Ref380593639 \h </w:instrText>
      </w:r>
      <w:r w:rsidR="000A5980" w:rsidRPr="00040BEC">
        <w:fldChar w:fldCharType="separate"/>
      </w:r>
      <w:r w:rsidR="002327BB" w:rsidRPr="00040BEC">
        <w:t xml:space="preserve">Figure </w:t>
      </w:r>
      <w:r w:rsidR="002327BB">
        <w:rPr>
          <w:noProof/>
        </w:rPr>
        <w:t>13</w:t>
      </w:r>
      <w:r w:rsidR="000A5980" w:rsidRPr="00040BEC">
        <w:fldChar w:fldCharType="end"/>
      </w:r>
      <w:r w:rsidR="001433B5" w:rsidRPr="00040BEC">
        <w:t xml:space="preserve"> </w:t>
      </w:r>
      <w:proofErr w:type="gramStart"/>
      <w:r w:rsidR="00FE577B" w:rsidRPr="00040BEC">
        <w:t>have been investigated</w:t>
      </w:r>
      <w:proofErr w:type="gramEnd"/>
      <w:r w:rsidR="001433B5" w:rsidRPr="00040BEC">
        <w:t xml:space="preserve">. </w:t>
      </w:r>
      <w:r w:rsidR="00616349" w:rsidRPr="00040BEC">
        <w:t>The f</w:t>
      </w:r>
      <w:r w:rsidR="00FE577B" w:rsidRPr="00040BEC">
        <w:t xml:space="preserve">requency bands which will be designated for </w:t>
      </w:r>
      <w:r w:rsidR="001433B5" w:rsidRPr="00040BEC">
        <w:t xml:space="preserve">the DA2GC Forward Link </w:t>
      </w:r>
      <w:r w:rsidR="00240669" w:rsidRPr="00040BEC">
        <w:t xml:space="preserve">(FL) </w:t>
      </w:r>
      <w:r w:rsidR="001433B5" w:rsidRPr="00040BEC">
        <w:t xml:space="preserve">and Return Link </w:t>
      </w:r>
      <w:r w:rsidR="00240669" w:rsidRPr="00040BEC">
        <w:t xml:space="preserve">(RL) </w:t>
      </w:r>
      <w:r w:rsidR="00FE577B" w:rsidRPr="00040BEC">
        <w:t xml:space="preserve"> play a major role </w:t>
      </w:r>
      <w:r w:rsidR="001433B5" w:rsidRPr="00040BEC">
        <w:t>for the compatibility considerations with DECT / SRD and VLCC (PMSE / ad hoc PPDR</w:t>
      </w:r>
      <w:r w:rsidR="00FE577B" w:rsidRPr="00040BEC">
        <w:t xml:space="preserve"> and also impact the frequency arrangement for these applications</w:t>
      </w:r>
      <w:r w:rsidR="001433B5" w:rsidRPr="00040BEC">
        <w:t>.</w:t>
      </w:r>
    </w:p>
    <w:p w14:paraId="0E23B705" w14:textId="77777777" w:rsidR="00E2511A" w:rsidRPr="00040BEC" w:rsidRDefault="001433B5" w:rsidP="00766EB0">
      <w:pPr>
        <w:pStyle w:val="ECCParagraph"/>
      </w:pPr>
      <w:r w:rsidRPr="00040BEC">
        <w:t xml:space="preserve">The </w:t>
      </w:r>
      <w:r w:rsidR="00766EB0" w:rsidRPr="00040BEC">
        <w:t xml:space="preserve">DECT / SRD </w:t>
      </w:r>
      <w:r w:rsidR="00E2511A" w:rsidRPr="00040BEC">
        <w:t xml:space="preserve">applications are </w:t>
      </w:r>
      <w:r w:rsidR="00766EB0" w:rsidRPr="00040BEC">
        <w:t xml:space="preserve">in principle uncoordinated </w:t>
      </w:r>
      <w:r w:rsidR="00E2511A" w:rsidRPr="00040BEC">
        <w:t xml:space="preserve">and operate </w:t>
      </w:r>
      <w:r w:rsidR="00766EB0" w:rsidRPr="00040BEC">
        <w:t xml:space="preserve">under </w:t>
      </w:r>
      <w:r w:rsidR="00E2511A" w:rsidRPr="00040BEC">
        <w:t xml:space="preserve">a </w:t>
      </w:r>
      <w:r w:rsidR="00766EB0" w:rsidRPr="00040BEC">
        <w:t>general authorisation</w:t>
      </w:r>
      <w:r w:rsidR="00E2511A" w:rsidRPr="00040BEC">
        <w:t xml:space="preserve"> regime</w:t>
      </w:r>
      <w:r w:rsidR="00766EB0" w:rsidRPr="00040BEC">
        <w:t xml:space="preserve">. The nature of many </w:t>
      </w:r>
      <w:r w:rsidR="007B74D8" w:rsidRPr="00040BEC">
        <w:t xml:space="preserve">considered SRD </w:t>
      </w:r>
      <w:r w:rsidR="00766EB0" w:rsidRPr="00040BEC">
        <w:t xml:space="preserve">applications such as home/industry automation, smart metering, </w:t>
      </w:r>
      <w:proofErr w:type="gramStart"/>
      <w:r w:rsidR="00766EB0" w:rsidRPr="00040BEC">
        <w:t>sensor</w:t>
      </w:r>
      <w:proofErr w:type="gramEnd"/>
      <w:r w:rsidR="00766EB0" w:rsidRPr="00040BEC">
        <w:t xml:space="preserve"> networks </w:t>
      </w:r>
      <w:r w:rsidR="007B74D8" w:rsidRPr="00040BEC">
        <w:t xml:space="preserve">are </w:t>
      </w:r>
      <w:r w:rsidR="00766EB0" w:rsidRPr="00040BEC">
        <w:t>fixed installed devices</w:t>
      </w:r>
      <w:r w:rsidR="007B74D8" w:rsidRPr="00040BEC">
        <w:t xml:space="preserve">. Therefore, this aspect restricts de facto the considered usage scenarios and facilitates </w:t>
      </w:r>
      <w:r w:rsidR="00766EB0" w:rsidRPr="00040BEC">
        <w:t xml:space="preserve">sharing with other applications. It </w:t>
      </w:r>
      <w:proofErr w:type="gramStart"/>
      <w:r w:rsidR="00766EB0" w:rsidRPr="00040BEC">
        <w:t>should also be noted</w:t>
      </w:r>
      <w:proofErr w:type="gramEnd"/>
      <w:r w:rsidR="00766EB0" w:rsidRPr="00040BEC">
        <w:t xml:space="preserve"> that many DECT / SRD usage scenarios are based on dominant indoor usage.</w:t>
      </w:r>
    </w:p>
    <w:p w14:paraId="0B30ED19" w14:textId="7933ECE7" w:rsidR="00766EB0" w:rsidRPr="00040BEC" w:rsidRDefault="00766EB0" w:rsidP="00766EB0">
      <w:pPr>
        <w:pStyle w:val="ECCParagraph"/>
      </w:pPr>
      <w:r w:rsidRPr="00040BEC">
        <w:t>PMSE usage can be coordinated. For ad-hoc, temporary PPDR usage, the temporary occu</w:t>
      </w:r>
      <w:r w:rsidR="00936245" w:rsidRPr="00040BEC">
        <w:t>r</w:t>
      </w:r>
      <w:r w:rsidRPr="00040BEC">
        <w:t xml:space="preserve">rence of interference at a location of a mission may be acceptable up to a defined level and geographical dimension. </w:t>
      </w:r>
      <w:r w:rsidR="0075359E" w:rsidRPr="00040BEC">
        <w:t>.</w:t>
      </w:r>
    </w:p>
    <w:p w14:paraId="6F0486FC" w14:textId="77777777" w:rsidR="00766EB0" w:rsidRPr="00040BEC" w:rsidRDefault="007C40FF" w:rsidP="00766EB0">
      <w:pPr>
        <w:pStyle w:val="ECCParagraph"/>
        <w:jc w:val="center"/>
      </w:pPr>
      <w:r w:rsidRPr="00040BEC">
        <w:rPr>
          <w:noProof/>
          <w:lang w:val="da-DK" w:eastAsia="da-DK"/>
        </w:rPr>
        <w:drawing>
          <wp:inline distT="0" distB="0" distL="0" distR="0" wp14:anchorId="09B9FABB" wp14:editId="3ED4A051">
            <wp:extent cx="3633746" cy="1725433"/>
            <wp:effectExtent l="0" t="0" r="0" b="27305"/>
            <wp:docPr id="10" name="Diagram 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6" r:lo="rId27" r:qs="rId28" r:cs="rId29"/>
              </a:graphicData>
            </a:graphic>
          </wp:inline>
        </w:drawing>
      </w:r>
    </w:p>
    <w:p w14:paraId="1BBB6683" w14:textId="77777777" w:rsidR="00766EB0" w:rsidRPr="00040BEC" w:rsidRDefault="00766EB0" w:rsidP="00766EB0">
      <w:pPr>
        <w:pStyle w:val="Caption"/>
        <w:rPr>
          <w:szCs w:val="24"/>
          <w:lang w:val="en-GB"/>
        </w:rPr>
      </w:pPr>
      <w:bookmarkStart w:id="76" w:name="_Ref380593639"/>
      <w:r w:rsidRPr="00040BEC">
        <w:rPr>
          <w:lang w:val="en-GB"/>
        </w:rPr>
        <w:t xml:space="preserve">Figure </w:t>
      </w:r>
      <w:r w:rsidR="000A5980" w:rsidRPr="00040BEC">
        <w:rPr>
          <w:lang w:val="en-GB"/>
        </w:rPr>
        <w:fldChar w:fldCharType="begin"/>
      </w:r>
      <w:r w:rsidRPr="00040BEC">
        <w:rPr>
          <w:lang w:val="en-GB"/>
        </w:rPr>
        <w:instrText xml:space="preserve"> SEQ Figure \* ARABIC </w:instrText>
      </w:r>
      <w:r w:rsidR="000A5980" w:rsidRPr="00040BEC">
        <w:rPr>
          <w:lang w:val="en-GB"/>
        </w:rPr>
        <w:fldChar w:fldCharType="separate"/>
      </w:r>
      <w:r w:rsidR="002327BB">
        <w:rPr>
          <w:noProof/>
          <w:lang w:val="en-GB"/>
        </w:rPr>
        <w:t>13</w:t>
      </w:r>
      <w:r w:rsidR="000A5980" w:rsidRPr="00040BEC">
        <w:rPr>
          <w:lang w:val="en-GB"/>
        </w:rPr>
        <w:fldChar w:fldCharType="end"/>
      </w:r>
      <w:bookmarkEnd w:id="76"/>
      <w:r w:rsidRPr="00040BEC">
        <w:rPr>
          <w:lang w:val="en-GB"/>
        </w:rPr>
        <w:t xml:space="preserve">: </w:t>
      </w:r>
      <w:r w:rsidRPr="00040BEC">
        <w:rPr>
          <w:szCs w:val="24"/>
          <w:lang w:val="en-GB"/>
        </w:rPr>
        <w:t>Sharing possibilities</w:t>
      </w:r>
    </w:p>
    <w:p w14:paraId="7F5877E4" w14:textId="77777777" w:rsidR="00766EB0" w:rsidRPr="00040BEC" w:rsidRDefault="00766EB0" w:rsidP="00766EB0">
      <w:pPr>
        <w:pStyle w:val="ECCParagraph"/>
      </w:pPr>
    </w:p>
    <w:p w14:paraId="7FFC70E4" w14:textId="611DE6BB" w:rsidR="004552BC" w:rsidRPr="00040BEC" w:rsidRDefault="00936245" w:rsidP="003C1379">
      <w:pPr>
        <w:pStyle w:val="ECCParagraph"/>
      </w:pPr>
      <w:r w:rsidRPr="00040BEC">
        <w:t xml:space="preserve">The </w:t>
      </w:r>
      <w:r w:rsidR="001433B5" w:rsidRPr="00040BEC">
        <w:t xml:space="preserve">three </w:t>
      </w:r>
      <w:r w:rsidRPr="00040BEC">
        <w:t xml:space="preserve">usage </w:t>
      </w:r>
      <w:r w:rsidR="00F72E57" w:rsidRPr="00040BEC">
        <w:t>categories</w:t>
      </w:r>
      <w:r w:rsidRPr="00040BEC">
        <w:t xml:space="preserve"> indicated in </w:t>
      </w:r>
      <w:r w:rsidR="00531617" w:rsidRPr="00040BEC">
        <w:fldChar w:fldCharType="begin"/>
      </w:r>
      <w:r w:rsidR="00531617" w:rsidRPr="00040BEC">
        <w:instrText xml:space="preserve"> REF _Ref380593639 \h  \* MERGEFORMAT </w:instrText>
      </w:r>
      <w:r w:rsidR="00531617" w:rsidRPr="00040BEC">
        <w:fldChar w:fldCharType="separate"/>
      </w:r>
      <w:r w:rsidR="002327BB" w:rsidRPr="00040BEC">
        <w:t xml:space="preserve">Figure </w:t>
      </w:r>
      <w:r w:rsidR="002327BB">
        <w:t>13</w:t>
      </w:r>
      <w:r w:rsidR="00531617" w:rsidRPr="00040BEC">
        <w:fldChar w:fldCharType="end"/>
      </w:r>
      <w:r w:rsidRPr="00040BEC">
        <w:t xml:space="preserve"> </w:t>
      </w:r>
      <w:proofErr w:type="gramStart"/>
      <w:r w:rsidR="00056AEB" w:rsidRPr="00040BEC">
        <w:t xml:space="preserve">could in theory </w:t>
      </w:r>
      <w:r w:rsidR="002C7178" w:rsidRPr="00040BEC">
        <w:t>be combined</w:t>
      </w:r>
      <w:proofErr w:type="gramEnd"/>
      <w:r w:rsidR="002C7178" w:rsidRPr="00040BEC">
        <w:t xml:space="preserve"> </w:t>
      </w:r>
      <w:r w:rsidR="00056AEB" w:rsidRPr="00040BEC">
        <w:t>in various ways</w:t>
      </w:r>
      <w:r w:rsidR="002C7178" w:rsidRPr="00040BEC">
        <w:t xml:space="preserve"> resulting in a considerable number of options to be </w:t>
      </w:r>
      <w:r w:rsidR="00056AEB" w:rsidRPr="00040BEC">
        <w:t xml:space="preserve">studied. </w:t>
      </w:r>
      <w:proofErr w:type="gramStart"/>
      <w:r w:rsidR="00056AEB" w:rsidRPr="00040BEC">
        <w:t>D</w:t>
      </w:r>
      <w:r w:rsidR="002C7178" w:rsidRPr="00040BEC">
        <w:t>ue to the high level of complexity</w:t>
      </w:r>
      <w:r w:rsidR="00056AEB" w:rsidRPr="00040BEC">
        <w:t xml:space="preserve">, and even the </w:t>
      </w:r>
      <w:r w:rsidR="00616349" w:rsidRPr="00040BEC">
        <w:t xml:space="preserve">lack of </w:t>
      </w:r>
      <w:r w:rsidR="00056AEB" w:rsidRPr="00040BEC">
        <w:t xml:space="preserve">feasibility, </w:t>
      </w:r>
      <w:r w:rsidR="002C7178" w:rsidRPr="00040BEC">
        <w:t>of some of th</w:t>
      </w:r>
      <w:r w:rsidR="00056AEB" w:rsidRPr="00040BEC">
        <w:t>ose</w:t>
      </w:r>
      <w:r w:rsidR="002C7178" w:rsidRPr="00040BEC">
        <w:t xml:space="preserve"> options, </w:t>
      </w:r>
      <w:r w:rsidR="00056AEB" w:rsidRPr="00040BEC">
        <w:t xml:space="preserve">which could </w:t>
      </w:r>
      <w:r w:rsidR="002C7178" w:rsidRPr="00040BEC">
        <w:t>jeopardise the possibility to draw practical conclusions in this Report within the timeframe of the EC Mandate</w:t>
      </w:r>
      <w:r w:rsidR="00056AEB" w:rsidRPr="00040BEC">
        <w:t xml:space="preserve">, </w:t>
      </w:r>
      <w:r w:rsidR="0076056E" w:rsidRPr="00040BEC">
        <w:t>it was</w:t>
      </w:r>
      <w:r w:rsidR="004552BC" w:rsidRPr="00040BEC">
        <w:t xml:space="preserve"> decided to </w:t>
      </w:r>
      <w:r w:rsidR="00D1726C" w:rsidRPr="00040BEC">
        <w:t xml:space="preserve">restrict the </w:t>
      </w:r>
      <w:r w:rsidR="004552BC" w:rsidRPr="00040BEC">
        <w:t xml:space="preserve">study </w:t>
      </w:r>
      <w:r w:rsidR="00D1726C" w:rsidRPr="00040BEC">
        <w:t xml:space="preserve">to </w:t>
      </w:r>
      <w:r w:rsidR="003C1379" w:rsidRPr="00040BEC">
        <w:t xml:space="preserve">the two </w:t>
      </w:r>
      <w:r w:rsidR="00D1726C" w:rsidRPr="00040BEC">
        <w:t xml:space="preserve">pragmatic </w:t>
      </w:r>
      <w:r w:rsidR="003C1379" w:rsidRPr="00040BEC">
        <w:t>scenarios presented in</w:t>
      </w:r>
      <w:r w:rsidR="00A33F8E" w:rsidRPr="00040BEC">
        <w:t xml:space="preserve"> </w:t>
      </w:r>
      <w:r w:rsidR="00190B71" w:rsidRPr="00040BEC">
        <w:fldChar w:fldCharType="begin"/>
      </w:r>
      <w:r w:rsidR="00190B71" w:rsidRPr="00040BEC">
        <w:instrText xml:space="preserve"> REF _Ref412119970 \h </w:instrText>
      </w:r>
      <w:r w:rsidR="00190B71" w:rsidRPr="00040BEC">
        <w:fldChar w:fldCharType="separate"/>
      </w:r>
      <w:r w:rsidR="002327BB" w:rsidRPr="00040BEC">
        <w:t xml:space="preserve">Figure </w:t>
      </w:r>
      <w:r w:rsidR="002327BB">
        <w:rPr>
          <w:noProof/>
        </w:rPr>
        <w:t>14</w:t>
      </w:r>
      <w:r w:rsidR="00190B71" w:rsidRPr="00040BEC">
        <w:fldChar w:fldCharType="end"/>
      </w:r>
      <w:r w:rsidR="00190B71" w:rsidRPr="00040BEC">
        <w:t xml:space="preserve"> </w:t>
      </w:r>
      <w:r w:rsidR="0021132E" w:rsidRPr="00040BEC">
        <w:t xml:space="preserve">to </w:t>
      </w:r>
      <w:r w:rsidR="00190B71" w:rsidRPr="00040BEC">
        <w:fldChar w:fldCharType="begin"/>
      </w:r>
      <w:r w:rsidR="00190B71" w:rsidRPr="00040BEC">
        <w:instrText xml:space="preserve"> REF _Ref412119987 \h </w:instrText>
      </w:r>
      <w:r w:rsidR="00190B71" w:rsidRPr="00040BEC">
        <w:fldChar w:fldCharType="separate"/>
      </w:r>
      <w:r w:rsidR="002327BB" w:rsidRPr="00040BEC">
        <w:t xml:space="preserve">Figure </w:t>
      </w:r>
      <w:r w:rsidR="002327BB">
        <w:rPr>
          <w:noProof/>
        </w:rPr>
        <w:t>17</w:t>
      </w:r>
      <w:r w:rsidR="00190B71" w:rsidRPr="00040BEC">
        <w:fldChar w:fldCharType="end"/>
      </w:r>
      <w:r w:rsidR="00D1726C" w:rsidRPr="00040BEC">
        <w:t xml:space="preserve"> in order to </w:t>
      </w:r>
      <w:r w:rsidR="003C1379" w:rsidRPr="00040BEC">
        <w:t>facilitate</w:t>
      </w:r>
      <w:r w:rsidR="004552BC" w:rsidRPr="00040BEC">
        <w:t xml:space="preserve"> the completion of </w:t>
      </w:r>
      <w:r w:rsidR="004663AC" w:rsidRPr="00040BEC">
        <w:t>the CEPT</w:t>
      </w:r>
      <w:r w:rsidR="004552BC" w:rsidRPr="00040BEC">
        <w:t xml:space="preserve"> response in the given schedule of the Mandate.</w:t>
      </w:r>
      <w:proofErr w:type="gramEnd"/>
    </w:p>
    <w:p w14:paraId="1283DFD4" w14:textId="77777777" w:rsidR="00581179" w:rsidRPr="00040BEC" w:rsidRDefault="00581179" w:rsidP="00581179">
      <w:pPr>
        <w:pStyle w:val="ECCParagraph"/>
      </w:pPr>
      <w:r w:rsidRPr="00040BEC">
        <w:t>The</w:t>
      </w:r>
      <w:r w:rsidR="00D1726C" w:rsidRPr="00040BEC">
        <w:t>se</w:t>
      </w:r>
      <w:r w:rsidRPr="00040BEC">
        <w:t xml:space="preserve"> two scenarios </w:t>
      </w:r>
      <w:r w:rsidR="00D1726C" w:rsidRPr="00040BEC">
        <w:t xml:space="preserve">reflect </w:t>
      </w:r>
      <w:r w:rsidRPr="00040BEC">
        <w:t xml:space="preserve">preferences arising from the contributions to the Call for Inputs (details to </w:t>
      </w:r>
      <w:proofErr w:type="gramStart"/>
      <w:r w:rsidRPr="00040BEC">
        <w:t>be found</w:t>
      </w:r>
      <w:proofErr w:type="gramEnd"/>
      <w:r w:rsidRPr="00040BEC">
        <w:t xml:space="preserve"> in </w:t>
      </w:r>
      <w:r w:rsidR="00531617" w:rsidRPr="00040BEC">
        <w:fldChar w:fldCharType="begin"/>
      </w:r>
      <w:r w:rsidR="00531617" w:rsidRPr="00040BEC">
        <w:instrText xml:space="preserve"> REF _Ref380595956 \r \h  \* MERGEFORMAT </w:instrText>
      </w:r>
      <w:r w:rsidR="00531617" w:rsidRPr="00040BEC">
        <w:fldChar w:fldCharType="separate"/>
      </w:r>
      <w:r w:rsidR="002327BB">
        <w:t>ANNEX 2:</w:t>
      </w:r>
      <w:r w:rsidR="00531617" w:rsidRPr="00040BEC">
        <w:fldChar w:fldCharType="end"/>
      </w:r>
      <w:r w:rsidRPr="00040BEC">
        <w:t>)</w:t>
      </w:r>
      <w:r w:rsidR="0076056E" w:rsidRPr="00040BEC">
        <w:t>.</w:t>
      </w:r>
    </w:p>
    <w:p w14:paraId="682E8B60" w14:textId="77777777" w:rsidR="00100662" w:rsidRPr="00040BEC" w:rsidRDefault="00D1726C" w:rsidP="002104CC">
      <w:pPr>
        <w:pStyle w:val="Heading2"/>
        <w:rPr>
          <w:b w:val="0"/>
          <w:lang w:val="en-GB"/>
        </w:rPr>
      </w:pPr>
      <w:bookmarkStart w:id="77" w:name="_Toc445129324"/>
      <w:r w:rsidRPr="00040BEC">
        <w:rPr>
          <w:lang w:val="en-GB"/>
        </w:rPr>
        <w:t>Introduction of the two investigated scenarios</w:t>
      </w:r>
      <w:bookmarkEnd w:id="77"/>
    </w:p>
    <w:p w14:paraId="5CA5C707" w14:textId="58144D4E" w:rsidR="00AF7721" w:rsidRPr="00040BEC" w:rsidRDefault="00AF7721" w:rsidP="00BE115C">
      <w:pPr>
        <w:pStyle w:val="ECCParagraph"/>
        <w:numPr>
          <w:ilvl w:val="0"/>
          <w:numId w:val="40"/>
        </w:numPr>
      </w:pPr>
      <w:r w:rsidRPr="00040BEC">
        <w:t xml:space="preserve">Concerning </w:t>
      </w:r>
      <w:r w:rsidR="00C36960" w:rsidRPr="00040BEC">
        <w:t xml:space="preserve">Broadband </w:t>
      </w:r>
      <w:r w:rsidRPr="00040BEC">
        <w:t xml:space="preserve">DA2GC, the following three options, which are based on the system </w:t>
      </w:r>
      <w:r w:rsidR="00F666A8" w:rsidRPr="00040BEC">
        <w:t>description</w:t>
      </w:r>
      <w:r w:rsidR="001A542A" w:rsidRPr="00040BEC">
        <w:t>s</w:t>
      </w:r>
      <w:r w:rsidR="00F666A8" w:rsidRPr="00040BEC">
        <w:t xml:space="preserve"> included in the three </w:t>
      </w:r>
      <w:r w:rsidRPr="00040BEC">
        <w:t xml:space="preserve">ETSI System Reference Documents </w:t>
      </w:r>
      <w:r w:rsidR="00F666A8" w:rsidRPr="00040BEC">
        <w:t>mentioned hereafter</w:t>
      </w:r>
      <w:r w:rsidRPr="00040BEC">
        <w:t xml:space="preserve">, </w:t>
      </w:r>
      <w:r w:rsidR="0075359E" w:rsidRPr="00040BEC">
        <w:t>w</w:t>
      </w:r>
      <w:r w:rsidR="00AA2625" w:rsidRPr="00040BEC">
        <w:t>ere</w:t>
      </w:r>
      <w:r w:rsidR="0075359E" w:rsidRPr="00040BEC">
        <w:t xml:space="preserve"> considered as </w:t>
      </w:r>
      <w:r w:rsidR="00AA2625" w:rsidRPr="00040BEC">
        <w:t xml:space="preserve">the </w:t>
      </w:r>
      <w:r w:rsidR="0075359E" w:rsidRPr="00040BEC">
        <w:t>preferred ones</w:t>
      </w:r>
      <w:r w:rsidRPr="00040BEC">
        <w:t>, as a result of the compatibility studies between Broadband DA2GC and existing services adjacent to the unpaired 2 GHz bands</w:t>
      </w:r>
      <w:r w:rsidR="00F666A8" w:rsidRPr="00040BEC">
        <w:t xml:space="preserve"> (see ECC Report 209 </w:t>
      </w:r>
      <w:r w:rsidR="000A5980" w:rsidRPr="00040BEC">
        <w:fldChar w:fldCharType="begin"/>
      </w:r>
      <w:r w:rsidR="00F666A8" w:rsidRPr="00040BEC">
        <w:instrText xml:space="preserve"> REF _Ref365920775 \r \h </w:instrText>
      </w:r>
      <w:r w:rsidR="000A5980" w:rsidRPr="00040BEC">
        <w:fldChar w:fldCharType="separate"/>
      </w:r>
      <w:r w:rsidR="002327BB">
        <w:t>[27]</w:t>
      </w:r>
      <w:r w:rsidR="000A5980" w:rsidRPr="00040BEC">
        <w:fldChar w:fldCharType="end"/>
      </w:r>
      <w:r w:rsidR="00F666A8" w:rsidRPr="00040BEC">
        <w:t xml:space="preserve"> and ECC Report 214 </w:t>
      </w:r>
      <w:r w:rsidR="000A5980" w:rsidRPr="00040BEC">
        <w:fldChar w:fldCharType="begin"/>
      </w:r>
      <w:r w:rsidR="00F666A8" w:rsidRPr="00040BEC">
        <w:instrText xml:space="preserve"> REF _Ref365920771 \r \h </w:instrText>
      </w:r>
      <w:r w:rsidR="000A5980" w:rsidRPr="00040BEC">
        <w:fldChar w:fldCharType="separate"/>
      </w:r>
      <w:r w:rsidR="002327BB">
        <w:t>[26]</w:t>
      </w:r>
      <w:r w:rsidR="000A5980" w:rsidRPr="00040BEC">
        <w:fldChar w:fldCharType="end"/>
      </w:r>
      <w:r w:rsidR="00F666A8" w:rsidRPr="00040BEC">
        <w:t xml:space="preserve">) </w:t>
      </w:r>
      <w:r w:rsidRPr="00040BEC">
        <w:t>:</w:t>
      </w:r>
    </w:p>
    <w:p w14:paraId="5ED1399F" w14:textId="77777777" w:rsidR="002E2EEF" w:rsidRPr="00040BEC" w:rsidRDefault="002E2EEF" w:rsidP="00BE115C">
      <w:pPr>
        <w:pStyle w:val="ECCParagraph"/>
        <w:numPr>
          <w:ilvl w:val="0"/>
          <w:numId w:val="53"/>
        </w:numPr>
        <w:jc w:val="left"/>
      </w:pPr>
      <w:r w:rsidRPr="00040BEC">
        <w:t xml:space="preserve">For the FDD system described in ETSI TR 103 054 </w:t>
      </w:r>
      <w:r w:rsidR="000A5980" w:rsidRPr="00040BEC">
        <w:fldChar w:fldCharType="begin"/>
      </w:r>
      <w:r w:rsidRPr="00040BEC">
        <w:instrText xml:space="preserve"> REF _Ref388513496 \r \h </w:instrText>
      </w:r>
      <w:r w:rsidR="000A5980" w:rsidRPr="00040BEC">
        <w:fldChar w:fldCharType="separate"/>
      </w:r>
      <w:r w:rsidR="002327BB">
        <w:t>[31]</w:t>
      </w:r>
      <w:r w:rsidR="000A5980" w:rsidRPr="00040BEC">
        <w:fldChar w:fldCharType="end"/>
      </w:r>
      <w:r w:rsidRPr="00040BEC">
        <w:t>, the identified frequency arrangement could be between 1900 and 1910 MHz for the forward link and between 2010 and 2020 MHz for the reverse link;</w:t>
      </w:r>
    </w:p>
    <w:p w14:paraId="1B9C800D" w14:textId="77777777" w:rsidR="002E2EEF" w:rsidRPr="00040BEC" w:rsidRDefault="002E2EEF" w:rsidP="00BE115C">
      <w:pPr>
        <w:pStyle w:val="ECCParagraph"/>
        <w:numPr>
          <w:ilvl w:val="0"/>
          <w:numId w:val="53"/>
        </w:numPr>
        <w:jc w:val="left"/>
      </w:pPr>
      <w:r w:rsidRPr="00040BEC">
        <w:t xml:space="preserve">For the two TDD systems described in ETSI TR 101 599 </w:t>
      </w:r>
      <w:r w:rsidR="000A5980" w:rsidRPr="00040BEC">
        <w:fldChar w:fldCharType="begin"/>
      </w:r>
      <w:r w:rsidRPr="00040BEC">
        <w:instrText xml:space="preserve"> REF _Ref388513504 \r \h </w:instrText>
      </w:r>
      <w:r w:rsidR="000A5980" w:rsidRPr="00040BEC">
        <w:fldChar w:fldCharType="separate"/>
      </w:r>
      <w:r w:rsidR="002327BB">
        <w:t>[32]</w:t>
      </w:r>
      <w:r w:rsidR="000A5980" w:rsidRPr="00040BEC">
        <w:fldChar w:fldCharType="end"/>
      </w:r>
      <w:r w:rsidRPr="00040BEC">
        <w:t xml:space="preserve"> and in ETSI TR 103 108 </w:t>
      </w:r>
      <w:r w:rsidR="000A5980" w:rsidRPr="00040BEC">
        <w:fldChar w:fldCharType="begin"/>
      </w:r>
      <w:r w:rsidRPr="00040BEC">
        <w:instrText xml:space="preserve"> REF _Ref388513513 \r \h </w:instrText>
      </w:r>
      <w:r w:rsidR="000A5980" w:rsidRPr="00040BEC">
        <w:fldChar w:fldCharType="separate"/>
      </w:r>
      <w:r w:rsidR="002327BB">
        <w:t>[33]</w:t>
      </w:r>
      <w:r w:rsidR="000A5980" w:rsidRPr="00040BEC">
        <w:fldChar w:fldCharType="end"/>
      </w:r>
      <w:r w:rsidRPr="00040BEC">
        <w:t xml:space="preserve">, the identified frequency band could be between 1900 and 1920 </w:t>
      </w:r>
      <w:proofErr w:type="spellStart"/>
      <w:r w:rsidRPr="00040BEC">
        <w:t>MHz</w:t>
      </w:r>
      <w:r w:rsidR="001A542A" w:rsidRPr="00040BEC">
        <w:t>.</w:t>
      </w:r>
      <w:proofErr w:type="spellEnd"/>
    </w:p>
    <w:p w14:paraId="5DE92CCA" w14:textId="77777777" w:rsidR="002E2EEF" w:rsidRPr="00040BEC" w:rsidRDefault="002E2EEF" w:rsidP="002E2EEF">
      <w:pPr>
        <w:pStyle w:val="ECCParagraph"/>
        <w:ind w:left="720"/>
      </w:pPr>
      <w:r w:rsidRPr="00040BEC">
        <w:lastRenderedPageBreak/>
        <w:t xml:space="preserve">It </w:t>
      </w:r>
      <w:proofErr w:type="gramStart"/>
      <w:r w:rsidRPr="00040BEC">
        <w:t>should be noted</w:t>
      </w:r>
      <w:proofErr w:type="gramEnd"/>
      <w:r w:rsidRPr="00040BEC">
        <w:t xml:space="preserve"> that these two options constitute the basis for the two investigated scenarios and therefore, these two options imply two different frequency arrangements.</w:t>
      </w:r>
    </w:p>
    <w:p w14:paraId="556838D1" w14:textId="77777777" w:rsidR="005473D1" w:rsidRPr="00040BEC" w:rsidRDefault="00775749" w:rsidP="00BE115C">
      <w:pPr>
        <w:pStyle w:val="ECCParagraph"/>
        <w:numPr>
          <w:ilvl w:val="0"/>
          <w:numId w:val="41"/>
        </w:numPr>
      </w:pPr>
      <w:r w:rsidRPr="00040BEC">
        <w:t xml:space="preserve">With regard to </w:t>
      </w:r>
      <w:r w:rsidR="00774B89" w:rsidRPr="00040BEC">
        <w:t xml:space="preserve">PMSE </w:t>
      </w:r>
      <w:r w:rsidRPr="00040BEC">
        <w:t xml:space="preserve">applications, scenario 1 </w:t>
      </w:r>
      <w:r w:rsidR="001A542A" w:rsidRPr="00040BEC">
        <w:t>suggests</w:t>
      </w:r>
      <w:r w:rsidRPr="00040BEC">
        <w:t xml:space="preserve"> the opportunity to operate in the entire two bands (1900-1920 MHz / 2010-2025 MHz). </w:t>
      </w:r>
      <w:r w:rsidR="001A542A" w:rsidRPr="00040BEC">
        <w:t xml:space="preserve">However, </w:t>
      </w:r>
      <w:r w:rsidR="00EE599D" w:rsidRPr="00040BEC">
        <w:t xml:space="preserve">VLCC applications cannot share </w:t>
      </w:r>
      <w:r w:rsidR="00812521" w:rsidRPr="00040BEC">
        <w:t xml:space="preserve">in 2010-2025 MHz with the reverse link of FDD DA2GC system </w:t>
      </w:r>
      <w:r w:rsidR="00EE599D" w:rsidRPr="00040BEC">
        <w:t xml:space="preserve">according to ECC Report 220. On the other </w:t>
      </w:r>
      <w:r w:rsidR="00812521" w:rsidRPr="00040BEC">
        <w:t>hand</w:t>
      </w:r>
      <w:r w:rsidR="00EE599D" w:rsidRPr="00040BEC">
        <w:t>,</w:t>
      </w:r>
      <w:r w:rsidR="00774B89" w:rsidRPr="00040BEC">
        <w:t xml:space="preserve"> </w:t>
      </w:r>
      <w:r w:rsidR="001A542A" w:rsidRPr="00040BEC">
        <w:t>a</w:t>
      </w:r>
      <w:r w:rsidR="00774B89" w:rsidRPr="00040BEC">
        <w:t>udio PMSE application</w:t>
      </w:r>
      <w:r w:rsidR="00EE599D" w:rsidRPr="00040BEC">
        <w:t>s</w:t>
      </w:r>
      <w:r w:rsidR="00774B89" w:rsidRPr="00040BEC">
        <w:t xml:space="preserve"> can share in 2010-2025 MHz with the reverse link of FDD DA2GC system with appropriate mitigation techniques. Furthermore</w:t>
      </w:r>
      <w:r w:rsidRPr="00040BEC">
        <w:t>, some operational restriction</w:t>
      </w:r>
      <w:r w:rsidR="005473D1" w:rsidRPr="00040BEC">
        <w:t>s</w:t>
      </w:r>
      <w:r w:rsidRPr="00040BEC">
        <w:t xml:space="preserve"> are required in order to ensure full compatibility with</w:t>
      </w:r>
      <w:r w:rsidR="00DE7FC2" w:rsidRPr="00040BEC">
        <w:t xml:space="preserve"> the </w:t>
      </w:r>
      <w:r w:rsidRPr="00040BEC">
        <w:t>other candidate application</w:t>
      </w:r>
      <w:r w:rsidR="00DE7FC2" w:rsidRPr="00040BEC">
        <w:t>s</w:t>
      </w:r>
      <w:r w:rsidRPr="00040BEC">
        <w:t xml:space="preserve"> (see section 6). </w:t>
      </w:r>
      <w:r w:rsidR="00DE7FC2" w:rsidRPr="00040BEC">
        <w:t>In addition,</w:t>
      </w:r>
      <w:r w:rsidR="00AF7721" w:rsidRPr="00040BEC">
        <w:t xml:space="preserve"> </w:t>
      </w:r>
      <w:r w:rsidR="001433B5" w:rsidRPr="00040BEC">
        <w:t xml:space="preserve">PMSE proponents responding to the Call for Inputs indicated that they do not consider that unlicensed applications such as DECT / SRD can co-exist with PMSE. Usage of these generally unlicensed devices (DECT / SRD) in the same band, where essentially professional services (PMSE) </w:t>
      </w:r>
      <w:proofErr w:type="gramStart"/>
      <w:r w:rsidR="001433B5" w:rsidRPr="00040BEC">
        <w:t>are being deployed</w:t>
      </w:r>
      <w:proofErr w:type="gramEnd"/>
      <w:r w:rsidR="001433B5" w:rsidRPr="00040BEC">
        <w:t xml:space="preserve">, is considered undesirable/detrimental with regard to the </w:t>
      </w:r>
      <w:proofErr w:type="spellStart"/>
      <w:r w:rsidR="001433B5" w:rsidRPr="00040BEC">
        <w:t>QoS</w:t>
      </w:r>
      <w:proofErr w:type="spellEnd"/>
      <w:r w:rsidR="001433B5" w:rsidRPr="00040BEC">
        <w:t xml:space="preserve"> requirements of users of cordless cameras and other video links. This notion </w:t>
      </w:r>
      <w:proofErr w:type="gramStart"/>
      <w:r w:rsidR="001433B5" w:rsidRPr="00040BEC">
        <w:t>has also been provided</w:t>
      </w:r>
      <w:proofErr w:type="gramEnd"/>
      <w:r w:rsidR="001433B5" w:rsidRPr="00040BEC">
        <w:t xml:space="preserve"> by the one response from a PPDR solutions provider. </w:t>
      </w:r>
      <w:r w:rsidR="00DE7FC2" w:rsidRPr="00040BEC">
        <w:t>Nevertheless</w:t>
      </w:r>
      <w:r w:rsidR="001433B5" w:rsidRPr="00040BEC">
        <w:t xml:space="preserve">, </w:t>
      </w:r>
      <w:r w:rsidR="00DE7FC2" w:rsidRPr="00040BEC">
        <w:t xml:space="preserve">due to the following </w:t>
      </w:r>
      <w:r w:rsidR="005473D1" w:rsidRPr="00040BEC">
        <w:t xml:space="preserve">reasons, scenario 1 </w:t>
      </w:r>
      <w:r w:rsidR="00EE599D" w:rsidRPr="00040BEC">
        <w:t>considers</w:t>
      </w:r>
      <w:r w:rsidR="005473D1" w:rsidRPr="00040BEC">
        <w:t xml:space="preserve"> </w:t>
      </w:r>
      <w:r w:rsidR="00EE599D" w:rsidRPr="00040BEC">
        <w:t xml:space="preserve">the </w:t>
      </w:r>
      <w:r w:rsidR="005473D1" w:rsidRPr="00040BEC">
        <w:t>introduc</w:t>
      </w:r>
      <w:r w:rsidR="00EE599D" w:rsidRPr="00040BEC">
        <w:t>tion of</w:t>
      </w:r>
      <w:r w:rsidR="005473D1" w:rsidRPr="00040BEC">
        <w:t xml:space="preserve"> VLCC and DECT / SRD </w:t>
      </w:r>
      <w:r w:rsidR="00317112" w:rsidRPr="00040BEC">
        <w:t xml:space="preserve">in </w:t>
      </w:r>
      <w:r w:rsidR="005473D1" w:rsidRPr="00040BEC">
        <w:t>the band 1900-1920 MHz :</w:t>
      </w:r>
    </w:p>
    <w:p w14:paraId="1A58984C" w14:textId="77777777" w:rsidR="00317112" w:rsidRPr="00040BEC" w:rsidRDefault="00317112" w:rsidP="00BE115C">
      <w:pPr>
        <w:pStyle w:val="ECCParagraph"/>
        <w:numPr>
          <w:ilvl w:val="0"/>
          <w:numId w:val="54"/>
        </w:numPr>
      </w:pPr>
      <w:r w:rsidRPr="00040BEC">
        <w:t>it is not foreseen to have co-located frequency use of the two usage categories VLCC and DECT / SRD;</w:t>
      </w:r>
    </w:p>
    <w:p w14:paraId="53D76470" w14:textId="77777777" w:rsidR="00317112" w:rsidRPr="00040BEC" w:rsidRDefault="00317112" w:rsidP="00BE115C">
      <w:pPr>
        <w:pStyle w:val="ECCParagraph"/>
        <w:numPr>
          <w:ilvl w:val="0"/>
          <w:numId w:val="54"/>
        </w:numPr>
      </w:pPr>
      <w:proofErr w:type="gramStart"/>
      <w:r w:rsidRPr="00040BEC">
        <w:t>there</w:t>
      </w:r>
      <w:proofErr w:type="gramEnd"/>
      <w:r w:rsidRPr="00040BEC">
        <w:t xml:space="preserve"> </w:t>
      </w:r>
      <w:r w:rsidR="00EE599D" w:rsidRPr="00040BEC">
        <w:t>are</w:t>
      </w:r>
      <w:r w:rsidRPr="00040BEC">
        <w:t xml:space="preserve"> some existing situations where VLCC and SRD co-exist (e</w:t>
      </w:r>
      <w:r w:rsidR="001A542A" w:rsidRPr="00040BEC">
        <w:t>.</w:t>
      </w:r>
      <w:r w:rsidRPr="00040BEC">
        <w:t>g. 2.4 GHz)</w:t>
      </w:r>
      <w:r w:rsidR="001A542A" w:rsidRPr="00040BEC">
        <w:t>.</w:t>
      </w:r>
    </w:p>
    <w:p w14:paraId="09350BCF" w14:textId="77777777" w:rsidR="001A542A" w:rsidRPr="00040BEC" w:rsidRDefault="003D6081" w:rsidP="001A542A">
      <w:pPr>
        <w:pStyle w:val="ECCParagraph"/>
        <w:ind w:left="720"/>
      </w:pPr>
      <w:proofErr w:type="gramStart"/>
      <w:r w:rsidRPr="00040BEC">
        <w:t>The usage of the 1900-1920 MHz band for VLCC applications is not the preferred solution due to the fact that this band falls outside the tuning range of current PMSE equipment thus necessitating costs for the development or modification of equipment to tune to one or possibly two channels, with the likelihood of restrictions in availability to provide sharing with DA2GC.</w:t>
      </w:r>
      <w:proofErr w:type="gramEnd"/>
    </w:p>
    <w:p w14:paraId="5312C5FC" w14:textId="77777777" w:rsidR="00317112" w:rsidRPr="00040BEC" w:rsidRDefault="00812521" w:rsidP="00317112">
      <w:pPr>
        <w:pStyle w:val="ECCParagraph"/>
        <w:ind w:left="720"/>
      </w:pPr>
      <w:r w:rsidRPr="00040BEC">
        <w:t>S</w:t>
      </w:r>
      <w:r w:rsidR="00317112" w:rsidRPr="00040BEC">
        <w:t>cenario 2 offers the opportunity to VLCC to operate in the frequency band 2010-2025 MHz under the least restrictive operational conditions.</w:t>
      </w:r>
      <w:r w:rsidRPr="00040BEC">
        <w:t xml:space="preserve"> </w:t>
      </w:r>
    </w:p>
    <w:p w14:paraId="124240D2" w14:textId="77777777" w:rsidR="001433B5" w:rsidRPr="00040BEC" w:rsidRDefault="001433B5" w:rsidP="00BE115C">
      <w:pPr>
        <w:pStyle w:val="ECCParagraph"/>
        <w:numPr>
          <w:ilvl w:val="0"/>
          <w:numId w:val="41"/>
        </w:numPr>
      </w:pPr>
      <w:r w:rsidRPr="00040BEC">
        <w:t xml:space="preserve">So far, the PPDR stakeholders have not participated in the discussions of the unpaired 2 GHz bands and showed little interest in accommodating ad-hoc PPDR applications in the unpaired bands; however, as long as similar technologies are assumed for PMSE and ad-hoc PPDR , the VLCC usage </w:t>
      </w:r>
      <w:r w:rsidR="00DD7F0E" w:rsidRPr="00040BEC">
        <w:t xml:space="preserve">category </w:t>
      </w:r>
      <w:r w:rsidRPr="00040BEC">
        <w:t>permits ad-hoc PPDR use when limited to cordless cameras, mobile and portable video links;</w:t>
      </w:r>
    </w:p>
    <w:p w14:paraId="12BD7DD3" w14:textId="19635B22" w:rsidR="00AF7721" w:rsidRPr="00040BEC" w:rsidRDefault="001433B5" w:rsidP="00BE115C">
      <w:pPr>
        <w:pStyle w:val="ECCParagraph"/>
        <w:numPr>
          <w:ilvl w:val="0"/>
          <w:numId w:val="41"/>
        </w:numPr>
      </w:pPr>
      <w:r w:rsidRPr="00040BEC">
        <w:t>No allocations are required for SRD to operate in a specific frequency band (SRDs typically operate on a non-interference and non-protection basis). A</w:t>
      </w:r>
      <w:r w:rsidR="00483946" w:rsidRPr="00040BEC">
        <w:t>n</w:t>
      </w:r>
      <w:r w:rsidRPr="00040BEC">
        <w:t xml:space="preserve"> </w:t>
      </w:r>
      <w:r w:rsidR="00483946" w:rsidRPr="00040BEC">
        <w:t>upcoming</w:t>
      </w:r>
      <w:r w:rsidRPr="00040BEC">
        <w:t xml:space="preserve"> request from industry </w:t>
      </w:r>
      <w:proofErr w:type="gramStart"/>
      <w:r w:rsidRPr="00040BEC">
        <w:t>would be taken</w:t>
      </w:r>
      <w:proofErr w:type="gramEnd"/>
      <w:r w:rsidRPr="00040BEC">
        <w:t xml:space="preserve"> into account at any time but preferably, when a primary usage is identified. The principle for the applications under general authorisation </w:t>
      </w:r>
      <w:r w:rsidR="00962407" w:rsidRPr="00040BEC">
        <w:t>category</w:t>
      </w:r>
      <w:r w:rsidRPr="00040BEC">
        <w:t xml:space="preserve"> (DECT / SRD) should be to first place the radio services in the band (such as DA2GCS and PMSE / ad-hoc PPDR) and then investigate under which restrictions and use of mitigation techniques the use of unlicensed applications could be </w:t>
      </w:r>
      <w:r w:rsidR="00AF7721" w:rsidRPr="00040BEC">
        <w:t>possible.</w:t>
      </w:r>
      <w:r w:rsidR="00317112" w:rsidRPr="00040BEC">
        <w:t xml:space="preserve"> According to compatibility studies, both scenarios </w:t>
      </w:r>
      <w:r w:rsidR="00B1082D" w:rsidRPr="00040BEC">
        <w:t xml:space="preserve">offer the possibility </w:t>
      </w:r>
      <w:r w:rsidR="00317112" w:rsidRPr="00040BEC">
        <w:t xml:space="preserve">to introduce DECT/SRD </w:t>
      </w:r>
      <w:r w:rsidR="00B1082D" w:rsidRPr="00040BEC">
        <w:t xml:space="preserve">applications </w:t>
      </w:r>
      <w:r w:rsidR="00317112" w:rsidRPr="00040BEC">
        <w:t xml:space="preserve">in the band 1900-1920 </w:t>
      </w:r>
      <w:proofErr w:type="spellStart"/>
      <w:r w:rsidR="00317112" w:rsidRPr="00040BEC">
        <w:t>MHz.</w:t>
      </w:r>
      <w:proofErr w:type="spellEnd"/>
      <w:r w:rsidR="0075359E" w:rsidRPr="00040BEC">
        <w:t xml:space="preserve"> However, further </w:t>
      </w:r>
      <w:r w:rsidR="00AA2625" w:rsidRPr="00040BEC">
        <w:t xml:space="preserve">complementary </w:t>
      </w:r>
      <w:r w:rsidR="0075359E" w:rsidRPr="00040BEC">
        <w:t xml:space="preserve">investigations </w:t>
      </w:r>
      <w:r w:rsidR="00AA2625" w:rsidRPr="00040BEC">
        <w:t xml:space="preserve">are </w:t>
      </w:r>
      <w:r w:rsidR="0075359E" w:rsidRPr="00040BEC">
        <w:t>required</w:t>
      </w:r>
      <w:r w:rsidR="00AA2625" w:rsidRPr="00040BEC">
        <w:t xml:space="preserve"> for such applications under general authorisation.</w:t>
      </w:r>
    </w:p>
    <w:p w14:paraId="0A90D0B6" w14:textId="77777777" w:rsidR="001433B5" w:rsidRPr="00040BEC" w:rsidRDefault="001433B5" w:rsidP="004F12A1">
      <w:pPr>
        <w:keepNext/>
        <w:spacing w:after="120"/>
        <w:rPr>
          <w:b/>
          <w:szCs w:val="20"/>
          <w:lang w:val="en-GB"/>
        </w:rPr>
      </w:pPr>
      <w:r w:rsidRPr="00040BEC">
        <w:rPr>
          <w:b/>
          <w:szCs w:val="20"/>
          <w:lang w:val="en-GB"/>
        </w:rPr>
        <w:lastRenderedPageBreak/>
        <w:t>Scenario 1</w:t>
      </w:r>
    </w:p>
    <w:p w14:paraId="70A38D69" w14:textId="77777777" w:rsidR="00461462" w:rsidRPr="00040BEC" w:rsidRDefault="00461462" w:rsidP="004F12A1">
      <w:pPr>
        <w:pStyle w:val="ECCParagraph"/>
        <w:keepNext/>
      </w:pPr>
    </w:p>
    <w:bookmarkStart w:id="78" w:name="_Ref380596604"/>
    <w:p w14:paraId="4D74F74B" w14:textId="4D67E8BD" w:rsidR="001433B5" w:rsidRPr="00040BEC" w:rsidRDefault="0025329B" w:rsidP="001433B5">
      <w:pPr>
        <w:rPr>
          <w:rFonts w:cs="Arial"/>
          <w:noProof/>
          <w:lang w:val="en-GB"/>
        </w:rPr>
      </w:pPr>
      <w:r w:rsidRPr="00040BEC">
        <w:rPr>
          <w:noProof/>
          <w:lang w:val="da-DK" w:eastAsia="da-DK"/>
        </w:rPr>
        <mc:AlternateContent>
          <mc:Choice Requires="wps">
            <w:drawing>
              <wp:anchor distT="0" distB="0" distL="114300" distR="114300" simplePos="0" relativeHeight="251752448" behindDoc="0" locked="0" layoutInCell="1" allowOverlap="1" wp14:anchorId="3B50EA9A" wp14:editId="2A54C5DB">
                <wp:simplePos x="0" y="0"/>
                <wp:positionH relativeFrom="column">
                  <wp:posOffset>4453890</wp:posOffset>
                </wp:positionH>
                <wp:positionV relativeFrom="paragraph">
                  <wp:posOffset>1898650</wp:posOffset>
                </wp:positionV>
                <wp:extent cx="664845" cy="256540"/>
                <wp:effectExtent l="0" t="0" r="0" b="0"/>
                <wp:wrapNone/>
                <wp:docPr id="63" name="Text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4845" cy="256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A17C17" w14:textId="77777777" w:rsidR="00DA7779" w:rsidRPr="00A02A3A" w:rsidRDefault="00DA7779" w:rsidP="0025329B">
                            <w:pPr>
                              <w:pStyle w:val="NormalWeb"/>
                              <w:spacing w:after="0"/>
                              <w:rPr>
                                <w:sz w:val="16"/>
                                <w:szCs w:val="16"/>
                              </w:rPr>
                            </w:pPr>
                            <w:r>
                              <w:rPr>
                                <w:rFonts w:ascii="Calibri" w:hAnsi="Calibri"/>
                                <w:color w:val="000000"/>
                                <w:kern w:val="24"/>
                                <w:sz w:val="16"/>
                                <w:szCs w:val="16"/>
                              </w:rPr>
                              <w:t>1 920</w:t>
                            </w:r>
                            <w:r w:rsidRPr="00900457">
                              <w:rPr>
                                <w:rFonts w:ascii="Calibri" w:hAnsi="Calibri"/>
                                <w:color w:val="000000"/>
                                <w:kern w:val="24"/>
                                <w:sz w:val="16"/>
                                <w:szCs w:val="16"/>
                              </w:rPr>
                              <w:t xml:space="preserve"> MH</w:t>
                            </w:r>
                            <w:r>
                              <w:rPr>
                                <w:rFonts w:ascii="Calibri" w:hAnsi="Calibri"/>
                                <w:color w:val="000000"/>
                                <w:kern w:val="24"/>
                                <w:sz w:val="16"/>
                                <w:szCs w:val="16"/>
                              </w:rPr>
                              <w:t>z</w:t>
                            </w:r>
                          </w:p>
                        </w:txbxContent>
                      </wps:txbx>
                      <wps:bodyPr rot="0" vert="horz" wrap="square" lIns="91440" tIns="45720" rIns="91440" bIns="45720" anchor="t" anchorCtr="0" upright="1">
                        <a:noAutofit/>
                      </wps:bodyPr>
                    </wps:wsp>
                  </a:graphicData>
                </a:graphic>
              </wp:anchor>
            </w:drawing>
          </mc:Choice>
          <mc:Fallback>
            <w:pict>
              <v:shape id="_x0000_s1111" type="#_x0000_t202" style="position:absolute;margin-left:350.7pt;margin-top:149.5pt;width:52.35pt;height:20.2pt;z-index:2517524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" filled="f" stroked="f">
                <v:textbox>
                  <w:txbxContent>
                    <w:p w14:paraId="19A17C17" w14:textId="77777777" w:rsidR="00DA7779" w:rsidRPr="00A02A3A" w:rsidRDefault="00DA7779" w:rsidP="0025329B">
                      <w:pPr>
                        <w:pStyle w:val="NormalWeb"/>
                        <w:spacing w:after="0"/>
                        <w:rPr>
                          <w:sz w:val="16"/>
                          <w:szCs w:val="16"/>
                        </w:rPr>
                      </w:pPr>
                      <w:r>
                        <w:rPr>
                          <w:rFonts w:ascii="Calibri" w:hAnsi="Calibri"/>
                          <w:color w:val="000000"/>
                          <w:kern w:val="24"/>
                          <w:sz w:val="16"/>
                          <w:szCs w:val="16"/>
                        </w:rPr>
                        <w:t>1 920</w:t>
                      </w:r>
                      <w:r w:rsidRPr="00900457">
                        <w:rPr>
                          <w:rFonts w:ascii="Calibri" w:hAnsi="Calibri"/>
                          <w:color w:val="000000"/>
                          <w:kern w:val="24"/>
                          <w:sz w:val="16"/>
                          <w:szCs w:val="16"/>
                        </w:rPr>
                        <w:t xml:space="preserve"> MH</w:t>
                      </w:r>
                      <w:r>
                        <w:rPr>
                          <w:rFonts w:ascii="Calibri" w:hAnsi="Calibri"/>
                          <w:color w:val="000000"/>
                          <w:kern w:val="24"/>
                          <w:sz w:val="16"/>
                          <w:szCs w:val="16"/>
                        </w:rPr>
                        <w:t>z</w:t>
                      </w:r>
                    </w:p>
                  </w:txbxContent>
                </v:textbox>
              </v:shape>
            </w:pict>
          </mc:Fallback>
        </mc:AlternateContent>
      </w:r>
      <w:r w:rsidRPr="00040BEC">
        <w:rPr>
          <w:noProof/>
          <w:lang w:val="da-DK" w:eastAsia="da-DK"/>
        </w:rPr>
        <mc:AlternateContent>
          <mc:Choice Requires="wps">
            <w:drawing>
              <wp:anchor distT="0" distB="0" distL="114300" distR="114300" simplePos="0" relativeHeight="251750400" behindDoc="0" locked="0" layoutInCell="1" allowOverlap="1" wp14:anchorId="7309F9AF" wp14:editId="54AEF7D1">
                <wp:simplePos x="0" y="0"/>
                <wp:positionH relativeFrom="column">
                  <wp:posOffset>2334089</wp:posOffset>
                </wp:positionH>
                <wp:positionV relativeFrom="paragraph">
                  <wp:posOffset>1922571</wp:posOffset>
                </wp:positionV>
                <wp:extent cx="851535" cy="368490"/>
                <wp:effectExtent l="0" t="0" r="0" b="0"/>
                <wp:wrapNone/>
                <wp:docPr id="61" name="Text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51535" cy="3684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BDE378" w14:textId="77777777" w:rsidR="00DA7779" w:rsidRPr="00A02A3A" w:rsidRDefault="00DA7779" w:rsidP="0025329B">
                            <w:pPr>
                              <w:pStyle w:val="NormalWeb"/>
                              <w:spacing w:after="0"/>
                              <w:jc w:val="center"/>
                              <w:rPr>
                                <w:sz w:val="16"/>
                                <w:szCs w:val="16"/>
                              </w:rPr>
                            </w:pPr>
                            <w:r>
                              <w:rPr>
                                <w:rFonts w:ascii="Calibri" w:hAnsi="Calibri"/>
                                <w:color w:val="000000"/>
                                <w:kern w:val="24"/>
                                <w:sz w:val="16"/>
                                <w:szCs w:val="16"/>
                              </w:rPr>
                              <w:t xml:space="preserve">1 910 </w:t>
                            </w:r>
                            <w:r w:rsidRPr="00900457">
                              <w:rPr>
                                <w:rFonts w:ascii="Calibri" w:hAnsi="Calibri"/>
                                <w:color w:val="000000"/>
                                <w:kern w:val="24"/>
                                <w:sz w:val="16"/>
                                <w:szCs w:val="16"/>
                              </w:rPr>
                              <w:t>MHz</w:t>
                            </w:r>
                          </w:p>
                        </w:txbxContent>
                      </wps:txbx>
                      <wps:bodyPr rot="0" vert="horz" wrap="square" lIns="91440" tIns="45720" rIns="91440" bIns="45720" anchor="t" anchorCtr="0" upright="1">
                        <a:noAutofit/>
                      </wps:bodyPr>
                    </wps:wsp>
                  </a:graphicData>
                </a:graphic>
                <wp14:sizeRelV relativeFrom="margin">
                  <wp14:pctHeight>0</wp14:pctHeight>
                </wp14:sizeRelV>
              </wp:anchor>
            </w:drawing>
          </mc:Choice>
          <mc:Fallback>
            <w:pict>
              <v:shape id="_x0000_s1112" type="#_x0000_t202" style="position:absolute;margin-left:183.8pt;margin-top:151.4pt;width:67.05pt;height:29pt;z-index:2517504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" filled="f" stroked="f">
                <v:textbox>
                  <w:txbxContent>
                    <w:p w14:paraId="3ABDE378" w14:textId="77777777" w:rsidR="00DA7779" w:rsidRPr="00A02A3A" w:rsidRDefault="00DA7779" w:rsidP="0025329B">
                      <w:pPr>
                        <w:pStyle w:val="NormalWeb"/>
                        <w:spacing w:after="0"/>
                        <w:jc w:val="center"/>
                        <w:rPr>
                          <w:sz w:val="16"/>
                          <w:szCs w:val="16"/>
                        </w:rPr>
                      </w:pPr>
                      <w:r>
                        <w:rPr>
                          <w:rFonts w:ascii="Calibri" w:hAnsi="Calibri"/>
                          <w:color w:val="000000"/>
                          <w:kern w:val="24"/>
                          <w:sz w:val="16"/>
                          <w:szCs w:val="16"/>
                        </w:rPr>
                        <w:t xml:space="preserve">1 910 </w:t>
                      </w:r>
                      <w:r w:rsidRPr="00900457">
                        <w:rPr>
                          <w:rFonts w:ascii="Calibri" w:hAnsi="Calibri"/>
                          <w:color w:val="000000"/>
                          <w:kern w:val="24"/>
                          <w:sz w:val="16"/>
                          <w:szCs w:val="16"/>
                        </w:rPr>
                        <w:t>MHz</w:t>
                      </w:r>
                    </w:p>
                  </w:txbxContent>
                </v:textbox>
              </v:shape>
            </w:pict>
          </mc:Fallback>
        </mc:AlternateContent>
      </w:r>
      <w:r w:rsidRPr="00040BEC">
        <w:rPr>
          <w:noProof/>
          <w:lang w:val="da-DK" w:eastAsia="da-DK"/>
        </w:rPr>
        <mc:AlternateContent>
          <mc:Choice Requires="wps">
            <w:drawing>
              <wp:anchor distT="0" distB="0" distL="114300" distR="114300" simplePos="0" relativeHeight="251748352" behindDoc="0" locked="0" layoutInCell="1" allowOverlap="1" wp14:anchorId="0A88A2F0" wp14:editId="6367DAA6">
                <wp:simplePos x="0" y="0"/>
                <wp:positionH relativeFrom="column">
                  <wp:posOffset>307975</wp:posOffset>
                </wp:positionH>
                <wp:positionV relativeFrom="paragraph">
                  <wp:posOffset>1919605</wp:posOffset>
                </wp:positionV>
                <wp:extent cx="654685" cy="276860"/>
                <wp:effectExtent l="0" t="0" r="0" b="8890"/>
                <wp:wrapNone/>
                <wp:docPr id="60" name="Text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4685" cy="2768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FB6AE7" w14:textId="77777777" w:rsidR="00DA7779" w:rsidRPr="00A02A3A" w:rsidRDefault="00DA7779" w:rsidP="0025329B">
                            <w:pPr>
                              <w:pStyle w:val="NormalWeb"/>
                              <w:spacing w:after="0"/>
                              <w:rPr>
                                <w:sz w:val="16"/>
                                <w:szCs w:val="16"/>
                              </w:rPr>
                            </w:pPr>
                            <w:r>
                              <w:rPr>
                                <w:rFonts w:ascii="Calibri" w:hAnsi="Calibri"/>
                                <w:color w:val="000000"/>
                                <w:kern w:val="24"/>
                                <w:sz w:val="16"/>
                                <w:szCs w:val="16"/>
                              </w:rPr>
                              <w:t xml:space="preserve">1 900 </w:t>
                            </w:r>
                            <w:r w:rsidRPr="00900457">
                              <w:rPr>
                                <w:rFonts w:ascii="Calibri" w:hAnsi="Calibri"/>
                                <w:color w:val="000000"/>
                                <w:kern w:val="24"/>
                                <w:sz w:val="16"/>
                                <w:szCs w:val="16"/>
                              </w:rPr>
                              <w:t>MHz</w:t>
                            </w:r>
                          </w:p>
                        </w:txbxContent>
                      </wps:txbx>
                      <wps:bodyPr rot="0" vert="horz" wrap="square" lIns="91440" tIns="45720" rIns="91440" bIns="45720" anchor="t" anchorCtr="0" upright="1">
                        <a:noAutofit/>
                      </wps:bodyPr>
                    </wps:wsp>
                  </a:graphicData>
                </a:graphic>
              </wp:anchor>
            </w:drawing>
          </mc:Choice>
          <mc:Fallback>
            <w:pict>
              <v:shape id="_x0000_s1113" type="#_x0000_t202" style="position:absolute;margin-left:24.25pt;margin-top:151.15pt;width:51.55pt;height:21.8pt;z-index:2517483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" filled="f" stroked="f">
                <v:textbox>
                  <w:txbxContent>
                    <w:p w14:paraId="4AFB6AE7" w14:textId="77777777" w:rsidR="00DA7779" w:rsidRPr="00A02A3A" w:rsidRDefault="00DA7779" w:rsidP="0025329B">
                      <w:pPr>
                        <w:pStyle w:val="NormalWeb"/>
                        <w:spacing w:after="0"/>
                        <w:rPr>
                          <w:sz w:val="16"/>
                          <w:szCs w:val="16"/>
                        </w:rPr>
                      </w:pPr>
                      <w:r>
                        <w:rPr>
                          <w:rFonts w:ascii="Calibri" w:hAnsi="Calibri"/>
                          <w:color w:val="000000"/>
                          <w:kern w:val="24"/>
                          <w:sz w:val="16"/>
                          <w:szCs w:val="16"/>
                        </w:rPr>
                        <w:t xml:space="preserve">1 900 </w:t>
                      </w:r>
                      <w:r w:rsidRPr="00900457">
                        <w:rPr>
                          <w:rFonts w:ascii="Calibri" w:hAnsi="Calibri"/>
                          <w:color w:val="000000"/>
                          <w:kern w:val="24"/>
                          <w:sz w:val="16"/>
                          <w:szCs w:val="16"/>
                        </w:rPr>
                        <w:t>MHz</w:t>
                      </w:r>
                    </w:p>
                  </w:txbxContent>
                </v:textbox>
              </v:shape>
            </w:pict>
          </mc:Fallback>
        </mc:AlternateContent>
      </w:r>
      <w:r w:rsidR="00531617" w:rsidRPr="00040BEC">
        <w:rPr>
          <w:noProof/>
          <w:lang w:val="da-DK" w:eastAsia="da-DK"/>
        </w:rPr>
        <mc:AlternateContent>
          <mc:Choice Requires="wps">
            <w:drawing>
              <wp:anchor distT="0" distB="0" distL="114300" distR="114300" simplePos="0" relativeHeight="251683840" behindDoc="0" locked="0" layoutInCell="1" allowOverlap="1" wp14:anchorId="7E1708BB" wp14:editId="54B6EECF">
                <wp:simplePos x="0" y="0"/>
                <wp:positionH relativeFrom="column">
                  <wp:posOffset>2734945</wp:posOffset>
                </wp:positionH>
                <wp:positionV relativeFrom="paragraph">
                  <wp:posOffset>1593215</wp:posOffset>
                </wp:positionV>
                <wp:extent cx="45085" cy="280035"/>
                <wp:effectExtent l="0" t="0" r="12065" b="62865"/>
                <wp:wrapNone/>
                <wp:docPr id="113" name="Rectangle 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85" cy="280035"/>
                        </a:xfrm>
                        <a:prstGeom prst="rect">
                          <a:avLst/>
                        </a:prstGeom>
                        <a:solidFill>
                          <a:srgbClr val="BFBFBF"/>
                        </a:solidFill>
                        <a:ln w="12700">
                          <a:solidFill>
                            <a:srgbClr val="000000"/>
                          </a:solidFill>
                          <a:miter lim="800000"/>
                          <a:headEnd/>
                          <a:tailEnd/>
                        </a:ln>
                        <a:effectLst>
                          <a:outerShdw dist="23000" dir="5400000" rotWithShape="0">
                            <a:srgbClr val="000000">
                              <a:alpha val="34999"/>
                            </a:srgbClr>
                          </a:outerShdw>
                        </a:effectLst>
                      </wps:spPr>
                      <wps:txbx>
                        <w:txbxContent>
                          <w:p w14:paraId="52B83D54" w14:textId="77777777" w:rsidR="00DA7779" w:rsidRPr="00A02A3A" w:rsidRDefault="00DA7779" w:rsidP="001433B5">
                            <w:pPr>
                              <w:rPr>
                                <w:sz w:val="16"/>
                                <w:szCs w:val="16"/>
                              </w:rPr>
                            </w:pP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ect id="_x0000_s1114" style="position:absolute;margin-left:215.35pt;margin-top:125.45pt;width:3.55pt;height:22.0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" fillcolor="#bfbfbf" strokeweight="1pt">
                <v:shadow on="t" color="black" opacity="22936f" origin=",.5" offset="0,.63889mm"/>
                <v:textbox>
                  <w:txbxContent>
                    <w:p w14:paraId="52B83D54" w14:textId="77777777" w:rsidR="00DA7779" w:rsidRPr="00A02A3A" w:rsidRDefault="00DA7779" w:rsidP="001433B5">
                      <w:pPr>
                        <w:rPr>
                          <w:sz w:val="16"/>
                          <w:szCs w:val="16"/>
                        </w:rPr>
                      </w:pPr>
                    </w:p>
                  </w:txbxContent>
                </v:textbox>
              </v:rect>
            </w:pict>
          </mc:Fallback>
        </mc:AlternateContent>
      </w:r>
      <w:r w:rsidR="00531617" w:rsidRPr="00040BEC">
        <w:rPr>
          <w:noProof/>
          <w:lang w:val="da-DK" w:eastAsia="da-DK"/>
        </w:rPr>
        <mc:AlternateContent>
          <mc:Choice Requires="wps">
            <w:drawing>
              <wp:anchor distT="0" distB="0" distL="114300" distR="114300" simplePos="0" relativeHeight="251679744" behindDoc="0" locked="0" layoutInCell="1" allowOverlap="1" wp14:anchorId="08F4653A" wp14:editId="22DC165F">
                <wp:simplePos x="0" y="0"/>
                <wp:positionH relativeFrom="column">
                  <wp:posOffset>629285</wp:posOffset>
                </wp:positionH>
                <wp:positionV relativeFrom="paragraph">
                  <wp:posOffset>983615</wp:posOffset>
                </wp:positionV>
                <wp:extent cx="23495" cy="875665"/>
                <wp:effectExtent l="0" t="0" r="14605" b="57785"/>
                <wp:wrapNone/>
                <wp:docPr id="114" name="Rectangle 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495" cy="875665"/>
                        </a:xfrm>
                        <a:prstGeom prst="rect">
                          <a:avLst/>
                        </a:prstGeom>
                        <a:solidFill>
                          <a:srgbClr val="BFBFBF"/>
                        </a:solidFill>
                        <a:ln w="12700">
                          <a:solidFill>
                            <a:srgbClr val="000000"/>
                          </a:solidFill>
                          <a:miter lim="800000"/>
                          <a:headEnd/>
                          <a:tailEnd/>
                        </a:ln>
                        <a:effectLst>
                          <a:outerShdw dist="23000" dir="5400000" rotWithShape="0">
                            <a:srgbClr val="000000">
                              <a:alpha val="34999"/>
                            </a:srgbClr>
                          </a:outerShdw>
                        </a:effectLst>
                      </wps:spPr>
                      <wps:txbx>
                        <w:txbxContent>
                          <w:p w14:paraId="339DB5C2" w14:textId="77777777" w:rsidR="00DA7779" w:rsidRPr="00A02A3A" w:rsidRDefault="00DA7779" w:rsidP="001433B5">
                            <w:pPr>
                              <w:rPr>
                                <w:sz w:val="16"/>
                                <w:szCs w:val="16"/>
                              </w:rPr>
                            </w:pPr>
                          </w:p>
                          <w:p w14:paraId="4452AC7E" w14:textId="77777777" w:rsidR="00DA7779" w:rsidRPr="00A02A3A" w:rsidRDefault="00DA7779" w:rsidP="001433B5">
                            <w:pPr>
                              <w:rPr>
                                <w:sz w:val="16"/>
                                <w:szCs w:val="16"/>
                              </w:rP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id="_x0000_s1115" style="position:absolute;margin-left:49.55pt;margin-top:77.45pt;width:1.85pt;height:68.9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" fillcolor="#bfbfbf" strokeweight="1pt">
                <v:shadow on="t" color="black" opacity="22936f" origin=",.5" offset="0,.63889mm"/>
                <v:textbox>
                  <w:txbxContent>
                    <w:p w14:paraId="339DB5C2" w14:textId="77777777" w:rsidR="00DA7779" w:rsidRPr="00A02A3A" w:rsidRDefault="00DA7779" w:rsidP="001433B5">
                      <w:pPr>
                        <w:rPr>
                          <w:sz w:val="16"/>
                          <w:szCs w:val="16"/>
                        </w:rPr>
                      </w:pPr>
                    </w:p>
                    <w:p w14:paraId="4452AC7E" w14:textId="77777777" w:rsidR="00DA7779" w:rsidRPr="00A02A3A" w:rsidRDefault="00DA7779" w:rsidP="001433B5">
                      <w:pPr>
                        <w:rPr>
                          <w:sz w:val="16"/>
                          <w:szCs w:val="16"/>
                        </w:rPr>
                      </w:pPr>
                    </w:p>
                  </w:txbxContent>
                </v:textbox>
              </v:rect>
            </w:pict>
          </mc:Fallback>
        </mc:AlternateContent>
      </w:r>
      <w:r w:rsidR="00531617" w:rsidRPr="00040BEC">
        <w:rPr>
          <w:noProof/>
          <w:lang w:val="da-DK" w:eastAsia="da-DK"/>
        </w:rPr>
        <mc:AlternateContent>
          <mc:Choice Requires="wps">
            <w:drawing>
              <wp:anchor distT="0" distB="0" distL="114300" distR="114300" simplePos="0" relativeHeight="251681792" behindDoc="0" locked="0" layoutInCell="1" allowOverlap="1" wp14:anchorId="70530C1B" wp14:editId="3D046098">
                <wp:simplePos x="0" y="0"/>
                <wp:positionH relativeFrom="margin">
                  <wp:posOffset>635635</wp:posOffset>
                </wp:positionH>
                <wp:positionV relativeFrom="paragraph">
                  <wp:posOffset>448310</wp:posOffset>
                </wp:positionV>
                <wp:extent cx="4121150" cy="528320"/>
                <wp:effectExtent l="0" t="0" r="12700" b="62230"/>
                <wp:wrapNone/>
                <wp:docPr id="110" name="Rectangle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21150" cy="528320"/>
                        </a:xfrm>
                        <a:prstGeom prst="rect">
                          <a:avLst/>
                        </a:prstGeom>
                        <a:solidFill>
                          <a:srgbClr val="F79646"/>
                        </a:solidFill>
                        <a:ln w="12700">
                          <a:solidFill>
                            <a:srgbClr val="000000"/>
                          </a:solidFill>
                          <a:miter lim="800000"/>
                          <a:headEnd/>
                          <a:tailEnd/>
                        </a:ln>
                        <a:effectLst>
                          <a:outerShdw dist="23000" dir="5400000" rotWithShape="0">
                            <a:srgbClr val="000000">
                              <a:alpha val="34999"/>
                            </a:srgbClr>
                          </a:outerShdw>
                        </a:effectLst>
                      </wps:spPr>
                      <wps:txbx>
                        <w:txbxContent>
                          <w:p w14:paraId="2DD51DDD" w14:textId="77777777" w:rsidR="00DA7779" w:rsidRPr="00851901" w:rsidRDefault="00DA7779" w:rsidP="00851901">
                            <w:pPr>
                              <w:pStyle w:val="NormalWeb"/>
                              <w:spacing w:before="0" w:beforeAutospacing="0" w:after="0" w:afterAutospacing="0"/>
                              <w:jc w:val="center"/>
                              <w:rPr>
                                <w:rFonts w:ascii="Calibri" w:hAnsi="Calibri"/>
                                <w:color w:val="000000"/>
                                <w:kern w:val="24"/>
                              </w:rPr>
                            </w:pPr>
                            <w:r w:rsidRPr="00851901">
                              <w:rPr>
                                <w:rFonts w:ascii="Calibri" w:hAnsi="Calibri"/>
                                <w:color w:val="000000"/>
                                <w:kern w:val="24"/>
                              </w:rPr>
                              <w:t>VLCC</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ect id="_x0000_s1116" style="position:absolute;margin-left:50.05pt;margin-top:35.3pt;width:324.5pt;height:41.6pt;z-index:2516817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" fillcolor="#f79646" strokeweight="1pt">
                <v:shadow on="t" color="black" opacity="22936f" origin=",.5" offset="0,.63889mm"/>
                <v:textbox>
                  <w:txbxContent>
                    <w:p w14:paraId="2DD51DDD" w14:textId="77777777" w:rsidR="00DA7779" w:rsidRPr="00851901" w:rsidRDefault="00DA7779" w:rsidP="00851901">
                      <w:pPr>
                        <w:pStyle w:val="NormalWeb"/>
                        <w:spacing w:before="0" w:beforeAutospacing="0" w:after="0" w:afterAutospacing="0"/>
                        <w:jc w:val="center"/>
                        <w:rPr>
                          <w:rFonts w:ascii="Calibri" w:hAnsi="Calibri"/>
                          <w:color w:val="000000"/>
                          <w:kern w:val="24"/>
                        </w:rPr>
                      </w:pPr>
                      <w:r w:rsidRPr="00851901">
                        <w:rPr>
                          <w:rFonts w:ascii="Calibri" w:hAnsi="Calibri"/>
                          <w:color w:val="000000"/>
                          <w:kern w:val="24"/>
                        </w:rPr>
                        <w:t>VLCC</w:t>
                      </w:r>
                    </w:p>
                  </w:txbxContent>
                </v:textbox>
                <w10:wrap anchorx="margin"/>
              </v:rect>
            </w:pict>
          </mc:Fallback>
        </mc:AlternateContent>
      </w:r>
      <w:r w:rsidR="00531617" w:rsidRPr="00040BEC">
        <w:rPr>
          <w:noProof/>
          <w:lang w:val="da-DK" w:eastAsia="da-DK"/>
        </w:rPr>
        <mc:AlternateContent>
          <mc:Choice Requires="wps">
            <w:drawing>
              <wp:anchor distT="0" distB="0" distL="114300" distR="114300" simplePos="0" relativeHeight="251680768" behindDoc="0" locked="0" layoutInCell="1" allowOverlap="1" wp14:anchorId="6BFA7990" wp14:editId="7747E579">
                <wp:simplePos x="0" y="0"/>
                <wp:positionH relativeFrom="margin">
                  <wp:posOffset>4756150</wp:posOffset>
                </wp:positionH>
                <wp:positionV relativeFrom="paragraph">
                  <wp:posOffset>8255</wp:posOffset>
                </wp:positionV>
                <wp:extent cx="635000" cy="1604645"/>
                <wp:effectExtent l="0" t="0" r="12700" b="52705"/>
                <wp:wrapNone/>
                <wp:docPr id="109" name="Rectangle 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5000" cy="1604645"/>
                        </a:xfrm>
                        <a:prstGeom prst="rect">
                          <a:avLst/>
                        </a:prstGeom>
                        <a:solidFill>
                          <a:schemeClr val="accent1">
                            <a:lumMod val="40000"/>
                            <a:lumOff val="60000"/>
                          </a:schemeClr>
                        </a:solidFill>
                        <a:ln w="9525">
                          <a:solidFill>
                            <a:srgbClr val="000000"/>
                          </a:solidFill>
                          <a:miter lim="800000"/>
                          <a:headEnd/>
                          <a:tailEnd/>
                        </a:ln>
                        <a:effectLst>
                          <a:outerShdw dist="23000" dir="5400000" rotWithShape="0">
                            <a:srgbClr val="000000">
                              <a:alpha val="34999"/>
                            </a:srgbClr>
                          </a:outerShdw>
                        </a:effectLst>
                      </wps:spPr>
                      <wps:txbx>
                        <w:txbxContent>
                          <w:p w14:paraId="3EAB6FD7" w14:textId="77777777" w:rsidR="00DA7779" w:rsidRPr="007C0752" w:rsidRDefault="00DA7779" w:rsidP="00E31ACC">
                            <w:pPr>
                              <w:pStyle w:val="NormalWeb"/>
                              <w:jc w:val="center"/>
                              <w:rPr>
                                <w:lang w:val="pt-PT"/>
                              </w:rPr>
                            </w:pPr>
                            <w:r>
                              <w:rPr>
                                <w:rFonts w:ascii="Calibri" w:hAnsi="Calibri"/>
                                <w:color w:val="000000"/>
                                <w:kern w:val="24"/>
                                <w:lang w:val="pt-PT"/>
                              </w:rPr>
                              <w:t>IMT</w:t>
                            </w:r>
                          </w:p>
                        </w:txbxContent>
                      </wps:txbx>
                      <wps:bodyPr rot="0" vert="horz" wrap="square" lIns="91440" tIns="45720" rIns="91440" bIns="45720" anchor="ctr" anchorCtr="0" upright="1">
                        <a:noAutofit/>
                      </wps:bodyPr>
                    </wps:wsp>
                  </a:graphicData>
                </a:graphic>
                <wp14:sizeRelH relativeFrom="page">
                  <wp14:pctWidth>0</wp14:pctWidth>
                </wp14:sizeRelH>
                <wp14:sizeRelV relativeFrom="margin">
                  <wp14:pctHeight>0</wp14:pctHeight>
                </wp14:sizeRelV>
              </wp:anchor>
            </w:drawing>
          </mc:Choice>
          <mc:Fallback>
            <w:pict>
              <v:rect id="_x0000_s1117" style="position:absolute;margin-left:374.5pt;margin-top:.65pt;width:50pt;height:126.35pt;z-index:2516807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" fillcolor="#b8cce4 [1300]">
                <v:shadow on="t" color="black" opacity="22936f" origin=",.5" offset="0,.63889mm"/>
                <v:textbox>
                  <w:txbxContent>
                    <w:p w14:paraId="3EAB6FD7" w14:textId="77777777" w:rsidR="00DA7779" w:rsidRPr="007C0752" w:rsidRDefault="00DA7779" w:rsidP="00E31ACC">
                      <w:pPr>
                        <w:pStyle w:val="NormalWeb"/>
                        <w:jc w:val="center"/>
                        <w:rPr>
                          <w:lang w:val="pt-PT"/>
                        </w:rPr>
                      </w:pPr>
                      <w:r>
                        <w:rPr>
                          <w:rFonts w:ascii="Calibri" w:hAnsi="Calibri"/>
                          <w:color w:val="000000"/>
                          <w:kern w:val="24"/>
                          <w:lang w:val="pt-PT"/>
                        </w:rPr>
                        <w:t>IMT</w:t>
                      </w:r>
                    </w:p>
                  </w:txbxContent>
                </v:textbox>
                <w10:wrap anchorx="margin"/>
              </v:rect>
            </w:pict>
          </mc:Fallback>
        </mc:AlternateContent>
      </w:r>
      <w:r w:rsidR="00531617" w:rsidRPr="00040BEC">
        <w:rPr>
          <w:rFonts w:cs="Arial"/>
          <w:noProof/>
          <w:lang w:val="da-DK" w:eastAsia="da-DK"/>
        </w:rPr>
        <mc:AlternateContent>
          <mc:Choice Requires="wpg">
            <w:drawing>
              <wp:inline distT="0" distB="0" distL="0" distR="0" wp14:anchorId="107B97BD" wp14:editId="6018FDC3">
                <wp:extent cx="5102860" cy="2292588"/>
                <wp:effectExtent l="0" t="0" r="2540" b="0"/>
                <wp:docPr id="266" name="Group 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102860" cy="2292588"/>
                          <a:chOff x="4315" y="42943"/>
                          <a:chExt cx="78160" cy="16297"/>
                        </a:xfrm>
                      </wpg:grpSpPr>
                      <wps:wsp>
                        <wps:cNvPr id="267" name="Rectangle 91"/>
                        <wps:cNvSpPr>
                          <a:spLocks noChangeArrowheads="1"/>
                        </wps:cNvSpPr>
                        <wps:spPr bwMode="auto">
                          <a:xfrm>
                            <a:off x="14208" y="54485"/>
                            <a:ext cx="63340" cy="530"/>
                          </a:xfrm>
                          <a:prstGeom prst="rect">
                            <a:avLst/>
                          </a:prstGeom>
                          <a:solidFill>
                            <a:srgbClr val="BFBFBF"/>
                          </a:solidFill>
                          <a:ln w="12700">
                            <a:solidFill>
                              <a:srgbClr val="000000"/>
                            </a:solidFill>
                            <a:miter lim="800000"/>
                            <a:headEnd/>
                            <a:tailEnd/>
                          </a:ln>
                          <a:effectLst>
                            <a:outerShdw dist="23000" dir="5400000" rotWithShape="0">
                              <a:srgbClr val="000000">
                                <a:alpha val="34998"/>
                              </a:srgbClr>
                            </a:outerShdw>
                          </a:effectLst>
                        </wps:spPr>
                        <wps:linkedTxbx id="108" seq="1"/>
                        <wps:bodyPr rot="0" vert="horz" wrap="square" lIns="91440" tIns="45720" rIns="91440" bIns="45720" anchor="ctr" anchorCtr="0" upright="1">
                          <a:noAutofit/>
                        </wps:bodyPr>
                      </wps:wsp>
                      <wps:wsp>
                        <wps:cNvPr id="268" name="Rectangle 24"/>
                        <wps:cNvSpPr>
                          <a:spLocks noChangeArrowheads="1"/>
                        </wps:cNvSpPr>
                        <wps:spPr bwMode="auto">
                          <a:xfrm>
                            <a:off x="14208" y="49843"/>
                            <a:ext cx="62911" cy="4558"/>
                          </a:xfrm>
                          <a:prstGeom prst="rect">
                            <a:avLst/>
                          </a:prstGeom>
                          <a:solidFill>
                            <a:schemeClr val="accent4">
                              <a:lumMod val="60000"/>
                              <a:lumOff val="40000"/>
                            </a:schemeClr>
                          </a:solidFill>
                          <a:ln w="12700">
                            <a:solidFill>
                              <a:srgbClr val="000000"/>
                            </a:solidFill>
                            <a:miter lim="800000"/>
                            <a:headEnd/>
                            <a:tailEnd/>
                          </a:ln>
                          <a:effectLst>
                            <a:outerShdw dist="23000" dir="5400000" rotWithShape="0">
                              <a:srgbClr val="000000">
                                <a:alpha val="34998"/>
                              </a:srgbClr>
                            </a:outerShdw>
                          </a:effectLst>
                        </wps:spPr>
                        <wps:txbx>
                          <w:txbxContent>
                            <w:p w14:paraId="3E8A0D48" w14:textId="77777777" w:rsidR="00DA7779" w:rsidRDefault="00DA7779" w:rsidP="00851901">
                              <w:pPr>
                                <w:pStyle w:val="NormalWeb"/>
                                <w:spacing w:before="0" w:beforeAutospacing="0" w:after="0" w:afterAutospacing="0"/>
                                <w:jc w:val="center"/>
                                <w:rPr>
                                  <w:rFonts w:ascii="Calibri" w:hAnsi="Calibri"/>
                                  <w:color w:val="000000"/>
                                  <w:kern w:val="24"/>
                                  <w:sz w:val="16"/>
                                  <w:szCs w:val="16"/>
                                </w:rPr>
                              </w:pPr>
                              <w:r>
                                <w:rPr>
                                  <w:rFonts w:ascii="Calibri" w:hAnsi="Calibri"/>
                                  <w:color w:val="000000"/>
                                  <w:kern w:val="24"/>
                                  <w:sz w:val="16"/>
                                  <w:szCs w:val="16"/>
                                </w:rPr>
                                <w:t xml:space="preserve">Applications under general </w:t>
                              </w:r>
                              <w:proofErr w:type="spellStart"/>
                              <w:r>
                                <w:rPr>
                                  <w:rFonts w:ascii="Calibri" w:hAnsi="Calibri"/>
                                  <w:color w:val="000000"/>
                                  <w:kern w:val="24"/>
                                  <w:sz w:val="16"/>
                                  <w:szCs w:val="16"/>
                                </w:rPr>
                                <w:t>authorisation</w:t>
                              </w:r>
                              <w:proofErr w:type="spellEnd"/>
                              <w:r>
                                <w:rPr>
                                  <w:rFonts w:ascii="Calibri" w:hAnsi="Calibri"/>
                                  <w:color w:val="000000"/>
                                  <w:kern w:val="24"/>
                                  <w:sz w:val="16"/>
                                  <w:szCs w:val="16"/>
                                </w:rPr>
                                <w:t xml:space="preserve"> (DECT / SRD) </w:t>
                              </w:r>
                            </w:p>
                            <w:p w14:paraId="512C4F0F" w14:textId="77777777" w:rsidR="00DA7779" w:rsidRPr="00B26244" w:rsidRDefault="00DA7779" w:rsidP="00851901">
                              <w:pPr>
                                <w:pStyle w:val="NormalWeb"/>
                                <w:spacing w:before="0" w:beforeAutospacing="0" w:after="0" w:afterAutospacing="0"/>
                                <w:jc w:val="center"/>
                                <w:rPr>
                                  <w:rFonts w:ascii="Calibri" w:hAnsi="Calibri"/>
                                  <w:color w:val="000000"/>
                                  <w:kern w:val="24"/>
                                  <w:sz w:val="16"/>
                                  <w:szCs w:val="16"/>
                                </w:rPr>
                              </w:pPr>
                              <w:r w:rsidRPr="00B26244">
                                <w:rPr>
                                  <w:rFonts w:ascii="Calibri" w:hAnsi="Calibri"/>
                                  <w:color w:val="000000"/>
                                  <w:kern w:val="24"/>
                                  <w:sz w:val="16"/>
                                  <w:szCs w:val="16"/>
                                </w:rPr>
                                <w:t>Not proposed to be introduced in a Commission implementing decision</w:t>
                              </w:r>
                            </w:p>
                          </w:txbxContent>
                        </wps:txbx>
                        <wps:bodyPr rot="0" vert="horz" wrap="square" lIns="91440" tIns="45720" rIns="91440" bIns="45720" anchor="ctr" anchorCtr="0" upright="1">
                          <a:noAutofit/>
                        </wps:bodyPr>
                      </wps:wsp>
                      <wps:wsp>
                        <wps:cNvPr id="271" name="Rectangle 26"/>
                        <wps:cNvSpPr>
                          <a:spLocks noChangeArrowheads="1"/>
                        </wps:cNvSpPr>
                        <wps:spPr bwMode="auto">
                          <a:xfrm>
                            <a:off x="77284" y="49932"/>
                            <a:ext cx="363" cy="6227"/>
                          </a:xfrm>
                          <a:prstGeom prst="rect">
                            <a:avLst/>
                          </a:prstGeom>
                          <a:solidFill>
                            <a:srgbClr val="BFBFBF"/>
                          </a:solidFill>
                          <a:ln w="12700">
                            <a:solidFill>
                              <a:srgbClr val="000000"/>
                            </a:solidFill>
                            <a:miter lim="800000"/>
                            <a:headEnd/>
                            <a:tailEnd/>
                          </a:ln>
                          <a:effectLst>
                            <a:outerShdw dist="23000" dir="5400000" rotWithShape="0">
                              <a:srgbClr val="000000">
                                <a:alpha val="34998"/>
                              </a:srgbClr>
                            </a:outerShdw>
                          </a:effectLst>
                        </wps:spPr>
                        <wps:txbx>
                          <w:txbxContent>
                            <w:p w14:paraId="757A593F" w14:textId="77777777" w:rsidR="00DA7779" w:rsidRPr="00A02A3A" w:rsidRDefault="00DA7779" w:rsidP="001433B5">
                              <w:pPr>
                                <w:rPr>
                                  <w:sz w:val="16"/>
                                  <w:szCs w:val="16"/>
                                </w:rPr>
                              </w:pPr>
                            </w:p>
                          </w:txbxContent>
                        </wps:txbx>
                        <wps:bodyPr rot="0" vert="horz" wrap="square" lIns="91440" tIns="45720" rIns="91440" bIns="45720" anchor="ctr" anchorCtr="0" upright="1">
                          <a:noAutofit/>
                        </wps:bodyPr>
                      </wps:wsp>
                      <wps:wsp>
                        <wps:cNvPr id="274" name="TextBox 33"/>
                        <wps:cNvSpPr txBox="1">
                          <a:spLocks noChangeArrowheads="1"/>
                        </wps:cNvSpPr>
                        <wps:spPr bwMode="auto">
                          <a:xfrm>
                            <a:off x="72286" y="56489"/>
                            <a:ext cx="10189" cy="18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935245" w14:textId="77777777" w:rsidR="00DA7779" w:rsidRDefault="00DA7779"/>
                          </w:txbxContent>
                        </wps:txbx>
                        <wps:bodyPr rot="0" vert="horz" wrap="square" lIns="91440" tIns="45720" rIns="91440" bIns="45720" anchor="t" anchorCtr="0" upright="1">
                          <a:noAutofit/>
                        </wps:bodyPr>
                      </wps:wsp>
                      <wps:wsp>
                        <wps:cNvPr id="269" name="TextBox 22"/>
                        <wps:cNvSpPr txBox="1">
                          <a:spLocks noChangeArrowheads="1"/>
                        </wps:cNvSpPr>
                        <wps:spPr bwMode="auto">
                          <a:xfrm>
                            <a:off x="8852" y="56604"/>
                            <a:ext cx="10034" cy="197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69E46E" w14:textId="77777777" w:rsidR="00DA7779" w:rsidRDefault="00DA7779"/>
                          </w:txbxContent>
                        </wps:txbx>
                        <wps:bodyPr rot="0" vert="horz" wrap="square" lIns="91440" tIns="45720" rIns="91440" bIns="45720" anchor="t" anchorCtr="0" upright="1">
                          <a:noAutofit/>
                        </wps:bodyPr>
                      </wps:wsp>
                      <wps:wsp>
                        <wps:cNvPr id="275" name="Rectangle 29"/>
                        <wps:cNvSpPr>
                          <a:spLocks noChangeArrowheads="1"/>
                        </wps:cNvSpPr>
                        <wps:spPr bwMode="auto">
                          <a:xfrm>
                            <a:off x="4315" y="42943"/>
                            <a:ext cx="9728" cy="11436"/>
                          </a:xfrm>
                          <a:prstGeom prst="rect">
                            <a:avLst/>
                          </a:prstGeom>
                          <a:solidFill>
                            <a:schemeClr val="accent6">
                              <a:lumMod val="20000"/>
                              <a:lumOff val="80000"/>
                            </a:schemeClr>
                          </a:solidFill>
                          <a:ln w="9525">
                            <a:solidFill>
                              <a:srgbClr val="000000"/>
                            </a:solidFill>
                            <a:miter lim="800000"/>
                            <a:headEnd/>
                            <a:tailEnd/>
                          </a:ln>
                          <a:effectLst>
                            <a:outerShdw dist="23000" dir="5400000" rotWithShape="0">
                              <a:srgbClr val="000000">
                                <a:alpha val="34998"/>
                              </a:srgbClr>
                            </a:outerShdw>
                          </a:effectLst>
                        </wps:spPr>
                        <wps:txbx>
                          <w:txbxContent>
                            <w:p w14:paraId="4C812FF3" w14:textId="02A044F7" w:rsidR="00DA7779" w:rsidRPr="00EE05BA" w:rsidRDefault="00DA7779" w:rsidP="0092126B">
                              <w:pPr>
                                <w:pStyle w:val="NormalWeb"/>
                                <w:spacing w:after="0"/>
                                <w:jc w:val="center"/>
                              </w:pPr>
                              <w:r>
                                <w:rPr>
                                  <w:rFonts w:ascii="Calibri" w:hAnsi="Calibri"/>
                                  <w:color w:val="000000"/>
                                  <w:kern w:val="24"/>
                                </w:rPr>
                                <w:t>DECT</w:t>
                              </w:r>
                            </w:p>
                          </w:txbxContent>
                        </wps:txbx>
                        <wps:bodyPr rot="0" vert="horz" wrap="square" lIns="91440" tIns="45720" rIns="91440" bIns="45720" anchor="ctr" anchorCtr="0" upright="1">
                          <a:noAutofit/>
                        </wps:bodyPr>
                      </wps:wsp>
                      <wps:wsp>
                        <wps:cNvPr id="273" name="TextBox 30"/>
                        <wps:cNvSpPr txBox="1">
                          <a:spLocks noChangeArrowheads="1"/>
                        </wps:cNvSpPr>
                        <wps:spPr bwMode="auto">
                          <a:xfrm>
                            <a:off x="40035" y="56489"/>
                            <a:ext cx="13046" cy="275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1EB06B" w14:textId="77777777" w:rsidR="00DA7779" w:rsidRDefault="00DA7779"/>
                          </w:txbxContent>
                        </wps:txbx>
                        <wps:bodyPr rot="0" vert="horz" wrap="square" lIns="91440" tIns="45720" rIns="91440" bIns="45720" anchor="t" anchorCtr="0" upright="1">
                          <a:noAutofit/>
                        </wps:bodyPr>
                      </wps:wsp>
                      <wps:wsp>
                        <wps:cNvPr id="276" name="Rectangle 58"/>
                        <wps:cNvSpPr>
                          <a:spLocks noChangeArrowheads="1"/>
                        </wps:cNvSpPr>
                        <wps:spPr bwMode="auto">
                          <a:xfrm>
                            <a:off x="14207" y="42943"/>
                            <a:ext cx="32407" cy="3166"/>
                          </a:xfrm>
                          <a:prstGeom prst="rect">
                            <a:avLst/>
                          </a:prstGeom>
                          <a:solidFill>
                            <a:srgbClr val="C0504D"/>
                          </a:solidFill>
                          <a:ln w="9525">
                            <a:solidFill>
                              <a:srgbClr val="000000"/>
                            </a:solidFill>
                            <a:miter lim="800000"/>
                            <a:headEnd/>
                            <a:tailEnd/>
                          </a:ln>
                          <a:effectLst>
                            <a:outerShdw dist="23000" dir="5400000" rotWithShape="0">
                              <a:srgbClr val="000000">
                                <a:alpha val="34998"/>
                              </a:srgbClr>
                            </a:outerShdw>
                          </a:effectLst>
                        </wps:spPr>
                        <wps:txbx>
                          <w:txbxContent>
                            <w:p w14:paraId="4C4FE12B" w14:textId="321459AE" w:rsidR="00DA7779" w:rsidRPr="00EE05BA" w:rsidRDefault="00DA7779" w:rsidP="00851901">
                              <w:pPr>
                                <w:pStyle w:val="NormalWeb"/>
                                <w:spacing w:before="0" w:beforeAutospacing="0" w:after="0" w:afterAutospacing="0"/>
                                <w:jc w:val="center"/>
                              </w:pPr>
                              <w:r>
                                <w:rPr>
                                  <w:rFonts w:ascii="Calibri" w:hAnsi="Calibri"/>
                                  <w:color w:val="000000"/>
                                  <w:kern w:val="24"/>
                                </w:rPr>
                                <w:t>DA2GCS FDD FL</w:t>
                              </w:r>
                            </w:p>
                          </w:txbxContent>
                        </wps:txbx>
                        <wps:bodyPr rot="0" vert="horz" wrap="square" lIns="91440" tIns="45720" rIns="91440" bIns="45720" anchor="ctr" anchorCtr="0" upright="1">
                          <a:noAutofit/>
                        </wps:bodyPr>
                      </wps:wsp>
                    </wpg:wgp>
                  </a:graphicData>
                </a:graphic>
              </wp:inline>
            </w:drawing>
          </mc:Choice>
          <mc:Fallback>
            <w:pict>
              <v:group id="_x0000_s1118" style="width:401.8pt;height:180.5pt;mso-position-horizontal-relative:char;mso-position-vertical-relative:line" coordorigin="4315,42943" coordsize="78160,162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">
                <v:rect id="Rectangle 91" o:spid="_x0000_s1119" style="position:absolute;left:14208;top:54485;width:63340;height:53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Pei/MUA&#10;AADcAAAADwAAAGRycy9kb3ducmV2LnhtbESPT2sCMRTE74LfITzBW83qYaurUURo8dBDtQX19ti8&#10;/YOblzWJuv32Rih4HGbmN8xi1ZlG3Mj52rKC8SgBQZxbXXOp4Pfn420KwgdkjY1lUvBHHlbLfm+B&#10;mbZ33tFtH0oRIewzVFCF0GZS+rwig35kW+LoFdYZDFG6UmqH9wg3jZwkSSoN1hwXKmxpU1F+3l+N&#10;gk3aHE+X3ThsP4tu5g7+q+DvqVLDQbeegwjUhVf4v73VCibpOzzPxCMgl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96L8xQAAANwAAAAPAAAAAAAAAAAAAAAAAJgCAABkcnMv&#10;ZG93bnJldi54bWxQSwUGAAAAAAQABAD1AAAAigMAAAAA&#10;" fillcolor="#bfbfbf" strokeweight="1pt">
                  <v:shadow on="t" color="black" opacity="22936f" origin=",.5" offset="0,.63889mm"/>
                  <v:textbox>
                    <w:txbxContent/>
                  </v:textbox>
                </v:rect>
                <v:rect id="Rectangle 24" o:spid="_x0000_s1120" style="position:absolute;left:14208;top:49843;width:62911;height:45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nPJsAA&#10;AADcAAAADwAAAGRycy9kb3ducmV2LnhtbERPS27CMBDdV+IO1iCxaxxYRCVgEJ8i0RUkcIBRPMQR&#10;8TiKXUhvXy+QWD69/3I92FY8qPeNYwXTJAVBXDndcK3gejl8foHwAVlj65gU/JGH9Wr0scRcuycX&#10;9ChDLWII+xwVmBC6XEpfGbLoE9cRR+7meoshwr6WusdnDLetnKVpJi02HBsMdrQzVN3LX6vAXW9U&#10;ynp7zOx+Xpyys/k5fRdKTcbDZgEi0BDe4pf7qBXMsrg2nolHQK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GnPJsAAAADcAAAADwAAAAAAAAAAAAAAAACYAgAAZHJzL2Rvd25y&#10;ZXYueG1sUEsFBgAAAAAEAAQA9QAAAIUDAAAAAA==&#10;" fillcolor="#b2a1c7 [1943]" strokeweight="1pt">
                  <v:shadow on="t" color="black" opacity="22936f" origin=",.5" offset="0,.63889mm"/>
                  <v:textbox>
                    <w:txbxContent>
                      <w:p w14:paraId="3E8A0D48" w14:textId="77777777" w:rsidR="00DA7779" w:rsidRDefault="00DA7779" w:rsidP="00851901">
                        <w:pPr>
                          <w:pStyle w:val="NormalWeb"/>
                          <w:spacing w:before="0" w:beforeAutospacing="0" w:after="0" w:afterAutospacing="0"/>
                          <w:jc w:val="center"/>
                          <w:rPr>
                            <w:rFonts w:ascii="Calibri" w:hAnsi="Calibri"/>
                            <w:color w:val="000000"/>
                            <w:kern w:val="24"/>
                            <w:sz w:val="16"/>
                            <w:szCs w:val="16"/>
                          </w:rPr>
                        </w:pPr>
                        <w:r>
                          <w:rPr>
                            <w:rFonts w:ascii="Calibri" w:hAnsi="Calibri"/>
                            <w:color w:val="000000"/>
                            <w:kern w:val="24"/>
                            <w:sz w:val="16"/>
                            <w:szCs w:val="16"/>
                          </w:rPr>
                          <w:t xml:space="preserve">Applications under general </w:t>
                        </w:r>
                        <w:proofErr w:type="spellStart"/>
                        <w:r>
                          <w:rPr>
                            <w:rFonts w:ascii="Calibri" w:hAnsi="Calibri"/>
                            <w:color w:val="000000"/>
                            <w:kern w:val="24"/>
                            <w:sz w:val="16"/>
                            <w:szCs w:val="16"/>
                          </w:rPr>
                          <w:t>authorisation</w:t>
                        </w:r>
                        <w:proofErr w:type="spellEnd"/>
                        <w:r>
                          <w:rPr>
                            <w:rFonts w:ascii="Calibri" w:hAnsi="Calibri"/>
                            <w:color w:val="000000"/>
                            <w:kern w:val="24"/>
                            <w:sz w:val="16"/>
                            <w:szCs w:val="16"/>
                          </w:rPr>
                          <w:t xml:space="preserve"> (DECT / SRD) </w:t>
                        </w:r>
                      </w:p>
                      <w:p w14:paraId="512C4F0F" w14:textId="77777777" w:rsidR="00DA7779" w:rsidRPr="00B26244" w:rsidRDefault="00DA7779" w:rsidP="00851901">
                        <w:pPr>
                          <w:pStyle w:val="NormalWeb"/>
                          <w:spacing w:before="0" w:beforeAutospacing="0" w:after="0" w:afterAutospacing="0"/>
                          <w:jc w:val="center"/>
                          <w:rPr>
                            <w:rFonts w:ascii="Calibri" w:hAnsi="Calibri"/>
                            <w:color w:val="000000"/>
                            <w:kern w:val="24"/>
                            <w:sz w:val="16"/>
                            <w:szCs w:val="16"/>
                          </w:rPr>
                        </w:pPr>
                        <w:r w:rsidRPr="00B26244">
                          <w:rPr>
                            <w:rFonts w:ascii="Calibri" w:hAnsi="Calibri"/>
                            <w:color w:val="000000"/>
                            <w:kern w:val="24"/>
                            <w:sz w:val="16"/>
                            <w:szCs w:val="16"/>
                          </w:rPr>
                          <w:t>Not proposed to be introduced in a Commission implementing decision</w:t>
                        </w:r>
                      </w:p>
                    </w:txbxContent>
                  </v:textbox>
                </v:rect>
                <v:rect id="Rectangle 26" o:spid="_x0000_s1121" style="position:absolute;left:77284;top:49932;width:363;height:622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YsJzsYA&#10;AADcAAAADwAAAGRycy9kb3ducmV2LnhtbESPS2vDMBCE74H+B7GF3GLZOaSpG8UUQ0sOOTQPaHtb&#10;rPWDWitXUhLn31eFQI7DzHzDrIrR9OJMzneWFWRJCoK4srrjRsHx8DZbgvABWWNvmRRcyUOxfpis&#10;MNf2wjs670MjIoR9jgraEIZcSl+1ZNAndiCOXm2dwRCla6R2eIlw08t5mi6kwY7jQosDlS1VP/uT&#10;UVAu+q/v310WNu/1+Ow+/bbmj6VS08fx9QVEoDHcw7f2RiuYP2XwfyYeAbn+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YsJzsYAAADcAAAADwAAAAAAAAAAAAAAAACYAgAAZHJz&#10;L2Rvd25yZXYueG1sUEsFBgAAAAAEAAQA9QAAAIsDAAAAAA==&#10;" fillcolor="#bfbfbf" strokeweight="1pt">
                  <v:shadow on="t" color="black" opacity="22936f" origin=",.5" offset="0,.63889mm"/>
                  <v:textbox>
                    <w:txbxContent>
                      <w:p w14:paraId="757A593F" w14:textId="77777777" w:rsidR="00DA7779" w:rsidRPr="00A02A3A" w:rsidRDefault="00DA7779" w:rsidP="001433B5">
                        <w:pPr>
                          <w:rPr>
                            <w:sz w:val="16"/>
                            <w:szCs w:val="16"/>
                          </w:rPr>
                        </w:pPr>
                      </w:p>
                    </w:txbxContent>
                  </v:textbox>
                </v:rect>
                <v:shape id="_x0000_s1122" type="#_x0000_t202" style="position:absolute;left:72286;top:56489;width:10189;height:18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EgL4sQA&#10;AADcAAAADwAAAGRycy9kb3ducmV2LnhtbESPQWvCQBSE74L/YXmCt7qr2NZGVxFF6MnStBa8PbLP&#10;JJh9G7Krif/eFQoeh5n5hlmsOluJKzW+dKxhPFIgiDNnSs41/P7sXmYgfEA2WDkmDTfysFr2ewtM&#10;jGv5m65pyEWEsE9QQxFCnUjps4Is+pGriaN3co3FEGWTS9NgG+G2khOl3qTFkuNCgTVtCsrO6cVq&#10;OOxPx7+p+sq39rVuXack2w+p9XDQrecgAnXhGf5vfxoNk/cpPM7EIyC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BIC+LEAAAA3AAAAA8AAAAAAAAAAAAAAAAAmAIAAGRycy9k&#10;b3ducmV2LnhtbFBLBQYAAAAABAAEAPUAAACJAwAAAAA=&#10;" filled="f" stroked="f">
                  <v:textbox>
                    <w:txbxContent>
                      <w:p w14:paraId="6B935245" w14:textId="77777777" w:rsidR="00DA7779" w:rsidRDefault="00DA7779"/>
                    </w:txbxContent>
                  </v:textbox>
                </v:shape>
                <v:shape id="_x0000_s1123" type="#_x0000_t202" style="position:absolute;left:8852;top:56604;width:10034;height:19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5AyocQA&#10;AADcAAAADwAAAGRycy9kb3ducmV2LnhtbESPQWvCQBSE70L/w/IKveluxYYa3QSxCD1VjG3B2yP7&#10;TEKzb0N2a9J/3xUEj8PMfMOs89G24kK9bxxreJ4pEMSlMw1XGj6Pu+krCB+QDbaOScMfecizh8ka&#10;U+MGPtClCJWIEPYpaqhD6FIpfVmTRT9zHXH0zq63GKLsK2l6HCLctnKuVCItNhwXauxoW1P5U/xa&#10;DV8f59P3Qu2rN/vSDW5Uku1Sav30OG5WIAKN4R6+td+NhnmyhOuZeARk9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uQMqHEAAAA3AAAAA8AAAAAAAAAAAAAAAAAmAIAAGRycy9k&#10;b3ducmV2LnhtbFBLBQYAAAAABAAEAPUAAACJAwAAAAA=&#10;" filled="f" stroked="f">
                  <v:textbox>
                    <w:txbxContent>
                      <w:p w14:paraId="1069E46E" w14:textId="77777777" w:rsidR="00DA7779" w:rsidRDefault="00DA7779"/>
                    </w:txbxContent>
                  </v:textbox>
                </v:shape>
                <v:rect id="Rectangle 29" o:spid="_x0000_s1124" style="position:absolute;left:4315;top:42943;width:9728;height:1143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6Sn+8QA&#10;AADcAAAADwAAAGRycy9kb3ducmV2LnhtbESPS2vDMBCE74X8B7GB3pJ1EvKoG9mEgCGUUsgDel2s&#10;re3WWhlLTdx/HxUKPQ4z8w2zzQfbqiv3vnGiYTZNQLGUzjRSabici8kGlA8khlonrOGHPeTZ6GFL&#10;qXE3OfL1FCoVIeJT0lCH0KWIvqzZkp+6jiV6H663FKLsKzQ93SLctjhPkhVaaiQu1NTxvuby6/Rt&#10;NRSHd3RFqHC/eHl6/bxYpMUbav04HnbPoAIP4T/81z4YDfP1En7PxCOA2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ekp/vEAAAA3AAAAA8AAAAAAAAAAAAAAAAAmAIAAGRycy9k&#10;b3ducmV2LnhtbFBLBQYAAAAABAAEAPUAAACJAwAAAAA=&#10;" fillcolor="#fde9d9 [665]">
                  <v:shadow on="t" color="black" opacity="22936f" origin=",.5" offset="0,.63889mm"/>
                  <v:textbox>
                    <w:txbxContent>
                      <w:p w14:paraId="4C812FF3" w14:textId="02A044F7" w:rsidR="00DA7779" w:rsidRPr="00EE05BA" w:rsidRDefault="00DA7779" w:rsidP="0092126B">
                        <w:pPr>
                          <w:pStyle w:val="NormalWeb"/>
                          <w:spacing w:after="0"/>
                          <w:jc w:val="center"/>
                        </w:pPr>
                        <w:r>
                          <w:rPr>
                            <w:rFonts w:ascii="Calibri" w:hAnsi="Calibri"/>
                            <w:color w:val="000000"/>
                            <w:kern w:val="24"/>
                          </w:rPr>
                          <w:t>DECT</w:t>
                        </w:r>
                      </w:p>
                    </w:txbxContent>
                  </v:textbox>
                </v:rect>
                <v:shape id="_x0000_s1125" type="#_x0000_t202" style="position:absolute;left:40035;top:56489;width:13046;height:27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6GTlsQA&#10;AADcAAAADwAAAGRycy9kb3ducmV2LnhtbESPS2vDMBCE74H8B7GF3hKpaV51rYTSEuippXlBbou1&#10;fhBrZSw1dv99FQjkOMzMN0y67m0tLtT6yrGGp7ECQZw5U3GhYb/bjJYgfEA2WDsmDX/kYb0aDlJM&#10;jOv4hy7bUIgIYZ+ghjKEJpHSZyVZ9GPXEEcvd63FEGVbSNNiF+G2lhOl5tJixXGhxIbeS8rO21+r&#10;4fCVn45T9V182FnTuV5Jti9S68eH/u0VRKA+3MO39qfRMFk8w/VMPAJy9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hk5bEAAAA3AAAAA8AAAAAAAAAAAAAAAAAmAIAAGRycy9k&#10;b3ducmV2LnhtbFBLBQYAAAAABAAEAPUAAACJAwAAAAA=&#10;" filled="f" stroked="f">
                  <v:textbox>
                    <w:txbxContent>
                      <w:p w14:paraId="3C1EB06B" w14:textId="77777777" w:rsidR="00DA7779" w:rsidRDefault="00DA7779"/>
                    </w:txbxContent>
                  </v:textbox>
                </v:shape>
                <v:rect id="Rectangle 58" o:spid="_x0000_s1126" style="position:absolute;left:14207;top:42943;width:32407;height:316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Y72p8UA&#10;AADcAAAADwAAAGRycy9kb3ducmV2LnhtbESPQWvCQBSE7wX/w/IKXqRuFKo2dRURLZ4EEy+9PbKv&#10;Sdrs27C7xvjvXUHocZiZb5jlujeN6Mj52rKCyTgBQVxYXXOp4Jzv3xYgfEDW2FgmBTfysF4NXpaY&#10;anvlE3VZKEWEsE9RQRVCm0rpi4oM+rFtiaP3Y53BEKUrpXZ4jXDTyGmSzKTBmuNChS1tKyr+sotR&#10;UOaTRd5+7469d91t//6Rf43kr1LD137zCSJQH/7Dz/ZBK5jOZ/A4E4+AXN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jvanxQAAANwAAAAPAAAAAAAAAAAAAAAAAJgCAABkcnMv&#10;ZG93bnJldi54bWxQSwUGAAAAAAQABAD1AAAAigMAAAAA&#10;" fillcolor="#c0504d">
                  <v:shadow on="t" color="black" opacity="22936f" origin=",.5" offset="0,.63889mm"/>
                  <v:textbox>
                    <w:txbxContent>
                      <w:p w14:paraId="4C4FE12B" w14:textId="321459AE" w:rsidR="00DA7779" w:rsidRPr="00EE05BA" w:rsidRDefault="00DA7779" w:rsidP="00851901">
                        <w:pPr>
                          <w:pStyle w:val="NormalWeb"/>
                          <w:spacing w:before="0" w:beforeAutospacing="0" w:after="0" w:afterAutospacing="0"/>
                          <w:jc w:val="center"/>
                        </w:pPr>
                        <w:r>
                          <w:rPr>
                            <w:rFonts w:ascii="Calibri" w:hAnsi="Calibri"/>
                            <w:color w:val="000000"/>
                            <w:kern w:val="24"/>
                          </w:rPr>
                          <w:t>DA2GCS FDD FL</w:t>
                        </w:r>
                      </w:p>
                    </w:txbxContent>
                  </v:textbox>
                </v:rect>
                <w10:anchorlock/>
              </v:group>
            </w:pict>
          </mc:Fallback>
        </mc:AlternateContent>
      </w:r>
    </w:p>
    <w:p w14:paraId="1B3FE5B8" w14:textId="77777777" w:rsidR="001433B5" w:rsidRPr="00040BEC" w:rsidRDefault="001433B5" w:rsidP="001433B5">
      <w:pPr>
        <w:pStyle w:val="Caption"/>
        <w:rPr>
          <w:lang w:val="en-GB"/>
        </w:rPr>
      </w:pPr>
      <w:bookmarkStart w:id="79" w:name="_Ref412119970"/>
      <w:bookmarkEnd w:id="78"/>
      <w:r w:rsidRPr="00040BEC">
        <w:rPr>
          <w:lang w:val="en-GB"/>
        </w:rPr>
        <w:t xml:space="preserve">Figure </w:t>
      </w:r>
      <w:r w:rsidR="000A5980" w:rsidRPr="00040BEC">
        <w:rPr>
          <w:lang w:val="en-GB"/>
        </w:rPr>
        <w:fldChar w:fldCharType="begin"/>
      </w:r>
      <w:r w:rsidRPr="00040BEC">
        <w:rPr>
          <w:lang w:val="en-GB"/>
        </w:rPr>
        <w:instrText xml:space="preserve"> SEQ Figure \* ARABIC </w:instrText>
      </w:r>
      <w:r w:rsidR="000A5980" w:rsidRPr="00040BEC">
        <w:rPr>
          <w:lang w:val="en-GB"/>
        </w:rPr>
        <w:fldChar w:fldCharType="separate"/>
      </w:r>
      <w:r w:rsidR="002327BB">
        <w:rPr>
          <w:noProof/>
          <w:lang w:val="en-GB"/>
        </w:rPr>
        <w:t>14</w:t>
      </w:r>
      <w:r w:rsidR="000A5980" w:rsidRPr="00040BEC">
        <w:rPr>
          <w:lang w:val="en-GB"/>
        </w:rPr>
        <w:fldChar w:fldCharType="end"/>
      </w:r>
      <w:bookmarkEnd w:id="79"/>
      <w:r w:rsidRPr="00040BEC">
        <w:rPr>
          <w:lang w:val="en-GB"/>
        </w:rPr>
        <w:t xml:space="preserve">: Scenario 1, lower band </w:t>
      </w:r>
      <w:r w:rsidRPr="00040BEC">
        <w:rPr>
          <w:szCs w:val="24"/>
          <w:lang w:val="en-GB"/>
        </w:rPr>
        <w:t>(DA2GCS FDD</w:t>
      </w:r>
      <w:r w:rsidR="00B1082D" w:rsidRPr="00040BEC">
        <w:rPr>
          <w:szCs w:val="24"/>
          <w:lang w:val="en-GB"/>
        </w:rPr>
        <w:t xml:space="preserve"> (forward link)</w:t>
      </w:r>
      <w:r w:rsidRPr="00040BEC">
        <w:rPr>
          <w:szCs w:val="24"/>
          <w:lang w:val="en-GB"/>
        </w:rPr>
        <w:t>, VLCC, DECT / SRD)</w:t>
      </w:r>
    </w:p>
    <w:p w14:paraId="7D5C85C7" w14:textId="77777777" w:rsidR="00461462" w:rsidRPr="00040BEC" w:rsidRDefault="00461462" w:rsidP="00461462">
      <w:pPr>
        <w:rPr>
          <w:lang w:val="en-GB"/>
        </w:rPr>
      </w:pPr>
    </w:p>
    <w:p w14:paraId="61851D80" w14:textId="77777777" w:rsidR="007C3FAF" w:rsidRPr="00040BEC" w:rsidRDefault="007C3FAF" w:rsidP="00461462">
      <w:pPr>
        <w:rPr>
          <w:lang w:val="en-GB"/>
        </w:rPr>
      </w:pPr>
    </w:p>
    <w:bookmarkStart w:id="80" w:name="_Ref380596629"/>
    <w:p w14:paraId="4AC99B3B" w14:textId="77777777" w:rsidR="001433B5" w:rsidRPr="00040BEC" w:rsidRDefault="00531617" w:rsidP="001433B5">
      <w:pPr>
        <w:rPr>
          <w:rFonts w:cs="Arial"/>
          <w:noProof/>
          <w:lang w:val="en-GB"/>
        </w:rPr>
      </w:pPr>
      <w:r w:rsidRPr="00040BEC">
        <w:rPr>
          <w:noProof/>
          <w:lang w:val="da-DK" w:eastAsia="da-DK"/>
        </w:rPr>
        <mc:AlternateContent>
          <mc:Choice Requires="wps">
            <w:drawing>
              <wp:anchor distT="0" distB="0" distL="114300" distR="114300" simplePos="0" relativeHeight="251689984" behindDoc="0" locked="0" layoutInCell="1" allowOverlap="1" wp14:anchorId="68DD7ED4" wp14:editId="145769F4">
                <wp:simplePos x="0" y="0"/>
                <wp:positionH relativeFrom="margin">
                  <wp:posOffset>643890</wp:posOffset>
                </wp:positionH>
                <wp:positionV relativeFrom="paragraph">
                  <wp:posOffset>454660</wp:posOffset>
                </wp:positionV>
                <wp:extent cx="3191510" cy="528320"/>
                <wp:effectExtent l="0" t="0" r="27940" b="62230"/>
                <wp:wrapNone/>
                <wp:docPr id="265" name="Rectangle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91510" cy="528320"/>
                        </a:xfrm>
                        <a:prstGeom prst="rect">
                          <a:avLst/>
                        </a:prstGeom>
                        <a:solidFill>
                          <a:srgbClr val="F79646"/>
                        </a:solidFill>
                        <a:ln w="12700">
                          <a:solidFill>
                            <a:srgbClr val="000000"/>
                          </a:solidFill>
                          <a:miter lim="800000"/>
                          <a:headEnd/>
                          <a:tailEnd/>
                        </a:ln>
                        <a:effectLst>
                          <a:outerShdw dist="23000" dir="5400000" rotWithShape="0">
                            <a:srgbClr val="000000">
                              <a:alpha val="34999"/>
                            </a:srgbClr>
                          </a:outerShdw>
                        </a:effectLst>
                      </wps:spPr>
                      <wps:txbx>
                        <w:txbxContent>
                          <w:p w14:paraId="10AD0D54" w14:textId="77777777" w:rsidR="00DA7779" w:rsidRPr="000E3DAE" w:rsidRDefault="00DA7779" w:rsidP="00812521">
                            <w:pPr>
                              <w:pStyle w:val="NormalWeb"/>
                              <w:jc w:val="center"/>
                              <w:rPr>
                                <w:rFonts w:ascii="Calibri" w:hAnsi="Calibri"/>
                                <w:color w:val="000000"/>
                                <w:kern w:val="24"/>
                                <w:sz w:val="22"/>
                                <w:szCs w:val="22"/>
                              </w:rPr>
                            </w:pPr>
                            <w:r>
                              <w:rPr>
                                <w:rFonts w:ascii="Calibri" w:hAnsi="Calibri"/>
                                <w:color w:val="000000"/>
                                <w:kern w:val="24"/>
                                <w:sz w:val="22"/>
                                <w:szCs w:val="22"/>
                              </w:rPr>
                              <w:t>Audio PMSE</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ect id="_x0000_s1127" style="position:absolute;margin-left:50.7pt;margin-top:35.8pt;width:251.3pt;height:41.6pt;z-index:2516899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" fillcolor="#f79646" strokeweight="1pt">
                <v:shadow on="t" color="black" opacity="22936f" origin=",.5" offset="0,.63889mm"/>
                <v:textbox>
                  <w:txbxContent>
                    <w:p w14:paraId="10AD0D54" w14:textId="77777777" w:rsidR="00DA7779" w:rsidRPr="000E3DAE" w:rsidRDefault="00DA7779" w:rsidP="00812521">
                      <w:pPr>
                        <w:pStyle w:val="NormalWeb"/>
                        <w:jc w:val="center"/>
                        <w:rPr>
                          <w:rFonts w:ascii="Calibri" w:hAnsi="Calibri"/>
                          <w:color w:val="000000"/>
                          <w:kern w:val="24"/>
                          <w:sz w:val="22"/>
                          <w:szCs w:val="22"/>
                        </w:rPr>
                      </w:pPr>
                      <w:r>
                        <w:rPr>
                          <w:rFonts w:ascii="Calibri" w:hAnsi="Calibri"/>
                          <w:color w:val="000000"/>
                          <w:kern w:val="24"/>
                          <w:sz w:val="22"/>
                          <w:szCs w:val="22"/>
                        </w:rPr>
                        <w:t>Audio PMSE</w:t>
                      </w:r>
                    </w:p>
                  </w:txbxContent>
                </v:textbox>
                <w10:wrap anchorx="margin"/>
              </v:rect>
            </w:pict>
          </mc:Fallback>
        </mc:AlternateContent>
      </w:r>
      <w:r w:rsidRPr="00040BEC">
        <w:rPr>
          <w:noProof/>
          <w:lang w:val="da-DK" w:eastAsia="da-DK"/>
        </w:rPr>
        <mc:AlternateContent>
          <mc:Choice Requires="wps">
            <w:drawing>
              <wp:anchor distT="0" distB="0" distL="114300" distR="114300" simplePos="0" relativeHeight="251685888" behindDoc="0" locked="0" layoutInCell="1" allowOverlap="1" wp14:anchorId="78886E6F" wp14:editId="25018C64">
                <wp:simplePos x="0" y="0"/>
                <wp:positionH relativeFrom="margin">
                  <wp:posOffset>3835400</wp:posOffset>
                </wp:positionH>
                <wp:positionV relativeFrom="paragraph">
                  <wp:posOffset>5715</wp:posOffset>
                </wp:positionV>
                <wp:extent cx="1103630" cy="1604645"/>
                <wp:effectExtent l="0" t="0" r="20320" b="52705"/>
                <wp:wrapNone/>
                <wp:docPr id="44" name="Rectangle 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03630" cy="1604645"/>
                        </a:xfrm>
                        <a:prstGeom prst="rect">
                          <a:avLst/>
                        </a:prstGeom>
                        <a:solidFill>
                          <a:schemeClr val="accent4">
                            <a:lumMod val="20000"/>
                            <a:lumOff val="80000"/>
                          </a:schemeClr>
                        </a:solidFill>
                        <a:ln w="9525">
                          <a:solidFill>
                            <a:srgbClr val="000000"/>
                          </a:solidFill>
                          <a:miter lim="800000"/>
                          <a:headEnd/>
                          <a:tailEnd/>
                        </a:ln>
                        <a:effectLst>
                          <a:outerShdw dist="23000" dir="5400000" rotWithShape="0">
                            <a:srgbClr val="000000">
                              <a:alpha val="34999"/>
                            </a:srgbClr>
                          </a:outerShdw>
                        </a:effectLst>
                      </wps:spPr>
                      <wps:txbx>
                        <w:txbxContent>
                          <w:p w14:paraId="4179FE67" w14:textId="77777777" w:rsidR="00DA7779" w:rsidRPr="003B6FB4" w:rsidRDefault="00DA7779" w:rsidP="001433B5">
                            <w:pPr>
                              <w:pStyle w:val="NormalWeb"/>
                              <w:spacing w:after="0"/>
                              <w:jc w:val="center"/>
                              <w:rPr>
                                <w:rFonts w:ascii="Calibri" w:hAnsi="Calibri"/>
                                <w:color w:val="000000"/>
                                <w:kern w:val="24"/>
                                <w:sz w:val="22"/>
                                <w:szCs w:val="22"/>
                              </w:rPr>
                            </w:pPr>
                            <w:r w:rsidRPr="003B6FB4">
                              <w:rPr>
                                <w:rFonts w:ascii="Calibri" w:hAnsi="Calibri"/>
                                <w:color w:val="000000"/>
                                <w:kern w:val="24"/>
                                <w:sz w:val="22"/>
                                <w:szCs w:val="22"/>
                              </w:rPr>
                              <w:t>Space Services (SRS, SOS, EESS)</w:t>
                            </w:r>
                          </w:p>
                          <w:p w14:paraId="00219063" w14:textId="77777777" w:rsidR="00DA7779" w:rsidRPr="003B6FB4" w:rsidRDefault="00DA7779" w:rsidP="001433B5">
                            <w:pPr>
                              <w:pStyle w:val="NormalWeb"/>
                              <w:spacing w:after="0"/>
                              <w:jc w:val="center"/>
                              <w:rPr>
                                <w:rFonts w:ascii="Calibri" w:hAnsi="Calibri"/>
                                <w:color w:val="000000"/>
                                <w:kern w:val="24"/>
                                <w:sz w:val="22"/>
                                <w:szCs w:val="22"/>
                                <w:lang w:val="pt-PT"/>
                              </w:rPr>
                            </w:pPr>
                            <w:r w:rsidRPr="003B6FB4">
                              <w:rPr>
                                <w:rFonts w:ascii="Calibri" w:hAnsi="Calibri"/>
                                <w:color w:val="000000"/>
                                <w:kern w:val="24"/>
                                <w:sz w:val="22"/>
                                <w:szCs w:val="22"/>
                                <w:lang w:val="pt-PT"/>
                              </w:rPr>
                              <w:t>PMSE</w:t>
                            </w:r>
                          </w:p>
                          <w:p w14:paraId="22ACC6B6" w14:textId="77777777" w:rsidR="00DA7779" w:rsidRPr="003B6FB4" w:rsidRDefault="00DA7779" w:rsidP="001433B5">
                            <w:pPr>
                              <w:pStyle w:val="NormalWeb"/>
                              <w:spacing w:after="0"/>
                              <w:jc w:val="center"/>
                              <w:rPr>
                                <w:rFonts w:ascii="Calibri" w:hAnsi="Calibri"/>
                                <w:color w:val="000000"/>
                                <w:kern w:val="24"/>
                                <w:sz w:val="22"/>
                                <w:szCs w:val="22"/>
                                <w:lang w:val="pt-PT"/>
                              </w:rPr>
                            </w:pPr>
                            <w:r w:rsidRPr="003B6FB4">
                              <w:rPr>
                                <w:rFonts w:ascii="Calibri" w:hAnsi="Calibri"/>
                                <w:color w:val="000000"/>
                                <w:kern w:val="24"/>
                                <w:sz w:val="22"/>
                                <w:szCs w:val="22"/>
                                <w:lang w:val="pt-PT"/>
                              </w:rPr>
                              <w:t>Fixed</w:t>
                            </w:r>
                          </w:p>
                          <w:p w14:paraId="594FF60E" w14:textId="77777777" w:rsidR="00DA7779" w:rsidRPr="003B6FB4" w:rsidRDefault="00DA7779" w:rsidP="001433B5">
                            <w:pPr>
                              <w:pStyle w:val="NormalWeb"/>
                              <w:spacing w:after="0"/>
                              <w:jc w:val="center"/>
                              <w:rPr>
                                <w:rFonts w:ascii="Calibri" w:hAnsi="Calibri"/>
                                <w:color w:val="000000"/>
                                <w:kern w:val="24"/>
                                <w:sz w:val="22"/>
                                <w:szCs w:val="22"/>
                                <w:lang w:val="pt-PT"/>
                              </w:rPr>
                            </w:pPr>
                            <w:r w:rsidRPr="003B6FB4">
                              <w:rPr>
                                <w:rFonts w:ascii="Calibri" w:hAnsi="Calibri"/>
                                <w:color w:val="000000"/>
                                <w:kern w:val="24"/>
                                <w:sz w:val="22"/>
                                <w:szCs w:val="22"/>
                                <w:lang w:val="pt-PT"/>
                              </w:rPr>
                              <w:t>Defence</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ect id="_x0000_s1128" style="position:absolute;margin-left:302pt;margin-top:.45pt;width:86.9pt;height:126.35pt;z-index:2516858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" fillcolor="#e5dfec [663]">
                <v:shadow on="t" color="black" opacity="22936f" origin=",.5" offset="0,.63889mm"/>
                <v:textbox>
                  <w:txbxContent>
                    <w:p w14:paraId="4179FE67" w14:textId="77777777" w:rsidR="00DA7779" w:rsidRPr="003B6FB4" w:rsidRDefault="00DA7779" w:rsidP="001433B5">
                      <w:pPr>
                        <w:pStyle w:val="NormalWeb"/>
                        <w:spacing w:after="0"/>
                        <w:jc w:val="center"/>
                        <w:rPr>
                          <w:rFonts w:ascii="Calibri" w:hAnsi="Calibri"/>
                          <w:color w:val="000000"/>
                          <w:kern w:val="24"/>
                          <w:sz w:val="22"/>
                          <w:szCs w:val="22"/>
                        </w:rPr>
                      </w:pPr>
                      <w:r w:rsidRPr="003B6FB4">
                        <w:rPr>
                          <w:rFonts w:ascii="Calibri" w:hAnsi="Calibri"/>
                          <w:color w:val="000000"/>
                          <w:kern w:val="24"/>
                          <w:sz w:val="22"/>
                          <w:szCs w:val="22"/>
                        </w:rPr>
                        <w:t>Space Services (SRS, SOS, EESS)</w:t>
                      </w:r>
                    </w:p>
                    <w:p w14:paraId="00219063" w14:textId="77777777" w:rsidR="00DA7779" w:rsidRPr="003B6FB4" w:rsidRDefault="00DA7779" w:rsidP="001433B5">
                      <w:pPr>
                        <w:pStyle w:val="NormalWeb"/>
                        <w:spacing w:after="0"/>
                        <w:jc w:val="center"/>
                        <w:rPr>
                          <w:rFonts w:ascii="Calibri" w:hAnsi="Calibri"/>
                          <w:color w:val="000000"/>
                          <w:kern w:val="24"/>
                          <w:sz w:val="22"/>
                          <w:szCs w:val="22"/>
                          <w:lang w:val="pt-PT"/>
                        </w:rPr>
                      </w:pPr>
                      <w:r w:rsidRPr="003B6FB4">
                        <w:rPr>
                          <w:rFonts w:ascii="Calibri" w:hAnsi="Calibri"/>
                          <w:color w:val="000000"/>
                          <w:kern w:val="24"/>
                          <w:sz w:val="22"/>
                          <w:szCs w:val="22"/>
                          <w:lang w:val="pt-PT"/>
                        </w:rPr>
                        <w:t>PMSE</w:t>
                      </w:r>
                    </w:p>
                    <w:p w14:paraId="22ACC6B6" w14:textId="77777777" w:rsidR="00DA7779" w:rsidRPr="003B6FB4" w:rsidRDefault="00DA7779" w:rsidP="001433B5">
                      <w:pPr>
                        <w:pStyle w:val="NormalWeb"/>
                        <w:spacing w:after="0"/>
                        <w:jc w:val="center"/>
                        <w:rPr>
                          <w:rFonts w:ascii="Calibri" w:hAnsi="Calibri"/>
                          <w:color w:val="000000"/>
                          <w:kern w:val="24"/>
                          <w:sz w:val="22"/>
                          <w:szCs w:val="22"/>
                          <w:lang w:val="pt-PT"/>
                        </w:rPr>
                      </w:pPr>
                      <w:r w:rsidRPr="003B6FB4">
                        <w:rPr>
                          <w:rFonts w:ascii="Calibri" w:hAnsi="Calibri"/>
                          <w:color w:val="000000"/>
                          <w:kern w:val="24"/>
                          <w:sz w:val="22"/>
                          <w:szCs w:val="22"/>
                          <w:lang w:val="pt-PT"/>
                        </w:rPr>
                        <w:t>Fixed</w:t>
                      </w:r>
                    </w:p>
                    <w:p w14:paraId="594FF60E" w14:textId="77777777" w:rsidR="00DA7779" w:rsidRPr="003B6FB4" w:rsidRDefault="00DA7779" w:rsidP="001433B5">
                      <w:pPr>
                        <w:pStyle w:val="NormalWeb"/>
                        <w:spacing w:after="0"/>
                        <w:jc w:val="center"/>
                        <w:rPr>
                          <w:rFonts w:ascii="Calibri" w:hAnsi="Calibri"/>
                          <w:color w:val="000000"/>
                          <w:kern w:val="24"/>
                          <w:sz w:val="22"/>
                          <w:szCs w:val="22"/>
                          <w:lang w:val="pt-PT"/>
                        </w:rPr>
                      </w:pPr>
                      <w:r w:rsidRPr="003B6FB4">
                        <w:rPr>
                          <w:rFonts w:ascii="Calibri" w:hAnsi="Calibri"/>
                          <w:color w:val="000000"/>
                          <w:kern w:val="24"/>
                          <w:sz w:val="22"/>
                          <w:szCs w:val="22"/>
                          <w:lang w:val="pt-PT"/>
                        </w:rPr>
                        <w:t>Defence</w:t>
                      </w:r>
                    </w:p>
                  </w:txbxContent>
                </v:textbox>
                <w10:wrap anchorx="margin"/>
              </v:rect>
            </w:pict>
          </mc:Fallback>
        </mc:AlternateContent>
      </w:r>
      <w:r w:rsidRPr="00040BEC">
        <w:rPr>
          <w:noProof/>
          <w:lang w:val="da-DK" w:eastAsia="da-DK"/>
        </w:rPr>
        <mc:AlternateContent>
          <mc:Choice Requires="wps">
            <w:drawing>
              <wp:anchor distT="0" distB="0" distL="114300" distR="114300" simplePos="0" relativeHeight="251687936" behindDoc="0" locked="0" layoutInCell="1" allowOverlap="1" wp14:anchorId="477399BE" wp14:editId="38DDD774">
                <wp:simplePos x="0" y="0"/>
                <wp:positionH relativeFrom="margin">
                  <wp:posOffset>2741930</wp:posOffset>
                </wp:positionH>
                <wp:positionV relativeFrom="paragraph">
                  <wp:posOffset>1612900</wp:posOffset>
                </wp:positionV>
                <wp:extent cx="45720" cy="252730"/>
                <wp:effectExtent l="0" t="0" r="11430" b="52070"/>
                <wp:wrapNone/>
                <wp:docPr id="107" name="Rectangle 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720" cy="252730"/>
                        </a:xfrm>
                        <a:prstGeom prst="rect">
                          <a:avLst/>
                        </a:prstGeom>
                        <a:solidFill>
                          <a:srgbClr val="BFBFBF"/>
                        </a:solidFill>
                        <a:ln w="12700">
                          <a:solidFill>
                            <a:srgbClr val="000000"/>
                          </a:solidFill>
                          <a:miter lim="800000"/>
                          <a:headEnd/>
                          <a:tailEnd/>
                        </a:ln>
                        <a:effectLst>
                          <a:outerShdw dist="23000" dir="5400000" rotWithShape="0">
                            <a:srgbClr val="000000">
                              <a:alpha val="34999"/>
                            </a:srgbClr>
                          </a:outerShdw>
                        </a:effectLst>
                      </wps:spPr>
                      <wps:txbx>
                        <w:txbxContent>
                          <w:p w14:paraId="5B325749" w14:textId="77777777" w:rsidR="00DA7779" w:rsidRPr="00A02A3A" w:rsidRDefault="00DA7779" w:rsidP="001433B5">
                            <w:pPr>
                              <w:rPr>
                                <w:sz w:val="16"/>
                                <w:szCs w:val="16"/>
                              </w:rPr>
                            </w:pPr>
                          </w:p>
                          <w:p w14:paraId="354B63DC" w14:textId="77777777" w:rsidR="00DA7779" w:rsidRPr="00A02A3A" w:rsidRDefault="00DA7779" w:rsidP="001433B5">
                            <w:pPr>
                              <w:rPr>
                                <w:sz w:val="16"/>
                                <w:szCs w:val="16"/>
                              </w:rPr>
                            </w:pP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ect id="_x0000_s1129" style="position:absolute;margin-left:215.9pt;margin-top:127pt;width:3.6pt;height:19.9pt;z-index:2516879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" fillcolor="#bfbfbf" strokeweight="1pt">
                <v:shadow on="t" color="black" opacity="22936f" origin=",.5" offset="0,.63889mm"/>
                <v:textbox>
                  <w:txbxContent>
                    <w:p w14:paraId="5B325749" w14:textId="77777777" w:rsidR="00DA7779" w:rsidRPr="00A02A3A" w:rsidRDefault="00DA7779" w:rsidP="001433B5">
                      <w:pPr>
                        <w:rPr>
                          <w:sz w:val="16"/>
                          <w:szCs w:val="16"/>
                        </w:rPr>
                      </w:pPr>
                    </w:p>
                    <w:p w14:paraId="354B63DC" w14:textId="77777777" w:rsidR="00DA7779" w:rsidRPr="00A02A3A" w:rsidRDefault="00DA7779" w:rsidP="001433B5">
                      <w:pPr>
                        <w:rPr>
                          <w:sz w:val="16"/>
                          <w:szCs w:val="16"/>
                        </w:rPr>
                      </w:pPr>
                    </w:p>
                  </w:txbxContent>
                </v:textbox>
                <w10:wrap anchorx="margin"/>
              </v:rect>
            </w:pict>
          </mc:Fallback>
        </mc:AlternateContent>
      </w:r>
      <w:r w:rsidRPr="00040BEC">
        <w:rPr>
          <w:noProof/>
          <w:lang w:val="da-DK" w:eastAsia="da-DK"/>
        </w:rPr>
        <mc:AlternateContent>
          <mc:Choice Requires="wps">
            <w:drawing>
              <wp:anchor distT="0" distB="0" distL="114300" distR="114300" simplePos="0" relativeHeight="251686912" behindDoc="0" locked="0" layoutInCell="1" allowOverlap="1" wp14:anchorId="319F5748" wp14:editId="48E42C57">
                <wp:simplePos x="0" y="0"/>
                <wp:positionH relativeFrom="column">
                  <wp:posOffset>633730</wp:posOffset>
                </wp:positionH>
                <wp:positionV relativeFrom="paragraph">
                  <wp:posOffset>902970</wp:posOffset>
                </wp:positionV>
                <wp:extent cx="23495" cy="875665"/>
                <wp:effectExtent l="0" t="0" r="14605" b="57785"/>
                <wp:wrapNone/>
                <wp:docPr id="43" name="Rectangle 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495" cy="875665"/>
                        </a:xfrm>
                        <a:prstGeom prst="rect">
                          <a:avLst/>
                        </a:prstGeom>
                        <a:solidFill>
                          <a:srgbClr val="BFBFBF"/>
                        </a:solidFill>
                        <a:ln w="12700">
                          <a:solidFill>
                            <a:srgbClr val="000000"/>
                          </a:solidFill>
                          <a:miter lim="800000"/>
                          <a:headEnd/>
                          <a:tailEnd/>
                        </a:ln>
                        <a:effectLst>
                          <a:outerShdw dist="23000" dir="5400000" rotWithShape="0">
                            <a:srgbClr val="000000">
                              <a:alpha val="34999"/>
                            </a:srgbClr>
                          </a:outerShdw>
                        </a:effectLst>
                      </wps:spPr>
                      <wps:txbx>
                        <w:txbxContent>
                          <w:p w14:paraId="25FFC84C" w14:textId="77777777" w:rsidR="00DA7779" w:rsidRPr="00A02A3A" w:rsidRDefault="00DA7779" w:rsidP="001433B5">
                            <w:pPr>
                              <w:rPr>
                                <w:sz w:val="16"/>
                                <w:szCs w:val="16"/>
                              </w:rPr>
                            </w:pPr>
                          </w:p>
                          <w:p w14:paraId="60B3D257" w14:textId="77777777" w:rsidR="00DA7779" w:rsidRPr="00A02A3A" w:rsidRDefault="00DA7779" w:rsidP="001433B5">
                            <w:pPr>
                              <w:rPr>
                                <w:sz w:val="16"/>
                                <w:szCs w:val="16"/>
                              </w:rP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id="_x0000_s1130" style="position:absolute;margin-left:49.9pt;margin-top:71.1pt;width:1.85pt;height:68.9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" fillcolor="#bfbfbf" strokeweight="1pt">
                <v:shadow on="t" color="black" opacity="22936f" origin=",.5" offset="0,.63889mm"/>
                <v:textbox>
                  <w:txbxContent>
                    <w:p w14:paraId="25FFC84C" w14:textId="77777777" w:rsidR="00DA7779" w:rsidRPr="00A02A3A" w:rsidRDefault="00DA7779" w:rsidP="001433B5">
                      <w:pPr>
                        <w:rPr>
                          <w:sz w:val="16"/>
                          <w:szCs w:val="16"/>
                        </w:rPr>
                      </w:pPr>
                    </w:p>
                    <w:p w14:paraId="60B3D257" w14:textId="77777777" w:rsidR="00DA7779" w:rsidRPr="00A02A3A" w:rsidRDefault="00DA7779" w:rsidP="001433B5">
                      <w:pPr>
                        <w:rPr>
                          <w:sz w:val="16"/>
                          <w:szCs w:val="16"/>
                        </w:rPr>
                      </w:pPr>
                    </w:p>
                  </w:txbxContent>
                </v:textbox>
              </v:rect>
            </w:pict>
          </mc:Fallback>
        </mc:AlternateContent>
      </w:r>
      <w:r w:rsidRPr="00040BEC">
        <w:rPr>
          <w:rFonts w:cs="Arial"/>
          <w:noProof/>
          <w:lang w:val="da-DK" w:eastAsia="da-DK"/>
        </w:rPr>
        <mc:AlternateContent>
          <mc:Choice Requires="wpg">
            <w:drawing>
              <wp:inline distT="0" distB="0" distL="0" distR="0" wp14:anchorId="7485CE82" wp14:editId="4285E5A0">
                <wp:extent cx="4197350" cy="2199180"/>
                <wp:effectExtent l="0" t="0" r="0" b="0"/>
                <wp:docPr id="30" name="Group 1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197350" cy="2199180"/>
                          <a:chOff x="4315" y="42943"/>
                          <a:chExt cx="64287" cy="15633"/>
                        </a:xfrm>
                      </wpg:grpSpPr>
                      <wps:wsp>
                        <wps:cNvPr id="256" name="Rectangle 104"/>
                        <wps:cNvSpPr>
                          <a:spLocks noChangeArrowheads="1"/>
                        </wps:cNvSpPr>
                        <wps:spPr bwMode="auto">
                          <a:xfrm>
                            <a:off x="14207" y="54482"/>
                            <a:ext cx="49258" cy="530"/>
                          </a:xfrm>
                          <a:prstGeom prst="rect">
                            <a:avLst/>
                          </a:prstGeom>
                          <a:solidFill>
                            <a:srgbClr val="BFBFBF"/>
                          </a:solidFill>
                          <a:ln w="12700">
                            <a:solidFill>
                              <a:srgbClr val="000000"/>
                            </a:solidFill>
                            <a:miter lim="800000"/>
                            <a:headEnd/>
                            <a:tailEnd/>
                          </a:ln>
                          <a:effectLst>
                            <a:outerShdw dist="23000" dir="5400000" rotWithShape="0">
                              <a:srgbClr val="000000">
                                <a:alpha val="34998"/>
                              </a:srgbClr>
                            </a:outerShdw>
                          </a:effectLst>
                        </wps:spPr>
                        <wps:txbx>
                          <w:txbxContent>
                            <w:p w14:paraId="2B23210D" w14:textId="77777777" w:rsidR="00DA7779" w:rsidRPr="00A02A3A" w:rsidRDefault="00DA7779" w:rsidP="001433B5">
                              <w:pPr>
                                <w:rPr>
                                  <w:sz w:val="16"/>
                                  <w:szCs w:val="16"/>
                                </w:rPr>
                              </w:pPr>
                            </w:p>
                          </w:txbxContent>
                        </wps:txbx>
                        <wps:bodyPr rot="0" vert="horz" wrap="square" lIns="91440" tIns="45720" rIns="91440" bIns="45720" anchor="ctr" anchorCtr="0" upright="1">
                          <a:noAutofit/>
                        </wps:bodyPr>
                      </wps:wsp>
                      <wps:wsp>
                        <wps:cNvPr id="257" name="TextBox 22"/>
                        <wps:cNvSpPr txBox="1">
                          <a:spLocks noChangeArrowheads="1"/>
                        </wps:cNvSpPr>
                        <wps:spPr bwMode="auto">
                          <a:xfrm>
                            <a:off x="8852" y="56604"/>
                            <a:ext cx="10034" cy="197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331F3C" w14:textId="77777777" w:rsidR="00DA7779" w:rsidRPr="00A02A3A" w:rsidRDefault="00DA7779" w:rsidP="001433B5">
                              <w:pPr>
                                <w:pStyle w:val="NormalWeb"/>
                                <w:spacing w:after="0"/>
                                <w:rPr>
                                  <w:sz w:val="16"/>
                                  <w:szCs w:val="16"/>
                                </w:rPr>
                              </w:pPr>
                              <w:r>
                                <w:rPr>
                                  <w:rFonts w:ascii="Calibri" w:hAnsi="Calibri"/>
                                  <w:color w:val="000000"/>
                                  <w:kern w:val="24"/>
                                  <w:sz w:val="16"/>
                                  <w:szCs w:val="16"/>
                                </w:rPr>
                                <w:t xml:space="preserve">2 010 </w:t>
                              </w:r>
                              <w:r w:rsidRPr="00900457">
                                <w:rPr>
                                  <w:rFonts w:ascii="Calibri" w:hAnsi="Calibri"/>
                                  <w:color w:val="000000"/>
                                  <w:kern w:val="24"/>
                                  <w:sz w:val="16"/>
                                  <w:szCs w:val="16"/>
                                </w:rPr>
                                <w:t>MHz</w:t>
                              </w:r>
                            </w:p>
                          </w:txbxContent>
                        </wps:txbx>
                        <wps:bodyPr rot="0" vert="horz" wrap="square" lIns="91440" tIns="45720" rIns="91440" bIns="45720" anchor="t" anchorCtr="0" upright="1">
                          <a:noAutofit/>
                        </wps:bodyPr>
                      </wps:wsp>
                      <wps:wsp>
                        <wps:cNvPr id="258" name="Rectangle 25"/>
                        <wps:cNvSpPr>
                          <a:spLocks noChangeArrowheads="1"/>
                        </wps:cNvSpPr>
                        <wps:spPr bwMode="auto">
                          <a:xfrm>
                            <a:off x="63108" y="49932"/>
                            <a:ext cx="363" cy="6227"/>
                          </a:xfrm>
                          <a:prstGeom prst="rect">
                            <a:avLst/>
                          </a:prstGeom>
                          <a:solidFill>
                            <a:srgbClr val="BFBFBF"/>
                          </a:solidFill>
                          <a:ln w="12700">
                            <a:solidFill>
                              <a:srgbClr val="000000"/>
                            </a:solidFill>
                            <a:miter lim="800000"/>
                            <a:headEnd/>
                            <a:tailEnd/>
                          </a:ln>
                          <a:effectLst>
                            <a:outerShdw dist="23000" dir="5400000" rotWithShape="0">
                              <a:srgbClr val="000000">
                                <a:alpha val="34998"/>
                              </a:srgbClr>
                            </a:outerShdw>
                          </a:effectLst>
                        </wps:spPr>
                        <wps:txbx>
                          <w:txbxContent>
                            <w:p w14:paraId="0D83D93D" w14:textId="77777777" w:rsidR="00DA7779" w:rsidRPr="00A02A3A" w:rsidRDefault="00DA7779" w:rsidP="001433B5">
                              <w:pPr>
                                <w:rPr>
                                  <w:sz w:val="16"/>
                                  <w:szCs w:val="16"/>
                                </w:rPr>
                              </w:pPr>
                            </w:p>
                            <w:p w14:paraId="1631BFF8" w14:textId="77777777" w:rsidR="00DA7779" w:rsidRPr="00A02A3A" w:rsidRDefault="00DA7779" w:rsidP="0092126B">
                              <w:pPr>
                                <w:rPr>
                                  <w:sz w:val="16"/>
                                  <w:szCs w:val="16"/>
                                </w:rPr>
                              </w:pPr>
                            </w:p>
                            <w:p w14:paraId="0D9E5986" w14:textId="77777777" w:rsidR="00DA7779" w:rsidRPr="00A02A3A" w:rsidRDefault="00DA7779" w:rsidP="0092126B">
                              <w:pPr>
                                <w:rPr>
                                  <w:sz w:val="16"/>
                                  <w:szCs w:val="16"/>
                                </w:rPr>
                              </w:pPr>
                            </w:p>
                          </w:txbxContent>
                        </wps:txbx>
                        <wps:bodyPr rot="0" vert="horz" wrap="square" lIns="91440" tIns="45720" rIns="91440" bIns="45720" anchor="ctr" anchorCtr="0" upright="1">
                          <a:noAutofit/>
                        </wps:bodyPr>
                      </wps:wsp>
                      <wps:wsp>
                        <wps:cNvPr id="259" name="TextBox 30"/>
                        <wps:cNvSpPr txBox="1">
                          <a:spLocks noChangeArrowheads="1"/>
                        </wps:cNvSpPr>
                        <wps:spPr bwMode="auto">
                          <a:xfrm>
                            <a:off x="40035" y="56489"/>
                            <a:ext cx="13046" cy="20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46C719" w14:textId="77777777" w:rsidR="00DA7779" w:rsidRPr="00A02A3A" w:rsidRDefault="00DA7779" w:rsidP="001433B5">
                              <w:pPr>
                                <w:pStyle w:val="NormalWeb"/>
                                <w:spacing w:after="0"/>
                                <w:jc w:val="center"/>
                                <w:rPr>
                                  <w:sz w:val="16"/>
                                  <w:szCs w:val="16"/>
                                </w:rPr>
                              </w:pPr>
                              <w:r>
                                <w:rPr>
                                  <w:rFonts w:ascii="Calibri" w:hAnsi="Calibri"/>
                                  <w:color w:val="000000"/>
                                  <w:kern w:val="24"/>
                                  <w:sz w:val="16"/>
                                  <w:szCs w:val="16"/>
                                </w:rPr>
                                <w:t xml:space="preserve">2 020 </w:t>
                              </w:r>
                              <w:r w:rsidRPr="00900457">
                                <w:rPr>
                                  <w:rFonts w:ascii="Calibri" w:hAnsi="Calibri"/>
                                  <w:color w:val="000000"/>
                                  <w:kern w:val="24"/>
                                  <w:sz w:val="16"/>
                                  <w:szCs w:val="16"/>
                                </w:rPr>
                                <w:t>MHz</w:t>
                              </w:r>
                            </w:p>
                          </w:txbxContent>
                        </wps:txbx>
                        <wps:bodyPr rot="0" vert="horz" wrap="square" lIns="91440" tIns="45720" rIns="91440" bIns="45720" anchor="t" anchorCtr="0" upright="1">
                          <a:noAutofit/>
                        </wps:bodyPr>
                      </wps:wsp>
                      <wps:wsp>
                        <wps:cNvPr id="261" name="TextBox 33"/>
                        <wps:cNvSpPr txBox="1">
                          <a:spLocks noChangeArrowheads="1"/>
                        </wps:cNvSpPr>
                        <wps:spPr bwMode="auto">
                          <a:xfrm>
                            <a:off x="58413" y="56428"/>
                            <a:ext cx="10189" cy="18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F9E9C6" w14:textId="77777777" w:rsidR="00DA7779" w:rsidRPr="00A02A3A" w:rsidRDefault="00DA7779" w:rsidP="001433B5">
                              <w:pPr>
                                <w:pStyle w:val="NormalWeb"/>
                                <w:spacing w:after="0"/>
                                <w:rPr>
                                  <w:sz w:val="16"/>
                                  <w:szCs w:val="16"/>
                                </w:rPr>
                              </w:pPr>
                              <w:r>
                                <w:rPr>
                                  <w:rFonts w:ascii="Calibri" w:hAnsi="Calibri"/>
                                  <w:color w:val="000000"/>
                                  <w:kern w:val="24"/>
                                  <w:sz w:val="16"/>
                                  <w:szCs w:val="16"/>
                                </w:rPr>
                                <w:t>2 025</w:t>
                              </w:r>
                              <w:r w:rsidRPr="00900457">
                                <w:rPr>
                                  <w:rFonts w:ascii="Calibri" w:hAnsi="Calibri"/>
                                  <w:color w:val="000000"/>
                                  <w:kern w:val="24"/>
                                  <w:sz w:val="16"/>
                                  <w:szCs w:val="16"/>
                                </w:rPr>
                                <w:t xml:space="preserve"> MH</w:t>
                              </w:r>
                              <w:r>
                                <w:rPr>
                                  <w:rFonts w:ascii="Calibri" w:hAnsi="Calibri"/>
                                  <w:color w:val="000000"/>
                                  <w:kern w:val="24"/>
                                  <w:sz w:val="16"/>
                                  <w:szCs w:val="16"/>
                                </w:rPr>
                                <w:t>z</w:t>
                              </w:r>
                            </w:p>
                          </w:txbxContent>
                        </wps:txbx>
                        <wps:bodyPr rot="0" vert="horz" wrap="square" lIns="91440" tIns="45720" rIns="91440" bIns="45720" anchor="t" anchorCtr="0" upright="1">
                          <a:noAutofit/>
                        </wps:bodyPr>
                      </wps:wsp>
                      <wps:wsp>
                        <wps:cNvPr id="263" name="Rectangle 28"/>
                        <wps:cNvSpPr>
                          <a:spLocks noChangeArrowheads="1"/>
                        </wps:cNvSpPr>
                        <wps:spPr bwMode="auto">
                          <a:xfrm>
                            <a:off x="4315" y="42943"/>
                            <a:ext cx="9728" cy="11436"/>
                          </a:xfrm>
                          <a:prstGeom prst="rect">
                            <a:avLst/>
                          </a:prstGeom>
                          <a:solidFill>
                            <a:schemeClr val="accent1">
                              <a:lumMod val="40000"/>
                              <a:lumOff val="60000"/>
                            </a:schemeClr>
                          </a:solidFill>
                          <a:ln w="9525">
                            <a:solidFill>
                              <a:srgbClr val="000000"/>
                            </a:solidFill>
                            <a:miter lim="800000"/>
                            <a:headEnd/>
                            <a:tailEnd/>
                          </a:ln>
                          <a:effectLst>
                            <a:outerShdw dist="23000" dir="5400000" rotWithShape="0">
                              <a:srgbClr val="000000">
                                <a:alpha val="34998"/>
                              </a:srgbClr>
                            </a:outerShdw>
                          </a:effectLst>
                        </wps:spPr>
                        <wps:txbx>
                          <w:txbxContent>
                            <w:p w14:paraId="1295E9F1" w14:textId="23E41EA5" w:rsidR="00DA7779" w:rsidRPr="003B6FB4" w:rsidRDefault="00DA7779" w:rsidP="0092126B">
                              <w:pPr>
                                <w:pStyle w:val="NormalWeb"/>
                                <w:spacing w:after="0"/>
                                <w:jc w:val="center"/>
                                <w:rPr>
                                  <w:sz w:val="22"/>
                                  <w:szCs w:val="22"/>
                                  <w:lang w:val="pt-PT"/>
                                </w:rPr>
                              </w:pPr>
                              <w:r w:rsidRPr="003B6FB4">
                                <w:rPr>
                                  <w:rFonts w:ascii="Calibri" w:hAnsi="Calibri"/>
                                  <w:color w:val="000000"/>
                                  <w:kern w:val="24"/>
                                  <w:sz w:val="22"/>
                                  <w:szCs w:val="22"/>
                                  <w:lang w:val="pt-PT"/>
                                </w:rPr>
                                <w:t>MSS</w:t>
                              </w:r>
                            </w:p>
                          </w:txbxContent>
                        </wps:txbx>
                        <wps:bodyPr rot="0" vert="horz" wrap="square" lIns="91440" tIns="45720" rIns="91440" bIns="45720" anchor="ctr" anchorCtr="0" upright="1">
                          <a:noAutofit/>
                        </wps:bodyPr>
                      </wps:wsp>
                      <wps:wsp>
                        <wps:cNvPr id="264" name="Rectangle 58"/>
                        <wps:cNvSpPr>
                          <a:spLocks noChangeArrowheads="1"/>
                        </wps:cNvSpPr>
                        <wps:spPr bwMode="auto">
                          <a:xfrm>
                            <a:off x="14207" y="42943"/>
                            <a:ext cx="32407" cy="3166"/>
                          </a:xfrm>
                          <a:prstGeom prst="rect">
                            <a:avLst/>
                          </a:prstGeom>
                          <a:solidFill>
                            <a:srgbClr val="C0504D"/>
                          </a:solidFill>
                          <a:ln w="9525">
                            <a:solidFill>
                              <a:srgbClr val="000000"/>
                            </a:solidFill>
                            <a:miter lim="800000"/>
                            <a:headEnd/>
                            <a:tailEnd/>
                          </a:ln>
                          <a:effectLst>
                            <a:outerShdw dist="23000" dir="5400000" rotWithShape="0">
                              <a:srgbClr val="000000">
                                <a:alpha val="34998"/>
                              </a:srgbClr>
                            </a:outerShdw>
                          </a:effectLst>
                        </wps:spPr>
                        <wps:txbx>
                          <w:txbxContent>
                            <w:p w14:paraId="56A57AEC" w14:textId="77777777" w:rsidR="00DA7779" w:rsidRPr="003B6FB4" w:rsidRDefault="00DA7779" w:rsidP="001433B5">
                              <w:pPr>
                                <w:pStyle w:val="NormalWeb"/>
                                <w:spacing w:after="0"/>
                                <w:jc w:val="center"/>
                                <w:rPr>
                                  <w:sz w:val="22"/>
                                  <w:szCs w:val="22"/>
                                </w:rPr>
                              </w:pPr>
                              <w:r w:rsidRPr="003B6FB4">
                                <w:rPr>
                                  <w:rFonts w:ascii="Calibri" w:hAnsi="Calibri"/>
                                  <w:color w:val="000000"/>
                                  <w:kern w:val="24"/>
                                  <w:sz w:val="22"/>
                                  <w:szCs w:val="22"/>
                                </w:rPr>
                                <w:t>DA2GCS FDD RL</w:t>
                              </w:r>
                            </w:p>
                          </w:txbxContent>
                        </wps:txbx>
                        <wps:bodyPr rot="0" vert="horz" wrap="square" lIns="91440" tIns="45720" rIns="91440" bIns="45720" anchor="ctr" anchorCtr="0" upright="1">
                          <a:noAutofit/>
                        </wps:bodyPr>
                      </wps:wsp>
                    </wpg:wgp>
                  </a:graphicData>
                </a:graphic>
              </wp:inline>
            </w:drawing>
          </mc:Choice>
          <mc:Fallback>
            <w:pict>
              <v:group id="_x0000_s1131" style="width:330.5pt;height:173.15pt;mso-position-horizontal-relative:char;mso-position-vertical-relative:line" coordorigin="4315,42943" coordsize="64287,156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">
                <v:rect id="Rectangle 104" o:spid="_x0000_s1132" style="position:absolute;left:14207;top:54482;width:49258;height:53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dfN2sYA&#10;AADcAAAADwAAAGRycy9kb3ducmV2LnhtbESPS2vDMBCE74H+B7GF3GrZgZjUjWJKoCWHHPKCtrfF&#10;Wj+otXIlJXH+fVUo5DjMzDfMshxNLy7kfGdZQZakIIgrqztuFJyOb08LED4ga+wtk4IbeShXD5Ml&#10;FtpeeU+XQ2hEhLAvUEEbwlBI6auWDPrEDsTRq60zGKJ0jdQOrxFuejlL01wa7DgutDjQuqXq+3A2&#10;CtZ5//n1s8/C5r0en92H39a8Wyg1fRxfX0AEGsM9/N/eaAWzeQ5/Z+IRkK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dfN2sYAAADcAAAADwAAAAAAAAAAAAAAAACYAgAAZHJz&#10;L2Rvd25yZXYueG1sUEsFBgAAAAAEAAQA9QAAAIsDAAAAAA==&#10;" fillcolor="#bfbfbf" strokeweight="1pt">
                  <v:shadow on="t" color="black" opacity="22936f" origin=",.5" offset="0,.63889mm"/>
                  <v:textbox>
                    <w:txbxContent>
                      <w:p w14:paraId="2B23210D" w14:textId="77777777" w:rsidR="00DA7779" w:rsidRPr="00A02A3A" w:rsidRDefault="00DA7779" w:rsidP="001433B5">
                        <w:pPr>
                          <w:rPr>
                            <w:sz w:val="16"/>
                            <w:szCs w:val="16"/>
                          </w:rPr>
                        </w:pPr>
                      </w:p>
                    </w:txbxContent>
                  </v:textbox>
                </v:rect>
                <v:shape id="_x0000_s1133" type="#_x0000_t202" style="position:absolute;left:8852;top:56604;width:10034;height:19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y/J9cQA&#10;AADcAAAADwAAAGRycy9kb3ducmV2LnhtbESPT2vCQBTE74LfYXlCb3W3olbTbESUQk9K/Qe9PbLP&#10;JDT7NmS3Jv32XaHgcZiZ3zDpqre1uFHrK8caXsYKBHHuTMWFhtPx/XkBwgdkg7Vj0vBLHlbZcJBi&#10;YlzHn3Q7hEJECPsENZQhNImUPi/Joh+7hjh6V9daDFG2hTQtdhFuazlRai4tVhwXSmxoU1L+ffix&#10;Gs6769dlqvbF1s6azvVKsl1KrZ9G/foNRKA+PML/7Q+jYTJ7hfuZeARk9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svyfXEAAAA3AAAAA8AAAAAAAAAAAAAAAAAmAIAAGRycy9k&#10;b3ducmV2LnhtbFBLBQYAAAAABAAEAPUAAACJAwAAAAA=&#10;" filled="f" stroked="f">
                  <v:textbox>
                    <w:txbxContent>
                      <w:p w14:paraId="0A331F3C" w14:textId="77777777" w:rsidR="00DA7779" w:rsidRPr="00A02A3A" w:rsidRDefault="00DA7779" w:rsidP="001433B5">
                        <w:pPr>
                          <w:pStyle w:val="NormalWeb"/>
                          <w:spacing w:after="0"/>
                          <w:rPr>
                            <w:sz w:val="16"/>
                            <w:szCs w:val="16"/>
                          </w:rPr>
                        </w:pPr>
                        <w:r>
                          <w:rPr>
                            <w:rFonts w:ascii="Calibri" w:hAnsi="Calibri"/>
                            <w:color w:val="000000"/>
                            <w:kern w:val="24"/>
                            <w:sz w:val="16"/>
                            <w:szCs w:val="16"/>
                          </w:rPr>
                          <w:t xml:space="preserve">2 010 </w:t>
                        </w:r>
                        <w:r w:rsidRPr="00900457">
                          <w:rPr>
                            <w:rFonts w:ascii="Calibri" w:hAnsi="Calibri"/>
                            <w:color w:val="000000"/>
                            <w:kern w:val="24"/>
                            <w:sz w:val="16"/>
                            <w:szCs w:val="16"/>
                          </w:rPr>
                          <w:t>MHz</w:t>
                        </w:r>
                      </w:p>
                    </w:txbxContent>
                  </v:textbox>
                </v:shape>
                <v:rect id="Rectangle 25" o:spid="_x0000_s1134" style="position:absolute;left:63108;top:49932;width:363;height:622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T8M8MA&#10;AADcAAAADwAAAGRycy9kb3ducmV2LnhtbERPy2rCQBTdC/7DcAV3OjGgpNFRitCSRReNFlp3l8zN&#10;g2bupDNTTf++sxBcHs57dxhNL67kfGdZwWqZgCCurO64UfBxfllkIHxA1thbJgV/5OGwn052mGt7&#10;45Kup9CIGMI+RwVtCEMupa9aMuiXdiCOXG2dwRCha6R2eIvhppdpkmykwY5jQ4sDHVuqvk+/RsFx&#10;039dfspVKF7r8cl9+rea3zOl5rPxeQsi0Bge4ru70ArSdVwbz8QjIP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wT8M8MAAADcAAAADwAAAAAAAAAAAAAAAACYAgAAZHJzL2Rv&#10;d25yZXYueG1sUEsFBgAAAAAEAAQA9QAAAIgDAAAAAA==&#10;" fillcolor="#bfbfbf" strokeweight="1pt">
                  <v:shadow on="t" color="black" opacity="22936f" origin=",.5" offset="0,.63889mm"/>
                  <v:textbox>
                    <w:txbxContent>
                      <w:p w14:paraId="0D83D93D" w14:textId="77777777" w:rsidR="00DA7779" w:rsidRPr="00A02A3A" w:rsidRDefault="00DA7779" w:rsidP="001433B5">
                        <w:pPr>
                          <w:rPr>
                            <w:sz w:val="16"/>
                            <w:szCs w:val="16"/>
                          </w:rPr>
                        </w:pPr>
                      </w:p>
                      <w:p w14:paraId="1631BFF8" w14:textId="77777777" w:rsidR="00DA7779" w:rsidRPr="00A02A3A" w:rsidRDefault="00DA7779" w:rsidP="0092126B">
                        <w:pPr>
                          <w:rPr>
                            <w:sz w:val="16"/>
                            <w:szCs w:val="16"/>
                          </w:rPr>
                        </w:pPr>
                      </w:p>
                      <w:p w14:paraId="0D9E5986" w14:textId="77777777" w:rsidR="00DA7779" w:rsidRPr="00A02A3A" w:rsidRDefault="00DA7779" w:rsidP="0092126B">
                        <w:pPr>
                          <w:rPr>
                            <w:sz w:val="16"/>
                            <w:szCs w:val="16"/>
                          </w:rPr>
                        </w:pPr>
                      </w:p>
                    </w:txbxContent>
                  </v:textbox>
                </v:rect>
                <v:shape id="_x0000_s1135" type="#_x0000_t202" style="position:absolute;left:40035;top:56489;width:13046;height:208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fz4HMQA&#10;AADcAAAADwAAAGRycy9kb3ducmV2LnhtbESPQWvCQBSE7wX/w/KE3uquYopGN0EsQk8tTVXw9sg+&#10;k2D2bchuTfrvu4VCj8PMfMNs89G24k69bxxrmM8UCOLSmYYrDcfPw9MKhA/IBlvHpOGbPOTZ5GGL&#10;qXEDf9C9CJWIEPYpaqhD6FIpfVmTRT9zHXH0rq63GKLsK2l6HCLctnKh1LO02HBcqLGjfU3lrfiy&#10;Gk5v18t5qd6rF5t0gxuVZLuWWj9Ox90GRKAx/If/2q9GwyJZw++ZeARk9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X8+BzEAAAA3AAAAA8AAAAAAAAAAAAAAAAAmAIAAGRycy9k&#10;b3ducmV2LnhtbFBLBQYAAAAABAAEAPUAAACJAwAAAAA=&#10;" filled="f" stroked="f">
                  <v:textbox>
                    <w:txbxContent>
                      <w:p w14:paraId="5546C719" w14:textId="77777777" w:rsidR="00DA7779" w:rsidRPr="00A02A3A" w:rsidRDefault="00DA7779" w:rsidP="001433B5">
                        <w:pPr>
                          <w:pStyle w:val="NormalWeb"/>
                          <w:spacing w:after="0"/>
                          <w:jc w:val="center"/>
                          <w:rPr>
                            <w:sz w:val="16"/>
                            <w:szCs w:val="16"/>
                          </w:rPr>
                        </w:pPr>
                        <w:r>
                          <w:rPr>
                            <w:rFonts w:ascii="Calibri" w:hAnsi="Calibri"/>
                            <w:color w:val="000000"/>
                            <w:kern w:val="24"/>
                            <w:sz w:val="16"/>
                            <w:szCs w:val="16"/>
                          </w:rPr>
                          <w:t xml:space="preserve">2 020 </w:t>
                        </w:r>
                        <w:r w:rsidRPr="00900457">
                          <w:rPr>
                            <w:rFonts w:ascii="Calibri" w:hAnsi="Calibri"/>
                            <w:color w:val="000000"/>
                            <w:kern w:val="24"/>
                            <w:sz w:val="16"/>
                            <w:szCs w:val="16"/>
                          </w:rPr>
                          <w:t>MHz</w:t>
                        </w:r>
                      </w:p>
                    </w:txbxContent>
                  </v:textbox>
                </v:shape>
                <v:shape id="_x0000_s1136" type="#_x0000_t202" style="position:absolute;left:58413;top:56428;width:10189;height:18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Y+p8QA&#10;AADcAAAADwAAAGRycy9kb3ducmV2LnhtbESPQWvCQBSE70L/w/IKveluxIY2dQ1iEXqqGFvB2yP7&#10;TEKzb0N2a9J/3xUEj8PMfMMs89G24kK9bxxrSGYKBHHpTMOVhq/DdvoCwgdkg61j0vBHHvLVw2SJ&#10;mXED7+lShEpECPsMNdQhdJmUvqzJop+5jjh6Z9dbDFH2lTQ9DhFuWzlXKpUWG44LNXa0qan8KX6t&#10;hu/P8+m4ULvq3T53gxuVZPsqtX56HNdvIAKN4R6+tT+MhnmawPVMPAJy9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XmPqfEAAAA3AAAAA8AAAAAAAAAAAAAAAAAmAIAAGRycy9k&#10;b3ducmV2LnhtbFBLBQYAAAAABAAEAPUAAACJAwAAAAA=&#10;" filled="f" stroked="f">
                  <v:textbox>
                    <w:txbxContent>
                      <w:p w14:paraId="14F9E9C6" w14:textId="77777777" w:rsidR="00DA7779" w:rsidRPr="00A02A3A" w:rsidRDefault="00DA7779" w:rsidP="001433B5">
                        <w:pPr>
                          <w:pStyle w:val="NormalWeb"/>
                          <w:spacing w:after="0"/>
                          <w:rPr>
                            <w:sz w:val="16"/>
                            <w:szCs w:val="16"/>
                          </w:rPr>
                        </w:pPr>
                        <w:r>
                          <w:rPr>
                            <w:rFonts w:ascii="Calibri" w:hAnsi="Calibri"/>
                            <w:color w:val="000000"/>
                            <w:kern w:val="24"/>
                            <w:sz w:val="16"/>
                            <w:szCs w:val="16"/>
                          </w:rPr>
                          <w:t>2 025</w:t>
                        </w:r>
                        <w:r w:rsidRPr="00900457">
                          <w:rPr>
                            <w:rFonts w:ascii="Calibri" w:hAnsi="Calibri"/>
                            <w:color w:val="000000"/>
                            <w:kern w:val="24"/>
                            <w:sz w:val="16"/>
                            <w:szCs w:val="16"/>
                          </w:rPr>
                          <w:t xml:space="preserve"> MH</w:t>
                        </w:r>
                        <w:r>
                          <w:rPr>
                            <w:rFonts w:ascii="Calibri" w:hAnsi="Calibri"/>
                            <w:color w:val="000000"/>
                            <w:kern w:val="24"/>
                            <w:sz w:val="16"/>
                            <w:szCs w:val="16"/>
                          </w:rPr>
                          <w:t>z</w:t>
                        </w:r>
                      </w:p>
                    </w:txbxContent>
                  </v:textbox>
                </v:shape>
                <v:rect id="Rectangle 28" o:spid="_x0000_s1137" style="position:absolute;left:4315;top:42943;width:9728;height:1143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i3It8IA&#10;AADcAAAADwAAAGRycy9kb3ducmV2LnhtbESP3YrCMBCF74V9hzALe6epXRHpGossFIrghT8PMDRj&#10;U7aZlCbb1rc3guDl4cz5zpxtPtlWDNT7xrGC5SIBQVw53XCt4Hop5hsQPiBrbB2Tgjt5yHcfsy1m&#10;2o18ouEcahEh7DNUYELoMil9ZciiX7iOOHo311sMUfa11D2OEW5bmSbJWlpsODYY7OjXUPV3/rfx&#10;jZFDsUn1AU16GIpTsTo2U6nU1+e0/wERaArv41e61ArS9Tc8x0QCyN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qLci3wgAAANwAAAAPAAAAAAAAAAAAAAAAAJgCAABkcnMvZG93&#10;bnJldi54bWxQSwUGAAAAAAQABAD1AAAAhwMAAAAA&#10;" fillcolor="#b8cce4 [1300]">
                  <v:shadow on="t" color="black" opacity="22936f" origin=",.5" offset="0,.63889mm"/>
                  <v:textbox>
                    <w:txbxContent>
                      <w:p w14:paraId="1295E9F1" w14:textId="23E41EA5" w:rsidR="00DA7779" w:rsidRPr="003B6FB4" w:rsidRDefault="00DA7779" w:rsidP="0092126B">
                        <w:pPr>
                          <w:pStyle w:val="NormalWeb"/>
                          <w:spacing w:after="0"/>
                          <w:jc w:val="center"/>
                          <w:rPr>
                            <w:sz w:val="22"/>
                            <w:szCs w:val="22"/>
                            <w:lang w:val="pt-PT"/>
                          </w:rPr>
                        </w:pPr>
                        <w:r w:rsidRPr="003B6FB4">
                          <w:rPr>
                            <w:rFonts w:ascii="Calibri" w:hAnsi="Calibri"/>
                            <w:color w:val="000000"/>
                            <w:kern w:val="24"/>
                            <w:sz w:val="22"/>
                            <w:szCs w:val="22"/>
                            <w:lang w:val="pt-PT"/>
                          </w:rPr>
                          <w:t>MSS</w:t>
                        </w:r>
                      </w:p>
                    </w:txbxContent>
                  </v:textbox>
                </v:rect>
                <v:rect id="Rectangle 58" o:spid="_x0000_s1138" style="position:absolute;left:14207;top:42943;width:32407;height:316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8lblsUA&#10;AADcAAAADwAAAGRycy9kb3ducmV2LnhtbESPQWvCQBSE7wX/w/IEL0U3SisaXUVES08FjRdvj+wz&#10;iWbfht01xn/fLRQ8DjPzDbNcd6YWLTlfWVYwHiUgiHOrKy4UnLL9cAbCB2SNtWVS8CQP61XvbYmp&#10;tg8+UHsMhYgQ9ikqKENoUil9XpJBP7INcfQu1hkMUbpCaoePCDe1nCTJVBqsOC6U2NC2pPx2vBsF&#10;RTaeZc1599N51z73n/Ps611elRr0u80CRKAuvML/7W+tYDL9gL8z8QjI1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yVuWxQAAANwAAAAPAAAAAAAAAAAAAAAAAJgCAABkcnMv&#10;ZG93bnJldi54bWxQSwUGAAAAAAQABAD1AAAAigMAAAAA&#10;" fillcolor="#c0504d">
                  <v:shadow on="t" color="black" opacity="22936f" origin=",.5" offset="0,.63889mm"/>
                  <v:textbox>
                    <w:txbxContent>
                      <w:p w14:paraId="56A57AEC" w14:textId="77777777" w:rsidR="00DA7779" w:rsidRPr="003B6FB4" w:rsidRDefault="00DA7779" w:rsidP="001433B5">
                        <w:pPr>
                          <w:pStyle w:val="NormalWeb"/>
                          <w:spacing w:after="0"/>
                          <w:jc w:val="center"/>
                          <w:rPr>
                            <w:sz w:val="22"/>
                            <w:szCs w:val="22"/>
                          </w:rPr>
                        </w:pPr>
                        <w:r w:rsidRPr="003B6FB4">
                          <w:rPr>
                            <w:rFonts w:ascii="Calibri" w:hAnsi="Calibri"/>
                            <w:color w:val="000000"/>
                            <w:kern w:val="24"/>
                            <w:sz w:val="22"/>
                            <w:szCs w:val="22"/>
                          </w:rPr>
                          <w:t>DA2GCS FDD RL</w:t>
                        </w:r>
                      </w:p>
                    </w:txbxContent>
                  </v:textbox>
                </v:rect>
                <w10:anchorlock/>
              </v:group>
            </w:pict>
          </mc:Fallback>
        </mc:AlternateContent>
      </w:r>
    </w:p>
    <w:bookmarkEnd w:id="80"/>
    <w:p w14:paraId="3354F735" w14:textId="77777777" w:rsidR="001433B5" w:rsidRPr="00040BEC" w:rsidRDefault="001433B5" w:rsidP="001433B5">
      <w:pPr>
        <w:pStyle w:val="Caption"/>
        <w:rPr>
          <w:szCs w:val="24"/>
          <w:lang w:val="en-GB"/>
        </w:rPr>
      </w:pPr>
      <w:r w:rsidRPr="00040BEC">
        <w:rPr>
          <w:lang w:val="en-GB"/>
        </w:rPr>
        <w:t xml:space="preserve">Figure </w:t>
      </w:r>
      <w:r w:rsidR="000A5980" w:rsidRPr="00040BEC">
        <w:rPr>
          <w:lang w:val="en-GB"/>
        </w:rPr>
        <w:fldChar w:fldCharType="begin"/>
      </w:r>
      <w:r w:rsidRPr="00040BEC">
        <w:rPr>
          <w:lang w:val="en-GB"/>
        </w:rPr>
        <w:instrText xml:space="preserve"> SEQ Figure \* ARABIC </w:instrText>
      </w:r>
      <w:r w:rsidR="000A5980" w:rsidRPr="00040BEC">
        <w:rPr>
          <w:lang w:val="en-GB"/>
        </w:rPr>
        <w:fldChar w:fldCharType="separate"/>
      </w:r>
      <w:r w:rsidR="002327BB">
        <w:rPr>
          <w:noProof/>
          <w:lang w:val="en-GB"/>
        </w:rPr>
        <w:t>15</w:t>
      </w:r>
      <w:r w:rsidR="000A5980" w:rsidRPr="00040BEC">
        <w:rPr>
          <w:lang w:val="en-GB"/>
        </w:rPr>
        <w:fldChar w:fldCharType="end"/>
      </w:r>
      <w:r w:rsidRPr="00040BEC">
        <w:rPr>
          <w:lang w:val="en-GB"/>
        </w:rPr>
        <w:t xml:space="preserve">: Scenario 1, upper band </w:t>
      </w:r>
      <w:r w:rsidRPr="00040BEC">
        <w:rPr>
          <w:szCs w:val="24"/>
          <w:lang w:val="en-GB"/>
        </w:rPr>
        <w:t>(DA2GCS FDD</w:t>
      </w:r>
      <w:r w:rsidR="00B1082D" w:rsidRPr="00040BEC">
        <w:rPr>
          <w:szCs w:val="24"/>
          <w:lang w:val="en-GB"/>
        </w:rPr>
        <w:t xml:space="preserve"> (reverse link)</w:t>
      </w:r>
      <w:r w:rsidRPr="00040BEC">
        <w:rPr>
          <w:szCs w:val="24"/>
          <w:lang w:val="en-GB"/>
        </w:rPr>
        <w:t>, VLC</w:t>
      </w:r>
      <w:r w:rsidR="00411E8D" w:rsidRPr="00040BEC">
        <w:rPr>
          <w:szCs w:val="24"/>
          <w:lang w:val="en-GB"/>
        </w:rPr>
        <w:t>C</w:t>
      </w:r>
      <w:r w:rsidRPr="00040BEC">
        <w:rPr>
          <w:szCs w:val="24"/>
          <w:lang w:val="en-GB"/>
        </w:rPr>
        <w:t>)</w:t>
      </w:r>
    </w:p>
    <w:p w14:paraId="5D9C7EC0" w14:textId="77777777" w:rsidR="008E5B81" w:rsidRPr="00040BEC" w:rsidRDefault="00AC266D" w:rsidP="00AC266D">
      <w:pPr>
        <w:pStyle w:val="ECCParagraph"/>
        <w:jc w:val="center"/>
      </w:pPr>
      <w:r w:rsidRPr="00040BEC">
        <w:t>Note Audio PMSE: in case of VLCC, the Broadband DA2GC system cannot be authorised</w:t>
      </w:r>
    </w:p>
    <w:p w14:paraId="22F8165D" w14:textId="77777777" w:rsidR="00341D54" w:rsidRPr="00040BEC" w:rsidRDefault="00341D54" w:rsidP="00341D54">
      <w:pPr>
        <w:pStyle w:val="ECCParagraph"/>
      </w:pPr>
      <w:r w:rsidRPr="00040BEC">
        <w:t xml:space="preserve">For scenario 1, two alternatives are possible, depending on whether </w:t>
      </w:r>
      <w:r w:rsidRPr="00040BEC">
        <w:rPr>
          <w:lang w:eastAsia="nl-NL"/>
        </w:rPr>
        <w:t xml:space="preserve">Broadband </w:t>
      </w:r>
      <w:r w:rsidRPr="00040BEC">
        <w:t xml:space="preserve">DA2GC or VLCC </w:t>
      </w:r>
      <w:proofErr w:type="gramStart"/>
      <w:r w:rsidRPr="00040BEC">
        <w:t>is afforded</w:t>
      </w:r>
      <w:proofErr w:type="gramEnd"/>
      <w:r w:rsidRPr="00040BEC">
        <w:t xml:space="preserve"> the higher priority.</w:t>
      </w:r>
    </w:p>
    <w:p w14:paraId="227EBFFC" w14:textId="77777777" w:rsidR="00341D54" w:rsidRPr="00040BEC" w:rsidRDefault="00341D54" w:rsidP="00341D54">
      <w:pPr>
        <w:pStyle w:val="ECCParagraph"/>
      </w:pPr>
      <w:r w:rsidRPr="00040BEC">
        <w:t xml:space="preserve">When DA2CG is considered </w:t>
      </w:r>
      <w:proofErr w:type="gramStart"/>
      <w:r w:rsidRPr="00040BEC">
        <w:t>to be the</w:t>
      </w:r>
      <w:proofErr w:type="gramEnd"/>
      <w:r w:rsidRPr="00040BEC">
        <w:t xml:space="preserve"> priority, the following use of the bands can be made:</w:t>
      </w:r>
    </w:p>
    <w:p w14:paraId="7397E3FC" w14:textId="3CA9C11F" w:rsidR="00341D54" w:rsidRPr="00040BEC" w:rsidRDefault="00341D54" w:rsidP="00A42952">
      <w:pPr>
        <w:pStyle w:val="ECCParagraph"/>
        <w:numPr>
          <w:ilvl w:val="0"/>
          <w:numId w:val="56"/>
        </w:numPr>
      </w:pPr>
      <w:r w:rsidRPr="00040BEC">
        <w:t xml:space="preserve">The </w:t>
      </w:r>
      <w:r w:rsidRPr="00040BEC">
        <w:rPr>
          <w:lang w:eastAsia="nl-NL"/>
        </w:rPr>
        <w:t xml:space="preserve">Broadband </w:t>
      </w:r>
      <w:r w:rsidRPr="00040BEC">
        <w:t xml:space="preserve">DA2GC system occupies the lower 10 MHz of each band in an FDD arrangement, with the forward link in the lower band with appropriate coordination measures, such as separation distances with MFCN base stations above 1920 </w:t>
      </w:r>
      <w:proofErr w:type="spellStart"/>
      <w:r w:rsidRPr="00040BEC">
        <w:t>MHz.</w:t>
      </w:r>
      <w:proofErr w:type="spellEnd"/>
      <w:r w:rsidRPr="00040BEC">
        <w:t xml:space="preserve"> This in turn dictates the restrictions required for VLCC usage. The studies conducted show that limited use of VLCC is possible, as follows: in the band 1900-1910 MHz for cordless cameras </w:t>
      </w:r>
      <w:proofErr w:type="gramStart"/>
      <w:r w:rsidRPr="00040BEC">
        <w:t>only;</w:t>
      </w:r>
      <w:proofErr w:type="gramEnd"/>
      <w:r w:rsidRPr="00040BEC">
        <w:t xml:space="preserve"> in the bands 1910-1920 MHz with certain separation distances for each VLCC application. No VLCC use is possible in the band 2010-2025 MHz, although audio PMSE applications with appropriate mitigation techniques are feasible. </w:t>
      </w:r>
    </w:p>
    <w:p w14:paraId="251238A7" w14:textId="34E9DD53" w:rsidR="00341D54" w:rsidRPr="00040BEC" w:rsidRDefault="00341D54" w:rsidP="00A42952">
      <w:pPr>
        <w:pStyle w:val="ECCParagraph"/>
        <w:numPr>
          <w:ilvl w:val="0"/>
          <w:numId w:val="56"/>
        </w:numPr>
      </w:pPr>
      <w:r w:rsidRPr="00040BEC">
        <w:t xml:space="preserve">Considering the adjacent channel compatibility, the VLCC use in the band 1910-1920 MHz requires power limitations to mitigate interference into MFCN base stations (the power </w:t>
      </w:r>
      <w:proofErr w:type="gramStart"/>
      <w:r w:rsidRPr="00040BEC">
        <w:t>is already limited</w:t>
      </w:r>
      <w:proofErr w:type="gramEnd"/>
      <w:r w:rsidRPr="00040BEC">
        <w:t xml:space="preserve"> by the </w:t>
      </w:r>
      <w:r w:rsidRPr="00040BEC">
        <w:rPr>
          <w:lang w:eastAsia="nl-NL"/>
        </w:rPr>
        <w:t xml:space="preserve">Broadband </w:t>
      </w:r>
      <w:r w:rsidRPr="00040BEC">
        <w:t xml:space="preserve">DA2GC in the band 1900-1910 MHz); the DA2GC authorisation may cause some interference to PMSE above 2025 </w:t>
      </w:r>
      <w:proofErr w:type="spellStart"/>
      <w:r w:rsidRPr="00040BEC">
        <w:t>MHz.</w:t>
      </w:r>
      <w:proofErr w:type="spellEnd"/>
      <w:r w:rsidRPr="00040BEC">
        <w:t xml:space="preserve"> </w:t>
      </w:r>
    </w:p>
    <w:p w14:paraId="47142D1E" w14:textId="77777777" w:rsidR="00341D54" w:rsidRPr="00040BEC" w:rsidRDefault="00341D54" w:rsidP="00341D54">
      <w:pPr>
        <w:pStyle w:val="ECCParagraph"/>
      </w:pPr>
      <w:r w:rsidRPr="00040BEC">
        <w:lastRenderedPageBreak/>
        <w:t xml:space="preserve">When VLCC is considered </w:t>
      </w:r>
      <w:proofErr w:type="gramStart"/>
      <w:r w:rsidRPr="00040BEC">
        <w:t>to be the</w:t>
      </w:r>
      <w:proofErr w:type="gramEnd"/>
      <w:r w:rsidRPr="00040BEC">
        <w:t xml:space="preserve"> priority, the following use of the bands can be made:</w:t>
      </w:r>
    </w:p>
    <w:p w14:paraId="6C13B88E" w14:textId="47933364" w:rsidR="00341D54" w:rsidRPr="00040BEC" w:rsidRDefault="00341D54" w:rsidP="00A42952">
      <w:pPr>
        <w:pStyle w:val="ECCParagraph"/>
        <w:numPr>
          <w:ilvl w:val="0"/>
          <w:numId w:val="57"/>
        </w:numPr>
      </w:pPr>
      <w:r w:rsidRPr="00040BEC">
        <w:t xml:space="preserve">VLCC would be feasible as follows: in the band 1900-1920 MHz with power limitations to mitigate interference into MFCN base stations; in the </w:t>
      </w:r>
      <w:proofErr w:type="gramStart"/>
      <w:r w:rsidRPr="00040BEC">
        <w:t>band</w:t>
      </w:r>
      <w:proofErr w:type="gramEnd"/>
      <w:r w:rsidRPr="00040BEC">
        <w:t xml:space="preserve"> 2010-2025 MHz under the same conditions as authorised for PMSE in the 2025-2110 MHz band. The </w:t>
      </w:r>
      <w:r w:rsidRPr="00040BEC">
        <w:rPr>
          <w:lang w:eastAsia="nl-NL"/>
        </w:rPr>
        <w:t xml:space="preserve">Broadband </w:t>
      </w:r>
      <w:r w:rsidRPr="00040BEC">
        <w:t xml:space="preserve">DA2GC system cannot be authorised in the upper unpaired band because it would cause too much interference into VLCC in the band 2010-2025 </w:t>
      </w:r>
      <w:proofErr w:type="spellStart"/>
      <w:r w:rsidRPr="00040BEC">
        <w:t>MHz.</w:t>
      </w:r>
      <w:proofErr w:type="spellEnd"/>
      <w:r w:rsidRPr="00040BEC">
        <w:t xml:space="preserve"> </w:t>
      </w:r>
    </w:p>
    <w:p w14:paraId="4B9C0590" w14:textId="77777777" w:rsidR="00341D54" w:rsidRPr="00040BEC" w:rsidRDefault="00341D54" w:rsidP="00341D54">
      <w:pPr>
        <w:pStyle w:val="ECCParagraph"/>
      </w:pPr>
      <w:r w:rsidRPr="00040BEC">
        <w:t xml:space="preserve">DECT/SRD usage in the band 1900-1920 MHz is possible with certain mitigation techniques and restrictions yet to be determined to protect the identified primary services. </w:t>
      </w:r>
    </w:p>
    <w:p w14:paraId="57B76510" w14:textId="77777777" w:rsidR="00086004" w:rsidRPr="00040BEC" w:rsidRDefault="00086004" w:rsidP="00176CF0">
      <w:pPr>
        <w:spacing w:after="120"/>
        <w:rPr>
          <w:b/>
          <w:szCs w:val="20"/>
          <w:lang w:val="en-GB"/>
        </w:rPr>
      </w:pPr>
      <w:r w:rsidRPr="00040BEC">
        <w:rPr>
          <w:b/>
          <w:szCs w:val="20"/>
          <w:lang w:val="en-GB"/>
        </w:rPr>
        <w:t>Scenario 2</w:t>
      </w:r>
    </w:p>
    <w:p w14:paraId="31AD046F" w14:textId="77777777" w:rsidR="00176CF0" w:rsidRPr="00040BEC" w:rsidRDefault="00176CF0" w:rsidP="009A38EE">
      <w:pPr>
        <w:pStyle w:val="ECCParagraph"/>
      </w:pPr>
    </w:p>
    <w:bookmarkStart w:id="81" w:name="_Ref380596641"/>
    <w:p w14:paraId="558FE632" w14:textId="6EC402DF" w:rsidR="001433B5" w:rsidRPr="00040BEC" w:rsidRDefault="00520B96" w:rsidP="009A38EE">
      <w:pPr>
        <w:pStyle w:val="ListParagraph"/>
        <w:ind w:left="0"/>
        <w:rPr>
          <w:rFonts w:cs="Arial"/>
          <w:noProof/>
          <w:lang w:val="en-GB"/>
        </w:rPr>
      </w:pPr>
      <w:r w:rsidRPr="00040BEC">
        <w:rPr>
          <w:noProof/>
          <w:lang w:val="da-DK" w:eastAsia="da-DK"/>
        </w:rPr>
        <mc:AlternateContent>
          <mc:Choice Requires="wps">
            <w:drawing>
              <wp:anchor distT="0" distB="0" distL="114300" distR="114300" simplePos="0" relativeHeight="251694080" behindDoc="0" locked="0" layoutInCell="1" allowOverlap="1" wp14:anchorId="1BC87761" wp14:editId="72E9F6FE">
                <wp:simplePos x="0" y="0"/>
                <wp:positionH relativeFrom="margin">
                  <wp:posOffset>4760224</wp:posOffset>
                </wp:positionH>
                <wp:positionV relativeFrom="paragraph">
                  <wp:posOffset>18415</wp:posOffset>
                </wp:positionV>
                <wp:extent cx="635000" cy="1604645"/>
                <wp:effectExtent l="0" t="0" r="12700" b="52705"/>
                <wp:wrapNone/>
                <wp:docPr id="32" name="Rectangle 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5000" cy="1604645"/>
                        </a:xfrm>
                        <a:prstGeom prst="rect">
                          <a:avLst/>
                        </a:prstGeom>
                        <a:solidFill>
                          <a:schemeClr val="accent1">
                            <a:lumMod val="40000"/>
                            <a:lumOff val="60000"/>
                          </a:schemeClr>
                        </a:solidFill>
                        <a:ln w="9525">
                          <a:solidFill>
                            <a:srgbClr val="000000"/>
                          </a:solidFill>
                          <a:miter lim="800000"/>
                          <a:headEnd/>
                          <a:tailEnd/>
                        </a:ln>
                        <a:effectLst>
                          <a:outerShdw dist="23000" dir="5400000" rotWithShape="0">
                            <a:srgbClr val="000000">
                              <a:alpha val="34999"/>
                            </a:srgbClr>
                          </a:outerShdw>
                        </a:effectLst>
                      </wps:spPr>
                      <wps:txbx>
                        <w:txbxContent>
                          <w:p w14:paraId="4212C079" w14:textId="77777777" w:rsidR="00DA7779" w:rsidRPr="007C0752" w:rsidRDefault="00DA7779" w:rsidP="001433B5">
                            <w:pPr>
                              <w:pStyle w:val="NormalWeb"/>
                              <w:spacing w:after="0"/>
                              <w:jc w:val="center"/>
                              <w:rPr>
                                <w:lang w:val="pt-PT"/>
                              </w:rPr>
                            </w:pPr>
                            <w:r>
                              <w:rPr>
                                <w:rFonts w:ascii="Calibri" w:hAnsi="Calibri"/>
                                <w:color w:val="000000"/>
                                <w:kern w:val="24"/>
                                <w:lang w:val="pt-PT"/>
                              </w:rPr>
                              <w:t>IMT</w:t>
                            </w:r>
                          </w:p>
                        </w:txbxContent>
                      </wps:txbx>
                      <wps:bodyPr rot="0" vert="horz" wrap="square" lIns="91440" tIns="45720" rIns="91440" bIns="45720" anchor="ctr" anchorCtr="0" upright="1">
                        <a:noAutofit/>
                      </wps:bodyPr>
                    </wps:wsp>
                  </a:graphicData>
                </a:graphic>
                <wp14:sizeRelH relativeFrom="page">
                  <wp14:pctWidth>0</wp14:pctWidth>
                </wp14:sizeRelH>
                <wp14:sizeRelV relativeFrom="margin">
                  <wp14:pctHeight>0</wp14:pctHeight>
                </wp14:sizeRelV>
              </wp:anchor>
            </w:drawing>
          </mc:Choice>
          <mc:Fallback>
            <w:pict>
              <v:rect id="_x0000_s1139" style="position:absolute;margin-left:374.8pt;margin-top:1.45pt;width:50pt;height:126.35pt;z-index:2516940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" fillcolor="#b8cce4 [1300]">
                <v:shadow on="t" color="black" opacity="22936f" origin=",.5" offset="0,.63889mm"/>
                <v:textbox>
                  <w:txbxContent>
                    <w:p w14:paraId="4212C079" w14:textId="77777777" w:rsidR="00DA7779" w:rsidRPr="007C0752" w:rsidRDefault="00DA7779" w:rsidP="001433B5">
                      <w:pPr>
                        <w:pStyle w:val="NormalWeb"/>
                        <w:spacing w:after="0"/>
                        <w:jc w:val="center"/>
                        <w:rPr>
                          <w:lang w:val="pt-PT"/>
                        </w:rPr>
                      </w:pPr>
                      <w:r>
                        <w:rPr>
                          <w:rFonts w:ascii="Calibri" w:hAnsi="Calibri"/>
                          <w:color w:val="000000"/>
                          <w:kern w:val="24"/>
                          <w:lang w:val="pt-PT"/>
                        </w:rPr>
                        <w:t>IMT</w:t>
                      </w:r>
                    </w:p>
                  </w:txbxContent>
                </v:textbox>
                <w10:wrap anchorx="margin"/>
              </v:rect>
            </w:pict>
          </mc:Fallback>
        </mc:AlternateContent>
      </w:r>
      <w:r w:rsidR="00531617" w:rsidRPr="00040BEC">
        <w:rPr>
          <w:noProof/>
          <w:lang w:val="da-DK" w:eastAsia="da-DK"/>
        </w:rPr>
        <mc:AlternateContent>
          <mc:Choice Requires="wps">
            <w:drawing>
              <wp:anchor distT="0" distB="0" distL="114300" distR="114300" simplePos="0" relativeHeight="251692032" behindDoc="0" locked="0" layoutInCell="1" allowOverlap="1" wp14:anchorId="3ECCAC18" wp14:editId="70AF0C09">
                <wp:simplePos x="0" y="0"/>
                <wp:positionH relativeFrom="margin">
                  <wp:posOffset>3194050</wp:posOffset>
                </wp:positionH>
                <wp:positionV relativeFrom="paragraph">
                  <wp:posOffset>1614170</wp:posOffset>
                </wp:positionV>
                <wp:extent cx="45720" cy="252730"/>
                <wp:effectExtent l="0" t="0" r="11430" b="52070"/>
                <wp:wrapNone/>
                <wp:docPr id="33" name="Rectangle 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720" cy="252730"/>
                        </a:xfrm>
                        <a:prstGeom prst="rect">
                          <a:avLst/>
                        </a:prstGeom>
                        <a:solidFill>
                          <a:srgbClr val="BFBFBF"/>
                        </a:solidFill>
                        <a:ln w="12700">
                          <a:solidFill>
                            <a:srgbClr val="000000"/>
                          </a:solidFill>
                          <a:miter lim="800000"/>
                          <a:headEnd/>
                          <a:tailEnd/>
                        </a:ln>
                        <a:effectLst>
                          <a:outerShdw dist="23000" dir="5400000" rotWithShape="0">
                            <a:srgbClr val="000000">
                              <a:alpha val="34999"/>
                            </a:srgbClr>
                          </a:outerShdw>
                        </a:effectLst>
                      </wps:spPr>
                      <wps:txbx>
                        <w:txbxContent>
                          <w:p w14:paraId="5C5123C3" w14:textId="77777777" w:rsidR="00DA7779" w:rsidRPr="00A02A3A" w:rsidRDefault="00DA7779" w:rsidP="001433B5">
                            <w:pPr>
                              <w:rPr>
                                <w:sz w:val="16"/>
                                <w:szCs w:val="16"/>
                              </w:rPr>
                            </w:pPr>
                          </w:p>
                          <w:p w14:paraId="2FD5E51B" w14:textId="77777777" w:rsidR="00DA7779" w:rsidRPr="00A02A3A" w:rsidRDefault="00DA7779" w:rsidP="001433B5">
                            <w:pPr>
                              <w:rPr>
                                <w:sz w:val="16"/>
                                <w:szCs w:val="16"/>
                              </w:rPr>
                            </w:pP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ect id="_x0000_s1140" style="position:absolute;margin-left:251.5pt;margin-top:127.1pt;width:3.6pt;height:19.9pt;z-index:2516920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" fillcolor="#bfbfbf" strokeweight="1pt">
                <v:shadow on="t" color="black" opacity="22936f" origin=",.5" offset="0,.63889mm"/>
                <v:textbox>
                  <w:txbxContent>
                    <w:p w14:paraId="5C5123C3" w14:textId="77777777" w:rsidR="00DA7779" w:rsidRPr="00A02A3A" w:rsidRDefault="00DA7779" w:rsidP="001433B5">
                      <w:pPr>
                        <w:rPr>
                          <w:sz w:val="16"/>
                          <w:szCs w:val="16"/>
                        </w:rPr>
                      </w:pPr>
                    </w:p>
                    <w:p w14:paraId="2FD5E51B" w14:textId="77777777" w:rsidR="00DA7779" w:rsidRPr="00A02A3A" w:rsidRDefault="00DA7779" w:rsidP="001433B5">
                      <w:pPr>
                        <w:rPr>
                          <w:sz w:val="16"/>
                          <w:szCs w:val="16"/>
                        </w:rPr>
                      </w:pPr>
                    </w:p>
                  </w:txbxContent>
                </v:textbox>
                <w10:wrap anchorx="margin"/>
              </v:rect>
            </w:pict>
          </mc:Fallback>
        </mc:AlternateContent>
      </w:r>
      <w:r w:rsidR="00531617" w:rsidRPr="00040BEC">
        <w:rPr>
          <w:noProof/>
          <w:lang w:val="da-DK" w:eastAsia="da-DK"/>
        </w:rPr>
        <mc:AlternateContent>
          <mc:Choice Requires="wps">
            <w:drawing>
              <wp:anchor distT="0" distB="0" distL="114300" distR="114300" simplePos="0" relativeHeight="251693056" behindDoc="0" locked="0" layoutInCell="1" allowOverlap="1" wp14:anchorId="185AD779" wp14:editId="70090735">
                <wp:simplePos x="0" y="0"/>
                <wp:positionH relativeFrom="column">
                  <wp:posOffset>1086485</wp:posOffset>
                </wp:positionH>
                <wp:positionV relativeFrom="paragraph">
                  <wp:posOffset>983615</wp:posOffset>
                </wp:positionV>
                <wp:extent cx="23495" cy="875665"/>
                <wp:effectExtent l="0" t="0" r="14605" b="57785"/>
                <wp:wrapNone/>
                <wp:docPr id="31" name="Rectangle 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495" cy="875665"/>
                        </a:xfrm>
                        <a:prstGeom prst="rect">
                          <a:avLst/>
                        </a:prstGeom>
                        <a:solidFill>
                          <a:srgbClr val="BFBFBF"/>
                        </a:solidFill>
                        <a:ln w="12700">
                          <a:solidFill>
                            <a:srgbClr val="000000"/>
                          </a:solidFill>
                          <a:miter lim="800000"/>
                          <a:headEnd/>
                          <a:tailEnd/>
                        </a:ln>
                        <a:effectLst>
                          <a:outerShdw dist="23000" dir="5400000" rotWithShape="0">
                            <a:srgbClr val="000000">
                              <a:alpha val="34999"/>
                            </a:srgbClr>
                          </a:outerShdw>
                        </a:effectLst>
                      </wps:spPr>
                      <wps:txbx>
                        <w:txbxContent>
                          <w:p w14:paraId="08B6E0CF" w14:textId="77777777" w:rsidR="00DA7779" w:rsidRPr="00A02A3A" w:rsidRDefault="00DA7779" w:rsidP="001433B5">
                            <w:pPr>
                              <w:rPr>
                                <w:sz w:val="16"/>
                                <w:szCs w:val="16"/>
                              </w:rPr>
                            </w:pPr>
                          </w:p>
                          <w:p w14:paraId="6ADB1AD8" w14:textId="77777777" w:rsidR="00DA7779" w:rsidRPr="00A02A3A" w:rsidRDefault="00DA7779" w:rsidP="001433B5">
                            <w:pPr>
                              <w:rPr>
                                <w:sz w:val="16"/>
                                <w:szCs w:val="16"/>
                              </w:rP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id="_x0000_s1141" style="position:absolute;margin-left:85.55pt;margin-top:77.45pt;width:1.85pt;height:68.95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" fillcolor="#bfbfbf" strokeweight="1pt">
                <v:shadow on="t" color="black" opacity="22936f" origin=",.5" offset="0,.63889mm"/>
                <v:textbox>
                  <w:txbxContent>
                    <w:p w14:paraId="08B6E0CF" w14:textId="77777777" w:rsidR="00DA7779" w:rsidRPr="00A02A3A" w:rsidRDefault="00DA7779" w:rsidP="001433B5">
                      <w:pPr>
                        <w:rPr>
                          <w:sz w:val="16"/>
                          <w:szCs w:val="16"/>
                        </w:rPr>
                      </w:pPr>
                    </w:p>
                    <w:p w14:paraId="6ADB1AD8" w14:textId="77777777" w:rsidR="00DA7779" w:rsidRPr="00A02A3A" w:rsidRDefault="00DA7779" w:rsidP="001433B5">
                      <w:pPr>
                        <w:rPr>
                          <w:sz w:val="16"/>
                          <w:szCs w:val="16"/>
                        </w:rPr>
                      </w:pPr>
                    </w:p>
                  </w:txbxContent>
                </v:textbox>
              </v:rect>
            </w:pict>
          </mc:Fallback>
        </mc:AlternateContent>
      </w:r>
      <w:r w:rsidR="00531617" w:rsidRPr="00040BEC">
        <w:rPr>
          <w:rFonts w:cs="Arial"/>
          <w:noProof/>
          <w:lang w:val="da-DK" w:eastAsia="da-DK"/>
        </w:rPr>
        <mc:AlternateContent>
          <mc:Choice Requires="wpg">
            <w:drawing>
              <wp:inline distT="0" distB="0" distL="0" distR="0" wp14:anchorId="25667CAF" wp14:editId="3B5C53C7">
                <wp:extent cx="5102860" cy="2199180"/>
                <wp:effectExtent l="0" t="0" r="2540" b="0"/>
                <wp:docPr id="21" name="Group 1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102860" cy="2199180"/>
                          <a:chOff x="4315" y="42943"/>
                          <a:chExt cx="78160" cy="15633"/>
                        </a:xfrm>
                      </wpg:grpSpPr>
                      <wps:wsp>
                        <wps:cNvPr id="22" name="Rectangle 115"/>
                        <wps:cNvSpPr>
                          <a:spLocks noChangeArrowheads="1"/>
                        </wps:cNvSpPr>
                        <wps:spPr bwMode="auto">
                          <a:xfrm>
                            <a:off x="14208" y="54485"/>
                            <a:ext cx="63340" cy="530"/>
                          </a:xfrm>
                          <a:prstGeom prst="rect">
                            <a:avLst/>
                          </a:prstGeom>
                          <a:solidFill>
                            <a:srgbClr val="BFBFBF"/>
                          </a:solidFill>
                          <a:ln w="12700">
                            <a:solidFill>
                              <a:srgbClr val="000000"/>
                            </a:solidFill>
                            <a:miter lim="800000"/>
                            <a:headEnd/>
                            <a:tailEnd/>
                          </a:ln>
                          <a:effectLst>
                            <a:outerShdw dist="23000" dir="5400000" rotWithShape="0">
                              <a:srgbClr val="000000">
                                <a:alpha val="34998"/>
                              </a:srgbClr>
                            </a:outerShdw>
                          </a:effectLst>
                        </wps:spPr>
                        <wps:txbx>
                          <w:txbxContent>
                            <w:p w14:paraId="451FA49C" w14:textId="77777777" w:rsidR="00DA7779" w:rsidRPr="00A02A3A" w:rsidRDefault="00DA7779" w:rsidP="001433B5">
                              <w:pPr>
                                <w:rPr>
                                  <w:sz w:val="16"/>
                                  <w:szCs w:val="16"/>
                                </w:rPr>
                              </w:pPr>
                            </w:p>
                          </w:txbxContent>
                        </wps:txbx>
                        <wps:bodyPr rot="0" vert="horz" wrap="square" lIns="91440" tIns="45720" rIns="91440" bIns="45720" anchor="ctr" anchorCtr="0" upright="1">
                          <a:noAutofit/>
                        </wps:bodyPr>
                      </wps:wsp>
                      <wps:wsp>
                        <wps:cNvPr id="23" name="TextBox 22"/>
                        <wps:cNvSpPr txBox="1">
                          <a:spLocks noChangeArrowheads="1"/>
                        </wps:cNvSpPr>
                        <wps:spPr bwMode="auto">
                          <a:xfrm>
                            <a:off x="8852" y="56604"/>
                            <a:ext cx="10034" cy="197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C2BE66" w14:textId="77777777" w:rsidR="00DA7779" w:rsidRPr="00A02A3A" w:rsidRDefault="00DA7779" w:rsidP="001433B5">
                              <w:pPr>
                                <w:pStyle w:val="NormalWeb"/>
                                <w:spacing w:after="0"/>
                                <w:rPr>
                                  <w:sz w:val="16"/>
                                  <w:szCs w:val="16"/>
                                </w:rPr>
                              </w:pPr>
                              <w:r>
                                <w:rPr>
                                  <w:rFonts w:ascii="Calibri" w:hAnsi="Calibri"/>
                                  <w:color w:val="000000"/>
                                  <w:kern w:val="24"/>
                                  <w:sz w:val="16"/>
                                  <w:szCs w:val="16"/>
                                </w:rPr>
                                <w:t xml:space="preserve">1 900 </w:t>
                              </w:r>
                              <w:r w:rsidRPr="00900457">
                                <w:rPr>
                                  <w:rFonts w:ascii="Calibri" w:hAnsi="Calibri"/>
                                  <w:color w:val="000000"/>
                                  <w:kern w:val="24"/>
                                  <w:sz w:val="16"/>
                                  <w:szCs w:val="16"/>
                                </w:rPr>
                                <w:t>MHz</w:t>
                              </w:r>
                            </w:p>
                          </w:txbxContent>
                        </wps:txbx>
                        <wps:bodyPr rot="0" vert="horz" wrap="square" lIns="91440" tIns="45720" rIns="91440" bIns="45720" anchor="t" anchorCtr="0" upright="1">
                          <a:noAutofit/>
                        </wps:bodyPr>
                      </wps:wsp>
                      <wps:wsp>
                        <wps:cNvPr id="24" name="Rectangle 36"/>
                        <wps:cNvSpPr>
                          <a:spLocks noChangeArrowheads="1"/>
                        </wps:cNvSpPr>
                        <wps:spPr bwMode="auto">
                          <a:xfrm>
                            <a:off x="77284" y="49932"/>
                            <a:ext cx="363" cy="6227"/>
                          </a:xfrm>
                          <a:prstGeom prst="rect">
                            <a:avLst/>
                          </a:prstGeom>
                          <a:solidFill>
                            <a:srgbClr val="BFBFBF"/>
                          </a:solidFill>
                          <a:ln w="12700">
                            <a:solidFill>
                              <a:srgbClr val="000000"/>
                            </a:solidFill>
                            <a:miter lim="800000"/>
                            <a:headEnd/>
                            <a:tailEnd/>
                          </a:ln>
                          <a:effectLst>
                            <a:outerShdw dist="23000" dir="5400000" rotWithShape="0">
                              <a:srgbClr val="000000">
                                <a:alpha val="34998"/>
                              </a:srgbClr>
                            </a:outerShdw>
                          </a:effectLst>
                        </wps:spPr>
                        <wps:txbx>
                          <w:txbxContent>
                            <w:p w14:paraId="486CED31" w14:textId="77777777" w:rsidR="00DA7779" w:rsidRPr="00A02A3A" w:rsidRDefault="00DA7779" w:rsidP="001433B5">
                              <w:pPr>
                                <w:rPr>
                                  <w:sz w:val="16"/>
                                  <w:szCs w:val="16"/>
                                </w:rPr>
                              </w:pPr>
                            </w:p>
                          </w:txbxContent>
                        </wps:txbx>
                        <wps:bodyPr rot="0" vert="horz" wrap="square" lIns="91440" tIns="45720" rIns="91440" bIns="45720" anchor="ctr" anchorCtr="0" upright="1">
                          <a:noAutofit/>
                        </wps:bodyPr>
                      </wps:wsp>
                      <wps:wsp>
                        <wps:cNvPr id="25" name="TextBox 30"/>
                        <wps:cNvSpPr txBox="1">
                          <a:spLocks noChangeArrowheads="1"/>
                        </wps:cNvSpPr>
                        <wps:spPr bwMode="auto">
                          <a:xfrm>
                            <a:off x="40035" y="56489"/>
                            <a:ext cx="13046" cy="20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CD4C6D" w14:textId="77777777" w:rsidR="00DA7779" w:rsidRPr="00A02A3A" w:rsidRDefault="00DA7779" w:rsidP="001433B5">
                              <w:pPr>
                                <w:pStyle w:val="NormalWeb"/>
                                <w:spacing w:after="0"/>
                                <w:jc w:val="center"/>
                                <w:rPr>
                                  <w:sz w:val="16"/>
                                  <w:szCs w:val="16"/>
                                </w:rPr>
                              </w:pPr>
                              <w:r>
                                <w:rPr>
                                  <w:rFonts w:ascii="Calibri" w:hAnsi="Calibri"/>
                                  <w:color w:val="000000"/>
                                  <w:kern w:val="24"/>
                                  <w:sz w:val="16"/>
                                  <w:szCs w:val="16"/>
                                </w:rPr>
                                <w:t xml:space="preserve">1 910 </w:t>
                              </w:r>
                              <w:r w:rsidRPr="00900457">
                                <w:rPr>
                                  <w:rFonts w:ascii="Calibri" w:hAnsi="Calibri"/>
                                  <w:color w:val="000000"/>
                                  <w:kern w:val="24"/>
                                  <w:sz w:val="16"/>
                                  <w:szCs w:val="16"/>
                                </w:rPr>
                                <w:t>MHz</w:t>
                              </w:r>
                            </w:p>
                          </w:txbxContent>
                        </wps:txbx>
                        <wps:bodyPr rot="0" vert="horz" wrap="square" lIns="91440" tIns="45720" rIns="91440" bIns="45720" anchor="t" anchorCtr="0" upright="1">
                          <a:noAutofit/>
                        </wps:bodyPr>
                      </wps:wsp>
                      <wps:wsp>
                        <wps:cNvPr id="26" name="Rectangle 38"/>
                        <wps:cNvSpPr>
                          <a:spLocks noChangeArrowheads="1"/>
                        </wps:cNvSpPr>
                        <wps:spPr bwMode="auto">
                          <a:xfrm>
                            <a:off x="14208" y="49841"/>
                            <a:ext cx="63039" cy="4558"/>
                          </a:xfrm>
                          <a:prstGeom prst="rect">
                            <a:avLst/>
                          </a:prstGeom>
                          <a:solidFill>
                            <a:schemeClr val="accent4">
                              <a:lumMod val="60000"/>
                              <a:lumOff val="40000"/>
                            </a:schemeClr>
                          </a:solidFill>
                          <a:ln w="12700">
                            <a:solidFill>
                              <a:srgbClr val="000000"/>
                            </a:solidFill>
                            <a:miter lim="800000"/>
                            <a:headEnd/>
                            <a:tailEnd/>
                          </a:ln>
                          <a:effectLst>
                            <a:outerShdw dist="23000" dir="5400000" rotWithShape="0">
                              <a:srgbClr val="000000">
                                <a:alpha val="34998"/>
                              </a:srgbClr>
                            </a:outerShdw>
                          </a:effectLst>
                        </wps:spPr>
                        <wps:txbx>
                          <w:txbxContent>
                            <w:p w14:paraId="7E4C303B" w14:textId="77777777" w:rsidR="00DA7779" w:rsidRDefault="00DA7779" w:rsidP="0025329B">
                              <w:pPr>
                                <w:pStyle w:val="NormalWeb"/>
                                <w:spacing w:before="0" w:beforeAutospacing="0" w:after="0" w:afterAutospacing="0"/>
                                <w:jc w:val="center"/>
                                <w:rPr>
                                  <w:rFonts w:ascii="Calibri" w:hAnsi="Calibri"/>
                                  <w:color w:val="000000"/>
                                  <w:kern w:val="24"/>
                                  <w:sz w:val="16"/>
                                  <w:szCs w:val="16"/>
                                </w:rPr>
                              </w:pPr>
                              <w:r>
                                <w:rPr>
                                  <w:rFonts w:ascii="Calibri" w:hAnsi="Calibri"/>
                                  <w:color w:val="000000"/>
                                  <w:kern w:val="24"/>
                                  <w:sz w:val="16"/>
                                  <w:szCs w:val="16"/>
                                </w:rPr>
                                <w:t xml:space="preserve">Applications under general </w:t>
                              </w:r>
                              <w:proofErr w:type="spellStart"/>
                              <w:r w:rsidRPr="0025329B">
                                <w:rPr>
                                  <w:rFonts w:ascii="Calibri" w:hAnsi="Calibri"/>
                                  <w:color w:val="000000"/>
                                  <w:kern w:val="24"/>
                                  <w:sz w:val="16"/>
                                  <w:szCs w:val="16"/>
                                </w:rPr>
                                <w:t>authorisation</w:t>
                              </w:r>
                              <w:proofErr w:type="spellEnd"/>
                              <w:r>
                                <w:rPr>
                                  <w:rFonts w:ascii="Calibri" w:hAnsi="Calibri"/>
                                  <w:color w:val="000000"/>
                                  <w:kern w:val="24"/>
                                  <w:sz w:val="16"/>
                                  <w:szCs w:val="16"/>
                                </w:rPr>
                                <w:t xml:space="preserve"> (DECT / SRD) </w:t>
                              </w:r>
                            </w:p>
                            <w:p w14:paraId="5A0B93D4" w14:textId="4BE34098" w:rsidR="00DA7779" w:rsidRPr="00B26244" w:rsidRDefault="00DA7779" w:rsidP="0025329B">
                              <w:pPr>
                                <w:pStyle w:val="NormalWeb"/>
                                <w:spacing w:before="0" w:beforeAutospacing="0" w:after="0" w:afterAutospacing="0"/>
                                <w:jc w:val="center"/>
                                <w:rPr>
                                  <w:rFonts w:ascii="Calibri" w:hAnsi="Calibri"/>
                                  <w:color w:val="000000"/>
                                  <w:kern w:val="24"/>
                                  <w:sz w:val="16"/>
                                  <w:szCs w:val="16"/>
                                </w:rPr>
                              </w:pPr>
                              <w:r w:rsidRPr="00B26244">
                                <w:rPr>
                                  <w:rFonts w:ascii="Calibri" w:hAnsi="Calibri"/>
                                  <w:color w:val="000000"/>
                                  <w:kern w:val="24"/>
                                  <w:sz w:val="16"/>
                                  <w:szCs w:val="16"/>
                                </w:rPr>
                                <w:t>Not proposed to be introduced in a Commission implementing decision</w:t>
                              </w:r>
                            </w:p>
                          </w:txbxContent>
                        </wps:txbx>
                        <wps:bodyPr rot="0" vert="horz" wrap="square" lIns="91440" tIns="45720" rIns="91440" bIns="45720" anchor="ctr" anchorCtr="0" upright="1">
                          <a:noAutofit/>
                        </wps:bodyPr>
                      </wps:wsp>
                      <wps:wsp>
                        <wps:cNvPr id="27" name="TextBox 33"/>
                        <wps:cNvSpPr txBox="1">
                          <a:spLocks noChangeArrowheads="1"/>
                        </wps:cNvSpPr>
                        <wps:spPr bwMode="auto">
                          <a:xfrm>
                            <a:off x="72286" y="56489"/>
                            <a:ext cx="10189" cy="18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298C16" w14:textId="77777777" w:rsidR="00DA7779" w:rsidRPr="00A02A3A" w:rsidRDefault="00DA7779" w:rsidP="001433B5">
                              <w:pPr>
                                <w:pStyle w:val="NormalWeb"/>
                                <w:spacing w:after="0"/>
                                <w:rPr>
                                  <w:sz w:val="16"/>
                                  <w:szCs w:val="16"/>
                                </w:rPr>
                              </w:pPr>
                              <w:r>
                                <w:rPr>
                                  <w:rFonts w:ascii="Calibri" w:hAnsi="Calibri"/>
                                  <w:color w:val="000000"/>
                                  <w:kern w:val="24"/>
                                  <w:sz w:val="16"/>
                                  <w:szCs w:val="16"/>
                                </w:rPr>
                                <w:t>1 920</w:t>
                              </w:r>
                              <w:r w:rsidRPr="00900457">
                                <w:rPr>
                                  <w:rFonts w:ascii="Calibri" w:hAnsi="Calibri"/>
                                  <w:color w:val="000000"/>
                                  <w:kern w:val="24"/>
                                  <w:sz w:val="16"/>
                                  <w:szCs w:val="16"/>
                                </w:rPr>
                                <w:t xml:space="preserve"> MH</w:t>
                              </w:r>
                              <w:r>
                                <w:rPr>
                                  <w:rFonts w:ascii="Calibri" w:hAnsi="Calibri"/>
                                  <w:color w:val="000000"/>
                                  <w:kern w:val="24"/>
                                  <w:sz w:val="16"/>
                                  <w:szCs w:val="16"/>
                                </w:rPr>
                                <w:t>z</w:t>
                              </w:r>
                            </w:p>
                          </w:txbxContent>
                        </wps:txbx>
                        <wps:bodyPr rot="0" vert="horz" wrap="square" lIns="91440" tIns="45720" rIns="91440" bIns="45720" anchor="t" anchorCtr="0" upright="1">
                          <a:noAutofit/>
                        </wps:bodyPr>
                      </wps:wsp>
                      <wps:wsp>
                        <wps:cNvPr id="28" name="Rectangle 40"/>
                        <wps:cNvSpPr>
                          <a:spLocks noChangeArrowheads="1"/>
                        </wps:cNvSpPr>
                        <wps:spPr bwMode="auto">
                          <a:xfrm>
                            <a:off x="4315" y="42943"/>
                            <a:ext cx="9728" cy="11436"/>
                          </a:xfrm>
                          <a:prstGeom prst="rect">
                            <a:avLst/>
                          </a:prstGeom>
                          <a:solidFill>
                            <a:schemeClr val="accent6">
                              <a:lumMod val="20000"/>
                              <a:lumOff val="80000"/>
                            </a:schemeClr>
                          </a:solidFill>
                          <a:ln w="9525">
                            <a:solidFill>
                              <a:srgbClr val="000000"/>
                            </a:solidFill>
                            <a:miter lim="800000"/>
                            <a:headEnd/>
                            <a:tailEnd/>
                          </a:ln>
                          <a:effectLst>
                            <a:outerShdw dist="23000" dir="5400000" rotWithShape="0">
                              <a:srgbClr val="000000">
                                <a:alpha val="34998"/>
                              </a:srgbClr>
                            </a:outerShdw>
                          </a:effectLst>
                        </wps:spPr>
                        <wps:txbx>
                          <w:txbxContent>
                            <w:p w14:paraId="48082DA7" w14:textId="7CC4BCFF" w:rsidR="00DA7779" w:rsidRPr="00EE05BA" w:rsidRDefault="00DA7779" w:rsidP="00AE317A">
                              <w:pPr>
                                <w:pStyle w:val="NormalWeb"/>
                                <w:spacing w:after="0"/>
                                <w:jc w:val="center"/>
                              </w:pPr>
                              <w:r>
                                <w:rPr>
                                  <w:rFonts w:ascii="Calibri" w:hAnsi="Calibri"/>
                                  <w:color w:val="000000"/>
                                  <w:kern w:val="24"/>
                                </w:rPr>
                                <w:t>DECT</w:t>
                              </w:r>
                            </w:p>
                          </w:txbxContent>
                        </wps:txbx>
                        <wps:bodyPr rot="0" vert="horz" wrap="square" lIns="91440" tIns="45720" rIns="91440" bIns="45720" anchor="ctr" anchorCtr="0" upright="1">
                          <a:noAutofit/>
                        </wps:bodyPr>
                      </wps:wsp>
                      <wps:wsp>
                        <wps:cNvPr id="29" name="Rectangle 58"/>
                        <wps:cNvSpPr>
                          <a:spLocks noChangeArrowheads="1"/>
                        </wps:cNvSpPr>
                        <wps:spPr bwMode="auto">
                          <a:xfrm>
                            <a:off x="14207" y="42943"/>
                            <a:ext cx="63042" cy="3166"/>
                          </a:xfrm>
                          <a:prstGeom prst="rect">
                            <a:avLst/>
                          </a:prstGeom>
                          <a:solidFill>
                            <a:srgbClr val="C0504D"/>
                          </a:solidFill>
                          <a:ln w="9525">
                            <a:solidFill>
                              <a:srgbClr val="000000"/>
                            </a:solidFill>
                            <a:miter lim="800000"/>
                            <a:headEnd/>
                            <a:tailEnd/>
                          </a:ln>
                          <a:effectLst>
                            <a:outerShdw dist="23000" dir="5400000" rotWithShape="0">
                              <a:srgbClr val="000000">
                                <a:alpha val="34998"/>
                              </a:srgbClr>
                            </a:outerShdw>
                          </a:effectLst>
                        </wps:spPr>
                        <wps:txbx>
                          <w:txbxContent>
                            <w:p w14:paraId="40E9C2DC" w14:textId="77777777" w:rsidR="00DA7779" w:rsidRPr="00EE05BA" w:rsidRDefault="00DA7779" w:rsidP="001433B5">
                              <w:pPr>
                                <w:pStyle w:val="NormalWeb"/>
                                <w:spacing w:after="0"/>
                                <w:jc w:val="center"/>
                              </w:pPr>
                              <w:r>
                                <w:rPr>
                                  <w:rFonts w:ascii="Calibri" w:hAnsi="Calibri"/>
                                  <w:color w:val="000000"/>
                                  <w:kern w:val="24"/>
                                </w:rPr>
                                <w:t xml:space="preserve">DA2GCS TDD </w:t>
                              </w:r>
                            </w:p>
                          </w:txbxContent>
                        </wps:txbx>
                        <wps:bodyPr rot="0" vert="horz" wrap="square" lIns="91440" tIns="45720" rIns="91440" bIns="45720" anchor="ctr" anchorCtr="0" upright="1">
                          <a:noAutofit/>
                        </wps:bodyPr>
                      </wps:wsp>
                    </wpg:wgp>
                  </a:graphicData>
                </a:graphic>
              </wp:inline>
            </w:drawing>
          </mc:Choice>
          <mc:Fallback>
            <w:pict>
              <v:group id="_x0000_s1142" style="width:401.8pt;height:173.15pt;mso-position-horizontal-relative:char;mso-position-vertical-relative:line" coordorigin="4315,42943" coordsize="78160,156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">
                <v:rect id="Rectangle 115" o:spid="_x0000_s1143" style="position:absolute;left:14208;top:54485;width:63340;height:53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aQuAsUA&#10;AADbAAAADwAAAGRycy9kb3ducmV2LnhtbESPzWrDMBCE74G+g9hCb4kcH0zqRjYh0OJDD0kaaHtb&#10;rPUPsVaupCbO20eBQo/DzHzDrMvJDOJMzveWFSwXCQji2uqeWwXHj9f5CoQPyBoHy6TgSh7K4mG2&#10;xlzbC+/pfAitiBD2OSroQhhzKX3dkUG/sCNx9BrrDIYoXSu1w0uEm0GmSZJJgz3HhQ5H2nZUnw6/&#10;RsE2G76+f/bLUL0107P79O8N71ZKPT1OmxcQgabwH/5rV1pBmsL9S/wBsrg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pC4CxQAAANsAAAAPAAAAAAAAAAAAAAAAAJgCAABkcnMv&#10;ZG93bnJldi54bWxQSwUGAAAAAAQABAD1AAAAigMAAAAA&#10;" fillcolor="#bfbfbf" strokeweight="1pt">
                  <v:shadow on="t" color="black" opacity="22936f" origin=",.5" offset="0,.63889mm"/>
                  <v:textbox>
                    <w:txbxContent>
                      <w:p w14:paraId="451FA49C" w14:textId="77777777" w:rsidR="00DA7779" w:rsidRPr="00A02A3A" w:rsidRDefault="00DA7779" w:rsidP="001433B5">
                        <w:pPr>
                          <w:rPr>
                            <w:sz w:val="16"/>
                            <w:szCs w:val="16"/>
                          </w:rPr>
                        </w:pPr>
                      </w:p>
                    </w:txbxContent>
                  </v:textbox>
                </v:rect>
                <v:shape id="_x0000_s1144" type="#_x0000_t202" style="position:absolute;left:8852;top:56604;width:10034;height:19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6BM8QA&#10;AADbAAAADwAAAGRycy9kb3ducmV2LnhtbESPQWvCQBSE7wX/w/IEb7qrtkXTbESUQk8tpip4e2Sf&#10;SWj2bchuTfrvuwWhx2FmvmHSzWAbcaPO1441zGcKBHHhTM2lhuPn63QFwgdkg41j0vBDHjbZ6CHF&#10;xLieD3TLQykihH2CGqoQ2kRKX1Rk0c9cSxy9q+sshii7UpoO+wi3jVwo9Swt1hwXKmxpV1HxlX9b&#10;Daf36+X8qD7KvX1qezcoyXYttZ6Mh+0LiEBD+A/f229Gw2IJf1/iD5DZ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I+gTPEAAAA2wAAAA8AAAAAAAAAAAAAAAAAmAIAAGRycy9k&#10;b3ducmV2LnhtbFBLBQYAAAAABAAEAPUAAACJAwAAAAA=&#10;" filled="f" stroked="f">
                  <v:textbox>
                    <w:txbxContent>
                      <w:p w14:paraId="56C2BE66" w14:textId="77777777" w:rsidR="00DA7779" w:rsidRPr="00A02A3A" w:rsidRDefault="00DA7779" w:rsidP="001433B5">
                        <w:pPr>
                          <w:pStyle w:val="NormalWeb"/>
                          <w:spacing w:after="0"/>
                          <w:rPr>
                            <w:sz w:val="16"/>
                            <w:szCs w:val="16"/>
                          </w:rPr>
                        </w:pPr>
                        <w:r>
                          <w:rPr>
                            <w:rFonts w:ascii="Calibri" w:hAnsi="Calibri"/>
                            <w:color w:val="000000"/>
                            <w:kern w:val="24"/>
                            <w:sz w:val="16"/>
                            <w:szCs w:val="16"/>
                          </w:rPr>
                          <w:t xml:space="preserve">1 900 </w:t>
                        </w:r>
                        <w:r w:rsidRPr="00900457">
                          <w:rPr>
                            <w:rFonts w:ascii="Calibri" w:hAnsi="Calibri"/>
                            <w:color w:val="000000"/>
                            <w:kern w:val="24"/>
                            <w:sz w:val="16"/>
                            <w:szCs w:val="16"/>
                          </w:rPr>
                          <w:t>MHz</w:t>
                        </w:r>
                      </w:p>
                    </w:txbxContent>
                  </v:textbox>
                </v:shape>
                <v:rect id="Rectangle 36" o:spid="_x0000_s1145" style="position:absolute;left:77284;top:49932;width:363;height:622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QET7cMA&#10;AADbAAAADwAAAGRycy9kb3ducmV2LnhtbESPzYoCMRCE74LvEFrYm2YUER2NIsIuHvawugvqrZn0&#10;/OCkMyZRZ9/eCILHoqq+ohar1tTiRs5XlhUMBwkI4szqigsFf7+f/SkIH5A11pZJwT95WC27nQWm&#10;2t55R7d9KESEsE9RQRlCk0rps5IM+oFtiKOXW2cwROkKqR3eI9zUcpQkE2mw4rhQYkObkrLz/moU&#10;bCb18XTZDcP2K29n7uC/c/6ZKvXRa9dzEIHa8A6/2lutYDSG55f4A+Ty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QET7cMAAADbAAAADwAAAAAAAAAAAAAAAACYAgAAZHJzL2Rv&#10;d25yZXYueG1sUEsFBgAAAAAEAAQA9QAAAIgDAAAAAA==&#10;" fillcolor="#bfbfbf" strokeweight="1pt">
                  <v:shadow on="t" color="black" opacity="22936f" origin=",.5" offset="0,.63889mm"/>
                  <v:textbox>
                    <w:txbxContent>
                      <w:p w14:paraId="486CED31" w14:textId="77777777" w:rsidR="00DA7779" w:rsidRPr="00A02A3A" w:rsidRDefault="00DA7779" w:rsidP="001433B5">
                        <w:pPr>
                          <w:rPr>
                            <w:sz w:val="16"/>
                            <w:szCs w:val="16"/>
                          </w:rPr>
                        </w:pPr>
                      </w:p>
                    </w:txbxContent>
                  </v:textbox>
                </v:rect>
                <v:shape id="_x0000_s1146" type="#_x0000_t202" style="position:absolute;left:40035;top:56489;width:13046;height:208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pu83MIA&#10;AADbAAAADwAAAGRycy9kb3ducmV2LnhtbESPQYvCMBSE74L/ITzBmyaKyto1yrIieFJ0d4W9PZpn&#10;W2xeShNt/fdGEDwOM/MNs1i1thQ3qn3hWMNoqEAQp84UnGn4/dkMPkD4gGywdEwa7uRhtex2FpgY&#10;1/CBbseQiQhhn6CGPIQqkdKnOVn0Q1cRR+/saoshyjqTpsYmwm0px0rNpMWC40KOFX3nlF6OV6vh&#10;b3f+P03UPlvbadW4Vkm2c6l1v9d+fYII1IZ3+NXeGg3jKTy/xB8gl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m7zcwgAAANsAAAAPAAAAAAAAAAAAAAAAAJgCAABkcnMvZG93&#10;bnJldi54bWxQSwUGAAAAAAQABAD1AAAAhwMAAAAA&#10;" filled="f" stroked="f">
                  <v:textbox>
                    <w:txbxContent>
                      <w:p w14:paraId="0BCD4C6D" w14:textId="77777777" w:rsidR="00DA7779" w:rsidRPr="00A02A3A" w:rsidRDefault="00DA7779" w:rsidP="001433B5">
                        <w:pPr>
                          <w:pStyle w:val="NormalWeb"/>
                          <w:spacing w:after="0"/>
                          <w:jc w:val="center"/>
                          <w:rPr>
                            <w:sz w:val="16"/>
                            <w:szCs w:val="16"/>
                          </w:rPr>
                        </w:pPr>
                        <w:r>
                          <w:rPr>
                            <w:rFonts w:ascii="Calibri" w:hAnsi="Calibri"/>
                            <w:color w:val="000000"/>
                            <w:kern w:val="24"/>
                            <w:sz w:val="16"/>
                            <w:szCs w:val="16"/>
                          </w:rPr>
                          <w:t xml:space="preserve">1 910 </w:t>
                        </w:r>
                        <w:r w:rsidRPr="00900457">
                          <w:rPr>
                            <w:rFonts w:ascii="Calibri" w:hAnsi="Calibri"/>
                            <w:color w:val="000000"/>
                            <w:kern w:val="24"/>
                            <w:sz w:val="16"/>
                            <w:szCs w:val="16"/>
                          </w:rPr>
                          <w:t>MHz</w:t>
                        </w:r>
                      </w:p>
                    </w:txbxContent>
                  </v:textbox>
                </v:shape>
                <v:rect id="Rectangle 38" o:spid="_x0000_s1147" style="position:absolute;left:14208;top:49841;width:63039;height:45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7P2n8IA&#10;AADbAAAADwAAAGRycy9kb3ducmV2LnhtbESPQYvCMBSE7wv+h/AEb2uqh+JWo6iroCe31R/waJ5N&#10;sXkpTVbrvzfCwh6HmfmGWax624g7db52rGAyTkAQl07XXCm4nPefMxA+IGtsHJOCJ3lYLQcfC8y0&#10;e3BO9yJUIkLYZ6jAhNBmUvrSkEU/di1x9K6usxii7CqpO3xEuG3kNElSabHmuGCwpa2h8lb8WgXu&#10;cqVCVptDar+/8lP6Y46nXa7UaNiv5yAC9eE//Nc+aAXTFN5f4g+Qyx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js/afwgAAANsAAAAPAAAAAAAAAAAAAAAAAJgCAABkcnMvZG93&#10;bnJldi54bWxQSwUGAAAAAAQABAD1AAAAhwMAAAAA&#10;" fillcolor="#b2a1c7 [1943]" strokeweight="1pt">
                  <v:shadow on="t" color="black" opacity="22936f" origin=",.5" offset="0,.63889mm"/>
                  <v:textbox>
                    <w:txbxContent>
                      <w:p w14:paraId="7E4C303B" w14:textId="77777777" w:rsidR="00DA7779" w:rsidRDefault="00DA7779" w:rsidP="0025329B">
                        <w:pPr>
                          <w:pStyle w:val="NormalWeb"/>
                          <w:spacing w:before="0" w:beforeAutospacing="0" w:after="0" w:afterAutospacing="0"/>
                          <w:jc w:val="center"/>
                          <w:rPr>
                            <w:rFonts w:ascii="Calibri" w:hAnsi="Calibri"/>
                            <w:color w:val="000000"/>
                            <w:kern w:val="24"/>
                            <w:sz w:val="16"/>
                            <w:szCs w:val="16"/>
                          </w:rPr>
                        </w:pPr>
                        <w:r>
                          <w:rPr>
                            <w:rFonts w:ascii="Calibri" w:hAnsi="Calibri"/>
                            <w:color w:val="000000"/>
                            <w:kern w:val="24"/>
                            <w:sz w:val="16"/>
                            <w:szCs w:val="16"/>
                          </w:rPr>
                          <w:t xml:space="preserve">Applications under general </w:t>
                        </w:r>
                        <w:proofErr w:type="spellStart"/>
                        <w:r w:rsidRPr="0025329B">
                          <w:rPr>
                            <w:rFonts w:ascii="Calibri" w:hAnsi="Calibri"/>
                            <w:color w:val="000000"/>
                            <w:kern w:val="24"/>
                            <w:sz w:val="16"/>
                            <w:szCs w:val="16"/>
                          </w:rPr>
                          <w:t>authorisation</w:t>
                        </w:r>
                        <w:proofErr w:type="spellEnd"/>
                        <w:r>
                          <w:rPr>
                            <w:rFonts w:ascii="Calibri" w:hAnsi="Calibri"/>
                            <w:color w:val="000000"/>
                            <w:kern w:val="24"/>
                            <w:sz w:val="16"/>
                            <w:szCs w:val="16"/>
                          </w:rPr>
                          <w:t xml:space="preserve"> (DECT / SRD) </w:t>
                        </w:r>
                      </w:p>
                      <w:p w14:paraId="5A0B93D4" w14:textId="4BE34098" w:rsidR="00DA7779" w:rsidRPr="00B26244" w:rsidRDefault="00DA7779" w:rsidP="0025329B">
                        <w:pPr>
                          <w:pStyle w:val="NormalWeb"/>
                          <w:spacing w:before="0" w:beforeAutospacing="0" w:after="0" w:afterAutospacing="0"/>
                          <w:jc w:val="center"/>
                          <w:rPr>
                            <w:rFonts w:ascii="Calibri" w:hAnsi="Calibri"/>
                            <w:color w:val="000000"/>
                            <w:kern w:val="24"/>
                            <w:sz w:val="16"/>
                            <w:szCs w:val="16"/>
                          </w:rPr>
                        </w:pPr>
                        <w:r w:rsidRPr="00B26244">
                          <w:rPr>
                            <w:rFonts w:ascii="Calibri" w:hAnsi="Calibri"/>
                            <w:color w:val="000000"/>
                            <w:kern w:val="24"/>
                            <w:sz w:val="16"/>
                            <w:szCs w:val="16"/>
                          </w:rPr>
                          <w:t>Not proposed to be introduced in a Commission implementing decision</w:t>
                        </w:r>
                      </w:p>
                    </w:txbxContent>
                  </v:textbox>
                </v:rect>
                <v:shape id="_x0000_s1148" type="#_x0000_t202" style="position:absolute;left:72286;top:56489;width:10189;height:18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QWHMMQA&#10;AADbAAAADwAAAGRycy9kb3ducmV2LnhtbESPQWvCQBSE7wX/w/IEb7qr2FbTbESUQk8tpip4e2Sf&#10;SWj2bchuTfrvuwWhx2FmvmHSzWAbcaPO1441zGcKBHHhTM2lhuPn63QFwgdkg41j0vBDHjbZ6CHF&#10;xLieD3TLQykihH2CGqoQ2kRKX1Rk0c9cSxy9q+sshii7UpoO+wi3jVwo9SQt1hwXKmxpV1HxlX9b&#10;Daf36+W8VB/l3j62vRuUZLuWWk/Gw/YFRKAh/Ifv7TejYfEMf1/iD5DZ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0FhzDEAAAA2wAAAA8AAAAAAAAAAAAAAAAAmAIAAGRycy9k&#10;b3ducmV2LnhtbFBLBQYAAAAABAAEAPUAAACJAwAAAAA=&#10;" filled="f" stroked="f">
                  <v:textbox>
                    <w:txbxContent>
                      <w:p w14:paraId="06298C16" w14:textId="77777777" w:rsidR="00DA7779" w:rsidRPr="00A02A3A" w:rsidRDefault="00DA7779" w:rsidP="001433B5">
                        <w:pPr>
                          <w:pStyle w:val="NormalWeb"/>
                          <w:spacing w:after="0"/>
                          <w:rPr>
                            <w:sz w:val="16"/>
                            <w:szCs w:val="16"/>
                          </w:rPr>
                        </w:pPr>
                        <w:r>
                          <w:rPr>
                            <w:rFonts w:ascii="Calibri" w:hAnsi="Calibri"/>
                            <w:color w:val="000000"/>
                            <w:kern w:val="24"/>
                            <w:sz w:val="16"/>
                            <w:szCs w:val="16"/>
                          </w:rPr>
                          <w:t>1 920</w:t>
                        </w:r>
                        <w:r w:rsidRPr="00900457">
                          <w:rPr>
                            <w:rFonts w:ascii="Calibri" w:hAnsi="Calibri"/>
                            <w:color w:val="000000"/>
                            <w:kern w:val="24"/>
                            <w:sz w:val="16"/>
                            <w:szCs w:val="16"/>
                          </w:rPr>
                          <w:t xml:space="preserve"> MH</w:t>
                        </w:r>
                        <w:r>
                          <w:rPr>
                            <w:rFonts w:ascii="Calibri" w:hAnsi="Calibri"/>
                            <w:color w:val="000000"/>
                            <w:kern w:val="24"/>
                            <w:sz w:val="16"/>
                            <w:szCs w:val="16"/>
                          </w:rPr>
                          <w:t>z</w:t>
                        </w:r>
                      </w:p>
                    </w:txbxContent>
                  </v:textbox>
                </v:shape>
                <v:rect id="Rectangle 40" o:spid="_x0000_s1149" style="position:absolute;left:4315;top:42943;width:9728;height:1143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pNHQ8AA&#10;AADbAAAADwAAAGRycy9kb3ducmV2LnhtbERPTWvCQBC9F/oflil4q5MmUGp0lRIISJFCVfA6ZMck&#10;mp0N2a2J/949FHp8vO/VZrKduvHgWyca3uYJKJbKmVZqDcdD+foBygcSQ50T1nBnD5v189OKcuNG&#10;+eHbPtQqhojPSUMTQp8j+qphS37uepbInd1gKUQ41GgGGmO47TBNkne01EpsaKjnouHquv+1Gsrt&#10;CV0Zaiyyr8XucrRI2TdqPXuZPpegAk/hX/zn3hoNaRwbv8QfgOsH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pNHQ8AAAADbAAAADwAAAAAAAAAAAAAAAACYAgAAZHJzL2Rvd25y&#10;ZXYueG1sUEsFBgAAAAAEAAQA9QAAAIUDAAAAAA==&#10;" fillcolor="#fde9d9 [665]">
                  <v:shadow on="t" color="black" opacity="22936f" origin=",.5" offset="0,.63889mm"/>
                  <v:textbox>
                    <w:txbxContent>
                      <w:p w14:paraId="48082DA7" w14:textId="7CC4BCFF" w:rsidR="00DA7779" w:rsidRPr="00EE05BA" w:rsidRDefault="00DA7779" w:rsidP="00AE317A">
                        <w:pPr>
                          <w:pStyle w:val="NormalWeb"/>
                          <w:spacing w:after="0"/>
                          <w:jc w:val="center"/>
                        </w:pPr>
                        <w:r>
                          <w:rPr>
                            <w:rFonts w:ascii="Calibri" w:hAnsi="Calibri"/>
                            <w:color w:val="000000"/>
                            <w:kern w:val="24"/>
                          </w:rPr>
                          <w:t>DECT</w:t>
                        </w:r>
                      </w:p>
                    </w:txbxContent>
                  </v:textbox>
                </v:rect>
                <v:rect id="Rectangle 58" o:spid="_x0000_s1150" style="position:absolute;left:14207;top:42943;width:63042;height:316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y9Ao8MA&#10;AADbAAAADwAAAGRycy9kb3ducmV2LnhtbESPQYvCMBSE7wv+h/AEL4umCi5ajSLLKp6EtXvZ26N5&#10;ttXmpSSx1n9vBMHjMDPfMMt1Z2rRkvOVZQXjUQKCOLe64kLBX7YdzkD4gKyxtkwK7uRhvep9LDHV&#10;9sa/1B5DISKEfYoKyhCaVEqfl2TQj2xDHL2TdQZDlK6Q2uEtwk0tJ0nyJQ1WHBdKbOi7pPxyvBoF&#10;RTaeZc3/z6Hzrr1vp/Ns9ynPSg363WYBIlAX3uFXe68VTObw/BJ/gFw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y9Ao8MAAADbAAAADwAAAAAAAAAAAAAAAACYAgAAZHJzL2Rv&#10;d25yZXYueG1sUEsFBgAAAAAEAAQA9QAAAIgDAAAAAA==&#10;" fillcolor="#c0504d">
                  <v:shadow on="t" color="black" opacity="22936f" origin=",.5" offset="0,.63889mm"/>
                  <v:textbox>
                    <w:txbxContent>
                      <w:p w14:paraId="40E9C2DC" w14:textId="77777777" w:rsidR="00DA7779" w:rsidRPr="00EE05BA" w:rsidRDefault="00DA7779" w:rsidP="001433B5">
                        <w:pPr>
                          <w:pStyle w:val="NormalWeb"/>
                          <w:spacing w:after="0"/>
                          <w:jc w:val="center"/>
                        </w:pPr>
                        <w:r>
                          <w:rPr>
                            <w:rFonts w:ascii="Calibri" w:hAnsi="Calibri"/>
                            <w:color w:val="000000"/>
                            <w:kern w:val="24"/>
                          </w:rPr>
                          <w:t xml:space="preserve">DA2GCS TDD </w:t>
                        </w:r>
                      </w:p>
                    </w:txbxContent>
                  </v:textbox>
                </v:rect>
                <w10:anchorlock/>
              </v:group>
            </w:pict>
          </mc:Fallback>
        </mc:AlternateContent>
      </w:r>
    </w:p>
    <w:bookmarkEnd w:id="81"/>
    <w:p w14:paraId="0C7EFE22" w14:textId="77777777" w:rsidR="001433B5" w:rsidRPr="00040BEC" w:rsidRDefault="001433B5" w:rsidP="00176CF0">
      <w:pPr>
        <w:pStyle w:val="Caption"/>
        <w:ind w:left="720"/>
        <w:rPr>
          <w:szCs w:val="24"/>
          <w:lang w:val="en-GB"/>
        </w:rPr>
      </w:pPr>
      <w:r w:rsidRPr="00040BEC">
        <w:rPr>
          <w:lang w:val="en-GB"/>
        </w:rPr>
        <w:t xml:space="preserve">Figure </w:t>
      </w:r>
      <w:r w:rsidR="000A5980" w:rsidRPr="00040BEC">
        <w:rPr>
          <w:lang w:val="en-GB"/>
        </w:rPr>
        <w:fldChar w:fldCharType="begin"/>
      </w:r>
      <w:r w:rsidRPr="00040BEC">
        <w:rPr>
          <w:lang w:val="en-GB"/>
        </w:rPr>
        <w:instrText xml:space="preserve"> SEQ Figure \* ARABIC </w:instrText>
      </w:r>
      <w:r w:rsidR="000A5980" w:rsidRPr="00040BEC">
        <w:rPr>
          <w:lang w:val="en-GB"/>
        </w:rPr>
        <w:fldChar w:fldCharType="separate"/>
      </w:r>
      <w:r w:rsidR="002327BB">
        <w:rPr>
          <w:noProof/>
          <w:lang w:val="en-GB"/>
        </w:rPr>
        <w:t>16</w:t>
      </w:r>
      <w:r w:rsidR="000A5980" w:rsidRPr="00040BEC">
        <w:rPr>
          <w:lang w:val="en-GB"/>
        </w:rPr>
        <w:fldChar w:fldCharType="end"/>
      </w:r>
      <w:r w:rsidRPr="00040BEC">
        <w:rPr>
          <w:lang w:val="en-GB"/>
        </w:rPr>
        <w:t xml:space="preserve">: Scenario 2, lower band </w:t>
      </w:r>
      <w:r w:rsidRPr="00040BEC">
        <w:rPr>
          <w:szCs w:val="24"/>
          <w:lang w:val="en-GB"/>
        </w:rPr>
        <w:t>(DA2GCS TDD, DECT / SRD)</w:t>
      </w:r>
    </w:p>
    <w:p w14:paraId="7EE81C64" w14:textId="77777777" w:rsidR="007C3FAF" w:rsidRPr="00040BEC" w:rsidRDefault="007C3FAF" w:rsidP="007C3FAF">
      <w:pPr>
        <w:rPr>
          <w:lang w:val="en-GB"/>
        </w:rPr>
      </w:pPr>
    </w:p>
    <w:bookmarkStart w:id="82" w:name="_Ref380596654"/>
    <w:p w14:paraId="29961174" w14:textId="77777777" w:rsidR="001433B5" w:rsidRPr="00040BEC" w:rsidRDefault="00531617" w:rsidP="001433B5">
      <w:pPr>
        <w:rPr>
          <w:lang w:val="en-GB"/>
        </w:rPr>
      </w:pPr>
      <w:r w:rsidRPr="00040BEC">
        <w:rPr>
          <w:noProof/>
          <w:lang w:val="da-DK" w:eastAsia="da-DK"/>
        </w:rPr>
        <mc:AlternateContent>
          <mc:Choice Requires="wps">
            <w:drawing>
              <wp:anchor distT="0" distB="0" distL="114300" distR="114300" simplePos="0" relativeHeight="251696128" behindDoc="0" locked="0" layoutInCell="1" allowOverlap="1" wp14:anchorId="4C52A326" wp14:editId="1949D647">
                <wp:simplePos x="0" y="0"/>
                <wp:positionH relativeFrom="margin">
                  <wp:posOffset>3833495</wp:posOffset>
                </wp:positionH>
                <wp:positionV relativeFrom="paragraph">
                  <wp:posOffset>4445</wp:posOffset>
                </wp:positionV>
                <wp:extent cx="1085850" cy="1604645"/>
                <wp:effectExtent l="0" t="0" r="19050" b="52705"/>
                <wp:wrapNone/>
                <wp:docPr id="117" name="Rectangle 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85850" cy="1604645"/>
                        </a:xfrm>
                        <a:prstGeom prst="rect">
                          <a:avLst/>
                        </a:prstGeom>
                        <a:solidFill>
                          <a:schemeClr val="accent4">
                            <a:lumMod val="20000"/>
                            <a:lumOff val="80000"/>
                          </a:schemeClr>
                        </a:solidFill>
                        <a:ln w="9525">
                          <a:solidFill>
                            <a:srgbClr val="000000"/>
                          </a:solidFill>
                          <a:miter lim="800000"/>
                          <a:headEnd/>
                          <a:tailEnd/>
                        </a:ln>
                        <a:effectLst>
                          <a:outerShdw dist="23000" dir="5400000" rotWithShape="0">
                            <a:srgbClr val="000000">
                              <a:alpha val="34999"/>
                            </a:srgbClr>
                          </a:outerShdw>
                        </a:effectLst>
                      </wps:spPr>
                      <wps:txbx>
                        <w:txbxContent>
                          <w:p w14:paraId="11BAC7F7" w14:textId="77777777" w:rsidR="00DA7779" w:rsidRPr="00B56588" w:rsidRDefault="00DA7779" w:rsidP="001433B5">
                            <w:pPr>
                              <w:pStyle w:val="NormalWeb"/>
                              <w:spacing w:after="0"/>
                              <w:jc w:val="center"/>
                              <w:rPr>
                                <w:rFonts w:ascii="Calibri" w:hAnsi="Calibri"/>
                                <w:color w:val="000000"/>
                                <w:kern w:val="24"/>
                              </w:rPr>
                            </w:pPr>
                            <w:r w:rsidRPr="00B56588">
                              <w:rPr>
                                <w:rFonts w:ascii="Calibri" w:hAnsi="Calibri"/>
                                <w:color w:val="000000"/>
                                <w:kern w:val="24"/>
                              </w:rPr>
                              <w:t>Space Service</w:t>
                            </w:r>
                            <w:r>
                              <w:rPr>
                                <w:rFonts w:ascii="Calibri" w:hAnsi="Calibri"/>
                                <w:color w:val="000000"/>
                                <w:kern w:val="24"/>
                              </w:rPr>
                              <w:t>s</w:t>
                            </w:r>
                            <w:r w:rsidRPr="00B56588">
                              <w:rPr>
                                <w:rFonts w:ascii="Calibri" w:hAnsi="Calibri"/>
                                <w:color w:val="000000"/>
                                <w:kern w:val="24"/>
                              </w:rPr>
                              <w:t xml:space="preserve"> (SRS, SOS, EESS)</w:t>
                            </w:r>
                          </w:p>
                          <w:p w14:paraId="4595F6AB" w14:textId="77777777" w:rsidR="00DA7779" w:rsidRDefault="00DA7779" w:rsidP="001433B5">
                            <w:pPr>
                              <w:pStyle w:val="NormalWeb"/>
                              <w:spacing w:after="0"/>
                              <w:jc w:val="center"/>
                              <w:rPr>
                                <w:rFonts w:ascii="Calibri" w:hAnsi="Calibri"/>
                                <w:color w:val="000000"/>
                                <w:kern w:val="24"/>
                                <w:lang w:val="pt-PT"/>
                              </w:rPr>
                            </w:pPr>
                            <w:r>
                              <w:rPr>
                                <w:rFonts w:ascii="Calibri" w:hAnsi="Calibri"/>
                                <w:color w:val="000000"/>
                                <w:kern w:val="24"/>
                                <w:lang w:val="pt-PT"/>
                              </w:rPr>
                              <w:t>PMSE</w:t>
                            </w:r>
                          </w:p>
                          <w:p w14:paraId="2524D0D8" w14:textId="77777777" w:rsidR="00DA7779" w:rsidRDefault="00DA7779" w:rsidP="001433B5">
                            <w:pPr>
                              <w:pStyle w:val="NormalWeb"/>
                              <w:spacing w:after="0"/>
                              <w:jc w:val="center"/>
                              <w:rPr>
                                <w:rFonts w:ascii="Calibri" w:hAnsi="Calibri"/>
                                <w:color w:val="000000"/>
                                <w:kern w:val="24"/>
                                <w:lang w:val="pt-PT"/>
                              </w:rPr>
                            </w:pPr>
                            <w:r>
                              <w:rPr>
                                <w:rFonts w:ascii="Calibri" w:hAnsi="Calibri"/>
                                <w:color w:val="000000"/>
                                <w:kern w:val="24"/>
                                <w:lang w:val="pt-PT"/>
                              </w:rPr>
                              <w:t>Fixed</w:t>
                            </w:r>
                          </w:p>
                          <w:p w14:paraId="106CB654" w14:textId="77777777" w:rsidR="00DA7779" w:rsidRPr="000408C5" w:rsidRDefault="00DA7779" w:rsidP="001433B5">
                            <w:pPr>
                              <w:pStyle w:val="NormalWeb"/>
                              <w:spacing w:after="0"/>
                              <w:jc w:val="center"/>
                              <w:rPr>
                                <w:rFonts w:ascii="Calibri" w:hAnsi="Calibri"/>
                                <w:color w:val="000000"/>
                                <w:kern w:val="24"/>
                                <w:lang w:val="pt-PT"/>
                              </w:rPr>
                            </w:pPr>
                            <w:r>
                              <w:rPr>
                                <w:rFonts w:ascii="Calibri" w:hAnsi="Calibri"/>
                                <w:color w:val="000000"/>
                                <w:kern w:val="24"/>
                                <w:lang w:val="pt-PT"/>
                              </w:rPr>
                              <w:t>Defence</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ect id="_x0000_s1151" style="position:absolute;margin-left:301.85pt;margin-top:.35pt;width:85.5pt;height:126.35pt;z-index:2516961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" fillcolor="#e5dfec [663]">
                <v:shadow on="t" color="black" opacity="22936f" origin=",.5" offset="0,.63889mm"/>
                <v:textbox>
                  <w:txbxContent>
                    <w:p w14:paraId="11BAC7F7" w14:textId="77777777" w:rsidR="00DA7779" w:rsidRPr="00B56588" w:rsidRDefault="00DA7779" w:rsidP="001433B5">
                      <w:pPr>
                        <w:pStyle w:val="NormalWeb"/>
                        <w:spacing w:after="0"/>
                        <w:jc w:val="center"/>
                        <w:rPr>
                          <w:rFonts w:ascii="Calibri" w:hAnsi="Calibri"/>
                          <w:color w:val="000000"/>
                          <w:kern w:val="24"/>
                        </w:rPr>
                      </w:pPr>
                      <w:r w:rsidRPr="00B56588">
                        <w:rPr>
                          <w:rFonts w:ascii="Calibri" w:hAnsi="Calibri"/>
                          <w:color w:val="000000"/>
                          <w:kern w:val="24"/>
                        </w:rPr>
                        <w:t>Space Service</w:t>
                      </w:r>
                      <w:r>
                        <w:rPr>
                          <w:rFonts w:ascii="Calibri" w:hAnsi="Calibri"/>
                          <w:color w:val="000000"/>
                          <w:kern w:val="24"/>
                        </w:rPr>
                        <w:t>s</w:t>
                      </w:r>
                      <w:r w:rsidRPr="00B56588">
                        <w:rPr>
                          <w:rFonts w:ascii="Calibri" w:hAnsi="Calibri"/>
                          <w:color w:val="000000"/>
                          <w:kern w:val="24"/>
                        </w:rPr>
                        <w:t xml:space="preserve"> (SRS, SOS, EESS)</w:t>
                      </w:r>
                    </w:p>
                    <w:p w14:paraId="4595F6AB" w14:textId="77777777" w:rsidR="00DA7779" w:rsidRDefault="00DA7779" w:rsidP="001433B5">
                      <w:pPr>
                        <w:pStyle w:val="NormalWeb"/>
                        <w:spacing w:after="0"/>
                        <w:jc w:val="center"/>
                        <w:rPr>
                          <w:rFonts w:ascii="Calibri" w:hAnsi="Calibri"/>
                          <w:color w:val="000000"/>
                          <w:kern w:val="24"/>
                          <w:lang w:val="pt-PT"/>
                        </w:rPr>
                      </w:pPr>
                      <w:r>
                        <w:rPr>
                          <w:rFonts w:ascii="Calibri" w:hAnsi="Calibri"/>
                          <w:color w:val="000000"/>
                          <w:kern w:val="24"/>
                          <w:lang w:val="pt-PT"/>
                        </w:rPr>
                        <w:t>PMSE</w:t>
                      </w:r>
                    </w:p>
                    <w:p w14:paraId="2524D0D8" w14:textId="77777777" w:rsidR="00DA7779" w:rsidRDefault="00DA7779" w:rsidP="001433B5">
                      <w:pPr>
                        <w:pStyle w:val="NormalWeb"/>
                        <w:spacing w:after="0"/>
                        <w:jc w:val="center"/>
                        <w:rPr>
                          <w:rFonts w:ascii="Calibri" w:hAnsi="Calibri"/>
                          <w:color w:val="000000"/>
                          <w:kern w:val="24"/>
                          <w:lang w:val="pt-PT"/>
                        </w:rPr>
                      </w:pPr>
                      <w:r>
                        <w:rPr>
                          <w:rFonts w:ascii="Calibri" w:hAnsi="Calibri"/>
                          <w:color w:val="000000"/>
                          <w:kern w:val="24"/>
                          <w:lang w:val="pt-PT"/>
                        </w:rPr>
                        <w:t>Fixed</w:t>
                      </w:r>
                    </w:p>
                    <w:p w14:paraId="106CB654" w14:textId="77777777" w:rsidR="00DA7779" w:rsidRPr="000408C5" w:rsidRDefault="00DA7779" w:rsidP="001433B5">
                      <w:pPr>
                        <w:pStyle w:val="NormalWeb"/>
                        <w:spacing w:after="0"/>
                        <w:jc w:val="center"/>
                        <w:rPr>
                          <w:rFonts w:ascii="Calibri" w:hAnsi="Calibri"/>
                          <w:color w:val="000000"/>
                          <w:kern w:val="24"/>
                          <w:lang w:val="pt-PT"/>
                        </w:rPr>
                      </w:pPr>
                      <w:r>
                        <w:rPr>
                          <w:rFonts w:ascii="Calibri" w:hAnsi="Calibri"/>
                          <w:color w:val="000000"/>
                          <w:kern w:val="24"/>
                          <w:lang w:val="pt-PT"/>
                        </w:rPr>
                        <w:t>Defence</w:t>
                      </w:r>
                    </w:p>
                  </w:txbxContent>
                </v:textbox>
                <w10:wrap anchorx="margin"/>
              </v:rect>
            </w:pict>
          </mc:Fallback>
        </mc:AlternateContent>
      </w:r>
      <w:r w:rsidRPr="00040BEC">
        <w:rPr>
          <w:noProof/>
          <w:lang w:val="da-DK" w:eastAsia="da-DK"/>
        </w:rPr>
        <mc:AlternateContent>
          <mc:Choice Requires="wps">
            <w:drawing>
              <wp:anchor distT="0" distB="0" distL="114300" distR="114300" simplePos="0" relativeHeight="251697152" behindDoc="0" locked="0" layoutInCell="1" allowOverlap="1" wp14:anchorId="40AE23BB" wp14:editId="739D90C7">
                <wp:simplePos x="0" y="0"/>
                <wp:positionH relativeFrom="column">
                  <wp:posOffset>645160</wp:posOffset>
                </wp:positionH>
                <wp:positionV relativeFrom="paragraph">
                  <wp:posOffset>462915</wp:posOffset>
                </wp:positionV>
                <wp:extent cx="3195320" cy="633730"/>
                <wp:effectExtent l="0" t="0" r="24130" b="52070"/>
                <wp:wrapNone/>
                <wp:docPr id="116" name="Rectangle 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95320" cy="633730"/>
                        </a:xfrm>
                        <a:prstGeom prst="rect">
                          <a:avLst/>
                        </a:prstGeom>
                        <a:solidFill>
                          <a:srgbClr val="F79646"/>
                        </a:solidFill>
                        <a:ln w="12700">
                          <a:solidFill>
                            <a:srgbClr val="000000"/>
                          </a:solidFill>
                          <a:miter lim="800000"/>
                          <a:headEnd/>
                          <a:tailEnd/>
                        </a:ln>
                        <a:effectLst>
                          <a:outerShdw dist="23000" dir="5400000" rotWithShape="0">
                            <a:srgbClr val="000000">
                              <a:alpha val="34999"/>
                            </a:srgbClr>
                          </a:outerShdw>
                        </a:effectLst>
                      </wps:spPr>
                      <wps:txbx>
                        <w:txbxContent>
                          <w:p w14:paraId="270DE025" w14:textId="77777777" w:rsidR="00DA7779" w:rsidRPr="000408C5" w:rsidRDefault="00DA7779" w:rsidP="001433B5">
                            <w:pPr>
                              <w:pStyle w:val="NormalWeb"/>
                              <w:spacing w:after="0"/>
                              <w:jc w:val="center"/>
                              <w:rPr>
                                <w:sz w:val="22"/>
                                <w:szCs w:val="22"/>
                              </w:rPr>
                            </w:pPr>
                            <w:r>
                              <w:rPr>
                                <w:rFonts w:ascii="Calibri" w:hAnsi="Calibri"/>
                                <w:color w:val="000000"/>
                                <w:kern w:val="24"/>
                              </w:rPr>
                              <w:t>VLCC</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ect id="_x0000_s1152" style="position:absolute;margin-left:50.8pt;margin-top:36.45pt;width:251.6pt;height:49.9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" fillcolor="#f79646" strokeweight="1pt">
                <v:shadow on="t" color="black" opacity="22936f" origin=",.5" offset="0,.63889mm"/>
                <v:textbox>
                  <w:txbxContent>
                    <w:p w14:paraId="270DE025" w14:textId="77777777" w:rsidR="00DA7779" w:rsidRPr="000408C5" w:rsidRDefault="00DA7779" w:rsidP="001433B5">
                      <w:pPr>
                        <w:pStyle w:val="NormalWeb"/>
                        <w:spacing w:after="0"/>
                        <w:jc w:val="center"/>
                        <w:rPr>
                          <w:sz w:val="22"/>
                          <w:szCs w:val="22"/>
                        </w:rPr>
                      </w:pPr>
                      <w:r>
                        <w:rPr>
                          <w:rFonts w:ascii="Calibri" w:hAnsi="Calibri"/>
                          <w:color w:val="000000"/>
                          <w:kern w:val="24"/>
                        </w:rPr>
                        <w:t>VLCC</w:t>
                      </w:r>
                    </w:p>
                  </w:txbxContent>
                </v:textbox>
              </v:rect>
            </w:pict>
          </mc:Fallback>
        </mc:AlternateContent>
      </w:r>
      <w:r w:rsidRPr="00040BEC">
        <w:rPr>
          <w:noProof/>
          <w:lang w:val="da-DK" w:eastAsia="da-DK"/>
        </w:rPr>
        <mc:AlternateContent>
          <mc:Choice Requires="wps">
            <w:drawing>
              <wp:anchor distT="0" distB="0" distL="114300" distR="114300" simplePos="0" relativeHeight="251699200" behindDoc="0" locked="0" layoutInCell="1" allowOverlap="1" wp14:anchorId="7EC805F2" wp14:editId="5A99053B">
                <wp:simplePos x="0" y="0"/>
                <wp:positionH relativeFrom="margin">
                  <wp:posOffset>2741930</wp:posOffset>
                </wp:positionH>
                <wp:positionV relativeFrom="paragraph">
                  <wp:posOffset>1612900</wp:posOffset>
                </wp:positionV>
                <wp:extent cx="45720" cy="252730"/>
                <wp:effectExtent l="0" t="0" r="11430" b="52070"/>
                <wp:wrapNone/>
                <wp:docPr id="111" name="Rectangle 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720" cy="252730"/>
                        </a:xfrm>
                        <a:prstGeom prst="rect">
                          <a:avLst/>
                        </a:prstGeom>
                        <a:solidFill>
                          <a:srgbClr val="BFBFBF"/>
                        </a:solidFill>
                        <a:ln w="12700">
                          <a:solidFill>
                            <a:srgbClr val="000000"/>
                          </a:solidFill>
                          <a:miter lim="800000"/>
                          <a:headEnd/>
                          <a:tailEnd/>
                        </a:ln>
                        <a:effectLst>
                          <a:outerShdw dist="23000" dir="5400000" rotWithShape="0">
                            <a:srgbClr val="000000">
                              <a:alpha val="34999"/>
                            </a:srgbClr>
                          </a:outerShdw>
                        </a:effectLst>
                      </wps:spPr>
                      <wps:txbx>
                        <w:txbxContent>
                          <w:p w14:paraId="3051B7A3" w14:textId="77777777" w:rsidR="00DA7779" w:rsidRPr="00A02A3A" w:rsidRDefault="00DA7779" w:rsidP="001433B5">
                            <w:pPr>
                              <w:rPr>
                                <w:sz w:val="16"/>
                                <w:szCs w:val="16"/>
                              </w:rPr>
                            </w:pPr>
                          </w:p>
                          <w:p w14:paraId="49FEB098" w14:textId="77777777" w:rsidR="00DA7779" w:rsidRPr="00A02A3A" w:rsidRDefault="00DA7779" w:rsidP="001433B5">
                            <w:pPr>
                              <w:rPr>
                                <w:sz w:val="16"/>
                                <w:szCs w:val="16"/>
                              </w:rPr>
                            </w:pP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ect id="_x0000_s1153" style="position:absolute;margin-left:215.9pt;margin-top:127pt;width:3.6pt;height:19.9pt;z-index:2516992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" fillcolor="#bfbfbf" strokeweight="1pt">
                <v:shadow on="t" color="black" opacity="22936f" origin=",.5" offset="0,.63889mm"/>
                <v:textbox>
                  <w:txbxContent>
                    <w:p w14:paraId="3051B7A3" w14:textId="77777777" w:rsidR="00DA7779" w:rsidRPr="00A02A3A" w:rsidRDefault="00DA7779" w:rsidP="001433B5">
                      <w:pPr>
                        <w:rPr>
                          <w:sz w:val="16"/>
                          <w:szCs w:val="16"/>
                        </w:rPr>
                      </w:pPr>
                    </w:p>
                    <w:p w14:paraId="49FEB098" w14:textId="77777777" w:rsidR="00DA7779" w:rsidRPr="00A02A3A" w:rsidRDefault="00DA7779" w:rsidP="001433B5">
                      <w:pPr>
                        <w:rPr>
                          <w:sz w:val="16"/>
                          <w:szCs w:val="16"/>
                        </w:rPr>
                      </w:pPr>
                    </w:p>
                  </w:txbxContent>
                </v:textbox>
                <w10:wrap anchorx="margin"/>
              </v:rect>
            </w:pict>
          </mc:Fallback>
        </mc:AlternateContent>
      </w:r>
      <w:r w:rsidRPr="00040BEC">
        <w:rPr>
          <w:noProof/>
          <w:lang w:val="da-DK" w:eastAsia="da-DK"/>
        </w:rPr>
        <mc:AlternateContent>
          <mc:Choice Requires="wps">
            <w:drawing>
              <wp:anchor distT="0" distB="0" distL="114300" distR="114300" simplePos="0" relativeHeight="251698176" behindDoc="0" locked="0" layoutInCell="1" allowOverlap="1" wp14:anchorId="3B6A8D10" wp14:editId="01B2767C">
                <wp:simplePos x="0" y="0"/>
                <wp:positionH relativeFrom="column">
                  <wp:posOffset>633730</wp:posOffset>
                </wp:positionH>
                <wp:positionV relativeFrom="paragraph">
                  <wp:posOffset>902970</wp:posOffset>
                </wp:positionV>
                <wp:extent cx="23495" cy="875665"/>
                <wp:effectExtent l="0" t="0" r="14605" b="57785"/>
                <wp:wrapNone/>
                <wp:docPr id="119" name="Rectangle 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495" cy="875665"/>
                        </a:xfrm>
                        <a:prstGeom prst="rect">
                          <a:avLst/>
                        </a:prstGeom>
                        <a:solidFill>
                          <a:srgbClr val="BFBFBF"/>
                        </a:solidFill>
                        <a:ln w="12700">
                          <a:solidFill>
                            <a:srgbClr val="000000"/>
                          </a:solidFill>
                          <a:miter lim="800000"/>
                          <a:headEnd/>
                          <a:tailEnd/>
                        </a:ln>
                        <a:effectLst>
                          <a:outerShdw dist="23000" dir="5400000" rotWithShape="0">
                            <a:srgbClr val="000000">
                              <a:alpha val="34999"/>
                            </a:srgbClr>
                          </a:outerShdw>
                        </a:effectLst>
                      </wps:spPr>
                      <wps:txbx>
                        <w:txbxContent>
                          <w:p w14:paraId="347ADF58" w14:textId="77777777" w:rsidR="00DA7779" w:rsidRPr="00A02A3A" w:rsidRDefault="00DA7779" w:rsidP="001433B5">
                            <w:pPr>
                              <w:rPr>
                                <w:sz w:val="16"/>
                                <w:szCs w:val="16"/>
                              </w:rPr>
                            </w:pPr>
                          </w:p>
                          <w:p w14:paraId="68D6F6A0" w14:textId="77777777" w:rsidR="00DA7779" w:rsidRPr="00A02A3A" w:rsidRDefault="00DA7779" w:rsidP="001433B5">
                            <w:pPr>
                              <w:rPr>
                                <w:sz w:val="16"/>
                                <w:szCs w:val="16"/>
                              </w:rP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id="_x0000_s1154" style="position:absolute;margin-left:49.9pt;margin-top:71.1pt;width:1.85pt;height:68.9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" fillcolor="#bfbfbf" strokeweight="1pt">
                <v:shadow on="t" color="black" opacity="22936f" origin=",.5" offset="0,.63889mm"/>
                <v:textbox>
                  <w:txbxContent>
                    <w:p w14:paraId="347ADF58" w14:textId="77777777" w:rsidR="00DA7779" w:rsidRPr="00A02A3A" w:rsidRDefault="00DA7779" w:rsidP="001433B5">
                      <w:pPr>
                        <w:rPr>
                          <w:sz w:val="16"/>
                          <w:szCs w:val="16"/>
                        </w:rPr>
                      </w:pPr>
                    </w:p>
                    <w:p w14:paraId="68D6F6A0" w14:textId="77777777" w:rsidR="00DA7779" w:rsidRPr="00A02A3A" w:rsidRDefault="00DA7779" w:rsidP="001433B5">
                      <w:pPr>
                        <w:rPr>
                          <w:sz w:val="16"/>
                          <w:szCs w:val="16"/>
                        </w:rPr>
                      </w:pPr>
                    </w:p>
                  </w:txbxContent>
                </v:textbox>
              </v:rect>
            </w:pict>
          </mc:Fallback>
        </mc:AlternateContent>
      </w:r>
      <w:r w:rsidRPr="00040BEC">
        <w:rPr>
          <w:rFonts w:cs="Arial"/>
          <w:noProof/>
          <w:lang w:val="da-DK" w:eastAsia="da-DK"/>
        </w:rPr>
        <mc:AlternateContent>
          <mc:Choice Requires="wpg">
            <w:drawing>
              <wp:inline distT="0" distB="0" distL="0" distR="0" wp14:anchorId="36781417" wp14:editId="7F3FFB66">
                <wp:extent cx="4197350" cy="2199180"/>
                <wp:effectExtent l="0" t="0" r="0" b="0"/>
                <wp:docPr id="3" name="Group 1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197350" cy="2199180"/>
                          <a:chOff x="4315" y="42943"/>
                          <a:chExt cx="64287" cy="15633"/>
                        </a:xfrm>
                      </wpg:grpSpPr>
                      <wps:wsp>
                        <wps:cNvPr id="6" name="Rectangle 128"/>
                        <wps:cNvSpPr>
                          <a:spLocks noChangeArrowheads="1"/>
                        </wps:cNvSpPr>
                        <wps:spPr bwMode="auto">
                          <a:xfrm>
                            <a:off x="14207" y="54482"/>
                            <a:ext cx="49258" cy="530"/>
                          </a:xfrm>
                          <a:prstGeom prst="rect">
                            <a:avLst/>
                          </a:prstGeom>
                          <a:solidFill>
                            <a:srgbClr val="BFBFBF"/>
                          </a:solidFill>
                          <a:ln w="12700">
                            <a:solidFill>
                              <a:srgbClr val="000000"/>
                            </a:solidFill>
                            <a:miter lim="800000"/>
                            <a:headEnd/>
                            <a:tailEnd/>
                          </a:ln>
                          <a:effectLst>
                            <a:outerShdw dist="23000" dir="5400000" rotWithShape="0">
                              <a:srgbClr val="000000">
                                <a:alpha val="34998"/>
                              </a:srgbClr>
                            </a:outerShdw>
                          </a:effectLst>
                        </wps:spPr>
                        <wps:txbx id="108">
                          <w:txbxContent>
                            <w:p w14:paraId="0328FEC5" w14:textId="77777777" w:rsidR="00DA7779" w:rsidRPr="00A02A3A" w:rsidRDefault="00DA7779" w:rsidP="001433B5">
                              <w:pPr>
                                <w:rPr>
                                  <w:sz w:val="16"/>
                                  <w:szCs w:val="16"/>
                                </w:rPr>
                              </w:pPr>
                            </w:p>
                          </w:txbxContent>
                        </wps:txbx>
                        <wps:bodyPr rot="0" vert="horz" wrap="square" lIns="91440" tIns="45720" rIns="91440" bIns="45720" anchor="ctr" anchorCtr="0" upright="1">
                          <a:noAutofit/>
                        </wps:bodyPr>
                      </wps:wsp>
                      <wps:wsp>
                        <wps:cNvPr id="11" name="TextBox 22"/>
                        <wps:cNvSpPr txBox="1">
                          <a:spLocks noChangeArrowheads="1"/>
                        </wps:cNvSpPr>
                        <wps:spPr bwMode="auto">
                          <a:xfrm>
                            <a:off x="8852" y="56604"/>
                            <a:ext cx="10034" cy="197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740778" w14:textId="77777777" w:rsidR="00DA7779" w:rsidRDefault="00DA7779" w:rsidP="0092126B">
                              <w:pPr>
                                <w:pStyle w:val="NormalWeb"/>
                                <w:spacing w:after="0"/>
                                <w:rPr>
                                  <w:rFonts w:ascii="Calibri" w:hAnsi="Calibri"/>
                                  <w:color w:val="000000"/>
                                  <w:kern w:val="24"/>
                                  <w:sz w:val="16"/>
                                  <w:szCs w:val="16"/>
                                </w:rPr>
                              </w:pPr>
                              <w:r>
                                <w:rPr>
                                  <w:rFonts w:ascii="Calibri" w:hAnsi="Calibri"/>
                                  <w:color w:val="000000"/>
                                  <w:kern w:val="24"/>
                                  <w:sz w:val="16"/>
                                  <w:szCs w:val="16"/>
                                </w:rPr>
                                <w:t xml:space="preserve">2 010 </w:t>
                              </w:r>
                              <w:r w:rsidRPr="00900457">
                                <w:rPr>
                                  <w:rFonts w:ascii="Calibri" w:hAnsi="Calibri"/>
                                  <w:color w:val="000000"/>
                                  <w:kern w:val="24"/>
                                  <w:sz w:val="16"/>
                                  <w:szCs w:val="16"/>
                                </w:rPr>
                                <w:t>MHz</w:t>
                              </w:r>
                              <w:r>
                                <w:rPr>
                                  <w:rFonts w:ascii="Calibri" w:hAnsi="Calibri"/>
                                  <w:color w:val="000000"/>
                                  <w:kern w:val="24"/>
                                  <w:sz w:val="16"/>
                                  <w:szCs w:val="16"/>
                                </w:rPr>
                                <w:t xml:space="preserve">  </w:t>
                              </w:r>
                            </w:p>
                            <w:p w14:paraId="674F8F56" w14:textId="77777777" w:rsidR="00DA7779" w:rsidRPr="00A02A3A" w:rsidRDefault="00DA7779" w:rsidP="0092126B">
                              <w:pPr>
                                <w:pStyle w:val="NormalWeb"/>
                                <w:spacing w:after="0"/>
                                <w:rPr>
                                  <w:sz w:val="16"/>
                                  <w:szCs w:val="16"/>
                                </w:rPr>
                              </w:pPr>
                              <w:r>
                                <w:rPr>
                                  <w:sz w:val="16"/>
                                  <w:szCs w:val="16"/>
                                </w:rPr>
                                <w:t xml:space="preserve"> MHz</w:t>
                              </w:r>
                            </w:p>
                          </w:txbxContent>
                        </wps:txbx>
                        <wps:bodyPr rot="0" vert="horz" wrap="square" lIns="91440" tIns="45720" rIns="91440" bIns="45720" anchor="t" anchorCtr="0" upright="1">
                          <a:noAutofit/>
                        </wps:bodyPr>
                      </wps:wsp>
                      <wps:wsp>
                        <wps:cNvPr id="17" name="Rectangle 130"/>
                        <wps:cNvSpPr>
                          <a:spLocks noChangeArrowheads="1"/>
                        </wps:cNvSpPr>
                        <wps:spPr bwMode="auto">
                          <a:xfrm>
                            <a:off x="63108" y="49932"/>
                            <a:ext cx="363" cy="6227"/>
                          </a:xfrm>
                          <a:prstGeom prst="rect">
                            <a:avLst/>
                          </a:prstGeom>
                          <a:solidFill>
                            <a:srgbClr val="BFBFBF"/>
                          </a:solidFill>
                          <a:ln w="12700">
                            <a:solidFill>
                              <a:srgbClr val="000000"/>
                            </a:solidFill>
                            <a:miter lim="800000"/>
                            <a:headEnd/>
                            <a:tailEnd/>
                          </a:ln>
                          <a:effectLst>
                            <a:outerShdw dist="23000" dir="5400000" rotWithShape="0">
                              <a:srgbClr val="000000">
                                <a:alpha val="34998"/>
                              </a:srgbClr>
                            </a:outerShdw>
                          </a:effectLst>
                        </wps:spPr>
                        <wps:txbx>
                          <w:txbxContent>
                            <w:p w14:paraId="535C0673" w14:textId="77777777" w:rsidR="00DA7779" w:rsidRPr="00A02A3A" w:rsidRDefault="00DA7779" w:rsidP="001433B5">
                              <w:pPr>
                                <w:rPr>
                                  <w:sz w:val="16"/>
                                  <w:szCs w:val="16"/>
                                </w:rPr>
                              </w:pPr>
                            </w:p>
                            <w:p w14:paraId="0C705E98" w14:textId="77777777" w:rsidR="00DA7779" w:rsidRPr="00A02A3A" w:rsidRDefault="00DA7779" w:rsidP="001433B5">
                              <w:pPr>
                                <w:rPr>
                                  <w:sz w:val="16"/>
                                  <w:szCs w:val="16"/>
                                </w:rPr>
                              </w:pPr>
                            </w:p>
                          </w:txbxContent>
                        </wps:txbx>
                        <wps:bodyPr rot="0" vert="horz" wrap="square" lIns="91440" tIns="45720" rIns="91440" bIns="45720" anchor="ctr" anchorCtr="0" upright="1">
                          <a:noAutofit/>
                        </wps:bodyPr>
                      </wps:wsp>
                      <wps:wsp>
                        <wps:cNvPr id="18" name="TextBox 30"/>
                        <wps:cNvSpPr txBox="1">
                          <a:spLocks noChangeArrowheads="1"/>
                        </wps:cNvSpPr>
                        <wps:spPr bwMode="auto">
                          <a:xfrm>
                            <a:off x="40035" y="56489"/>
                            <a:ext cx="13046" cy="20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CC3292" w14:textId="77777777" w:rsidR="00DA7779" w:rsidRPr="00A02A3A" w:rsidRDefault="00DA7779" w:rsidP="001433B5">
                              <w:pPr>
                                <w:pStyle w:val="NormalWeb"/>
                                <w:spacing w:after="0"/>
                                <w:jc w:val="center"/>
                                <w:rPr>
                                  <w:sz w:val="16"/>
                                  <w:szCs w:val="16"/>
                                </w:rPr>
                              </w:pPr>
                              <w:r>
                                <w:rPr>
                                  <w:rFonts w:ascii="Calibri" w:hAnsi="Calibri"/>
                                  <w:color w:val="000000"/>
                                  <w:kern w:val="24"/>
                                  <w:sz w:val="16"/>
                                  <w:szCs w:val="16"/>
                                </w:rPr>
                                <w:t xml:space="preserve">2 020 </w:t>
                              </w:r>
                              <w:r w:rsidRPr="00900457">
                                <w:rPr>
                                  <w:rFonts w:ascii="Calibri" w:hAnsi="Calibri"/>
                                  <w:color w:val="000000"/>
                                  <w:kern w:val="24"/>
                                  <w:sz w:val="16"/>
                                  <w:szCs w:val="16"/>
                                </w:rPr>
                                <w:t>MHz</w:t>
                              </w:r>
                            </w:p>
                          </w:txbxContent>
                        </wps:txbx>
                        <wps:bodyPr rot="0" vert="horz" wrap="square" lIns="91440" tIns="45720" rIns="91440" bIns="45720" anchor="t" anchorCtr="0" upright="1">
                          <a:noAutofit/>
                        </wps:bodyPr>
                      </wps:wsp>
                      <wps:wsp>
                        <wps:cNvPr id="19" name="TextBox 33"/>
                        <wps:cNvSpPr txBox="1">
                          <a:spLocks noChangeArrowheads="1"/>
                        </wps:cNvSpPr>
                        <wps:spPr bwMode="auto">
                          <a:xfrm>
                            <a:off x="58413" y="56428"/>
                            <a:ext cx="10189" cy="18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1EF187" w14:textId="77777777" w:rsidR="00DA7779" w:rsidRPr="00B62DFB" w:rsidRDefault="00DA7779" w:rsidP="0092126B">
                              <w:pPr>
                                <w:pStyle w:val="NormalWeb"/>
                                <w:spacing w:after="0"/>
                                <w:rPr>
                                  <w:rFonts w:asciiTheme="majorHAnsi" w:hAnsiTheme="majorHAnsi"/>
                                  <w:sz w:val="16"/>
                                  <w:szCs w:val="16"/>
                                </w:rPr>
                              </w:pPr>
                              <w:r w:rsidRPr="00B62DFB">
                                <w:rPr>
                                  <w:rFonts w:asciiTheme="majorHAnsi" w:hAnsiTheme="majorHAnsi"/>
                                  <w:color w:val="000000"/>
                                  <w:kern w:val="24"/>
                                  <w:sz w:val="16"/>
                                  <w:szCs w:val="16"/>
                                </w:rPr>
                                <w:t xml:space="preserve">2 025 </w:t>
                              </w:r>
                              <w:r w:rsidRPr="00B62DFB">
                                <w:rPr>
                                  <w:rFonts w:asciiTheme="majorHAnsi" w:hAnsiTheme="majorHAnsi"/>
                                  <w:sz w:val="16"/>
                                  <w:szCs w:val="16"/>
                                </w:rPr>
                                <w:t>MHz</w:t>
                              </w:r>
                            </w:p>
                          </w:txbxContent>
                        </wps:txbx>
                        <wps:bodyPr rot="0" vert="horz" wrap="square" lIns="91440" tIns="45720" rIns="91440" bIns="45720" anchor="t" anchorCtr="0" upright="1">
                          <a:noAutofit/>
                        </wps:bodyPr>
                      </wps:wsp>
                      <wps:wsp>
                        <wps:cNvPr id="20" name="Rectangle 52"/>
                        <wps:cNvSpPr>
                          <a:spLocks noChangeArrowheads="1"/>
                        </wps:cNvSpPr>
                        <wps:spPr bwMode="auto">
                          <a:xfrm>
                            <a:off x="4315" y="42943"/>
                            <a:ext cx="9728" cy="11436"/>
                          </a:xfrm>
                          <a:prstGeom prst="rect">
                            <a:avLst/>
                          </a:prstGeom>
                          <a:solidFill>
                            <a:schemeClr val="accent1">
                              <a:lumMod val="40000"/>
                              <a:lumOff val="60000"/>
                            </a:schemeClr>
                          </a:solidFill>
                          <a:ln w="9525">
                            <a:solidFill>
                              <a:srgbClr val="000000"/>
                            </a:solidFill>
                            <a:miter lim="800000"/>
                            <a:headEnd/>
                            <a:tailEnd/>
                          </a:ln>
                          <a:effectLst>
                            <a:outerShdw dist="23000" dir="5400000" rotWithShape="0">
                              <a:srgbClr val="000000">
                                <a:alpha val="34998"/>
                              </a:srgbClr>
                            </a:outerShdw>
                          </a:effectLst>
                        </wps:spPr>
                        <wps:txbx>
                          <w:txbxContent>
                            <w:p w14:paraId="37FE3A48" w14:textId="10CCFB52" w:rsidR="00DA7779" w:rsidRPr="000408C5" w:rsidRDefault="00DA7779" w:rsidP="00903696">
                              <w:pPr>
                                <w:pStyle w:val="NormalWeb"/>
                                <w:spacing w:after="0"/>
                                <w:jc w:val="center"/>
                                <w:rPr>
                                  <w:lang w:val="pt-PT"/>
                                </w:rPr>
                              </w:pPr>
                              <w:r>
                                <w:rPr>
                                  <w:rFonts w:ascii="Calibri" w:hAnsi="Calibri"/>
                                  <w:color w:val="000000"/>
                                  <w:kern w:val="24"/>
                                  <w:lang w:val="pt-PT"/>
                                </w:rPr>
                                <w:t>MSS</w:t>
                              </w:r>
                            </w:p>
                          </w:txbxContent>
                        </wps:txbx>
                        <wps:bodyPr rot="0" vert="horz" wrap="square" lIns="91440" tIns="45720" rIns="91440" bIns="45720" anchor="ctr" anchorCtr="0" upright="1">
                          <a:noAutofit/>
                        </wps:bodyPr>
                      </wps:wsp>
                    </wpg:wgp>
                  </a:graphicData>
                </a:graphic>
              </wp:inline>
            </w:drawing>
          </mc:Choice>
          <mc:Fallback>
            <w:pict>
              <v:group id="_x0000_s1155" style="width:330.5pt;height:173.15pt;mso-position-horizontal-relative:char;mso-position-vertical-relative:line" coordorigin="4315,42943" coordsize="64287,156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">
                <v:rect id="Rectangle 128" o:spid="_x0000_s1156" style="position:absolute;left:14207;top:54482;width:49258;height:53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wsxK8QA&#10;AADaAAAADwAAAGRycy9kb3ducmV2LnhtbESPzWrDMBCE74W8g9hAbo2cHozrRAkhkOJDDk1aaHJb&#10;rPUPsVaupNru21eFQo/DzHzDbHaT6cRAzreWFayWCQji0uqWawXvb8fHDIQPyBo7y6TgmzzstrOH&#10;Debajnym4RJqESHsc1TQhNDnUvqyIYN+aXvi6FXWGQxRulpqh2OEm04+JUkqDbYcFxrs6dBQeb98&#10;GQWHtLvePs+rULxU07P78KeKXzOlFvNpvwYRaAr/4b92oRWk8Hsl3gC5/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sLMSvEAAAA2gAAAA8AAAAAAAAAAAAAAAAAmAIAAGRycy9k&#10;b3ducmV2LnhtbFBLBQYAAAAABAAEAPUAAACJAwAAAAA=&#10;" fillcolor="#bfbfbf" strokeweight="1pt">
                  <v:shadow on="t" color="black" opacity="22936f" origin=",.5" offset="0,.63889mm"/>
                  <v:textbox style="mso-next-textbox:#Rectangle 91">
                    <w:txbxContent>
                      <w:p w14:paraId="0328FEC5" w14:textId="77777777" w:rsidR="00DA7779" w:rsidRPr="00A02A3A" w:rsidRDefault="00DA7779" w:rsidP="001433B5">
                        <w:pPr>
                          <w:rPr>
                            <w:sz w:val="16"/>
                            <w:szCs w:val="16"/>
                          </w:rPr>
                        </w:pPr>
                      </w:p>
                    </w:txbxContent>
                  </v:textbox>
                </v:rect>
                <v:shape id="_x0000_s1157" type="#_x0000_t202" style="position:absolute;left:8852;top:56604;width:10034;height:19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8xwYsAA&#10;AADbAAAADwAAAGRycy9kb3ducmV2LnhtbERPS4vCMBC+C/6HMII3TRQVtxpFFMGTi49d2NvQjG2x&#10;mZQm2vrvNwsL3ubje85y3dpSPKn2hWMNo6ECQZw6U3Cm4XrZD+YgfEA2WDomDS/ysF51O0tMjGv4&#10;RM9zyEQMYZ+ghjyEKpHSpzlZ9ENXEUfu5mqLIcI6k6bGJobbUo6VmkmLBceGHCva5pTezw+r4et4&#10;+/meqM9sZ6dV41ol2X5Irfu9drMAEagNb/G/+2Di/BH8/RIPkKt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8xwYsAAAADbAAAADwAAAAAAAAAAAAAAAACYAgAAZHJzL2Rvd25y&#10;ZXYueG1sUEsFBgAAAAAEAAQA9QAAAIUDAAAAAA==&#10;" filled="f" stroked="f">
                  <v:textbox>
                    <w:txbxContent>
                      <w:p w14:paraId="7D740778" w14:textId="77777777" w:rsidR="00DA7779" w:rsidRDefault="00DA7779" w:rsidP="0092126B">
                        <w:pPr>
                          <w:pStyle w:val="NormalWeb"/>
                          <w:spacing w:after="0"/>
                          <w:rPr>
                            <w:rFonts w:ascii="Calibri" w:hAnsi="Calibri"/>
                            <w:color w:val="000000"/>
                            <w:kern w:val="24"/>
                            <w:sz w:val="16"/>
                            <w:szCs w:val="16"/>
                          </w:rPr>
                        </w:pPr>
                        <w:r>
                          <w:rPr>
                            <w:rFonts w:ascii="Calibri" w:hAnsi="Calibri"/>
                            <w:color w:val="000000"/>
                            <w:kern w:val="24"/>
                            <w:sz w:val="16"/>
                            <w:szCs w:val="16"/>
                          </w:rPr>
                          <w:t xml:space="preserve">2 010 </w:t>
                        </w:r>
                        <w:r w:rsidRPr="00900457">
                          <w:rPr>
                            <w:rFonts w:ascii="Calibri" w:hAnsi="Calibri"/>
                            <w:color w:val="000000"/>
                            <w:kern w:val="24"/>
                            <w:sz w:val="16"/>
                            <w:szCs w:val="16"/>
                          </w:rPr>
                          <w:t>MHz</w:t>
                        </w:r>
                        <w:r>
                          <w:rPr>
                            <w:rFonts w:ascii="Calibri" w:hAnsi="Calibri"/>
                            <w:color w:val="000000"/>
                            <w:kern w:val="24"/>
                            <w:sz w:val="16"/>
                            <w:szCs w:val="16"/>
                          </w:rPr>
                          <w:t xml:space="preserve">  </w:t>
                        </w:r>
                      </w:p>
                      <w:p w14:paraId="674F8F56" w14:textId="77777777" w:rsidR="00DA7779" w:rsidRPr="00A02A3A" w:rsidRDefault="00DA7779" w:rsidP="0092126B">
                        <w:pPr>
                          <w:pStyle w:val="NormalWeb"/>
                          <w:spacing w:after="0"/>
                          <w:rPr>
                            <w:sz w:val="16"/>
                            <w:szCs w:val="16"/>
                          </w:rPr>
                        </w:pPr>
                        <w:r>
                          <w:rPr>
                            <w:sz w:val="16"/>
                            <w:szCs w:val="16"/>
                          </w:rPr>
                          <w:t xml:space="preserve"> MHz</w:t>
                        </w:r>
                      </w:p>
                    </w:txbxContent>
                  </v:textbox>
                </v:shape>
                <v:rect id="Rectangle 130" o:spid="_x0000_s1158" style="position:absolute;left:63108;top:49932;width:363;height:622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79HJ8MA&#10;AADbAAAADwAAAGRycy9kb3ducmV2LnhtbERPyWrDMBC9F/IPYgK9NXJ6SBMnsimBlBxyaBZocxus&#10;8UKtkSOptvP3VaHQ2zzeOpt8NK3oyfnGsoL5LAFBXFjdcKXgct49LUH4gKyxtUwK7uQhzyYPG0y1&#10;HfhI/SlUIoawT1FBHUKXSumLmgz6me2II1daZzBE6CqpHQ4x3LTyOUkW0mDDsaHGjrY1FV+nb6Ng&#10;u2g/r7fjPOzfynHlPvyh5PelUo/T8XUNItAY/sV/7r2O81/g95d4gM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79HJ8MAAADbAAAADwAAAAAAAAAAAAAAAACYAgAAZHJzL2Rv&#10;d25yZXYueG1sUEsFBgAAAAAEAAQA9QAAAIgDAAAAAA==&#10;" fillcolor="#bfbfbf" strokeweight="1pt">
                  <v:shadow on="t" color="black" opacity="22936f" origin=",.5" offset="0,.63889mm"/>
                  <v:textbox>
                    <w:txbxContent>
                      <w:p w14:paraId="535C0673" w14:textId="77777777" w:rsidR="00DA7779" w:rsidRPr="00A02A3A" w:rsidRDefault="00DA7779" w:rsidP="001433B5">
                        <w:pPr>
                          <w:rPr>
                            <w:sz w:val="16"/>
                            <w:szCs w:val="16"/>
                          </w:rPr>
                        </w:pPr>
                      </w:p>
                      <w:p w14:paraId="0C705E98" w14:textId="77777777" w:rsidR="00DA7779" w:rsidRPr="00A02A3A" w:rsidRDefault="00DA7779" w:rsidP="001433B5">
                        <w:pPr>
                          <w:rPr>
                            <w:sz w:val="16"/>
                            <w:szCs w:val="16"/>
                          </w:rPr>
                        </w:pPr>
                      </w:p>
                    </w:txbxContent>
                  </v:textbox>
                </v:rect>
                <v:shape id="_x0000_s1159" type="#_x0000_t202" style="position:absolute;left:40035;top:56489;width:13046;height:208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bZ/8QA&#10;AADbAAAADwAAAGRycy9kb3ducmV2LnhtbESPT2vCQBDF70K/wzIFb7rbYkWjq5SWgqcW4x/wNmTH&#10;JDQ7G7JbE79951DobYb35r3frLeDb9SNulgHtvA0NaCIi+BqLi0cDx+TBaiYkB02gcnCnSJsNw+j&#10;NWYu9LynW55KJSEcM7RQpdRmWseiIo9xGlpi0a6h85hk7UrtOuwl3Df62Zi59lizNFTY0ltFxXf+&#10;4y2cPq+X88x8le/+pe3DYDT7pbZ2/Di8rkAlGtK/+e965wRfYOUXGUBv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L22f/EAAAA2wAAAA8AAAAAAAAAAAAAAAAAmAIAAGRycy9k&#10;b3ducmV2LnhtbFBLBQYAAAAABAAEAPUAAACJAwAAAAA=&#10;" filled="f" stroked="f">
                  <v:textbox>
                    <w:txbxContent>
                      <w:p w14:paraId="17CC3292" w14:textId="77777777" w:rsidR="00DA7779" w:rsidRPr="00A02A3A" w:rsidRDefault="00DA7779" w:rsidP="001433B5">
                        <w:pPr>
                          <w:pStyle w:val="NormalWeb"/>
                          <w:spacing w:after="0"/>
                          <w:jc w:val="center"/>
                          <w:rPr>
                            <w:sz w:val="16"/>
                            <w:szCs w:val="16"/>
                          </w:rPr>
                        </w:pPr>
                        <w:r>
                          <w:rPr>
                            <w:rFonts w:ascii="Calibri" w:hAnsi="Calibri"/>
                            <w:color w:val="000000"/>
                            <w:kern w:val="24"/>
                            <w:sz w:val="16"/>
                            <w:szCs w:val="16"/>
                          </w:rPr>
                          <w:t xml:space="preserve">2 020 </w:t>
                        </w:r>
                        <w:r w:rsidRPr="00900457">
                          <w:rPr>
                            <w:rFonts w:ascii="Calibri" w:hAnsi="Calibri"/>
                            <w:color w:val="000000"/>
                            <w:kern w:val="24"/>
                            <w:sz w:val="16"/>
                            <w:szCs w:val="16"/>
                          </w:rPr>
                          <w:t>MHz</w:t>
                        </w:r>
                      </w:p>
                    </w:txbxContent>
                  </v:textbox>
                </v:shape>
                <v:shape id="_x0000_s1160" type="#_x0000_t202" style="position:absolute;left:58413;top:56428;width:10189;height:18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p8ZL8A&#10;AADbAAAADwAAAGRycy9kb3ducmV2LnhtbERPTYvCMBC9C/sfwix402RFZa1GWVYET4q6Ct6GZmzL&#10;NpPSRFv/vREEb/N4nzNbtLYUN6p94VjDV1+BIE6dKTjT8HdY9b5B+IBssHRMGu7kYTH/6MwwMa7h&#10;Hd32IRMxhH2CGvIQqkRKn+Zk0fddRRy5i6sthgjrTJoamxhuSzlQaiwtFhwbcqzoN6f0f3+1Go6b&#10;y/k0VNtsaUdV41ol2U6k1t3P9mcKIlAb3uKXe23i/Ak8f4kHyPk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NunxkvwAAANsAAAAPAAAAAAAAAAAAAAAAAJgCAABkcnMvZG93bnJl&#10;di54bWxQSwUGAAAAAAQABAD1AAAAhAMAAAAA&#10;" filled="f" stroked="f">
                  <v:textbox>
                    <w:txbxContent>
                      <w:p w14:paraId="581EF187" w14:textId="77777777" w:rsidR="00DA7779" w:rsidRPr="00B62DFB" w:rsidRDefault="00DA7779" w:rsidP="0092126B">
                        <w:pPr>
                          <w:pStyle w:val="NormalWeb"/>
                          <w:spacing w:after="0"/>
                          <w:rPr>
                            <w:rFonts w:asciiTheme="majorHAnsi" w:hAnsiTheme="majorHAnsi"/>
                            <w:sz w:val="16"/>
                            <w:szCs w:val="16"/>
                          </w:rPr>
                        </w:pPr>
                        <w:r w:rsidRPr="00B62DFB">
                          <w:rPr>
                            <w:rFonts w:asciiTheme="majorHAnsi" w:hAnsiTheme="majorHAnsi"/>
                            <w:color w:val="000000"/>
                            <w:kern w:val="24"/>
                            <w:sz w:val="16"/>
                            <w:szCs w:val="16"/>
                          </w:rPr>
                          <w:t xml:space="preserve">2 025 </w:t>
                        </w:r>
                        <w:r w:rsidRPr="00B62DFB">
                          <w:rPr>
                            <w:rFonts w:asciiTheme="majorHAnsi" w:hAnsiTheme="majorHAnsi"/>
                            <w:sz w:val="16"/>
                            <w:szCs w:val="16"/>
                          </w:rPr>
                          <w:t>MHz</w:t>
                        </w:r>
                      </w:p>
                    </w:txbxContent>
                  </v:textbox>
                </v:shape>
                <v:rect id="Rectangle 52" o:spid="_x0000_s1161" style="position:absolute;left:4315;top:42943;width:9728;height:1143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WDCMMAA&#10;AADbAAAADwAAAGRycy9kb3ducmV2LnhtbESPwYrCQAyG74LvMGTBm063iEh1lGWhIIIH3X2A0Imd&#10;YidTOmPbffvNQfAY/vxfvuyPk2/VQH1sAhv4XGWgiKtgG64N/P6Uyy2omJAttoHJwB9FOB7msz0W&#10;Nox8peGWaiUQjgUacCl1hdaxcuQxrkJHLNk99B6TjH2tbY+jwH2r8yzbaI8NywWHHX07qh63pxeN&#10;kVO5ze0ZXX4eymu5vjTTyZjFx/S1A5VoSu/lV/tkDeRiL78IAPThH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WDCMMAAAADbAAAADwAAAAAAAAAAAAAAAACYAgAAZHJzL2Rvd25y&#10;ZXYueG1sUEsFBgAAAAAEAAQA9QAAAIUDAAAAAA==&#10;" fillcolor="#b8cce4 [1300]">
                  <v:shadow on="t" color="black" opacity="22936f" origin=",.5" offset="0,.63889mm"/>
                  <v:textbox>
                    <w:txbxContent>
                      <w:p w14:paraId="37FE3A48" w14:textId="10CCFB52" w:rsidR="00DA7779" w:rsidRPr="000408C5" w:rsidRDefault="00DA7779" w:rsidP="00903696">
                        <w:pPr>
                          <w:pStyle w:val="NormalWeb"/>
                          <w:spacing w:after="0"/>
                          <w:jc w:val="center"/>
                          <w:rPr>
                            <w:lang w:val="pt-PT"/>
                          </w:rPr>
                        </w:pPr>
                        <w:r>
                          <w:rPr>
                            <w:rFonts w:ascii="Calibri" w:hAnsi="Calibri"/>
                            <w:color w:val="000000"/>
                            <w:kern w:val="24"/>
                            <w:lang w:val="pt-PT"/>
                          </w:rPr>
                          <w:t>MSS</w:t>
                        </w:r>
                      </w:p>
                    </w:txbxContent>
                  </v:textbox>
                </v:rect>
                <w10:anchorlock/>
              </v:group>
            </w:pict>
          </mc:Fallback>
        </mc:AlternateContent>
      </w:r>
    </w:p>
    <w:p w14:paraId="7D2862FB" w14:textId="77777777" w:rsidR="001433B5" w:rsidRPr="00040BEC" w:rsidRDefault="001433B5" w:rsidP="001433B5">
      <w:pPr>
        <w:pStyle w:val="Caption"/>
        <w:rPr>
          <w:szCs w:val="24"/>
          <w:lang w:val="en-GB"/>
        </w:rPr>
      </w:pPr>
      <w:bookmarkStart w:id="83" w:name="_Ref412119987"/>
      <w:bookmarkEnd w:id="82"/>
      <w:r w:rsidRPr="00040BEC">
        <w:rPr>
          <w:lang w:val="en-GB"/>
        </w:rPr>
        <w:t xml:space="preserve">Figure </w:t>
      </w:r>
      <w:r w:rsidR="000A5980" w:rsidRPr="00040BEC">
        <w:rPr>
          <w:lang w:val="en-GB"/>
        </w:rPr>
        <w:fldChar w:fldCharType="begin"/>
      </w:r>
      <w:r w:rsidRPr="00040BEC">
        <w:rPr>
          <w:lang w:val="en-GB"/>
        </w:rPr>
        <w:instrText xml:space="preserve"> SEQ Figure \* ARABIC </w:instrText>
      </w:r>
      <w:r w:rsidR="000A5980" w:rsidRPr="00040BEC">
        <w:rPr>
          <w:lang w:val="en-GB"/>
        </w:rPr>
        <w:fldChar w:fldCharType="separate"/>
      </w:r>
      <w:r w:rsidR="002327BB">
        <w:rPr>
          <w:noProof/>
          <w:lang w:val="en-GB"/>
        </w:rPr>
        <w:t>17</w:t>
      </w:r>
      <w:r w:rsidR="000A5980" w:rsidRPr="00040BEC">
        <w:rPr>
          <w:lang w:val="en-GB"/>
        </w:rPr>
        <w:fldChar w:fldCharType="end"/>
      </w:r>
      <w:bookmarkEnd w:id="83"/>
      <w:r w:rsidRPr="00040BEC">
        <w:rPr>
          <w:lang w:val="en-GB"/>
        </w:rPr>
        <w:t xml:space="preserve">: Scenario 2, upper band </w:t>
      </w:r>
      <w:r w:rsidRPr="00040BEC">
        <w:rPr>
          <w:szCs w:val="24"/>
          <w:lang w:val="en-GB"/>
        </w:rPr>
        <w:t>(VLCC)</w:t>
      </w:r>
    </w:p>
    <w:p w14:paraId="48D4EE33" w14:textId="77777777" w:rsidR="00341D54" w:rsidRPr="00040BEC" w:rsidRDefault="00341D54" w:rsidP="00341D54">
      <w:pPr>
        <w:pStyle w:val="ECCParagraph"/>
      </w:pPr>
      <w:r w:rsidRPr="00040BEC">
        <w:t xml:space="preserve">For scenario 2, the usage categories DA2GC and VLCC </w:t>
      </w:r>
      <w:proofErr w:type="gramStart"/>
      <w:r w:rsidRPr="00040BEC">
        <w:t>are assigned</w:t>
      </w:r>
      <w:proofErr w:type="gramEnd"/>
      <w:r w:rsidRPr="00040BEC">
        <w:t xml:space="preserve"> to different bands.</w:t>
      </w:r>
    </w:p>
    <w:p w14:paraId="2BC304B4" w14:textId="00C0FCB9" w:rsidR="00341D54" w:rsidRPr="00040BEC" w:rsidRDefault="00341D54" w:rsidP="00A42952">
      <w:pPr>
        <w:pStyle w:val="ECCParagraph"/>
        <w:numPr>
          <w:ilvl w:val="0"/>
          <w:numId w:val="58"/>
        </w:numPr>
      </w:pPr>
      <w:r w:rsidRPr="00040BEC">
        <w:t xml:space="preserve">The </w:t>
      </w:r>
      <w:r w:rsidRPr="00040BEC">
        <w:rPr>
          <w:lang w:eastAsia="nl-NL"/>
        </w:rPr>
        <w:t xml:space="preserve">Broadband </w:t>
      </w:r>
      <w:r w:rsidRPr="00040BEC">
        <w:t xml:space="preserve">DA2CG system is authorised and occupies the whole of the lower band </w:t>
      </w:r>
      <w:proofErr w:type="gramStart"/>
      <w:r w:rsidRPr="00040BEC">
        <w:t xml:space="preserve">in a TDD arrangement with appropriate coordination measures such as separation distances with MFCN base stations above 1920 </w:t>
      </w:r>
      <w:proofErr w:type="spellStart"/>
      <w:r w:rsidRPr="00040BEC">
        <w:t>MHz.</w:t>
      </w:r>
      <w:proofErr w:type="spellEnd"/>
      <w:r w:rsidRPr="00040BEC">
        <w:t xml:space="preserve"> VLCC</w:t>
      </w:r>
      <w:proofErr w:type="gramEnd"/>
      <w:r w:rsidRPr="00040BEC">
        <w:t xml:space="preserve"> is authorised in the band 2010-2025 MHz under the same conditions as authorised for PMSE in the 2025-2110 MHz band. DECT/SRD usage in the band 1900-1920 MHz is possible with certain mitigation techniques and restrictions yet to be determined.</w:t>
      </w:r>
    </w:p>
    <w:p w14:paraId="345431D9" w14:textId="7B7D17F2" w:rsidR="00B1082D" w:rsidRPr="00040BEC" w:rsidRDefault="00BE39B8" w:rsidP="008E5B81">
      <w:pPr>
        <w:pStyle w:val="Heading2"/>
        <w:rPr>
          <w:lang w:val="en-GB"/>
        </w:rPr>
      </w:pPr>
      <w:bookmarkStart w:id="84" w:name="_Toc388457072"/>
      <w:bookmarkStart w:id="85" w:name="_Toc388457073"/>
      <w:bookmarkStart w:id="86" w:name="_Toc388457074"/>
      <w:bookmarkStart w:id="87" w:name="_Toc388457075"/>
      <w:bookmarkStart w:id="88" w:name="_Toc445129325"/>
      <w:bookmarkStart w:id="89" w:name="_Toc368435962"/>
      <w:bookmarkStart w:id="90" w:name="_Toc386622448"/>
      <w:bookmarkStart w:id="91" w:name="_Toc368435963"/>
      <w:bookmarkEnd w:id="84"/>
      <w:bookmarkEnd w:id="85"/>
      <w:bookmarkEnd w:id="86"/>
      <w:bookmarkEnd w:id="87"/>
      <w:r w:rsidRPr="00040BEC">
        <w:rPr>
          <w:lang w:val="en-GB"/>
        </w:rPr>
        <w:lastRenderedPageBreak/>
        <w:t>C</w:t>
      </w:r>
      <w:r w:rsidR="00B1082D" w:rsidRPr="00040BEC">
        <w:rPr>
          <w:lang w:val="en-GB"/>
        </w:rPr>
        <w:t>oexistence between each candidate application</w:t>
      </w:r>
      <w:bookmarkEnd w:id="88"/>
    </w:p>
    <w:p w14:paraId="1D091006" w14:textId="77777777" w:rsidR="00100662" w:rsidRPr="00040BEC" w:rsidRDefault="001433B5" w:rsidP="002104CC">
      <w:pPr>
        <w:pStyle w:val="Heading3"/>
        <w:rPr>
          <w:lang w:val="en-GB"/>
        </w:rPr>
      </w:pPr>
      <w:bookmarkStart w:id="92" w:name="_Toc396904007"/>
      <w:r w:rsidRPr="00040BEC">
        <w:rPr>
          <w:lang w:val="en-GB"/>
        </w:rPr>
        <w:t xml:space="preserve">DA2GC and </w:t>
      </w:r>
      <w:bookmarkEnd w:id="89"/>
      <w:bookmarkEnd w:id="90"/>
      <w:r w:rsidRPr="00040BEC">
        <w:rPr>
          <w:lang w:val="en-GB"/>
        </w:rPr>
        <w:t>VLCC</w:t>
      </w:r>
      <w:bookmarkEnd w:id="92"/>
    </w:p>
    <w:p w14:paraId="7FB886E0" w14:textId="1DE69F0D" w:rsidR="001433B5" w:rsidRPr="00040BEC" w:rsidRDefault="001433B5" w:rsidP="001433B5">
      <w:pPr>
        <w:pStyle w:val="ECCParagraph"/>
        <w:rPr>
          <w:rFonts w:cs="Arial"/>
          <w:lang w:eastAsia="de-DE"/>
        </w:rPr>
      </w:pPr>
      <w:r w:rsidRPr="00040BEC">
        <w:rPr>
          <w:rFonts w:cs="Arial"/>
          <w:lang w:eastAsia="de-DE"/>
        </w:rPr>
        <w:t xml:space="preserve">DA2GC </w:t>
      </w:r>
      <w:r w:rsidR="008E5D1F" w:rsidRPr="00040BEC">
        <w:rPr>
          <w:rFonts w:cs="Arial"/>
          <w:lang w:eastAsia="de-DE"/>
        </w:rPr>
        <w:t xml:space="preserve">FDD </w:t>
      </w:r>
      <w:r w:rsidRPr="00040BEC">
        <w:rPr>
          <w:rFonts w:cs="Arial"/>
          <w:lang w:eastAsia="de-DE"/>
        </w:rPr>
        <w:t xml:space="preserve">and VLCC applications </w:t>
      </w:r>
      <w:proofErr w:type="gramStart"/>
      <w:r w:rsidR="00B1082D" w:rsidRPr="00040BEC">
        <w:rPr>
          <w:rFonts w:cs="Arial"/>
          <w:lang w:eastAsia="de-DE"/>
        </w:rPr>
        <w:t xml:space="preserve">may </w:t>
      </w:r>
      <w:r w:rsidRPr="00040BEC">
        <w:rPr>
          <w:rFonts w:cs="Arial"/>
          <w:lang w:eastAsia="de-DE"/>
        </w:rPr>
        <w:t xml:space="preserve"> share</w:t>
      </w:r>
      <w:proofErr w:type="gramEnd"/>
      <w:r w:rsidRPr="00040BEC">
        <w:rPr>
          <w:rFonts w:cs="Arial"/>
          <w:lang w:eastAsia="de-DE"/>
        </w:rPr>
        <w:t xml:space="preserve"> spectrum under scenario 1.</w:t>
      </w:r>
    </w:p>
    <w:p w14:paraId="651B3144" w14:textId="77777777" w:rsidR="001433B5" w:rsidRPr="00040BEC" w:rsidRDefault="001433B5" w:rsidP="001433B5">
      <w:pPr>
        <w:pStyle w:val="ECCParagraph"/>
        <w:rPr>
          <w:rFonts w:cs="Arial"/>
          <w:lang w:eastAsia="de-DE"/>
        </w:rPr>
      </w:pPr>
      <w:r w:rsidRPr="00040BEC">
        <w:rPr>
          <w:rFonts w:cs="Arial"/>
          <w:lang w:eastAsia="de-DE"/>
        </w:rPr>
        <w:t xml:space="preserve">The following results have been achieved by studying the system proposal for DA2GC </w:t>
      </w:r>
      <w:r w:rsidR="008E5D1F" w:rsidRPr="00040BEC">
        <w:rPr>
          <w:rFonts w:cs="Arial"/>
          <w:lang w:eastAsia="de-DE"/>
        </w:rPr>
        <w:t xml:space="preserve">FDD </w:t>
      </w:r>
      <w:r w:rsidRPr="00040BEC">
        <w:rPr>
          <w:rFonts w:cs="Arial"/>
          <w:lang w:eastAsia="de-DE"/>
        </w:rPr>
        <w:t>described in ETSI TR 103</w:t>
      </w:r>
      <w:r w:rsidR="00454BBF" w:rsidRPr="00040BEC">
        <w:rPr>
          <w:rFonts w:cs="Arial"/>
          <w:lang w:eastAsia="de-DE"/>
        </w:rPr>
        <w:t> </w:t>
      </w:r>
      <w:r w:rsidRPr="00040BEC">
        <w:rPr>
          <w:rFonts w:cs="Arial"/>
          <w:lang w:eastAsia="de-DE"/>
        </w:rPr>
        <w:t>054</w:t>
      </w:r>
      <w:r w:rsidR="00454BBF" w:rsidRPr="00040BEC">
        <w:rPr>
          <w:rFonts w:cs="Arial"/>
          <w:lang w:eastAsia="de-DE"/>
        </w:rPr>
        <w:t xml:space="preserve"> </w:t>
      </w:r>
      <w:r w:rsidR="000A5980" w:rsidRPr="00040BEC">
        <w:rPr>
          <w:rFonts w:cs="Arial"/>
          <w:lang w:eastAsia="de-DE"/>
        </w:rPr>
        <w:fldChar w:fldCharType="begin"/>
      </w:r>
      <w:r w:rsidR="00454BBF" w:rsidRPr="00040BEC">
        <w:rPr>
          <w:rFonts w:cs="Arial"/>
          <w:lang w:eastAsia="de-DE"/>
        </w:rPr>
        <w:instrText xml:space="preserve"> REF _Ref388513496 \r \h </w:instrText>
      </w:r>
      <w:r w:rsidR="000A5980" w:rsidRPr="00040BEC">
        <w:rPr>
          <w:rFonts w:cs="Arial"/>
          <w:lang w:eastAsia="de-DE"/>
        </w:rPr>
      </w:r>
      <w:r w:rsidR="000A5980" w:rsidRPr="00040BEC">
        <w:rPr>
          <w:rFonts w:cs="Arial"/>
          <w:lang w:eastAsia="de-DE"/>
        </w:rPr>
        <w:fldChar w:fldCharType="separate"/>
      </w:r>
      <w:r w:rsidR="002327BB">
        <w:rPr>
          <w:rFonts w:cs="Arial"/>
          <w:lang w:eastAsia="de-DE"/>
        </w:rPr>
        <w:t>[31]</w:t>
      </w:r>
      <w:r w:rsidR="000A5980" w:rsidRPr="00040BEC">
        <w:rPr>
          <w:rFonts w:cs="Arial"/>
          <w:lang w:eastAsia="de-DE"/>
        </w:rPr>
        <w:fldChar w:fldCharType="end"/>
      </w:r>
      <w:r w:rsidR="0099204E" w:rsidRPr="00040BEC">
        <w:rPr>
          <w:rFonts w:cs="Arial"/>
          <w:lang w:eastAsia="de-DE"/>
        </w:rPr>
        <w:t xml:space="preserve">, since the </w:t>
      </w:r>
      <w:proofErr w:type="gramStart"/>
      <w:r w:rsidR="0099204E" w:rsidRPr="00040BEC">
        <w:rPr>
          <w:rFonts w:cs="Arial"/>
          <w:lang w:eastAsia="de-DE"/>
        </w:rPr>
        <w:t xml:space="preserve">two </w:t>
      </w:r>
      <w:r w:rsidR="00B1082D" w:rsidRPr="00040BEC">
        <w:rPr>
          <w:rFonts w:cs="Arial"/>
          <w:lang w:eastAsia="de-DE"/>
        </w:rPr>
        <w:t xml:space="preserve"> </w:t>
      </w:r>
      <w:r w:rsidR="007B65D6" w:rsidRPr="00040BEC">
        <w:rPr>
          <w:rFonts w:cs="Arial"/>
          <w:lang w:eastAsia="de-DE"/>
        </w:rPr>
        <w:t>TDD</w:t>
      </w:r>
      <w:proofErr w:type="gramEnd"/>
      <w:r w:rsidR="007B65D6" w:rsidRPr="00040BEC">
        <w:rPr>
          <w:rFonts w:cs="Arial"/>
          <w:lang w:eastAsia="de-DE"/>
        </w:rPr>
        <w:t xml:space="preserve"> </w:t>
      </w:r>
      <w:r w:rsidR="00B1082D" w:rsidRPr="00040BEC">
        <w:rPr>
          <w:rFonts w:cs="Arial"/>
          <w:lang w:eastAsia="de-DE"/>
        </w:rPr>
        <w:t xml:space="preserve">DA2GC </w:t>
      </w:r>
      <w:r w:rsidR="007B65D6" w:rsidRPr="00040BEC">
        <w:rPr>
          <w:rFonts w:cs="Arial"/>
          <w:lang w:eastAsia="de-DE"/>
        </w:rPr>
        <w:t xml:space="preserve">systems </w:t>
      </w:r>
      <w:r w:rsidR="0099204E" w:rsidRPr="00040BEC">
        <w:rPr>
          <w:rFonts w:cs="Arial"/>
          <w:lang w:eastAsia="de-DE"/>
        </w:rPr>
        <w:t>would only operate under scenario 2</w:t>
      </w:r>
      <w:r w:rsidRPr="00040BEC">
        <w:rPr>
          <w:rFonts w:cs="Arial"/>
          <w:lang w:eastAsia="de-DE"/>
        </w:rPr>
        <w:t xml:space="preserve">. For the studies, the same three usage scenarios of PMSE wireless video links </w:t>
      </w:r>
      <w:proofErr w:type="gramStart"/>
      <w:r w:rsidRPr="00040BEC">
        <w:rPr>
          <w:rFonts w:cs="Arial"/>
          <w:lang w:eastAsia="de-DE"/>
        </w:rPr>
        <w:t>have been selected</w:t>
      </w:r>
      <w:proofErr w:type="gramEnd"/>
      <w:r w:rsidRPr="00040BEC">
        <w:rPr>
          <w:rFonts w:cs="Arial"/>
          <w:lang w:eastAsia="de-DE"/>
        </w:rPr>
        <w:t xml:space="preserve"> as in ECC Report 172, Table 19</w:t>
      </w:r>
      <w:r w:rsidR="00454BBF" w:rsidRPr="00040BEC">
        <w:rPr>
          <w:rFonts w:cs="Arial"/>
          <w:lang w:eastAsia="de-DE"/>
        </w:rPr>
        <w:t xml:space="preserve"> </w:t>
      </w:r>
      <w:r w:rsidR="000A5980" w:rsidRPr="00040BEC">
        <w:rPr>
          <w:rFonts w:cs="Arial"/>
          <w:lang w:eastAsia="de-DE"/>
        </w:rPr>
        <w:fldChar w:fldCharType="begin"/>
      </w:r>
      <w:r w:rsidR="00454BBF" w:rsidRPr="00040BEC">
        <w:rPr>
          <w:rFonts w:cs="Arial"/>
          <w:lang w:eastAsia="de-DE"/>
        </w:rPr>
        <w:instrText xml:space="preserve"> REF _Ref388514269 \r \h </w:instrText>
      </w:r>
      <w:r w:rsidR="000A5980" w:rsidRPr="00040BEC">
        <w:rPr>
          <w:rFonts w:cs="Arial"/>
          <w:lang w:eastAsia="de-DE"/>
        </w:rPr>
      </w:r>
      <w:r w:rsidR="000A5980" w:rsidRPr="00040BEC">
        <w:rPr>
          <w:rFonts w:cs="Arial"/>
          <w:lang w:eastAsia="de-DE"/>
        </w:rPr>
        <w:fldChar w:fldCharType="separate"/>
      </w:r>
      <w:r w:rsidR="002327BB">
        <w:rPr>
          <w:rFonts w:cs="Arial"/>
          <w:lang w:eastAsia="de-DE"/>
        </w:rPr>
        <w:t>[43]</w:t>
      </w:r>
      <w:r w:rsidR="000A5980" w:rsidRPr="00040BEC">
        <w:rPr>
          <w:rFonts w:cs="Arial"/>
          <w:lang w:eastAsia="de-DE"/>
        </w:rPr>
        <w:fldChar w:fldCharType="end"/>
      </w:r>
      <w:r w:rsidRPr="00040BEC">
        <w:rPr>
          <w:rFonts w:cs="Arial"/>
          <w:lang w:eastAsia="de-DE"/>
        </w:rPr>
        <w:t xml:space="preserve">. Detailed descriptions of all relevant sharing aspects are described in </w:t>
      </w:r>
      <w:r w:rsidR="0076056E" w:rsidRPr="00040BEC">
        <w:rPr>
          <w:rFonts w:cs="Arial"/>
          <w:szCs w:val="20"/>
        </w:rPr>
        <w:t xml:space="preserve">ECC Report </w:t>
      </w:r>
      <w:r w:rsidR="00C43D5A" w:rsidRPr="00040BEC">
        <w:rPr>
          <w:rFonts w:cs="Arial"/>
          <w:szCs w:val="20"/>
        </w:rPr>
        <w:t xml:space="preserve">220 </w:t>
      </w:r>
      <w:r w:rsidR="000A5980" w:rsidRPr="00040BEC">
        <w:rPr>
          <w:rFonts w:cs="Arial"/>
          <w:szCs w:val="20"/>
          <w:highlight w:val="yellow"/>
        </w:rPr>
        <w:fldChar w:fldCharType="begin"/>
      </w:r>
      <w:r w:rsidR="00454BBF" w:rsidRPr="00040BEC">
        <w:rPr>
          <w:rFonts w:cs="Arial"/>
          <w:szCs w:val="20"/>
        </w:rPr>
        <w:instrText xml:space="preserve"> REF _Ref388514212 \r \h </w:instrText>
      </w:r>
      <w:r w:rsidR="000A5980" w:rsidRPr="00040BEC">
        <w:rPr>
          <w:rFonts w:cs="Arial"/>
          <w:szCs w:val="20"/>
          <w:highlight w:val="yellow"/>
        </w:rPr>
      </w:r>
      <w:r w:rsidR="000A5980" w:rsidRPr="00040BEC">
        <w:rPr>
          <w:rFonts w:cs="Arial"/>
          <w:szCs w:val="20"/>
          <w:highlight w:val="yellow"/>
        </w:rPr>
        <w:fldChar w:fldCharType="separate"/>
      </w:r>
      <w:r w:rsidR="002327BB">
        <w:rPr>
          <w:rFonts w:cs="Arial"/>
          <w:szCs w:val="20"/>
        </w:rPr>
        <w:t>[29]</w:t>
      </w:r>
      <w:r w:rsidR="000A5980" w:rsidRPr="00040BEC">
        <w:rPr>
          <w:rFonts w:cs="Arial"/>
          <w:szCs w:val="20"/>
          <w:highlight w:val="yellow"/>
        </w:rPr>
        <w:fldChar w:fldCharType="end"/>
      </w:r>
      <w:r w:rsidR="0076056E" w:rsidRPr="00040BEC">
        <w:rPr>
          <w:rFonts w:cs="Arial"/>
          <w:szCs w:val="20"/>
        </w:rPr>
        <w:t xml:space="preserve"> on the compatibility and sharing studies of DA2GC, PMSE video links, SRD and DECT in the 2 GHz unpaired bands</w:t>
      </w:r>
      <w:r w:rsidRPr="00040BEC">
        <w:rPr>
          <w:rFonts w:cs="Arial"/>
          <w:lang w:eastAsia="de-DE"/>
        </w:rPr>
        <w:t>.</w:t>
      </w:r>
    </w:p>
    <w:p w14:paraId="5F3DDB23" w14:textId="77777777" w:rsidR="00100662" w:rsidRPr="00040BEC" w:rsidRDefault="00766EB0" w:rsidP="0071779A">
      <w:pPr>
        <w:pStyle w:val="Heading4"/>
        <w:rPr>
          <w:lang w:val="en-GB"/>
        </w:rPr>
      </w:pPr>
      <w:r w:rsidRPr="00040BEC">
        <w:rPr>
          <w:lang w:val="en-GB"/>
        </w:rPr>
        <w:t>Co-frequency sharing</w:t>
      </w:r>
      <w:bookmarkEnd w:id="91"/>
    </w:p>
    <w:p w14:paraId="630CBAF5" w14:textId="77777777" w:rsidR="00774B89" w:rsidRPr="00040BEC" w:rsidRDefault="00774B89" w:rsidP="00774B89">
      <w:pPr>
        <w:pStyle w:val="ECCParagraph"/>
        <w:spacing w:after="120"/>
        <w:jc w:val="left"/>
        <w:rPr>
          <w:rFonts w:cs="Arial"/>
          <w:bCs/>
          <w:szCs w:val="20"/>
        </w:rPr>
      </w:pPr>
      <w:r w:rsidRPr="00040BEC">
        <w:rPr>
          <w:rFonts w:cs="Arial"/>
          <w:bCs/>
          <w:szCs w:val="20"/>
        </w:rPr>
        <w:t>Co-channel operation of DA2GC FL and PMSE CCL would be feasible with appropriate separation distances</w:t>
      </w:r>
      <w:r w:rsidR="007B65D6" w:rsidRPr="00040BEC">
        <w:rPr>
          <w:rFonts w:cs="Arial"/>
          <w:bCs/>
          <w:szCs w:val="20"/>
        </w:rPr>
        <w:t xml:space="preserve"> and/or </w:t>
      </w:r>
      <w:r w:rsidR="00FA580C" w:rsidRPr="00040BEC">
        <w:rPr>
          <w:rFonts w:cs="Arial"/>
          <w:bCs/>
          <w:szCs w:val="20"/>
        </w:rPr>
        <w:t>PMSE Rx antenna gain limitations</w:t>
      </w:r>
      <w:r w:rsidRPr="00040BEC">
        <w:rPr>
          <w:rFonts w:cs="Arial"/>
          <w:bCs/>
          <w:szCs w:val="20"/>
        </w:rPr>
        <w:t xml:space="preserve">. </w:t>
      </w:r>
    </w:p>
    <w:p w14:paraId="7A6D42C2" w14:textId="77777777" w:rsidR="00774B89" w:rsidRPr="00040BEC" w:rsidRDefault="00774B89" w:rsidP="00774B89">
      <w:pPr>
        <w:pStyle w:val="ECCParagraph"/>
        <w:spacing w:after="120"/>
        <w:jc w:val="left"/>
        <w:rPr>
          <w:rFonts w:cs="Arial"/>
          <w:bCs/>
          <w:szCs w:val="20"/>
        </w:rPr>
      </w:pPr>
      <w:r w:rsidRPr="00040BEC">
        <w:rPr>
          <w:rFonts w:cs="Arial"/>
          <w:bCs/>
          <w:szCs w:val="20"/>
        </w:rPr>
        <w:t>Co-channel operation of DA2GC RL and PMSE (CCL, MVL and PVL) is not feasible due to the exceeding of the protection criterion of the PMSE Rx.</w:t>
      </w:r>
    </w:p>
    <w:p w14:paraId="4CA7130C" w14:textId="77777777" w:rsidR="007931AD" w:rsidRPr="00040BEC" w:rsidRDefault="007931AD" w:rsidP="007931AD">
      <w:pPr>
        <w:spacing w:after="240"/>
        <w:jc w:val="both"/>
        <w:rPr>
          <w:lang w:val="en-GB"/>
        </w:rPr>
      </w:pPr>
      <w:r w:rsidRPr="00040BEC">
        <w:rPr>
          <w:lang w:val="en-GB"/>
        </w:rPr>
        <w:t xml:space="preserve">Co-channel operation of DA2GC </w:t>
      </w:r>
      <w:r w:rsidR="008E5D1F" w:rsidRPr="00040BEC">
        <w:rPr>
          <w:lang w:val="en-GB"/>
        </w:rPr>
        <w:t>(FDD</w:t>
      </w:r>
      <w:r w:rsidR="006F5F1F" w:rsidRPr="00040BEC">
        <w:rPr>
          <w:lang w:val="en-GB"/>
        </w:rPr>
        <w:t xml:space="preserve"> Reverse link (2010-2020 MHz)</w:t>
      </w:r>
      <w:r w:rsidR="008E5D1F" w:rsidRPr="00040BEC">
        <w:rPr>
          <w:lang w:val="en-GB"/>
        </w:rPr>
        <w:t xml:space="preserve">) </w:t>
      </w:r>
      <w:r w:rsidRPr="00040BEC">
        <w:rPr>
          <w:lang w:val="en-GB"/>
        </w:rPr>
        <w:t xml:space="preserve">with </w:t>
      </w:r>
      <w:r w:rsidR="002C4CD5" w:rsidRPr="00040BEC">
        <w:rPr>
          <w:lang w:val="en-GB"/>
        </w:rPr>
        <w:t xml:space="preserve">audio </w:t>
      </w:r>
      <w:r w:rsidRPr="00040BEC">
        <w:rPr>
          <w:lang w:val="en-GB"/>
        </w:rPr>
        <w:t xml:space="preserve">PMSE applications, if deployed for indoor usage, </w:t>
      </w:r>
      <w:r w:rsidR="002C4CD5" w:rsidRPr="00040BEC">
        <w:rPr>
          <w:lang w:val="en-GB"/>
        </w:rPr>
        <w:t xml:space="preserve">could </w:t>
      </w:r>
      <w:r w:rsidRPr="00040BEC">
        <w:rPr>
          <w:lang w:val="en-GB"/>
        </w:rPr>
        <w:t>be feasible</w:t>
      </w:r>
      <w:r w:rsidR="00C317E2" w:rsidRPr="00040BEC">
        <w:rPr>
          <w:lang w:val="en-GB"/>
        </w:rPr>
        <w:t xml:space="preserve"> </w:t>
      </w:r>
      <w:r w:rsidR="002C4CD5" w:rsidRPr="00040BEC">
        <w:rPr>
          <w:lang w:val="en-GB"/>
        </w:rPr>
        <w:t xml:space="preserve">to some extent </w:t>
      </w:r>
      <w:r w:rsidR="00C317E2" w:rsidRPr="00040BEC">
        <w:rPr>
          <w:lang w:val="en-GB"/>
        </w:rPr>
        <w:t xml:space="preserve">(see Annex 2 to the ECC Report 220 </w:t>
      </w:r>
      <w:r w:rsidR="000A5980" w:rsidRPr="00040BEC">
        <w:rPr>
          <w:lang w:val="en-GB"/>
        </w:rPr>
        <w:fldChar w:fldCharType="begin"/>
      </w:r>
      <w:r w:rsidR="00454BBF" w:rsidRPr="00040BEC">
        <w:rPr>
          <w:lang w:val="en-GB"/>
        </w:rPr>
        <w:instrText xml:space="preserve"> REF _Ref388514212 \r \h </w:instrText>
      </w:r>
      <w:r w:rsidR="000A5980" w:rsidRPr="00040BEC">
        <w:rPr>
          <w:lang w:val="en-GB"/>
        </w:rPr>
      </w:r>
      <w:r w:rsidR="000A5980" w:rsidRPr="00040BEC">
        <w:rPr>
          <w:lang w:val="en-GB"/>
        </w:rPr>
        <w:fldChar w:fldCharType="separate"/>
      </w:r>
      <w:r w:rsidR="002327BB">
        <w:rPr>
          <w:lang w:val="en-GB"/>
        </w:rPr>
        <w:t>[29]</w:t>
      </w:r>
      <w:r w:rsidR="000A5980" w:rsidRPr="00040BEC">
        <w:rPr>
          <w:lang w:val="en-GB"/>
        </w:rPr>
        <w:fldChar w:fldCharType="end"/>
      </w:r>
      <w:r w:rsidR="00C317E2" w:rsidRPr="00040BEC">
        <w:rPr>
          <w:lang w:val="en-GB"/>
        </w:rPr>
        <w:t>)</w:t>
      </w:r>
      <w:r w:rsidRPr="00040BEC">
        <w:rPr>
          <w:lang w:val="en-GB"/>
        </w:rPr>
        <w:t>.</w:t>
      </w:r>
    </w:p>
    <w:p w14:paraId="409295E4" w14:textId="77777777" w:rsidR="00100662" w:rsidRPr="00040BEC" w:rsidRDefault="001433B5" w:rsidP="0071779A">
      <w:pPr>
        <w:pStyle w:val="Heading4"/>
        <w:rPr>
          <w:lang w:val="en-GB"/>
        </w:rPr>
      </w:pPr>
      <w:bookmarkStart w:id="93" w:name="_Toc366675077"/>
      <w:bookmarkStart w:id="94" w:name="_Toc366675354"/>
      <w:bookmarkStart w:id="95" w:name="_Toc366675722"/>
      <w:bookmarkStart w:id="96" w:name="_Toc368435964"/>
      <w:bookmarkStart w:id="97" w:name="_Toc386622450"/>
      <w:bookmarkEnd w:id="93"/>
      <w:bookmarkEnd w:id="94"/>
      <w:bookmarkEnd w:id="95"/>
      <w:r w:rsidRPr="00040BEC">
        <w:rPr>
          <w:lang w:val="en-GB"/>
        </w:rPr>
        <w:t>Adjacent frequency sharing</w:t>
      </w:r>
      <w:bookmarkEnd w:id="96"/>
      <w:bookmarkEnd w:id="97"/>
    </w:p>
    <w:p w14:paraId="528D2032" w14:textId="77777777" w:rsidR="001433B5" w:rsidRPr="00040BEC" w:rsidRDefault="007931AD" w:rsidP="001433B5">
      <w:pPr>
        <w:pStyle w:val="ECCParagraph"/>
        <w:spacing w:after="120"/>
        <w:jc w:val="left"/>
      </w:pPr>
      <w:r w:rsidRPr="00040BEC">
        <w:t xml:space="preserve">Adjacent-channel operation of DA2GC </w:t>
      </w:r>
      <w:r w:rsidR="00BE7751" w:rsidRPr="00040BEC">
        <w:t xml:space="preserve">FL </w:t>
      </w:r>
      <w:r w:rsidRPr="00040BEC">
        <w:t>and V</w:t>
      </w:r>
      <w:r w:rsidR="002A4169" w:rsidRPr="00040BEC">
        <w:t xml:space="preserve">LCC </w:t>
      </w:r>
      <w:proofErr w:type="gramStart"/>
      <w:r w:rsidR="002A4169" w:rsidRPr="00040BEC">
        <w:t>are</w:t>
      </w:r>
      <w:r w:rsidRPr="00040BEC">
        <w:t xml:space="preserve"> considered</w:t>
      </w:r>
      <w:proofErr w:type="gramEnd"/>
      <w:r w:rsidRPr="00040BEC">
        <w:t xml:space="preserve"> feasible. Separation distances from DA2GC GS</w:t>
      </w:r>
      <w:r w:rsidR="00BE7751" w:rsidRPr="00040BEC">
        <w:t xml:space="preserve"> and appropriate mitigation techniques </w:t>
      </w:r>
      <w:r w:rsidRPr="00040BEC">
        <w:t xml:space="preserve">depending on the VLCC scenario, have to </w:t>
      </w:r>
      <w:proofErr w:type="gramStart"/>
      <w:r w:rsidRPr="00040BEC">
        <w:t>be applied</w:t>
      </w:r>
      <w:proofErr w:type="gramEnd"/>
      <w:r w:rsidRPr="00040BEC">
        <w:t xml:space="preserve">. </w:t>
      </w:r>
    </w:p>
    <w:p w14:paraId="0B190C3D" w14:textId="77777777" w:rsidR="00BE7751" w:rsidRPr="00040BEC" w:rsidRDefault="00BE7751" w:rsidP="001433B5">
      <w:pPr>
        <w:pStyle w:val="ECCParagraph"/>
        <w:spacing w:after="120"/>
        <w:jc w:val="left"/>
      </w:pPr>
      <w:r w:rsidRPr="00040BEC">
        <w:t xml:space="preserve">Adjacent-channel </w:t>
      </w:r>
      <w:r w:rsidRPr="00040BEC">
        <w:rPr>
          <w:rFonts w:cs="Arial"/>
          <w:bCs/>
          <w:szCs w:val="20"/>
        </w:rPr>
        <w:t>operation of DA2GC RL and PMSE (CCL, MVL and PVL) is not feasible due to the exceeding of the protection criterion of the PMSE Rx.</w:t>
      </w:r>
    </w:p>
    <w:p w14:paraId="5AF72D1E" w14:textId="77777777" w:rsidR="00100662" w:rsidRPr="00040BEC" w:rsidRDefault="00766EB0" w:rsidP="002104CC">
      <w:pPr>
        <w:pStyle w:val="Heading3"/>
        <w:rPr>
          <w:lang w:val="en-GB"/>
        </w:rPr>
      </w:pPr>
      <w:bookmarkStart w:id="98" w:name="_Toc368435965"/>
      <w:bookmarkStart w:id="99" w:name="_Toc396904008"/>
      <w:r w:rsidRPr="00040BEC">
        <w:rPr>
          <w:lang w:val="en-GB"/>
        </w:rPr>
        <w:t>DA2GC and DECT/SRD</w:t>
      </w:r>
      <w:bookmarkEnd w:id="98"/>
      <w:bookmarkEnd w:id="99"/>
    </w:p>
    <w:p w14:paraId="578AB123" w14:textId="77777777" w:rsidR="00035C83" w:rsidRPr="00040BEC" w:rsidRDefault="00035C83" w:rsidP="00035C83">
      <w:pPr>
        <w:pStyle w:val="ECCParagraph"/>
        <w:rPr>
          <w:rFonts w:cs="Arial"/>
          <w:lang w:eastAsia="de-DE"/>
        </w:rPr>
      </w:pPr>
      <w:r w:rsidRPr="00040BEC">
        <w:rPr>
          <w:rFonts w:cs="Arial"/>
          <w:lang w:eastAsia="de-DE"/>
        </w:rPr>
        <w:t xml:space="preserve">DECT/SRD applications are investigated in scenario 1 as well as scenario 2 for applications under general authorisation in the frequency band 1900-1920 </w:t>
      </w:r>
      <w:proofErr w:type="spellStart"/>
      <w:r w:rsidRPr="00040BEC">
        <w:rPr>
          <w:rFonts w:cs="Arial"/>
          <w:lang w:eastAsia="de-DE"/>
        </w:rPr>
        <w:t>MHz.</w:t>
      </w:r>
      <w:proofErr w:type="spellEnd"/>
      <w:r w:rsidRPr="00040BEC">
        <w:rPr>
          <w:rFonts w:cs="Arial"/>
          <w:lang w:eastAsia="de-DE"/>
        </w:rPr>
        <w:t xml:space="preserve"> Studies have been conducted for DECT and other SRD applications which are considered under the “technical envelope” of the studies with the DECT key emission parameters.</w:t>
      </w:r>
    </w:p>
    <w:p w14:paraId="7EBA725D" w14:textId="77777777" w:rsidR="00035C83" w:rsidRPr="00040BEC" w:rsidRDefault="00035C83" w:rsidP="00035C83">
      <w:pPr>
        <w:pStyle w:val="ECCParagraph"/>
        <w:rPr>
          <w:rFonts w:cs="Arial"/>
          <w:lang w:eastAsia="de-DE"/>
        </w:rPr>
      </w:pPr>
      <w:r w:rsidRPr="00040BEC">
        <w:rPr>
          <w:rFonts w:cs="Arial"/>
          <w:lang w:eastAsia="de-DE"/>
        </w:rPr>
        <w:t xml:space="preserve">The precise sharing conditions do also depend on the DA2GC system to </w:t>
      </w:r>
      <w:proofErr w:type="gramStart"/>
      <w:r w:rsidRPr="00040BEC">
        <w:rPr>
          <w:rFonts w:cs="Arial"/>
          <w:lang w:eastAsia="de-DE"/>
        </w:rPr>
        <w:t>be chosen</w:t>
      </w:r>
      <w:proofErr w:type="gramEnd"/>
      <w:r w:rsidRPr="00040BEC">
        <w:rPr>
          <w:rFonts w:cs="Arial"/>
          <w:lang w:eastAsia="de-DE"/>
        </w:rPr>
        <w:t xml:space="preserve"> with regard to some system dependent parameters such as DA2GC AS antenna </w:t>
      </w:r>
      <w:proofErr w:type="spellStart"/>
      <w:r w:rsidRPr="00040BEC">
        <w:rPr>
          <w:rFonts w:cs="Arial"/>
          <w:lang w:eastAsia="de-DE"/>
        </w:rPr>
        <w:t>sectorisation</w:t>
      </w:r>
      <w:proofErr w:type="spellEnd"/>
      <w:r w:rsidRPr="00040BEC">
        <w:rPr>
          <w:rFonts w:cs="Arial"/>
          <w:lang w:eastAsia="de-DE"/>
        </w:rPr>
        <w:t xml:space="preserve"> or antenna beamforming. For DECT/SRD indoor applications operating co-frequen</w:t>
      </w:r>
      <w:r w:rsidR="00640960" w:rsidRPr="00040BEC">
        <w:rPr>
          <w:rFonts w:cs="Arial"/>
          <w:lang w:eastAsia="de-DE"/>
        </w:rPr>
        <w:t>cy</w:t>
      </w:r>
      <w:r w:rsidRPr="00040BEC">
        <w:rPr>
          <w:rFonts w:cs="Arial"/>
          <w:lang w:eastAsia="de-DE"/>
        </w:rPr>
        <w:t xml:space="preserve"> with DA2GC</w:t>
      </w:r>
      <w:r w:rsidR="00640960" w:rsidRPr="00040BEC">
        <w:rPr>
          <w:rFonts w:cs="Arial"/>
          <w:lang w:eastAsia="de-DE"/>
        </w:rPr>
        <w:t>, additional building attenuation as well as</w:t>
      </w:r>
      <w:r w:rsidRPr="00040BEC">
        <w:rPr>
          <w:rFonts w:cs="Arial"/>
          <w:lang w:eastAsia="de-DE"/>
        </w:rPr>
        <w:t xml:space="preserve"> clutter attenuation as described in ITU-R Recommendation P.452-1</w:t>
      </w:r>
      <w:r w:rsidR="00640960" w:rsidRPr="00040BEC">
        <w:rPr>
          <w:rFonts w:cs="Arial"/>
          <w:lang w:eastAsia="de-DE"/>
        </w:rPr>
        <w:t>5</w:t>
      </w:r>
      <w:r w:rsidRPr="00040BEC">
        <w:rPr>
          <w:rFonts w:cs="Arial"/>
          <w:lang w:eastAsia="de-DE"/>
        </w:rPr>
        <w:t xml:space="preserve"> </w:t>
      </w:r>
      <w:r w:rsidR="000A5980" w:rsidRPr="00040BEC">
        <w:rPr>
          <w:rFonts w:cs="Arial"/>
          <w:lang w:eastAsia="de-DE"/>
        </w:rPr>
        <w:fldChar w:fldCharType="begin"/>
      </w:r>
      <w:r w:rsidR="0077609E" w:rsidRPr="00040BEC">
        <w:rPr>
          <w:rFonts w:cs="Arial"/>
          <w:lang w:eastAsia="de-DE"/>
        </w:rPr>
        <w:instrText xml:space="preserve"> REF _Ref388515174 \r \h </w:instrText>
      </w:r>
      <w:r w:rsidR="00240669" w:rsidRPr="00040BEC">
        <w:rPr>
          <w:rFonts w:cs="Arial"/>
          <w:lang w:eastAsia="de-DE"/>
        </w:rPr>
        <w:instrText xml:space="preserve"> \* MERGEFORMAT </w:instrText>
      </w:r>
      <w:r w:rsidR="000A5980" w:rsidRPr="00040BEC">
        <w:rPr>
          <w:rFonts w:cs="Arial"/>
          <w:lang w:eastAsia="de-DE"/>
        </w:rPr>
      </w:r>
      <w:r w:rsidR="000A5980" w:rsidRPr="00040BEC">
        <w:rPr>
          <w:rFonts w:cs="Arial"/>
          <w:lang w:eastAsia="de-DE"/>
        </w:rPr>
        <w:fldChar w:fldCharType="separate"/>
      </w:r>
      <w:r w:rsidR="002327BB">
        <w:rPr>
          <w:rFonts w:cs="Arial"/>
          <w:lang w:eastAsia="de-DE"/>
        </w:rPr>
        <w:t>[25]</w:t>
      </w:r>
      <w:r w:rsidR="000A5980" w:rsidRPr="00040BEC">
        <w:rPr>
          <w:rFonts w:cs="Arial"/>
          <w:lang w:eastAsia="de-DE"/>
        </w:rPr>
        <w:fldChar w:fldCharType="end"/>
      </w:r>
      <w:r w:rsidR="0077609E" w:rsidRPr="00040BEC">
        <w:rPr>
          <w:rFonts w:cs="Arial"/>
          <w:lang w:eastAsia="de-DE"/>
        </w:rPr>
        <w:t xml:space="preserve"> </w:t>
      </w:r>
      <w:r w:rsidR="00DC6FB3" w:rsidRPr="00040BEC">
        <w:rPr>
          <w:rFonts w:cs="Arial"/>
          <w:lang w:eastAsia="de-DE"/>
        </w:rPr>
        <w:t xml:space="preserve">and other mitigation techniques (e.g. power and density reduction) </w:t>
      </w:r>
      <w:r w:rsidR="00045B19" w:rsidRPr="00040BEC">
        <w:rPr>
          <w:rFonts w:cs="Arial"/>
          <w:lang w:eastAsia="de-DE"/>
        </w:rPr>
        <w:t>will</w:t>
      </w:r>
      <w:r w:rsidR="00DC6FB3" w:rsidRPr="00040BEC">
        <w:rPr>
          <w:rFonts w:cs="Arial"/>
          <w:lang w:eastAsia="de-DE"/>
        </w:rPr>
        <w:t xml:space="preserve"> </w:t>
      </w:r>
      <w:r w:rsidRPr="00040BEC">
        <w:rPr>
          <w:rFonts w:cs="Arial"/>
          <w:lang w:eastAsia="de-DE"/>
        </w:rPr>
        <w:t xml:space="preserve">facilitate sharing between DA2GC and DECT/SRD indoor applications. </w:t>
      </w:r>
    </w:p>
    <w:p w14:paraId="51C25424" w14:textId="77777777" w:rsidR="00100662" w:rsidRPr="00040BEC" w:rsidRDefault="00EA35D0" w:rsidP="0071779A">
      <w:pPr>
        <w:pStyle w:val="Heading4"/>
        <w:rPr>
          <w:lang w:val="en-GB" w:eastAsia="de-DE"/>
        </w:rPr>
      </w:pPr>
      <w:r w:rsidRPr="00040BEC">
        <w:rPr>
          <w:lang w:val="en-GB"/>
        </w:rPr>
        <w:t>Co-frequency sharing</w:t>
      </w:r>
    </w:p>
    <w:p w14:paraId="2722DABF" w14:textId="77777777" w:rsidR="00100662" w:rsidRPr="00040BEC" w:rsidRDefault="00035C83" w:rsidP="0071779A">
      <w:pPr>
        <w:pStyle w:val="Heading4"/>
        <w:rPr>
          <w:lang w:val="en-GB"/>
        </w:rPr>
      </w:pPr>
      <w:r w:rsidRPr="00040BEC">
        <w:rPr>
          <w:lang w:val="en-GB"/>
        </w:rPr>
        <w:t xml:space="preserve">DA2GC FL in 1900-1910 MHz sharing with DECT/SRD </w:t>
      </w:r>
    </w:p>
    <w:p w14:paraId="7F2E99EA" w14:textId="77777777" w:rsidR="00035C83" w:rsidRPr="00040BEC" w:rsidRDefault="00035C83" w:rsidP="00AE0F2F">
      <w:pPr>
        <w:pStyle w:val="ECCParagraph"/>
      </w:pPr>
      <w:r w:rsidRPr="00040BEC">
        <w:t xml:space="preserve">In the case of an FDD arrangement for Broadband DA2GC, the most reasonable approach would be to allow only DECT/SRD indoor applications in the band used by the DA2GC </w:t>
      </w:r>
      <w:r w:rsidR="00EB1144" w:rsidRPr="00040BEC">
        <w:t>(FL)</w:t>
      </w:r>
      <w:r w:rsidRPr="00040BEC">
        <w:t xml:space="preserve">, i.e. within the sub-band 1900-1910 </w:t>
      </w:r>
      <w:proofErr w:type="spellStart"/>
      <w:r w:rsidRPr="00040BEC">
        <w:t>MHz.</w:t>
      </w:r>
      <w:proofErr w:type="spellEnd"/>
      <w:r w:rsidRPr="00040BEC">
        <w:t xml:space="preserve"> </w:t>
      </w:r>
    </w:p>
    <w:p w14:paraId="39D39F9E" w14:textId="77777777" w:rsidR="00035C83" w:rsidRPr="00040BEC" w:rsidRDefault="00035C83" w:rsidP="00AE0F2F">
      <w:pPr>
        <w:pStyle w:val="ECCParagraph"/>
      </w:pPr>
      <w:r w:rsidRPr="00040BEC">
        <w:t xml:space="preserve">Since potential aggregated co-channel interference from indoor DECT/SRD installations can degrade the DA2GC service, ECC Report </w:t>
      </w:r>
      <w:r w:rsidR="002C4CD5" w:rsidRPr="00040BEC">
        <w:t xml:space="preserve">220 </w:t>
      </w:r>
      <w:r w:rsidR="000A5980" w:rsidRPr="00040BEC">
        <w:fldChar w:fldCharType="begin"/>
      </w:r>
      <w:r w:rsidR="0077609E" w:rsidRPr="00040BEC">
        <w:instrText xml:space="preserve"> REF _Ref388514212 \r \h </w:instrText>
      </w:r>
      <w:r w:rsidR="00EB1144" w:rsidRPr="00040BEC">
        <w:instrText xml:space="preserve"> \* MERGEFORMAT </w:instrText>
      </w:r>
      <w:r w:rsidR="000A5980" w:rsidRPr="00040BEC">
        <w:fldChar w:fldCharType="separate"/>
      </w:r>
      <w:r w:rsidR="002327BB">
        <w:t>[29]</w:t>
      </w:r>
      <w:r w:rsidR="000A5980" w:rsidRPr="00040BEC">
        <w:fldChar w:fldCharType="end"/>
      </w:r>
      <w:r w:rsidRPr="00040BEC">
        <w:t xml:space="preserve"> considered a variety of indoor DECT/SRD applications and related expected usage densities. Sharing with low power and low density indoor SRD/DECT applications would be feasible. This conclusion is based on the considerations of the aggregated impact of unlicensed devices on the DA2GC AS receiver in ECC Report </w:t>
      </w:r>
      <w:r w:rsidR="002C4CD5" w:rsidRPr="00040BEC">
        <w:t xml:space="preserve">220 </w:t>
      </w:r>
      <w:r w:rsidR="000A5980" w:rsidRPr="00040BEC">
        <w:fldChar w:fldCharType="begin"/>
      </w:r>
      <w:r w:rsidR="0077609E" w:rsidRPr="00040BEC">
        <w:instrText xml:space="preserve"> REF _Ref388514212 \r \h </w:instrText>
      </w:r>
      <w:r w:rsidR="00D43851" w:rsidRPr="00040BEC">
        <w:instrText xml:space="preserve"> \* MERGEFORMAT </w:instrText>
      </w:r>
      <w:r w:rsidR="000A5980" w:rsidRPr="00040BEC">
        <w:fldChar w:fldCharType="separate"/>
      </w:r>
      <w:r w:rsidR="002327BB">
        <w:t>[29]</w:t>
      </w:r>
      <w:r w:rsidR="000A5980" w:rsidRPr="00040BEC">
        <w:fldChar w:fldCharType="end"/>
      </w:r>
      <w:r w:rsidRPr="00040BEC">
        <w:t xml:space="preserve">, annex </w:t>
      </w:r>
      <w:proofErr w:type="gramStart"/>
      <w:r w:rsidRPr="00040BEC">
        <w:t>3</w:t>
      </w:r>
      <w:proofErr w:type="gramEnd"/>
      <w:r w:rsidRPr="00040BEC">
        <w:t>.</w:t>
      </w:r>
    </w:p>
    <w:p w14:paraId="069F42C0" w14:textId="77777777" w:rsidR="00100662" w:rsidRPr="00040BEC" w:rsidRDefault="00035C83" w:rsidP="0071779A">
      <w:pPr>
        <w:pStyle w:val="Heading4"/>
        <w:rPr>
          <w:lang w:val="en-GB"/>
        </w:rPr>
      </w:pPr>
      <w:r w:rsidRPr="00040BEC">
        <w:rPr>
          <w:lang w:val="en-GB"/>
        </w:rPr>
        <w:lastRenderedPageBreak/>
        <w:t xml:space="preserve">DA2GC </w:t>
      </w:r>
      <w:r w:rsidR="002B0F5D" w:rsidRPr="00040BEC">
        <w:rPr>
          <w:lang w:val="en-GB"/>
        </w:rPr>
        <w:t xml:space="preserve">TDD </w:t>
      </w:r>
      <w:r w:rsidRPr="00040BEC">
        <w:rPr>
          <w:lang w:val="en-GB"/>
        </w:rPr>
        <w:t xml:space="preserve">in 1900-1920 MHz sharing with DECT/SRD </w:t>
      </w:r>
    </w:p>
    <w:p w14:paraId="26D064C4" w14:textId="77777777" w:rsidR="00035C83" w:rsidRPr="00040BEC" w:rsidRDefault="00035C83" w:rsidP="00035C83">
      <w:pPr>
        <w:spacing w:after="240"/>
        <w:rPr>
          <w:rFonts w:eastAsia="Calibri" w:cs="Arial"/>
          <w:sz w:val="22"/>
          <w:szCs w:val="22"/>
          <w:lang w:val="en-GB"/>
        </w:rPr>
      </w:pPr>
      <w:r w:rsidRPr="00040BEC">
        <w:rPr>
          <w:szCs w:val="20"/>
          <w:lang w:val="en-GB"/>
        </w:rPr>
        <w:t>In the case of a TDD arrangement for Broadband DA2GC, the most reasonable approach would be to allow only DECT/SRD indoor applications in the band used by the DA2GC</w:t>
      </w:r>
      <w:r w:rsidR="002B0F5D" w:rsidRPr="00040BEC">
        <w:rPr>
          <w:szCs w:val="20"/>
          <w:lang w:val="en-GB"/>
        </w:rPr>
        <w:t>.</w:t>
      </w:r>
      <w:r w:rsidRPr="00040BEC">
        <w:rPr>
          <w:szCs w:val="20"/>
          <w:lang w:val="en-GB"/>
        </w:rPr>
        <w:t xml:space="preserve"> </w:t>
      </w:r>
      <w:proofErr w:type="gramStart"/>
      <w:r w:rsidRPr="00040BEC">
        <w:rPr>
          <w:szCs w:val="20"/>
          <w:lang w:val="en-GB"/>
        </w:rPr>
        <w:t>i.e</w:t>
      </w:r>
      <w:proofErr w:type="gramEnd"/>
      <w:r w:rsidRPr="00040BEC">
        <w:rPr>
          <w:szCs w:val="20"/>
          <w:lang w:val="en-GB"/>
        </w:rPr>
        <w:t xml:space="preserve">. within the whole band 1900-1920 MHz since DECT/SRD equipment may disturb the DA2GC RL reception </w:t>
      </w:r>
      <w:r w:rsidR="00D43851" w:rsidRPr="00040BEC">
        <w:rPr>
          <w:szCs w:val="20"/>
          <w:lang w:val="en-GB"/>
        </w:rPr>
        <w:t xml:space="preserve">(i.e., </w:t>
      </w:r>
      <w:r w:rsidRPr="00040BEC">
        <w:rPr>
          <w:szCs w:val="20"/>
          <w:lang w:val="en-GB"/>
        </w:rPr>
        <w:t>at the GS</w:t>
      </w:r>
      <w:r w:rsidR="00D43851" w:rsidRPr="00040BEC">
        <w:rPr>
          <w:szCs w:val="20"/>
          <w:lang w:val="en-GB"/>
        </w:rPr>
        <w:t>)</w:t>
      </w:r>
      <w:r w:rsidRPr="00040BEC">
        <w:rPr>
          <w:szCs w:val="20"/>
          <w:lang w:val="en-GB"/>
        </w:rPr>
        <w:t>, if they are placed near the GS with unobstructed line-of-sight path to the GS antenna.</w:t>
      </w:r>
      <w:r w:rsidRPr="00040BEC">
        <w:rPr>
          <w:rFonts w:eastAsia="Calibri" w:cs="Arial"/>
          <w:sz w:val="22"/>
          <w:szCs w:val="22"/>
          <w:lang w:val="en-GB"/>
        </w:rPr>
        <w:t xml:space="preserve"> </w:t>
      </w:r>
    </w:p>
    <w:p w14:paraId="23B682B4" w14:textId="77777777" w:rsidR="00035C83" w:rsidRPr="00040BEC" w:rsidRDefault="00035C83" w:rsidP="00AE0F2F">
      <w:pPr>
        <w:pStyle w:val="ECCParagraph"/>
      </w:pPr>
      <w:r w:rsidRPr="00040BEC">
        <w:t xml:space="preserve">Since potential aggregated co-channel interference from indoor DECT/SRD installations can degrade the DA2GC service (aggregated interference into the AS receiver), this needs to be investigated further and the precise sharing conditions do also depend on the DA2GC system to be chosen with regard to some system dependent parameters such as DA2GC AS antenna </w:t>
      </w:r>
      <w:proofErr w:type="spellStart"/>
      <w:r w:rsidRPr="00040BEC">
        <w:t>sectorisation</w:t>
      </w:r>
      <w:proofErr w:type="spellEnd"/>
      <w:r w:rsidRPr="00040BEC">
        <w:t xml:space="preserve"> or antenna beamforming. Power reduction as well as duty cycle restriction or other mitigations may decrease the probability of interference into the DA2GC AS receiver to acceptable levels.</w:t>
      </w:r>
    </w:p>
    <w:p w14:paraId="2BC10284" w14:textId="77777777" w:rsidR="00100662" w:rsidRPr="00040BEC" w:rsidRDefault="00035C83" w:rsidP="0071779A">
      <w:pPr>
        <w:pStyle w:val="Heading4"/>
        <w:rPr>
          <w:lang w:val="en-GB"/>
        </w:rPr>
      </w:pPr>
      <w:r w:rsidRPr="00040BEC">
        <w:rPr>
          <w:lang w:val="en-GB"/>
        </w:rPr>
        <w:t>Impact of DA2GC on DECT/SRD</w:t>
      </w:r>
    </w:p>
    <w:p w14:paraId="268A549A" w14:textId="77777777" w:rsidR="00035C83" w:rsidRPr="00040BEC" w:rsidRDefault="00035C83" w:rsidP="00AE0F2F">
      <w:pPr>
        <w:pStyle w:val="ECCParagraph"/>
      </w:pPr>
      <w:r w:rsidRPr="00040BEC">
        <w:t xml:space="preserve">DECT indoor station will be able to </w:t>
      </w:r>
      <w:r w:rsidR="00D43851" w:rsidRPr="00040BEC">
        <w:t>operate in</w:t>
      </w:r>
      <w:r w:rsidRPr="00040BEC">
        <w:t xml:space="preserve"> the </w:t>
      </w:r>
      <w:r w:rsidR="00F96A63" w:rsidRPr="00040BEC">
        <w:t xml:space="preserve">extension </w:t>
      </w:r>
      <w:r w:rsidRPr="00040BEC">
        <w:t xml:space="preserve">band 1900-1920 MHz in spite of potential interference from DA2GC GSs, because of the DECT error detection, dynamic channel selection and hand-over capabilities. This result </w:t>
      </w:r>
      <w:proofErr w:type="gramStart"/>
      <w:r w:rsidRPr="00040BEC">
        <w:t>is also considered</w:t>
      </w:r>
      <w:proofErr w:type="gramEnd"/>
      <w:r w:rsidRPr="00040BEC">
        <w:t xml:space="preserve"> representative for other unlicensed applications co-frequently sharing with DECT. The studies in ECC Report </w:t>
      </w:r>
      <w:r w:rsidR="002C4CD5" w:rsidRPr="00040BEC">
        <w:t xml:space="preserve">220 </w:t>
      </w:r>
      <w:r w:rsidR="000A5980" w:rsidRPr="00040BEC">
        <w:rPr>
          <w:highlight w:val="yellow"/>
        </w:rPr>
        <w:fldChar w:fldCharType="begin"/>
      </w:r>
      <w:r w:rsidR="0077609E" w:rsidRPr="00040BEC">
        <w:instrText xml:space="preserve"> REF _Ref388514212 \r \h </w:instrText>
      </w:r>
      <w:r w:rsidR="000A5980" w:rsidRPr="00040BEC">
        <w:rPr>
          <w:highlight w:val="yellow"/>
        </w:rPr>
      </w:r>
      <w:r w:rsidR="000A5980" w:rsidRPr="00040BEC">
        <w:rPr>
          <w:highlight w:val="yellow"/>
        </w:rPr>
        <w:fldChar w:fldCharType="separate"/>
      </w:r>
      <w:r w:rsidR="002327BB">
        <w:t>[29]</w:t>
      </w:r>
      <w:r w:rsidR="000A5980" w:rsidRPr="00040BEC">
        <w:rPr>
          <w:highlight w:val="yellow"/>
        </w:rPr>
        <w:fldChar w:fldCharType="end"/>
      </w:r>
      <w:r w:rsidRPr="00040BEC">
        <w:t xml:space="preserve"> show also for the two DA2GC TDD approaches that the impact on indoor DECT/SRD equipment is negligible.</w:t>
      </w:r>
    </w:p>
    <w:p w14:paraId="23DC58D6" w14:textId="77777777" w:rsidR="00100662" w:rsidRPr="00040BEC" w:rsidRDefault="000B1A0A" w:rsidP="0071779A">
      <w:pPr>
        <w:pStyle w:val="Heading4"/>
        <w:rPr>
          <w:lang w:val="en-GB" w:eastAsia="de-DE"/>
        </w:rPr>
      </w:pPr>
      <w:r w:rsidRPr="00040BEC">
        <w:rPr>
          <w:lang w:val="en-GB" w:eastAsia="de-DE"/>
        </w:rPr>
        <w:t>Adjacent channel operation:</w:t>
      </w:r>
    </w:p>
    <w:p w14:paraId="5748C8C1" w14:textId="77777777" w:rsidR="00035C83" w:rsidRPr="00040BEC" w:rsidRDefault="00035C83" w:rsidP="00035C83">
      <w:pPr>
        <w:pStyle w:val="ECCParagraph"/>
        <w:rPr>
          <w:rFonts w:cs="Arial"/>
          <w:u w:val="single"/>
          <w:lang w:eastAsia="de-DE"/>
        </w:rPr>
      </w:pPr>
      <w:r w:rsidRPr="00040BEC">
        <w:rPr>
          <w:rFonts w:cs="Arial"/>
          <w:u w:val="single"/>
          <w:lang w:eastAsia="de-DE"/>
        </w:rPr>
        <w:t>Compatibility between DA2GC FL (1900-1910 MHz) and DECT/SRD devices operating in 1910-1920 MHz</w:t>
      </w:r>
      <w:r w:rsidR="00FA580C" w:rsidRPr="00040BEC">
        <w:rPr>
          <w:rFonts w:cs="Arial"/>
          <w:u w:val="single"/>
          <w:lang w:eastAsia="de-DE"/>
        </w:rPr>
        <w:t xml:space="preserve"> (</w:t>
      </w:r>
      <w:r w:rsidR="00AD6B83" w:rsidRPr="00040BEC">
        <w:rPr>
          <w:rFonts w:cs="Arial"/>
          <w:u w:val="single"/>
          <w:lang w:eastAsia="de-DE"/>
        </w:rPr>
        <w:t xml:space="preserve">same situation as with </w:t>
      </w:r>
      <w:r w:rsidR="00FA580C" w:rsidRPr="00040BEC">
        <w:rPr>
          <w:rFonts w:cs="Arial"/>
          <w:u w:val="single"/>
          <w:lang w:eastAsia="de-DE"/>
        </w:rPr>
        <w:t xml:space="preserve">DECT </w:t>
      </w:r>
      <w:r w:rsidR="00AD6B83" w:rsidRPr="00040BEC">
        <w:rPr>
          <w:rFonts w:cs="Arial"/>
          <w:u w:val="single"/>
          <w:lang w:eastAsia="de-DE"/>
        </w:rPr>
        <w:t xml:space="preserve">in </w:t>
      </w:r>
      <w:r w:rsidR="00FA580C" w:rsidRPr="00040BEC">
        <w:rPr>
          <w:rFonts w:cs="Arial"/>
          <w:u w:val="single"/>
          <w:lang w:eastAsia="de-DE"/>
        </w:rPr>
        <w:t>1880-1900 MHz)</w:t>
      </w:r>
    </w:p>
    <w:p w14:paraId="1E4A8B1A" w14:textId="77777777" w:rsidR="00035C83" w:rsidRPr="00040BEC" w:rsidRDefault="00035C83" w:rsidP="00035C83">
      <w:pPr>
        <w:pStyle w:val="ECCParagraph"/>
        <w:rPr>
          <w:rFonts w:cs="Arial"/>
          <w:lang w:eastAsia="de-DE"/>
        </w:rPr>
      </w:pPr>
      <w:r w:rsidRPr="00040BEC">
        <w:rPr>
          <w:rFonts w:cs="Arial"/>
          <w:lang w:eastAsia="de-DE"/>
        </w:rPr>
        <w:t xml:space="preserve">The interference impact of DECT stations operating on DA2GC FL reception </w:t>
      </w:r>
      <w:r w:rsidR="00F96A63" w:rsidRPr="00040BEC">
        <w:rPr>
          <w:rFonts w:cs="Arial"/>
          <w:lang w:eastAsia="de-DE"/>
        </w:rPr>
        <w:t xml:space="preserve">(i.e., </w:t>
      </w:r>
      <w:r w:rsidRPr="00040BEC">
        <w:rPr>
          <w:rFonts w:cs="Arial"/>
          <w:lang w:eastAsia="de-DE"/>
        </w:rPr>
        <w:t>at the AS</w:t>
      </w:r>
      <w:r w:rsidR="00F96A63" w:rsidRPr="00040BEC">
        <w:rPr>
          <w:rFonts w:cs="Arial"/>
          <w:lang w:eastAsia="de-DE"/>
        </w:rPr>
        <w:t>)</w:t>
      </w:r>
      <w:r w:rsidRPr="00040BEC">
        <w:rPr>
          <w:rFonts w:cs="Arial"/>
          <w:lang w:eastAsia="de-DE"/>
        </w:rPr>
        <w:t xml:space="preserve"> is rated as uncritical due to high ACIR and sufficient path loss between both stations which would be increased in more realistic scenarios by typical usage of DECT in indoor environments and lower DECT station antenna gain.</w:t>
      </w:r>
    </w:p>
    <w:p w14:paraId="2CC72902" w14:textId="77777777" w:rsidR="00035C83" w:rsidRPr="00040BEC" w:rsidRDefault="00035C83" w:rsidP="00035C83">
      <w:pPr>
        <w:pStyle w:val="ECCParagraph"/>
        <w:rPr>
          <w:rFonts w:cs="Arial"/>
          <w:lang w:eastAsia="de-DE"/>
        </w:rPr>
      </w:pPr>
      <w:r w:rsidRPr="00040BEC">
        <w:rPr>
          <w:rFonts w:cs="Arial"/>
          <w:lang w:eastAsia="de-DE"/>
        </w:rPr>
        <w:t xml:space="preserve">The implementation of a DA2GC FL in the band 1900-1910 MHz (DA2GC scenario 1) would have no negative impact on DECT operations in the adjacent band below or DECT/SRD applications above 1910 </w:t>
      </w:r>
      <w:proofErr w:type="spellStart"/>
      <w:r w:rsidRPr="00040BEC">
        <w:rPr>
          <w:rFonts w:cs="Arial"/>
          <w:lang w:eastAsia="de-DE"/>
        </w:rPr>
        <w:t>MHz.</w:t>
      </w:r>
      <w:proofErr w:type="spellEnd"/>
      <w:r w:rsidRPr="00040BEC">
        <w:rPr>
          <w:rFonts w:cs="Arial"/>
          <w:lang w:eastAsia="de-DE"/>
        </w:rPr>
        <w:t xml:space="preserve"> </w:t>
      </w:r>
    </w:p>
    <w:p w14:paraId="6F7CECEB" w14:textId="77777777" w:rsidR="00035C83" w:rsidRPr="00040BEC" w:rsidRDefault="00035C83" w:rsidP="00035C83">
      <w:pPr>
        <w:pStyle w:val="ECCParagraph"/>
        <w:rPr>
          <w:rFonts w:cs="Arial"/>
          <w:lang w:eastAsia="de-DE"/>
        </w:rPr>
      </w:pPr>
      <w:r w:rsidRPr="00040BEC">
        <w:rPr>
          <w:rFonts w:cs="Arial"/>
          <w:lang w:eastAsia="de-DE"/>
        </w:rPr>
        <w:t xml:space="preserve">Concerning the impact from DECT/SRD devices operating above 1910 MHz, it is worth to note that the situation is similar to the DECT deployment below 1900 MHz for the DA2GC scenario 1 (DA2GC FL in 1900-1910 MHz). Careful consideration </w:t>
      </w:r>
      <w:proofErr w:type="gramStart"/>
      <w:r w:rsidRPr="00040BEC">
        <w:rPr>
          <w:rFonts w:cs="Arial"/>
          <w:lang w:eastAsia="de-DE"/>
        </w:rPr>
        <w:t>should be given</w:t>
      </w:r>
      <w:proofErr w:type="gramEnd"/>
      <w:r w:rsidRPr="00040BEC">
        <w:rPr>
          <w:rFonts w:cs="Arial"/>
          <w:lang w:eastAsia="de-DE"/>
        </w:rPr>
        <w:t xml:space="preserve"> to the adjacent frequency sharing impact with regard to the possibility of outdoor deployment of DECT/SRD in 1910-1920 MHz concerning the possibility of having a higher number of outdoor DECT/SRD equipment when comparing with the current outdoor DECT stations deployment density in 1880-1900 </w:t>
      </w:r>
      <w:proofErr w:type="spellStart"/>
      <w:r w:rsidRPr="00040BEC">
        <w:rPr>
          <w:rFonts w:cs="Arial"/>
          <w:lang w:eastAsia="de-DE"/>
        </w:rPr>
        <w:t>MHz.</w:t>
      </w:r>
      <w:proofErr w:type="spellEnd"/>
    </w:p>
    <w:p w14:paraId="2699E03E" w14:textId="77777777" w:rsidR="00035C83" w:rsidRPr="00040BEC" w:rsidRDefault="00035C83" w:rsidP="00035C83">
      <w:pPr>
        <w:pStyle w:val="ECCParagraph"/>
        <w:rPr>
          <w:rFonts w:cs="Arial"/>
          <w:lang w:eastAsia="de-DE"/>
        </w:rPr>
      </w:pPr>
      <w:r w:rsidRPr="00040BEC">
        <w:rPr>
          <w:rFonts w:cs="Arial"/>
          <w:lang w:eastAsia="de-DE"/>
        </w:rPr>
        <w:t>Limitation to only indoor DECT/SRD applications, a channel guard separation, power reduction as well as duty cycle restriction or other mitigations may decrease the probability of interference into the DA2GC AS receiver to acceptable levels.</w:t>
      </w:r>
    </w:p>
    <w:p w14:paraId="783C8183" w14:textId="77777777" w:rsidR="00F11E13" w:rsidRPr="00040BEC" w:rsidRDefault="00035C83" w:rsidP="00015211">
      <w:pPr>
        <w:pStyle w:val="ECCParagraph"/>
        <w:rPr>
          <w:rFonts w:cs="Arial"/>
          <w:lang w:eastAsia="de-DE"/>
        </w:rPr>
      </w:pPr>
      <w:r w:rsidRPr="00040BEC">
        <w:rPr>
          <w:rFonts w:cs="Arial"/>
          <w:lang w:eastAsia="de-DE"/>
        </w:rPr>
        <w:t xml:space="preserve">So far, it </w:t>
      </w:r>
      <w:proofErr w:type="gramStart"/>
      <w:r w:rsidRPr="00040BEC">
        <w:rPr>
          <w:rFonts w:cs="Arial"/>
          <w:lang w:eastAsia="de-DE"/>
        </w:rPr>
        <w:t>is concluded</w:t>
      </w:r>
      <w:proofErr w:type="gramEnd"/>
      <w:r w:rsidRPr="00040BEC">
        <w:rPr>
          <w:rFonts w:cs="Arial"/>
          <w:lang w:eastAsia="de-DE"/>
        </w:rPr>
        <w:t xml:space="preserve"> that operation of DA2GC FL and indoor DECT/SRD deployment in the adjacent band 1910-1920 MHz</w:t>
      </w:r>
      <w:r w:rsidR="00AE0F2F" w:rsidRPr="00040BEC">
        <w:rPr>
          <w:rFonts w:cs="Arial"/>
          <w:lang w:eastAsia="de-DE"/>
        </w:rPr>
        <w:t xml:space="preserve"> </w:t>
      </w:r>
      <w:r w:rsidRPr="00040BEC">
        <w:rPr>
          <w:rFonts w:cs="Arial"/>
          <w:lang w:eastAsia="de-DE"/>
        </w:rPr>
        <w:t>would be feasible with a power limitation and duty cycle restrictions for the DECT/SRDs.</w:t>
      </w:r>
    </w:p>
    <w:p w14:paraId="44417A5F" w14:textId="77777777" w:rsidR="00100662" w:rsidRPr="00040BEC" w:rsidRDefault="007931AD" w:rsidP="002104CC">
      <w:pPr>
        <w:pStyle w:val="Heading3"/>
        <w:rPr>
          <w:lang w:val="en-GB"/>
        </w:rPr>
      </w:pPr>
      <w:bookmarkStart w:id="100" w:name="_Toc368435968"/>
      <w:bookmarkStart w:id="101" w:name="_Toc386622454"/>
      <w:bookmarkStart w:id="102" w:name="_Toc396904009"/>
      <w:bookmarkStart w:id="103" w:name="_Toc368435972"/>
      <w:bookmarkStart w:id="104" w:name="_Toc386372746"/>
      <w:r w:rsidRPr="00040BEC">
        <w:rPr>
          <w:lang w:val="en-GB"/>
        </w:rPr>
        <w:t>DA2GC, VLCC and DECT/SRD</w:t>
      </w:r>
      <w:bookmarkEnd w:id="100"/>
      <w:bookmarkEnd w:id="101"/>
      <w:bookmarkEnd w:id="102"/>
    </w:p>
    <w:p w14:paraId="1F006B0D" w14:textId="77777777" w:rsidR="007931AD" w:rsidRPr="00040BEC" w:rsidRDefault="007931AD" w:rsidP="007931AD">
      <w:pPr>
        <w:pStyle w:val="ECCParagraph"/>
        <w:rPr>
          <w:rFonts w:cs="Arial"/>
          <w:lang w:eastAsia="de-DE"/>
        </w:rPr>
      </w:pPr>
      <w:r w:rsidRPr="00040BEC">
        <w:rPr>
          <w:rFonts w:cs="Arial"/>
          <w:lang w:eastAsia="de-DE"/>
        </w:rPr>
        <w:t>DA2GC, VLCC and DECT/SRD applications may need to share spectrum under scenario 1 (lower part (1900-1910 MHz) of the lower band); VLCC and DECT/SRD applications might need to share spectrum under scenario 1 (upper part (1910-1920 MHz) of the lower band).</w:t>
      </w:r>
    </w:p>
    <w:p w14:paraId="193DD19B" w14:textId="479A5563" w:rsidR="00766EB0" w:rsidRPr="00040BEC" w:rsidRDefault="007931AD" w:rsidP="00766EB0">
      <w:pPr>
        <w:pStyle w:val="ECCParagraph"/>
      </w:pPr>
      <w:r w:rsidRPr="00040BEC">
        <w:rPr>
          <w:rFonts w:cs="Arial"/>
          <w:lang w:eastAsia="de-DE"/>
        </w:rPr>
        <w:t xml:space="preserve">No compatibility studies </w:t>
      </w:r>
      <w:proofErr w:type="gramStart"/>
      <w:r w:rsidRPr="00040BEC">
        <w:rPr>
          <w:rFonts w:cs="Arial"/>
          <w:lang w:eastAsia="de-DE"/>
        </w:rPr>
        <w:t>have been conducted</w:t>
      </w:r>
      <w:proofErr w:type="gramEnd"/>
      <w:r w:rsidRPr="00040BEC">
        <w:rPr>
          <w:rFonts w:cs="Arial"/>
          <w:lang w:eastAsia="de-DE"/>
        </w:rPr>
        <w:t xml:space="preserve">. This </w:t>
      </w:r>
      <w:proofErr w:type="gramStart"/>
      <w:r w:rsidRPr="00040BEC">
        <w:rPr>
          <w:rFonts w:cs="Arial"/>
          <w:lang w:eastAsia="de-DE"/>
        </w:rPr>
        <w:t>may be attributed</w:t>
      </w:r>
      <w:proofErr w:type="gramEnd"/>
      <w:r w:rsidRPr="00040BEC">
        <w:rPr>
          <w:rFonts w:cs="Arial"/>
          <w:lang w:eastAsia="de-DE"/>
        </w:rPr>
        <w:t xml:space="preserve"> to the low interest from the PMSE community in usage of the 1900-1920 MHz band for VLCC applications. This band falls outside the tuning range of current PMSE equipment thus necessitating costs for the development or modification of equipment to tune to one or possibly two channels, with the likelihood of restrictions in availability to provide sharing with DA2GC. It </w:t>
      </w:r>
      <w:proofErr w:type="gramStart"/>
      <w:r w:rsidRPr="00040BEC">
        <w:rPr>
          <w:rFonts w:cs="Arial"/>
          <w:lang w:eastAsia="de-DE"/>
        </w:rPr>
        <w:t>should be noted</w:t>
      </w:r>
      <w:proofErr w:type="gramEnd"/>
      <w:r w:rsidRPr="00040BEC">
        <w:rPr>
          <w:rFonts w:cs="Arial"/>
          <w:lang w:eastAsia="de-DE"/>
        </w:rPr>
        <w:t xml:space="preserve"> that during the Call for Inputs, PMSE proponents indicated that they do not consider that PMSE can share with unlicensed applications such as DECT/SRD. This notion </w:t>
      </w:r>
      <w:proofErr w:type="gramStart"/>
      <w:r w:rsidRPr="00040BEC">
        <w:rPr>
          <w:rFonts w:cs="Arial"/>
          <w:lang w:eastAsia="de-DE"/>
        </w:rPr>
        <w:t>has also been provided</w:t>
      </w:r>
      <w:proofErr w:type="gramEnd"/>
      <w:r w:rsidRPr="00040BEC">
        <w:rPr>
          <w:rFonts w:cs="Arial"/>
          <w:lang w:eastAsia="de-DE"/>
        </w:rPr>
        <w:t xml:space="preserve"> by the one response from a PPDR solutions provider.</w:t>
      </w:r>
      <w:bookmarkEnd w:id="103"/>
      <w:bookmarkEnd w:id="104"/>
    </w:p>
    <w:p w14:paraId="739EDCBB" w14:textId="77777777" w:rsidR="00766EB0" w:rsidRPr="00040BEC" w:rsidRDefault="00766EB0" w:rsidP="00176CF0">
      <w:pPr>
        <w:pStyle w:val="Heading1"/>
      </w:pPr>
      <w:bookmarkStart w:id="105" w:name="_Ref355341882"/>
      <w:bookmarkStart w:id="106" w:name="_Toc368435974"/>
      <w:bookmarkStart w:id="107" w:name="_Toc396904010"/>
      <w:bookmarkStart w:id="108" w:name="_Toc445129326"/>
      <w:r w:rsidRPr="00040BEC">
        <w:lastRenderedPageBreak/>
        <w:t>common minimal (least restrictive) technical conditions</w:t>
      </w:r>
      <w:bookmarkEnd w:id="105"/>
      <w:bookmarkEnd w:id="106"/>
      <w:bookmarkEnd w:id="107"/>
      <w:bookmarkEnd w:id="108"/>
    </w:p>
    <w:p w14:paraId="3086DF55" w14:textId="77777777" w:rsidR="007931AD" w:rsidRPr="00040BEC" w:rsidRDefault="007931AD" w:rsidP="007931AD">
      <w:pPr>
        <w:pStyle w:val="ECCParagraph"/>
      </w:pPr>
      <w:bookmarkStart w:id="109" w:name="_Toc366675731"/>
      <w:bookmarkStart w:id="110" w:name="_Toc368435975"/>
      <w:bookmarkEnd w:id="109"/>
      <w:r w:rsidRPr="00040BEC">
        <w:t xml:space="preserve">The least restrictive technical conditions for the three usage </w:t>
      </w:r>
      <w:proofErr w:type="gramStart"/>
      <w:r w:rsidRPr="00040BEC">
        <w:t>categories which</w:t>
      </w:r>
      <w:proofErr w:type="gramEnd"/>
      <w:r w:rsidRPr="00040BEC">
        <w:t xml:space="preserve"> have been used as a basis for the technical studies, by taking into account sharing possibilities as far as possible, are described below. Because the radio applications covered by these three categories </w:t>
      </w:r>
      <w:proofErr w:type="gramStart"/>
      <w:r w:rsidRPr="00040BEC">
        <w:t>are addressed</w:t>
      </w:r>
      <w:proofErr w:type="gramEnd"/>
      <w:r w:rsidRPr="00040BEC">
        <w:t xml:space="preserve"> in the EC Mandate, the exclusion of one of the application</w:t>
      </w:r>
      <w:r w:rsidR="00021389" w:rsidRPr="00040BEC">
        <w:t>s</w:t>
      </w:r>
      <w:r w:rsidRPr="00040BEC">
        <w:t xml:space="preserve"> or categor</w:t>
      </w:r>
      <w:r w:rsidR="00021389" w:rsidRPr="00040BEC">
        <w:t>ies</w:t>
      </w:r>
      <w:r w:rsidRPr="00040BEC">
        <w:t xml:space="preserve"> was considered as not appropriate.</w:t>
      </w:r>
    </w:p>
    <w:p w14:paraId="41327AD9" w14:textId="77777777" w:rsidR="00766EB0" w:rsidRPr="00040BEC" w:rsidRDefault="00766EB0" w:rsidP="008E5B81">
      <w:pPr>
        <w:pStyle w:val="Heading2"/>
        <w:rPr>
          <w:lang w:val="en-GB"/>
        </w:rPr>
      </w:pPr>
      <w:bookmarkStart w:id="111" w:name="_Toc396904011"/>
      <w:bookmarkStart w:id="112" w:name="_Toc445129327"/>
      <w:r w:rsidRPr="00040BEC">
        <w:rPr>
          <w:lang w:val="en-GB"/>
        </w:rPr>
        <w:t>Broadband DA2GC</w:t>
      </w:r>
      <w:bookmarkEnd w:id="110"/>
      <w:bookmarkEnd w:id="111"/>
      <w:bookmarkEnd w:id="112"/>
    </w:p>
    <w:p w14:paraId="3730CF1D" w14:textId="0F944557" w:rsidR="00562355" w:rsidRPr="00040BEC" w:rsidRDefault="00562355" w:rsidP="00337457">
      <w:pPr>
        <w:pStyle w:val="ECCParagraph"/>
      </w:pPr>
      <w:r w:rsidRPr="00040BEC">
        <w:t xml:space="preserve">The regulatory </w:t>
      </w:r>
      <w:proofErr w:type="gramStart"/>
      <w:r w:rsidRPr="00040BEC">
        <w:t xml:space="preserve">parameters which will be considered for a future Broadband DA2GC regulation </w:t>
      </w:r>
      <w:r w:rsidR="00A629C2" w:rsidRPr="00040BEC">
        <w:t>in the 1900-1920 MHz</w:t>
      </w:r>
      <w:proofErr w:type="gramEnd"/>
      <w:r w:rsidR="00A629C2" w:rsidRPr="00040BEC">
        <w:t xml:space="preserve"> </w:t>
      </w:r>
      <w:r w:rsidRPr="00040BEC">
        <w:t>are provided in Annex 4 of this Report. Annex 5 includes guidelines to ensure co-existence for DA2GC Ground Stations.</w:t>
      </w:r>
    </w:p>
    <w:p w14:paraId="36438FA7" w14:textId="77777777" w:rsidR="007931AD" w:rsidRPr="00040BEC" w:rsidRDefault="007931AD" w:rsidP="007931AD">
      <w:pPr>
        <w:rPr>
          <w:rFonts w:cs="Arial"/>
          <w:b/>
          <w:szCs w:val="20"/>
          <w:lang w:val="en-GB"/>
        </w:rPr>
      </w:pPr>
      <w:r w:rsidRPr="00040BEC">
        <w:rPr>
          <w:rFonts w:cs="Arial"/>
          <w:b/>
          <w:szCs w:val="20"/>
          <w:lang w:val="en-GB"/>
        </w:rPr>
        <w:t>6.1.1</w:t>
      </w:r>
      <w:r w:rsidRPr="00040BEC">
        <w:rPr>
          <w:rFonts w:cs="Arial"/>
          <w:b/>
          <w:szCs w:val="20"/>
          <w:lang w:val="en-GB"/>
        </w:rPr>
        <w:tab/>
        <w:t>TECHNICAL AND OPERATIONAL CONDITIONS</w:t>
      </w:r>
    </w:p>
    <w:p w14:paraId="58EAC0C6" w14:textId="77777777" w:rsidR="007931AD" w:rsidRPr="00040BEC" w:rsidRDefault="007931AD" w:rsidP="007931AD">
      <w:pPr>
        <w:rPr>
          <w:rFonts w:cs="Arial"/>
          <w:szCs w:val="20"/>
          <w:lang w:val="en-GB"/>
        </w:rPr>
      </w:pPr>
    </w:p>
    <w:p w14:paraId="40F2543B" w14:textId="77777777" w:rsidR="007931AD" w:rsidRPr="00040BEC" w:rsidRDefault="007931AD" w:rsidP="00176CF0">
      <w:pPr>
        <w:pStyle w:val="ECCParagraph"/>
      </w:pPr>
      <w:r w:rsidRPr="00040BEC">
        <w:t>In order to ensure the adequate protection of incumbent radio services and applications, the technical requirements for Broadband DA2GC</w:t>
      </w:r>
      <w:r w:rsidR="00B4202A" w:rsidRPr="00040BEC">
        <w:t xml:space="preserve"> systems</w:t>
      </w:r>
      <w:r w:rsidRPr="00040BEC">
        <w:t>, based on the results set out in ECC Report</w:t>
      </w:r>
      <w:r w:rsidR="00454BBF" w:rsidRPr="00040BEC">
        <w:t xml:space="preserve"> 209 </w:t>
      </w:r>
      <w:r w:rsidR="000A5980" w:rsidRPr="00040BEC">
        <w:fldChar w:fldCharType="begin"/>
      </w:r>
      <w:r w:rsidR="00454BBF" w:rsidRPr="00040BEC">
        <w:instrText xml:space="preserve"> REF _Ref365920775 \r \h </w:instrText>
      </w:r>
      <w:r w:rsidR="000A5980" w:rsidRPr="00040BEC">
        <w:fldChar w:fldCharType="separate"/>
      </w:r>
      <w:r w:rsidR="002327BB">
        <w:t>[27]</w:t>
      </w:r>
      <w:r w:rsidR="000A5980" w:rsidRPr="00040BEC">
        <w:fldChar w:fldCharType="end"/>
      </w:r>
      <w:r w:rsidR="00454BBF" w:rsidRPr="00040BEC">
        <w:t xml:space="preserve"> </w:t>
      </w:r>
      <w:r w:rsidRPr="00040BEC">
        <w:t xml:space="preserve">and </w:t>
      </w:r>
      <w:r w:rsidR="00454BBF" w:rsidRPr="00040BEC">
        <w:t xml:space="preserve">ECC Report </w:t>
      </w:r>
      <w:r w:rsidRPr="00040BEC">
        <w:t xml:space="preserve">210 </w:t>
      </w:r>
      <w:r w:rsidR="000A5980" w:rsidRPr="00040BEC">
        <w:fldChar w:fldCharType="begin"/>
      </w:r>
      <w:r w:rsidR="00454BBF" w:rsidRPr="00040BEC">
        <w:instrText xml:space="preserve"> REF _Ref365920777 \r \h </w:instrText>
      </w:r>
      <w:r w:rsidR="000A5980" w:rsidRPr="00040BEC">
        <w:fldChar w:fldCharType="separate"/>
      </w:r>
      <w:r w:rsidR="002327BB">
        <w:t>[28]</w:t>
      </w:r>
      <w:r w:rsidR="000A5980" w:rsidRPr="00040BEC">
        <w:fldChar w:fldCharType="end"/>
      </w:r>
      <w:r w:rsidRPr="00040BEC">
        <w:t>, can be summarised briefly as follows.</w:t>
      </w:r>
    </w:p>
    <w:p w14:paraId="2B962F48" w14:textId="77777777" w:rsidR="007931AD" w:rsidRPr="00040BEC" w:rsidRDefault="007931AD" w:rsidP="000C5520">
      <w:pPr>
        <w:spacing w:after="120"/>
        <w:rPr>
          <w:rFonts w:cs="Arial"/>
          <w:szCs w:val="20"/>
          <w:u w:val="single"/>
          <w:lang w:val="en-GB"/>
        </w:rPr>
      </w:pPr>
      <w:r w:rsidRPr="00040BEC">
        <w:rPr>
          <w:rFonts w:cs="Arial"/>
          <w:szCs w:val="20"/>
          <w:u w:val="single"/>
          <w:lang w:val="en-GB"/>
        </w:rPr>
        <w:t>General requirements</w:t>
      </w:r>
    </w:p>
    <w:p w14:paraId="1B51F796" w14:textId="77777777" w:rsidR="007931AD" w:rsidRDefault="007931AD" w:rsidP="00BE115C">
      <w:pPr>
        <w:pStyle w:val="ListParagraph"/>
        <w:numPr>
          <w:ilvl w:val="0"/>
          <w:numId w:val="37"/>
        </w:numPr>
        <w:rPr>
          <w:rFonts w:cs="Arial"/>
          <w:szCs w:val="20"/>
          <w:lang w:val="en-GB"/>
        </w:rPr>
      </w:pPr>
      <w:r w:rsidRPr="00040BEC">
        <w:rPr>
          <w:rFonts w:cs="Arial"/>
          <w:szCs w:val="20"/>
          <w:lang w:val="en-GB"/>
        </w:rPr>
        <w:t xml:space="preserve">DA2GC GS: </w:t>
      </w:r>
      <w:proofErr w:type="spellStart"/>
      <w:r w:rsidRPr="00040BEC">
        <w:rPr>
          <w:rFonts w:cs="Arial"/>
          <w:szCs w:val="20"/>
          <w:lang w:val="en-GB"/>
        </w:rPr>
        <w:t>e.i.r.p</w:t>
      </w:r>
      <w:proofErr w:type="spellEnd"/>
      <w:r w:rsidRPr="00040BEC">
        <w:rPr>
          <w:rFonts w:cs="Arial"/>
          <w:szCs w:val="20"/>
          <w:lang w:val="en-GB"/>
        </w:rPr>
        <w:t>. limitations similar as for base stations for terrestrial cellular mobile networks;</w:t>
      </w:r>
    </w:p>
    <w:p w14:paraId="629BC218" w14:textId="6E14ABB9" w:rsidR="00FB555C" w:rsidRPr="00040BEC" w:rsidRDefault="00FB555C" w:rsidP="00BE115C">
      <w:pPr>
        <w:pStyle w:val="ListParagraph"/>
        <w:numPr>
          <w:ilvl w:val="0"/>
          <w:numId w:val="37"/>
        </w:numPr>
        <w:rPr>
          <w:rFonts w:cs="Arial"/>
          <w:szCs w:val="20"/>
          <w:lang w:val="en-GB"/>
        </w:rPr>
      </w:pPr>
      <w:r>
        <w:rPr>
          <w:rFonts w:cs="Arial"/>
          <w:szCs w:val="20"/>
          <w:lang w:val="en-GB"/>
        </w:rPr>
        <w:t xml:space="preserve">The minimum operational elevation angle of the DA2GC GC GS antenna main lobe is </w:t>
      </w:r>
      <w:r w:rsidR="00AD12E6">
        <w:rPr>
          <w:rFonts w:cs="Arial"/>
          <w:szCs w:val="20"/>
          <w:lang w:val="en-GB"/>
        </w:rPr>
        <w:t>+5</w:t>
      </w:r>
      <w:r w:rsidR="00AD12E6" w:rsidRPr="00AD12E6">
        <w:rPr>
          <w:rFonts w:cs="Arial"/>
          <w:szCs w:val="20"/>
          <w:lang w:val="en-GB"/>
        </w:rPr>
        <w:t>°</w:t>
      </w:r>
      <w:r w:rsidR="00AD12E6">
        <w:rPr>
          <w:rFonts w:cs="Arial"/>
          <w:szCs w:val="20"/>
          <w:lang w:val="en-GB"/>
        </w:rPr>
        <w:t>.</w:t>
      </w:r>
    </w:p>
    <w:p w14:paraId="3293E5BF" w14:textId="77777777" w:rsidR="007931AD" w:rsidRPr="00040BEC" w:rsidRDefault="007931AD" w:rsidP="00BE115C">
      <w:pPr>
        <w:pStyle w:val="ListParagraph"/>
        <w:numPr>
          <w:ilvl w:val="0"/>
          <w:numId w:val="37"/>
        </w:numPr>
        <w:rPr>
          <w:rFonts w:cs="Arial"/>
          <w:szCs w:val="20"/>
          <w:lang w:val="en-GB"/>
        </w:rPr>
      </w:pPr>
      <w:r w:rsidRPr="00040BEC">
        <w:rPr>
          <w:rFonts w:cs="Arial"/>
          <w:szCs w:val="20"/>
          <w:lang w:val="en-GB"/>
        </w:rPr>
        <w:t>The minimum operational height above ground is 3000 metres for the DA2GC AS;</w:t>
      </w:r>
    </w:p>
    <w:p w14:paraId="6EE1A953" w14:textId="77777777" w:rsidR="007931AD" w:rsidRPr="00040BEC" w:rsidRDefault="007931AD" w:rsidP="00BE115C">
      <w:pPr>
        <w:pStyle w:val="ListParagraph"/>
        <w:numPr>
          <w:ilvl w:val="0"/>
          <w:numId w:val="37"/>
        </w:numPr>
        <w:rPr>
          <w:rFonts w:cs="Arial"/>
          <w:szCs w:val="20"/>
          <w:lang w:val="en-GB"/>
        </w:rPr>
      </w:pPr>
      <w:r w:rsidRPr="00040BEC">
        <w:rPr>
          <w:rFonts w:cs="Arial"/>
          <w:szCs w:val="20"/>
          <w:lang w:val="en-GB"/>
        </w:rPr>
        <w:t>Compliance with a relevant Harmonised European Standard or alternatively, compliance with equivalent technical specifications (to fulfil the essential requirements of art. 3(2) of the R&amp;TTE Directive</w:t>
      </w:r>
      <w:r w:rsidR="007178F4" w:rsidRPr="00040BEC">
        <w:rPr>
          <w:rFonts w:cs="Arial"/>
          <w:szCs w:val="20"/>
          <w:lang w:val="en-GB"/>
        </w:rPr>
        <w:t xml:space="preserve"> and, in the future, of the RE Directive</w:t>
      </w:r>
      <w:r w:rsidRPr="00040BEC">
        <w:rPr>
          <w:rFonts w:cs="Arial"/>
          <w:szCs w:val="20"/>
          <w:lang w:val="en-GB"/>
        </w:rPr>
        <w:t>);</w:t>
      </w:r>
    </w:p>
    <w:p w14:paraId="6229C64B" w14:textId="77777777" w:rsidR="007931AD" w:rsidRPr="00040BEC" w:rsidRDefault="007931AD" w:rsidP="00BE115C">
      <w:pPr>
        <w:pStyle w:val="ListParagraph"/>
        <w:numPr>
          <w:ilvl w:val="0"/>
          <w:numId w:val="37"/>
        </w:numPr>
        <w:rPr>
          <w:rFonts w:cs="Arial"/>
          <w:szCs w:val="20"/>
          <w:lang w:val="en-GB"/>
        </w:rPr>
      </w:pPr>
      <w:r w:rsidRPr="00040BEC">
        <w:rPr>
          <w:rFonts w:cs="Arial"/>
          <w:szCs w:val="20"/>
          <w:lang w:val="en-GB"/>
        </w:rPr>
        <w:t xml:space="preserve">DA2GC AS has to </w:t>
      </w:r>
      <w:proofErr w:type="gramStart"/>
      <w:r w:rsidRPr="00040BEC">
        <w:rPr>
          <w:rFonts w:cs="Arial"/>
          <w:szCs w:val="20"/>
          <w:lang w:val="en-GB"/>
        </w:rPr>
        <w:t>be operated</w:t>
      </w:r>
      <w:proofErr w:type="gramEnd"/>
      <w:r w:rsidRPr="00040BEC">
        <w:rPr>
          <w:rFonts w:cs="Arial"/>
          <w:szCs w:val="20"/>
          <w:lang w:val="en-GB"/>
        </w:rPr>
        <w:t xml:space="preserve"> under the control of a network.</w:t>
      </w:r>
    </w:p>
    <w:p w14:paraId="77A90FDF" w14:textId="77777777" w:rsidR="00E46237" w:rsidRPr="00040BEC" w:rsidRDefault="00E46237" w:rsidP="00BE115C">
      <w:pPr>
        <w:pStyle w:val="ListParagraph"/>
        <w:numPr>
          <w:ilvl w:val="0"/>
          <w:numId w:val="37"/>
        </w:numPr>
        <w:rPr>
          <w:rFonts w:cs="Arial"/>
          <w:szCs w:val="20"/>
          <w:lang w:val="en-GB"/>
        </w:rPr>
      </w:pPr>
      <w:r w:rsidRPr="00040BEC">
        <w:rPr>
          <w:rFonts w:cs="Arial"/>
          <w:szCs w:val="20"/>
          <w:lang w:val="en-GB"/>
        </w:rPr>
        <w:t xml:space="preserve">For both systems, separation distances are required and should be carefully assessed taking into account </w:t>
      </w:r>
      <w:r w:rsidRPr="00040BEC">
        <w:rPr>
          <w:lang w:val="en-GB"/>
        </w:rPr>
        <w:t xml:space="preserve">the </w:t>
      </w:r>
      <w:proofErr w:type="gramStart"/>
      <w:r w:rsidRPr="00040BEC">
        <w:rPr>
          <w:lang w:val="en-GB"/>
        </w:rPr>
        <w:t>high density</w:t>
      </w:r>
      <w:proofErr w:type="gramEnd"/>
      <w:r w:rsidRPr="00040BEC">
        <w:rPr>
          <w:lang w:val="en-GB"/>
        </w:rPr>
        <w:t xml:space="preserve"> deployment of MFCN networks above 1920 </w:t>
      </w:r>
      <w:proofErr w:type="spellStart"/>
      <w:r w:rsidRPr="00040BEC">
        <w:rPr>
          <w:lang w:val="en-GB"/>
        </w:rPr>
        <w:t>MHz.</w:t>
      </w:r>
      <w:proofErr w:type="spellEnd"/>
    </w:p>
    <w:p w14:paraId="2BD2DC0B" w14:textId="77777777" w:rsidR="007931AD" w:rsidRPr="00040BEC" w:rsidRDefault="007931AD" w:rsidP="007931AD">
      <w:pPr>
        <w:rPr>
          <w:rFonts w:cs="Arial"/>
          <w:szCs w:val="20"/>
          <w:lang w:val="en-GB"/>
        </w:rPr>
      </w:pPr>
    </w:p>
    <w:p w14:paraId="5350598D" w14:textId="77777777" w:rsidR="007931AD" w:rsidRPr="00040BEC" w:rsidRDefault="007931AD" w:rsidP="000C5520">
      <w:pPr>
        <w:spacing w:after="120"/>
        <w:rPr>
          <w:rFonts w:cs="Arial"/>
          <w:szCs w:val="20"/>
          <w:u w:val="single"/>
          <w:lang w:val="en-GB"/>
        </w:rPr>
      </w:pPr>
      <w:r w:rsidRPr="00040BEC">
        <w:rPr>
          <w:rFonts w:cs="Arial"/>
          <w:szCs w:val="20"/>
          <w:u w:val="single"/>
          <w:lang w:val="en-GB"/>
        </w:rPr>
        <w:t>Requirements for the unpaired 2 GHz bands (FDD mode, 1900-1910 MHz / 2010-2020 MHz)</w:t>
      </w:r>
    </w:p>
    <w:p w14:paraId="27234894" w14:textId="77777777" w:rsidR="007931AD" w:rsidRPr="00040BEC" w:rsidRDefault="000F2411" w:rsidP="00BE115C">
      <w:pPr>
        <w:pStyle w:val="ListParagraph"/>
        <w:numPr>
          <w:ilvl w:val="0"/>
          <w:numId w:val="38"/>
        </w:numPr>
        <w:rPr>
          <w:rFonts w:cs="Arial"/>
          <w:szCs w:val="20"/>
          <w:lang w:val="en-GB"/>
        </w:rPr>
      </w:pPr>
      <w:r w:rsidRPr="00040BEC">
        <w:rPr>
          <w:rFonts w:cs="Arial"/>
          <w:szCs w:val="20"/>
          <w:lang w:val="en-GB"/>
        </w:rPr>
        <w:t>Because of the need for separation distance, c</w:t>
      </w:r>
      <w:r w:rsidR="007931AD" w:rsidRPr="00040BEC">
        <w:rPr>
          <w:rFonts w:cs="Arial"/>
          <w:szCs w:val="20"/>
          <w:lang w:val="en-GB"/>
        </w:rPr>
        <w:t xml:space="preserve">oordination is required for DA2GC GS operating in the frequency band 1900-1910 MHz with MFCN base stations receiving above 1920 </w:t>
      </w:r>
      <w:proofErr w:type="spellStart"/>
      <w:r w:rsidR="007931AD" w:rsidRPr="00040BEC">
        <w:rPr>
          <w:rFonts w:cs="Arial"/>
          <w:szCs w:val="20"/>
          <w:lang w:val="en-GB"/>
        </w:rPr>
        <w:t>MHz.</w:t>
      </w:r>
      <w:proofErr w:type="spellEnd"/>
    </w:p>
    <w:p w14:paraId="0FA4154F" w14:textId="77777777" w:rsidR="007931AD" w:rsidRPr="00040BEC" w:rsidRDefault="007931AD" w:rsidP="00BE115C">
      <w:pPr>
        <w:pStyle w:val="ListParagraph"/>
        <w:numPr>
          <w:ilvl w:val="0"/>
          <w:numId w:val="38"/>
        </w:numPr>
        <w:rPr>
          <w:rFonts w:cs="Arial"/>
          <w:szCs w:val="20"/>
          <w:lang w:val="en-GB"/>
        </w:rPr>
      </w:pPr>
      <w:r w:rsidRPr="00040BEC">
        <w:rPr>
          <w:rFonts w:cs="Arial"/>
          <w:szCs w:val="20"/>
          <w:lang w:val="en-GB"/>
        </w:rPr>
        <w:t>To protect the DA2GC GS reception in the band 2010-2020 MHz coordination with FS, TRR and SRS earth stations is required.</w:t>
      </w:r>
    </w:p>
    <w:p w14:paraId="24D22C60" w14:textId="77777777" w:rsidR="007931AD" w:rsidRPr="00040BEC" w:rsidRDefault="007931AD" w:rsidP="007931AD">
      <w:pPr>
        <w:rPr>
          <w:rFonts w:cs="Arial"/>
          <w:szCs w:val="20"/>
          <w:lang w:val="en-GB"/>
        </w:rPr>
      </w:pPr>
    </w:p>
    <w:p w14:paraId="2DFD2CF4" w14:textId="77777777" w:rsidR="007931AD" w:rsidRPr="00040BEC" w:rsidRDefault="007931AD" w:rsidP="000C5520">
      <w:pPr>
        <w:spacing w:after="120"/>
        <w:rPr>
          <w:rFonts w:cs="Arial"/>
          <w:szCs w:val="20"/>
          <w:u w:val="single"/>
          <w:lang w:val="en-GB"/>
        </w:rPr>
      </w:pPr>
      <w:r w:rsidRPr="00040BEC">
        <w:rPr>
          <w:rFonts w:cs="Arial"/>
          <w:szCs w:val="20"/>
          <w:u w:val="single"/>
          <w:lang w:val="en-GB"/>
        </w:rPr>
        <w:t>Requirements for the unpaired 2 GHz bands (TDD mode)</w:t>
      </w:r>
    </w:p>
    <w:p w14:paraId="26DF3EBA" w14:textId="77777777" w:rsidR="007931AD" w:rsidRPr="00040BEC" w:rsidRDefault="000F2411" w:rsidP="00BE115C">
      <w:pPr>
        <w:pStyle w:val="ListParagraph"/>
        <w:numPr>
          <w:ilvl w:val="0"/>
          <w:numId w:val="39"/>
        </w:numPr>
        <w:rPr>
          <w:rFonts w:cs="Arial"/>
          <w:szCs w:val="20"/>
          <w:lang w:val="en-GB"/>
        </w:rPr>
      </w:pPr>
      <w:r w:rsidRPr="00040BEC">
        <w:rPr>
          <w:rFonts w:cs="Arial"/>
          <w:szCs w:val="20"/>
          <w:lang w:val="en-GB"/>
        </w:rPr>
        <w:t>Because of the need for separation distance, c</w:t>
      </w:r>
      <w:r w:rsidR="007931AD" w:rsidRPr="00040BEC">
        <w:rPr>
          <w:rFonts w:cs="Arial"/>
          <w:szCs w:val="20"/>
          <w:lang w:val="en-GB"/>
        </w:rPr>
        <w:t xml:space="preserve">oordination is required for DA2GC GS operating in the frequency band 1900-1920 MHz with MFCN base stations receiving above 1920 </w:t>
      </w:r>
      <w:proofErr w:type="spellStart"/>
      <w:r w:rsidR="007931AD" w:rsidRPr="00040BEC">
        <w:rPr>
          <w:rFonts w:cs="Arial"/>
          <w:szCs w:val="20"/>
          <w:lang w:val="en-GB"/>
        </w:rPr>
        <w:t>MHz.</w:t>
      </w:r>
      <w:proofErr w:type="spellEnd"/>
    </w:p>
    <w:p w14:paraId="5D761F57" w14:textId="77777777" w:rsidR="00176CF0" w:rsidRPr="00040BEC" w:rsidRDefault="00176CF0" w:rsidP="00176CF0">
      <w:pPr>
        <w:rPr>
          <w:rFonts w:cs="Arial"/>
          <w:szCs w:val="20"/>
          <w:lang w:val="en-GB"/>
        </w:rPr>
      </w:pPr>
    </w:p>
    <w:p w14:paraId="179D282C" w14:textId="5CF6322A" w:rsidR="007931AD" w:rsidRPr="00040BEC" w:rsidRDefault="007931AD" w:rsidP="00411E8D">
      <w:pPr>
        <w:pStyle w:val="ECCParagraph"/>
      </w:pPr>
      <w:r w:rsidRPr="00040BEC">
        <w:t xml:space="preserve">Although three different system proposals </w:t>
      </w:r>
      <w:proofErr w:type="gramStart"/>
      <w:r w:rsidRPr="00040BEC">
        <w:t>have been studied</w:t>
      </w:r>
      <w:proofErr w:type="gramEnd"/>
      <w:r w:rsidRPr="00040BEC">
        <w:t xml:space="preserve">, it has to be assumed from a commercial point of view that only one Broadband DA2GC system will be implemented in a specific frequency band. Therefore intra-sharing of different </w:t>
      </w:r>
      <w:proofErr w:type="gramStart"/>
      <w:r w:rsidRPr="00040BEC">
        <w:t>DA2GC systems in the same band has</w:t>
      </w:r>
      <w:proofErr w:type="gramEnd"/>
      <w:r w:rsidRPr="00040BEC">
        <w:t xml:space="preserve"> been considered as not relevant.</w:t>
      </w:r>
      <w:r w:rsidR="00337457" w:rsidRPr="00040BEC">
        <w:t xml:space="preserve"> </w:t>
      </w:r>
      <w:r w:rsidR="008A0753" w:rsidRPr="00040BEC">
        <w:t>F</w:t>
      </w:r>
      <w:r w:rsidRPr="00040BEC">
        <w:t xml:space="preserve">urther information on the implementation </w:t>
      </w:r>
      <w:proofErr w:type="gramStart"/>
      <w:r w:rsidRPr="00040BEC">
        <w:t>is provided</w:t>
      </w:r>
      <w:proofErr w:type="gramEnd"/>
      <w:r w:rsidRPr="00040BEC">
        <w:t xml:space="preserve"> </w:t>
      </w:r>
      <w:r w:rsidR="008A0753" w:rsidRPr="00040BEC">
        <w:t>in ECC Report 214</w:t>
      </w:r>
      <w:r w:rsidR="00454BBF" w:rsidRPr="00040BEC">
        <w:t xml:space="preserve"> </w:t>
      </w:r>
      <w:r w:rsidR="000A5980" w:rsidRPr="00040BEC">
        <w:fldChar w:fldCharType="begin"/>
      </w:r>
      <w:r w:rsidR="00454BBF" w:rsidRPr="00040BEC">
        <w:instrText xml:space="preserve"> REF _Ref365920771 \r \h </w:instrText>
      </w:r>
      <w:r w:rsidR="00A629C2" w:rsidRPr="00040BEC">
        <w:instrText xml:space="preserve"> \* MERGEFORMAT </w:instrText>
      </w:r>
      <w:r w:rsidR="000A5980" w:rsidRPr="00040BEC">
        <w:fldChar w:fldCharType="separate"/>
      </w:r>
      <w:r w:rsidR="002327BB">
        <w:t>[26]</w:t>
      </w:r>
      <w:r w:rsidR="000A5980" w:rsidRPr="00040BEC">
        <w:fldChar w:fldCharType="end"/>
      </w:r>
      <w:r w:rsidRPr="00040BEC">
        <w:t>.</w:t>
      </w:r>
    </w:p>
    <w:p w14:paraId="031AD21E" w14:textId="77777777" w:rsidR="001433B5" w:rsidRPr="00040BEC" w:rsidRDefault="001433B5" w:rsidP="008E5B81">
      <w:pPr>
        <w:pStyle w:val="Heading2"/>
        <w:rPr>
          <w:lang w:val="en-GB"/>
        </w:rPr>
      </w:pPr>
      <w:bookmarkStart w:id="113" w:name="_Toc388457082"/>
      <w:bookmarkStart w:id="114" w:name="_Toc388457083"/>
      <w:bookmarkStart w:id="115" w:name="_Toc388457084"/>
      <w:bookmarkStart w:id="116" w:name="_Toc388457085"/>
      <w:bookmarkStart w:id="117" w:name="_Toc388457086"/>
      <w:bookmarkStart w:id="118" w:name="_Toc388457087"/>
      <w:bookmarkStart w:id="119" w:name="_Toc388457088"/>
      <w:bookmarkStart w:id="120" w:name="_Toc368435976"/>
      <w:bookmarkStart w:id="121" w:name="_Toc386622462"/>
      <w:bookmarkStart w:id="122" w:name="_Toc396904012"/>
      <w:bookmarkStart w:id="123" w:name="_Toc445129328"/>
      <w:bookmarkEnd w:id="113"/>
      <w:bookmarkEnd w:id="114"/>
      <w:bookmarkEnd w:id="115"/>
      <w:bookmarkEnd w:id="116"/>
      <w:bookmarkEnd w:id="117"/>
      <w:bookmarkEnd w:id="118"/>
      <w:bookmarkEnd w:id="119"/>
      <w:r w:rsidRPr="00040BEC">
        <w:rPr>
          <w:lang w:val="en-GB"/>
        </w:rPr>
        <w:t>Video Links and cordless cameras (PMSE/ad-hoc PPDR)</w:t>
      </w:r>
      <w:bookmarkEnd w:id="120"/>
      <w:bookmarkEnd w:id="121"/>
      <w:bookmarkEnd w:id="122"/>
      <w:bookmarkEnd w:id="123"/>
    </w:p>
    <w:p w14:paraId="36FB69DE" w14:textId="77777777" w:rsidR="00EA23D4" w:rsidRPr="00040BEC" w:rsidRDefault="00EA23D4" w:rsidP="005702C9">
      <w:pPr>
        <w:pStyle w:val="ECCParagraph"/>
        <w:rPr>
          <w:lang w:eastAsia="nl-NL"/>
        </w:rPr>
      </w:pPr>
      <w:r w:rsidRPr="00040BEC">
        <w:rPr>
          <w:lang w:eastAsia="nl-NL"/>
        </w:rPr>
        <w:t xml:space="preserve">Use of spectrum for video links and cordless cameras is mainly </w:t>
      </w:r>
      <w:proofErr w:type="gramStart"/>
      <w:r w:rsidRPr="00040BEC">
        <w:rPr>
          <w:lang w:eastAsia="nl-NL"/>
        </w:rPr>
        <w:t>on the basis of</w:t>
      </w:r>
      <w:proofErr w:type="gramEnd"/>
      <w:r w:rsidRPr="00040BEC">
        <w:rPr>
          <w:lang w:eastAsia="nl-NL"/>
        </w:rPr>
        <w:t xml:space="preserve"> sharing with another service, so access to spectrum is predominantly authorised under local arrangements depending on the protection criteria agreed. These local arrangements </w:t>
      </w:r>
      <w:proofErr w:type="gramStart"/>
      <w:r w:rsidRPr="00040BEC">
        <w:rPr>
          <w:lang w:eastAsia="nl-NL"/>
        </w:rPr>
        <w:t>can be configured</w:t>
      </w:r>
      <w:proofErr w:type="gramEnd"/>
      <w:r w:rsidRPr="00040BEC">
        <w:rPr>
          <w:lang w:eastAsia="nl-NL"/>
        </w:rPr>
        <w:t xml:space="preserve"> to take account of a number of factors including the VLCC application, incumbent services and location. In the event that all or part of the unpaired 2 GHz bands are identified for use by VLCC and </w:t>
      </w:r>
      <w:r w:rsidR="00C36960" w:rsidRPr="00040BEC">
        <w:rPr>
          <w:lang w:eastAsia="nl-NL"/>
        </w:rPr>
        <w:t xml:space="preserve">Broadband </w:t>
      </w:r>
      <w:r w:rsidRPr="00040BEC">
        <w:rPr>
          <w:lang w:eastAsia="nl-NL"/>
        </w:rPr>
        <w:t xml:space="preserve">DA2GC on a shared basis, these local arrangements would need to consider the protection requirements of VLCC and </w:t>
      </w:r>
      <w:r w:rsidR="00C36960" w:rsidRPr="00040BEC">
        <w:rPr>
          <w:lang w:eastAsia="nl-NL"/>
        </w:rPr>
        <w:t xml:space="preserve">Broadband </w:t>
      </w:r>
      <w:r w:rsidRPr="00040BEC">
        <w:rPr>
          <w:lang w:eastAsia="nl-NL"/>
        </w:rPr>
        <w:t>DA2GC.</w:t>
      </w:r>
    </w:p>
    <w:p w14:paraId="6619407E" w14:textId="77777777" w:rsidR="00EA23D4" w:rsidRPr="00040BEC" w:rsidRDefault="00EA23D4" w:rsidP="00543E20">
      <w:pPr>
        <w:keepNext/>
        <w:spacing w:after="120"/>
        <w:rPr>
          <w:szCs w:val="20"/>
          <w:lang w:val="en-GB" w:eastAsia="nl-NL"/>
        </w:rPr>
      </w:pPr>
      <w:r w:rsidRPr="00040BEC">
        <w:rPr>
          <w:szCs w:val="20"/>
          <w:lang w:val="en-GB" w:eastAsia="nl-NL"/>
        </w:rPr>
        <w:lastRenderedPageBreak/>
        <w:t>Given the respective tech</w:t>
      </w:r>
      <w:r w:rsidR="005702C9" w:rsidRPr="00040BEC">
        <w:rPr>
          <w:szCs w:val="20"/>
          <w:lang w:val="en-GB" w:eastAsia="nl-NL"/>
        </w:rPr>
        <w:t>n</w:t>
      </w:r>
      <w:r w:rsidRPr="00040BEC">
        <w:rPr>
          <w:szCs w:val="20"/>
          <w:lang w:val="en-GB" w:eastAsia="nl-NL"/>
        </w:rPr>
        <w:t xml:space="preserve">ical parameters and compatibility </w:t>
      </w:r>
      <w:proofErr w:type="gramStart"/>
      <w:r w:rsidRPr="00040BEC">
        <w:rPr>
          <w:szCs w:val="20"/>
          <w:lang w:val="en-GB" w:eastAsia="nl-NL"/>
        </w:rPr>
        <w:t>scenarios</w:t>
      </w:r>
      <w:proofErr w:type="gramEnd"/>
      <w:r w:rsidRPr="00040BEC">
        <w:rPr>
          <w:szCs w:val="20"/>
          <w:lang w:val="en-GB" w:eastAsia="nl-NL"/>
        </w:rPr>
        <w:t xml:space="preserve"> a number of PMSE or ad-hoc PPDR video applications could utilise the unpaired 2 GHz bands:</w:t>
      </w:r>
    </w:p>
    <w:p w14:paraId="71CC0041" w14:textId="77777777" w:rsidR="00315B67" w:rsidRPr="00040BEC" w:rsidRDefault="00315B67" w:rsidP="00543E20">
      <w:pPr>
        <w:pStyle w:val="ListParagraph"/>
        <w:keepNext/>
        <w:numPr>
          <w:ilvl w:val="0"/>
          <w:numId w:val="42"/>
        </w:numPr>
        <w:spacing w:after="120" w:line="276" w:lineRule="auto"/>
        <w:rPr>
          <w:rFonts w:eastAsia="Arial"/>
          <w:szCs w:val="20"/>
          <w:lang w:val="en-GB"/>
        </w:rPr>
      </w:pPr>
      <w:r w:rsidRPr="00040BEC">
        <w:rPr>
          <w:rFonts w:eastAsia="Arial"/>
          <w:szCs w:val="20"/>
          <w:lang w:val="en-GB"/>
        </w:rPr>
        <w:t>Cordless cameras</w:t>
      </w:r>
      <w:r w:rsidR="005702C9" w:rsidRPr="00040BEC">
        <w:rPr>
          <w:rFonts w:eastAsia="Arial"/>
          <w:szCs w:val="20"/>
          <w:lang w:val="en-GB"/>
        </w:rPr>
        <w:t>;</w:t>
      </w:r>
    </w:p>
    <w:p w14:paraId="3A32BFB1" w14:textId="77777777" w:rsidR="00315B67" w:rsidRPr="00040BEC" w:rsidRDefault="00315B67" w:rsidP="00543E20">
      <w:pPr>
        <w:pStyle w:val="ListParagraph"/>
        <w:keepNext/>
        <w:numPr>
          <w:ilvl w:val="0"/>
          <w:numId w:val="42"/>
        </w:numPr>
        <w:spacing w:after="120" w:line="276" w:lineRule="auto"/>
        <w:rPr>
          <w:rFonts w:eastAsia="Arial"/>
          <w:szCs w:val="20"/>
          <w:lang w:val="en-GB"/>
        </w:rPr>
      </w:pPr>
      <w:r w:rsidRPr="00040BEC">
        <w:rPr>
          <w:rFonts w:eastAsia="Arial"/>
          <w:szCs w:val="20"/>
          <w:lang w:val="en-GB"/>
        </w:rPr>
        <w:t>Portable video link/camera</w:t>
      </w:r>
      <w:r w:rsidR="005702C9" w:rsidRPr="00040BEC">
        <w:rPr>
          <w:rFonts w:eastAsia="Arial"/>
          <w:szCs w:val="20"/>
          <w:lang w:val="en-GB"/>
        </w:rPr>
        <w:t>;</w:t>
      </w:r>
    </w:p>
    <w:p w14:paraId="47F0A95D" w14:textId="77777777" w:rsidR="00315B67" w:rsidRPr="00040BEC" w:rsidRDefault="00315B67" w:rsidP="00BE115C">
      <w:pPr>
        <w:pStyle w:val="ListParagraph"/>
        <w:numPr>
          <w:ilvl w:val="0"/>
          <w:numId w:val="42"/>
        </w:numPr>
        <w:spacing w:after="200" w:line="276" w:lineRule="auto"/>
        <w:rPr>
          <w:rFonts w:eastAsia="Arial"/>
          <w:szCs w:val="20"/>
          <w:lang w:val="en-GB"/>
        </w:rPr>
      </w:pPr>
      <w:proofErr w:type="gramStart"/>
      <w:r w:rsidRPr="00040BEC">
        <w:rPr>
          <w:rFonts w:eastAsia="Arial"/>
          <w:szCs w:val="20"/>
          <w:lang w:val="en-GB"/>
        </w:rPr>
        <w:t>Mobile video link/mobile camera</w:t>
      </w:r>
      <w:r w:rsidR="005702C9" w:rsidRPr="00040BEC">
        <w:rPr>
          <w:rFonts w:eastAsia="Arial"/>
          <w:szCs w:val="20"/>
          <w:lang w:val="en-GB"/>
        </w:rPr>
        <w:t>.</w:t>
      </w:r>
      <w:proofErr w:type="gramEnd"/>
    </w:p>
    <w:p w14:paraId="769E3A3C" w14:textId="77777777" w:rsidR="00315B67" w:rsidRPr="00040BEC" w:rsidRDefault="00315B67" w:rsidP="005702C9">
      <w:pPr>
        <w:pStyle w:val="ECCParagraph"/>
        <w:rPr>
          <w:lang w:eastAsia="nl-NL"/>
        </w:rPr>
      </w:pPr>
      <w:r w:rsidRPr="00040BEC">
        <w:rPr>
          <w:lang w:eastAsia="nl-NL"/>
        </w:rPr>
        <w:t xml:space="preserve">In order to maximise the availability of </w:t>
      </w:r>
      <w:proofErr w:type="spellStart"/>
      <w:r w:rsidRPr="00040BEC">
        <w:rPr>
          <w:lang w:eastAsia="nl-NL"/>
        </w:rPr>
        <w:t>non line</w:t>
      </w:r>
      <w:proofErr w:type="spellEnd"/>
      <w:r w:rsidRPr="00040BEC">
        <w:rPr>
          <w:lang w:eastAsia="nl-NL"/>
        </w:rPr>
        <w:t xml:space="preserve"> of sight channels industry practice has tended to move </w:t>
      </w:r>
      <w:proofErr w:type="gramStart"/>
      <w:r w:rsidRPr="00040BEC">
        <w:rPr>
          <w:lang w:eastAsia="nl-NL"/>
        </w:rPr>
        <w:t>higher powered</w:t>
      </w:r>
      <w:proofErr w:type="gramEnd"/>
      <w:r w:rsidRPr="00040BEC">
        <w:rPr>
          <w:lang w:eastAsia="nl-NL"/>
        </w:rPr>
        <w:t xml:space="preserve"> links such as temporary point to point links to frequencies above 5 GHz. </w:t>
      </w:r>
      <w:proofErr w:type="gramStart"/>
      <w:r w:rsidRPr="00040BEC">
        <w:rPr>
          <w:lang w:eastAsia="nl-NL"/>
        </w:rPr>
        <w:t>Consequently</w:t>
      </w:r>
      <w:proofErr w:type="gramEnd"/>
      <w:r w:rsidRPr="00040BEC">
        <w:rPr>
          <w:lang w:eastAsia="nl-NL"/>
        </w:rPr>
        <w:t xml:space="preserve"> temporary point to point links are not consider</w:t>
      </w:r>
      <w:r w:rsidR="00176CF0" w:rsidRPr="00040BEC">
        <w:rPr>
          <w:lang w:eastAsia="nl-NL"/>
        </w:rPr>
        <w:t>e</w:t>
      </w:r>
      <w:r w:rsidRPr="00040BEC">
        <w:rPr>
          <w:lang w:eastAsia="nl-NL"/>
        </w:rPr>
        <w:t>d a candidate application within the unpaired 2 GHz bands.</w:t>
      </w:r>
    </w:p>
    <w:p w14:paraId="2F2D0DC1" w14:textId="77777777" w:rsidR="00315B67" w:rsidRPr="00040BEC" w:rsidRDefault="00315B67" w:rsidP="005702C9">
      <w:pPr>
        <w:pStyle w:val="ECCParagraph"/>
        <w:rPr>
          <w:lang w:eastAsia="nl-NL"/>
        </w:rPr>
      </w:pPr>
      <w:r w:rsidRPr="00040BEC">
        <w:rPr>
          <w:lang w:eastAsia="nl-NL"/>
        </w:rPr>
        <w:t xml:space="preserve">Video PMSE applications typically use digital modulation schemes on a 10 MHz channelling arrangement, although two or more channels </w:t>
      </w:r>
      <w:proofErr w:type="gramStart"/>
      <w:r w:rsidRPr="00040BEC">
        <w:rPr>
          <w:lang w:eastAsia="nl-NL"/>
        </w:rPr>
        <w:t>may be combined</w:t>
      </w:r>
      <w:proofErr w:type="gramEnd"/>
      <w:r w:rsidRPr="00040BEC">
        <w:rPr>
          <w:lang w:eastAsia="nl-NL"/>
        </w:rPr>
        <w:t xml:space="preserve"> in some situations to support higher data rates. </w:t>
      </w:r>
      <w:proofErr w:type="gramStart"/>
      <w:r w:rsidRPr="00040BEC">
        <w:rPr>
          <w:lang w:eastAsia="nl-NL"/>
        </w:rPr>
        <w:t>The main difference between the applications noted above is the power required by the application, a cordless camera typically operates at relatively low power, -7 </w:t>
      </w:r>
      <w:proofErr w:type="spellStart"/>
      <w:r w:rsidRPr="00040BEC">
        <w:rPr>
          <w:lang w:eastAsia="nl-NL"/>
        </w:rPr>
        <w:t>dBW</w:t>
      </w:r>
      <w:proofErr w:type="spellEnd"/>
      <w:r w:rsidRPr="00040BEC">
        <w:rPr>
          <w:lang w:eastAsia="nl-NL"/>
        </w:rPr>
        <w:t xml:space="preserve"> </w:t>
      </w:r>
      <w:proofErr w:type="spellStart"/>
      <w:r w:rsidR="007A74CA" w:rsidRPr="00040BEC">
        <w:rPr>
          <w:lang w:eastAsia="nl-NL"/>
        </w:rPr>
        <w:t>e.i.r.p</w:t>
      </w:r>
      <w:proofErr w:type="spellEnd"/>
      <w:r w:rsidR="007A74CA" w:rsidRPr="00040BEC">
        <w:rPr>
          <w:lang w:eastAsia="nl-NL"/>
        </w:rPr>
        <w:t>.</w:t>
      </w:r>
      <w:r w:rsidRPr="00040BEC">
        <w:rPr>
          <w:lang w:eastAsia="nl-NL"/>
        </w:rPr>
        <w:t xml:space="preserve"> through an omnidirectional antenna; a mobile v</w:t>
      </w:r>
      <w:r w:rsidR="007A74CA" w:rsidRPr="00040BEC">
        <w:rPr>
          <w:lang w:eastAsia="nl-NL"/>
        </w:rPr>
        <w:t>ideo link may be up to</w:t>
      </w:r>
      <w:r w:rsidR="008833D1" w:rsidRPr="00040BEC">
        <w:rPr>
          <w:lang w:eastAsia="nl-NL"/>
        </w:rPr>
        <w:t xml:space="preserve"> </w:t>
      </w:r>
      <w:r w:rsidR="007A74CA" w:rsidRPr="00040BEC">
        <w:rPr>
          <w:lang w:eastAsia="nl-NL"/>
        </w:rPr>
        <w:t xml:space="preserve">10 </w:t>
      </w:r>
      <w:proofErr w:type="spellStart"/>
      <w:r w:rsidR="007A74CA" w:rsidRPr="00040BEC">
        <w:rPr>
          <w:lang w:eastAsia="nl-NL"/>
        </w:rPr>
        <w:t>dBW</w:t>
      </w:r>
      <w:proofErr w:type="spellEnd"/>
      <w:r w:rsidR="007A74CA" w:rsidRPr="00040BEC">
        <w:rPr>
          <w:lang w:eastAsia="nl-NL"/>
        </w:rPr>
        <w:t xml:space="preserve"> </w:t>
      </w:r>
      <w:proofErr w:type="spellStart"/>
      <w:r w:rsidR="007A74CA" w:rsidRPr="00040BEC">
        <w:rPr>
          <w:lang w:eastAsia="nl-NL"/>
        </w:rPr>
        <w:t>e.i.r.p</w:t>
      </w:r>
      <w:proofErr w:type="spellEnd"/>
      <w:r w:rsidR="007A74CA" w:rsidRPr="00040BEC">
        <w:rPr>
          <w:lang w:eastAsia="nl-NL"/>
        </w:rPr>
        <w:t>.</w:t>
      </w:r>
      <w:r w:rsidRPr="00040BEC">
        <w:rPr>
          <w:lang w:eastAsia="nl-NL"/>
        </w:rPr>
        <w:t xml:space="preserve"> from a directional antenna</w:t>
      </w:r>
      <w:r w:rsidR="000F2411" w:rsidRPr="00040BEC">
        <w:rPr>
          <w:lang w:eastAsia="nl-NL"/>
        </w:rPr>
        <w:t xml:space="preserve"> and a portable video link may be up to 16 </w:t>
      </w:r>
      <w:proofErr w:type="spellStart"/>
      <w:r w:rsidR="000F2411" w:rsidRPr="00040BEC">
        <w:rPr>
          <w:lang w:eastAsia="nl-NL"/>
        </w:rPr>
        <w:t>dBW</w:t>
      </w:r>
      <w:proofErr w:type="spellEnd"/>
      <w:r w:rsidR="000F2411" w:rsidRPr="00040BEC">
        <w:rPr>
          <w:lang w:eastAsia="nl-NL"/>
        </w:rPr>
        <w:t xml:space="preserve"> </w:t>
      </w:r>
      <w:proofErr w:type="spellStart"/>
      <w:r w:rsidR="000F2411" w:rsidRPr="00040BEC">
        <w:rPr>
          <w:lang w:eastAsia="nl-NL"/>
        </w:rPr>
        <w:t>e.i.r.p</w:t>
      </w:r>
      <w:proofErr w:type="spellEnd"/>
      <w:r w:rsidR="000F2411" w:rsidRPr="00040BEC">
        <w:rPr>
          <w:lang w:eastAsia="nl-NL"/>
        </w:rPr>
        <w:t>. from a directional antenna</w:t>
      </w:r>
      <w:r w:rsidRPr="00040BEC">
        <w:rPr>
          <w:lang w:eastAsia="nl-NL"/>
        </w:rPr>
        <w:t>.</w:t>
      </w:r>
      <w:proofErr w:type="gramEnd"/>
      <w:r w:rsidRPr="00040BEC">
        <w:rPr>
          <w:lang w:eastAsia="nl-NL"/>
        </w:rPr>
        <w:t xml:space="preserve"> These scenarios lead to different technical conditions depending on the application </w:t>
      </w:r>
      <w:proofErr w:type="gramStart"/>
      <w:r w:rsidRPr="00040BEC">
        <w:rPr>
          <w:lang w:eastAsia="nl-NL"/>
        </w:rPr>
        <w:t>being considered</w:t>
      </w:r>
      <w:proofErr w:type="gramEnd"/>
      <w:r w:rsidRPr="00040BEC">
        <w:rPr>
          <w:lang w:eastAsia="nl-NL"/>
        </w:rPr>
        <w:t>.</w:t>
      </w:r>
    </w:p>
    <w:p w14:paraId="6E7565A0" w14:textId="77777777" w:rsidR="00EA23D4" w:rsidRPr="00040BEC" w:rsidRDefault="00EA23D4" w:rsidP="005702C9">
      <w:pPr>
        <w:pStyle w:val="ECCParagraph"/>
        <w:rPr>
          <w:lang w:eastAsia="nl-NL"/>
        </w:rPr>
      </w:pPr>
      <w:proofErr w:type="gramStart"/>
      <w:r w:rsidRPr="00040BEC">
        <w:rPr>
          <w:lang w:eastAsia="nl-NL"/>
        </w:rPr>
        <w:t xml:space="preserve">Based on the 10 MHz channelling arrangement for PMSE, the 1900-1920 MHz band would permit 2 </w:t>
      </w:r>
      <w:r w:rsidRPr="00040BEC">
        <w:rPr>
          <w:rFonts w:cs="Calibri"/>
          <w:lang w:eastAsia="nl-NL"/>
        </w:rPr>
        <w:t>×</w:t>
      </w:r>
      <w:r w:rsidRPr="00040BEC">
        <w:rPr>
          <w:lang w:eastAsia="nl-NL"/>
        </w:rPr>
        <w:t xml:space="preserve"> 10 MHz channels and the 2010-2025 MHz band would permit 1</w:t>
      </w:r>
      <w:r w:rsidRPr="00040BEC">
        <w:rPr>
          <w:rFonts w:cs="Calibri"/>
          <w:lang w:eastAsia="nl-NL"/>
        </w:rPr>
        <w:t>½ ×</w:t>
      </w:r>
      <w:r w:rsidRPr="00040BEC">
        <w:rPr>
          <w:lang w:eastAsia="nl-NL"/>
        </w:rPr>
        <w:t xml:space="preserve"> 10 MHz channels, with the other half channel provided in the adjacent 2025-2110 MHz band, which is already widely used for video PMSE applications, being identified in the E</w:t>
      </w:r>
      <w:r w:rsidR="008833D1" w:rsidRPr="00040BEC">
        <w:rPr>
          <w:lang w:eastAsia="nl-NL"/>
        </w:rPr>
        <w:t xml:space="preserve">uropean </w:t>
      </w:r>
      <w:r w:rsidRPr="00040BEC">
        <w:rPr>
          <w:lang w:eastAsia="nl-NL"/>
        </w:rPr>
        <w:t>C</w:t>
      </w:r>
      <w:r w:rsidR="008833D1" w:rsidRPr="00040BEC">
        <w:rPr>
          <w:lang w:eastAsia="nl-NL"/>
        </w:rPr>
        <w:t xml:space="preserve">ommon </w:t>
      </w:r>
      <w:r w:rsidRPr="00040BEC">
        <w:rPr>
          <w:lang w:eastAsia="nl-NL"/>
        </w:rPr>
        <w:t>A</w:t>
      </w:r>
      <w:r w:rsidR="008833D1" w:rsidRPr="00040BEC">
        <w:rPr>
          <w:lang w:eastAsia="nl-NL"/>
        </w:rPr>
        <w:t>llocation table (ERC Report 25</w:t>
      </w:r>
      <w:r w:rsidR="00470D17" w:rsidRPr="00040BEC">
        <w:rPr>
          <w:lang w:eastAsia="nl-NL"/>
        </w:rPr>
        <w:t xml:space="preserve"> </w:t>
      </w:r>
      <w:r w:rsidR="00470D17" w:rsidRPr="00040BEC">
        <w:rPr>
          <w:lang w:eastAsia="nl-NL"/>
        </w:rPr>
        <w:fldChar w:fldCharType="begin"/>
      </w:r>
      <w:r w:rsidR="00470D17" w:rsidRPr="00040BEC">
        <w:rPr>
          <w:lang w:eastAsia="nl-NL"/>
        </w:rPr>
        <w:instrText xml:space="preserve"> REF _Ref401577328 \n \h </w:instrText>
      </w:r>
      <w:r w:rsidR="00470D17" w:rsidRPr="00040BEC">
        <w:rPr>
          <w:lang w:eastAsia="nl-NL"/>
        </w:rPr>
      </w:r>
      <w:r w:rsidR="00470D17" w:rsidRPr="00040BEC">
        <w:rPr>
          <w:lang w:eastAsia="nl-NL"/>
        </w:rPr>
        <w:fldChar w:fldCharType="separate"/>
      </w:r>
      <w:r w:rsidR="002327BB">
        <w:rPr>
          <w:lang w:eastAsia="nl-NL"/>
        </w:rPr>
        <w:t>[14]</w:t>
      </w:r>
      <w:r w:rsidR="00470D17" w:rsidRPr="00040BEC">
        <w:rPr>
          <w:lang w:eastAsia="nl-NL"/>
        </w:rPr>
        <w:fldChar w:fldCharType="end"/>
      </w:r>
      <w:r w:rsidR="008833D1" w:rsidRPr="00040BEC">
        <w:rPr>
          <w:lang w:eastAsia="nl-NL"/>
        </w:rPr>
        <w:t>)</w:t>
      </w:r>
      <w:r w:rsidRPr="00040BEC">
        <w:rPr>
          <w:lang w:eastAsia="nl-NL"/>
        </w:rPr>
        <w:t xml:space="preserve"> for PMSE use and in ERC</w:t>
      </w:r>
      <w:r w:rsidR="00137811" w:rsidRPr="00040BEC">
        <w:rPr>
          <w:lang w:eastAsia="nl-NL"/>
        </w:rPr>
        <w:t>/</w:t>
      </w:r>
      <w:r w:rsidRPr="00040BEC">
        <w:rPr>
          <w:lang w:eastAsia="nl-NL"/>
        </w:rPr>
        <w:t>R</w:t>
      </w:r>
      <w:r w:rsidR="00137811" w:rsidRPr="00040BEC">
        <w:rPr>
          <w:lang w:eastAsia="nl-NL"/>
        </w:rPr>
        <w:t>EC</w:t>
      </w:r>
      <w:r w:rsidRPr="00040BEC">
        <w:rPr>
          <w:lang w:eastAsia="nl-NL"/>
        </w:rPr>
        <w:t xml:space="preserve"> 25-10 </w:t>
      </w:r>
      <w:r w:rsidR="000A5980" w:rsidRPr="00040BEC">
        <w:rPr>
          <w:lang w:eastAsia="nl-NL"/>
        </w:rPr>
        <w:fldChar w:fldCharType="begin"/>
      </w:r>
      <w:r w:rsidR="00454BBF" w:rsidRPr="00040BEC">
        <w:rPr>
          <w:lang w:eastAsia="nl-NL"/>
        </w:rPr>
        <w:instrText xml:space="preserve"> REF _Ref356389398 \r \h </w:instrText>
      </w:r>
      <w:r w:rsidR="000A5980" w:rsidRPr="00040BEC">
        <w:rPr>
          <w:lang w:eastAsia="nl-NL"/>
        </w:rPr>
      </w:r>
      <w:r w:rsidR="000A5980" w:rsidRPr="00040BEC">
        <w:rPr>
          <w:lang w:eastAsia="nl-NL"/>
        </w:rPr>
        <w:fldChar w:fldCharType="separate"/>
      </w:r>
      <w:r w:rsidR="002327BB">
        <w:rPr>
          <w:lang w:eastAsia="nl-NL"/>
        </w:rPr>
        <w:t>[17]</w:t>
      </w:r>
      <w:r w:rsidR="000A5980" w:rsidRPr="00040BEC">
        <w:rPr>
          <w:lang w:eastAsia="nl-NL"/>
        </w:rPr>
        <w:fldChar w:fldCharType="end"/>
      </w:r>
      <w:r w:rsidR="00454BBF" w:rsidRPr="00040BEC">
        <w:rPr>
          <w:lang w:eastAsia="nl-NL"/>
        </w:rPr>
        <w:t xml:space="preserve"> </w:t>
      </w:r>
      <w:r w:rsidRPr="00040BEC">
        <w:rPr>
          <w:lang w:eastAsia="nl-NL"/>
        </w:rPr>
        <w:t>as a recommended tuning range.</w:t>
      </w:r>
      <w:proofErr w:type="gramEnd"/>
    </w:p>
    <w:p w14:paraId="28C89407" w14:textId="77777777" w:rsidR="00EA23D4" w:rsidRPr="00040BEC" w:rsidRDefault="00EA23D4" w:rsidP="005702C9">
      <w:pPr>
        <w:keepNext/>
        <w:rPr>
          <w:lang w:val="en-GB" w:eastAsia="nl-NL"/>
        </w:rPr>
      </w:pPr>
      <w:r w:rsidRPr="00040BEC">
        <w:rPr>
          <w:lang w:val="en-GB" w:eastAsia="nl-NL"/>
        </w:rPr>
        <w:t xml:space="preserve">The basis for consideration of video links and cordless cameras </w:t>
      </w:r>
      <w:proofErr w:type="gramStart"/>
      <w:r w:rsidRPr="00040BEC">
        <w:rPr>
          <w:lang w:val="en-GB" w:eastAsia="nl-NL"/>
        </w:rPr>
        <w:t>should be made</w:t>
      </w:r>
      <w:proofErr w:type="gramEnd"/>
      <w:r w:rsidRPr="00040BEC">
        <w:rPr>
          <w:lang w:val="en-GB" w:eastAsia="nl-NL"/>
        </w:rPr>
        <w:t xml:space="preserve"> with the following technical criteria:</w:t>
      </w:r>
    </w:p>
    <w:p w14:paraId="31E38F69" w14:textId="77777777" w:rsidR="00315B67" w:rsidRPr="00040BEC" w:rsidRDefault="005702C9" w:rsidP="005702C9">
      <w:pPr>
        <w:pStyle w:val="Caption"/>
        <w:rPr>
          <w:lang w:val="en-GB" w:eastAsia="nl-NL"/>
        </w:rPr>
      </w:pPr>
      <w:r w:rsidRPr="00040BEC">
        <w:rPr>
          <w:lang w:val="en-GB"/>
        </w:rPr>
        <w:t xml:space="preserve">Table </w:t>
      </w:r>
      <w:r w:rsidR="000A5980" w:rsidRPr="00040BEC">
        <w:rPr>
          <w:lang w:val="en-GB"/>
        </w:rPr>
        <w:fldChar w:fldCharType="begin"/>
      </w:r>
      <w:r w:rsidRPr="00040BEC">
        <w:rPr>
          <w:lang w:val="en-GB"/>
        </w:rPr>
        <w:instrText xml:space="preserve"> SEQ Table \* ARABIC </w:instrText>
      </w:r>
      <w:r w:rsidR="000A5980" w:rsidRPr="00040BEC">
        <w:rPr>
          <w:lang w:val="en-GB"/>
        </w:rPr>
        <w:fldChar w:fldCharType="separate"/>
      </w:r>
      <w:r w:rsidR="002327BB">
        <w:rPr>
          <w:noProof/>
          <w:lang w:val="en-GB"/>
        </w:rPr>
        <w:t>5</w:t>
      </w:r>
      <w:r w:rsidR="000A5980" w:rsidRPr="00040BEC">
        <w:rPr>
          <w:lang w:val="en-GB"/>
        </w:rPr>
        <w:fldChar w:fldCharType="end"/>
      </w:r>
      <w:r w:rsidRPr="00040BEC">
        <w:rPr>
          <w:lang w:val="en-GB"/>
        </w:rPr>
        <w:t xml:space="preserve">: </w:t>
      </w:r>
      <w:r w:rsidR="00C14173" w:rsidRPr="00040BEC">
        <w:rPr>
          <w:lang w:val="en-GB"/>
        </w:rPr>
        <w:t xml:space="preserve">Typical </w:t>
      </w:r>
      <w:proofErr w:type="spellStart"/>
      <w:r w:rsidR="00C14173" w:rsidRPr="00040BEC">
        <w:rPr>
          <w:lang w:val="en-GB"/>
        </w:rPr>
        <w:t>e.i.r.p</w:t>
      </w:r>
      <w:proofErr w:type="spellEnd"/>
      <w:r w:rsidR="00C14173" w:rsidRPr="00040BEC">
        <w:rPr>
          <w:lang w:val="en-GB"/>
        </w:rPr>
        <w:t>. for VLCC</w:t>
      </w:r>
    </w:p>
    <w:tbl>
      <w:tblPr>
        <w:tblW w:w="6095" w:type="dxa"/>
        <w:tblInd w:w="22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 w:type="dxa"/>
          <w:bottom w:w="11" w:type="dxa"/>
        </w:tblCellMar>
        <w:tblLook w:val="01E0" w:firstRow="1" w:lastRow="1" w:firstColumn="1" w:lastColumn="1" w:noHBand="0" w:noVBand="0"/>
      </w:tblPr>
      <w:tblGrid>
        <w:gridCol w:w="2976"/>
        <w:gridCol w:w="3119"/>
      </w:tblGrid>
      <w:tr w:rsidR="00315B67" w:rsidRPr="00040BEC" w14:paraId="10315686" w14:textId="77777777" w:rsidTr="00176CF0">
        <w:trPr>
          <w:tblHeader/>
        </w:trPr>
        <w:tc>
          <w:tcPr>
            <w:tcW w:w="2976" w:type="dxa"/>
            <w:tcBorders>
              <w:top w:val="single" w:sz="4" w:space="0" w:color="D2232A"/>
              <w:left w:val="single" w:sz="4" w:space="0" w:color="D2232A"/>
              <w:bottom w:val="single" w:sz="4" w:space="0" w:color="D2232A"/>
              <w:right w:val="single" w:sz="4" w:space="0" w:color="FFFFFF"/>
            </w:tcBorders>
            <w:shd w:val="clear" w:color="auto" w:fill="D2232A"/>
          </w:tcPr>
          <w:p w14:paraId="020171D6" w14:textId="77777777" w:rsidR="00315B67" w:rsidRPr="00040BEC" w:rsidRDefault="00315B67" w:rsidP="005702C9">
            <w:pPr>
              <w:keepNext/>
              <w:spacing w:before="120" w:after="120"/>
              <w:jc w:val="center"/>
              <w:rPr>
                <w:rFonts w:cs="Arial"/>
                <w:b/>
                <w:color w:val="FFFFFF"/>
                <w:lang w:val="en-GB" w:eastAsia="nl-NL"/>
              </w:rPr>
            </w:pPr>
            <w:r w:rsidRPr="00040BEC">
              <w:rPr>
                <w:rFonts w:cs="Arial"/>
                <w:b/>
                <w:color w:val="FFFFFF"/>
                <w:lang w:val="en-GB" w:eastAsia="nl-NL"/>
              </w:rPr>
              <w:t>Type of Link</w:t>
            </w:r>
          </w:p>
        </w:tc>
        <w:tc>
          <w:tcPr>
            <w:tcW w:w="3119" w:type="dxa"/>
            <w:tcBorders>
              <w:top w:val="single" w:sz="4" w:space="0" w:color="D2232A"/>
              <w:left w:val="single" w:sz="4" w:space="0" w:color="FFFFFF"/>
              <w:bottom w:val="single" w:sz="4" w:space="0" w:color="D2232A"/>
              <w:right w:val="single" w:sz="4" w:space="0" w:color="FFFFFF"/>
            </w:tcBorders>
            <w:shd w:val="clear" w:color="auto" w:fill="D2232A"/>
          </w:tcPr>
          <w:p w14:paraId="0C78C52F" w14:textId="77777777" w:rsidR="00315B67" w:rsidRPr="00040BEC" w:rsidRDefault="00315B67" w:rsidP="005702C9">
            <w:pPr>
              <w:keepNext/>
              <w:spacing w:before="120" w:after="120"/>
              <w:jc w:val="center"/>
              <w:rPr>
                <w:rFonts w:cs="Arial"/>
                <w:b/>
                <w:color w:val="FFFFFF"/>
                <w:lang w:val="en-GB" w:eastAsia="nl-NL"/>
              </w:rPr>
            </w:pPr>
            <w:r w:rsidRPr="00040BEC">
              <w:rPr>
                <w:rFonts w:cs="Arial"/>
                <w:b/>
                <w:color w:val="FFFFFF"/>
                <w:lang w:val="en-GB" w:eastAsia="nl-NL"/>
              </w:rPr>
              <w:t xml:space="preserve">Typical </w:t>
            </w:r>
            <w:proofErr w:type="spellStart"/>
            <w:r w:rsidRPr="00040BEC">
              <w:rPr>
                <w:rFonts w:cs="Arial"/>
                <w:b/>
                <w:color w:val="FFFFFF"/>
                <w:lang w:val="en-GB" w:eastAsia="nl-NL"/>
              </w:rPr>
              <w:t>e.i.r.p</w:t>
            </w:r>
            <w:proofErr w:type="spellEnd"/>
            <w:r w:rsidRPr="00040BEC">
              <w:rPr>
                <w:rFonts w:cs="Arial"/>
                <w:b/>
                <w:color w:val="FFFFFF"/>
                <w:lang w:val="en-GB" w:eastAsia="nl-NL"/>
              </w:rPr>
              <w:t>.</w:t>
            </w:r>
          </w:p>
        </w:tc>
      </w:tr>
      <w:tr w:rsidR="00315B67" w:rsidRPr="00040BEC" w14:paraId="3DE29F5B" w14:textId="77777777" w:rsidTr="00176CF0">
        <w:tc>
          <w:tcPr>
            <w:tcW w:w="2976" w:type="dxa"/>
            <w:tcBorders>
              <w:top w:val="single" w:sz="4" w:space="0" w:color="D2232A"/>
              <w:left w:val="single" w:sz="4" w:space="0" w:color="D2232A"/>
              <w:bottom w:val="single" w:sz="4" w:space="0" w:color="D2232A"/>
              <w:right w:val="single" w:sz="4" w:space="0" w:color="D2232A"/>
            </w:tcBorders>
          </w:tcPr>
          <w:p w14:paraId="4FD110DC" w14:textId="77777777" w:rsidR="00315B67" w:rsidRPr="00040BEC" w:rsidRDefault="00315B67" w:rsidP="005702C9">
            <w:pPr>
              <w:spacing w:before="40" w:after="40"/>
              <w:rPr>
                <w:lang w:val="en-GB" w:eastAsia="nl-NL"/>
              </w:rPr>
            </w:pPr>
            <w:r w:rsidRPr="00040BEC">
              <w:rPr>
                <w:b/>
                <w:lang w:val="en-GB" w:eastAsia="nl-NL"/>
              </w:rPr>
              <w:t>Cordless Camera</w:t>
            </w:r>
          </w:p>
        </w:tc>
        <w:tc>
          <w:tcPr>
            <w:tcW w:w="3119" w:type="dxa"/>
            <w:tcBorders>
              <w:top w:val="single" w:sz="4" w:space="0" w:color="D2232A"/>
              <w:left w:val="single" w:sz="4" w:space="0" w:color="D2232A"/>
              <w:bottom w:val="single" w:sz="4" w:space="0" w:color="D2232A"/>
              <w:right w:val="single" w:sz="4" w:space="0" w:color="D2232A"/>
            </w:tcBorders>
          </w:tcPr>
          <w:p w14:paraId="2280AFBD" w14:textId="77777777" w:rsidR="00315B67" w:rsidRPr="00040BEC" w:rsidRDefault="00315B67" w:rsidP="005702C9">
            <w:pPr>
              <w:spacing w:before="40" w:after="40"/>
              <w:rPr>
                <w:lang w:val="en-GB" w:eastAsia="nl-NL"/>
              </w:rPr>
            </w:pPr>
            <w:r w:rsidRPr="00040BEC">
              <w:rPr>
                <w:lang w:val="en-GB" w:eastAsia="nl-NL"/>
              </w:rPr>
              <w:t xml:space="preserve">-7 </w:t>
            </w:r>
            <w:proofErr w:type="spellStart"/>
            <w:r w:rsidRPr="00040BEC">
              <w:rPr>
                <w:lang w:val="en-GB" w:eastAsia="nl-NL"/>
              </w:rPr>
              <w:t>dBW</w:t>
            </w:r>
            <w:proofErr w:type="spellEnd"/>
          </w:p>
        </w:tc>
      </w:tr>
      <w:tr w:rsidR="00315B67" w:rsidRPr="00040BEC" w14:paraId="00D4921E" w14:textId="77777777" w:rsidTr="00176CF0">
        <w:tc>
          <w:tcPr>
            <w:tcW w:w="2976" w:type="dxa"/>
            <w:tcBorders>
              <w:top w:val="single" w:sz="4" w:space="0" w:color="D2232A"/>
              <w:left w:val="single" w:sz="4" w:space="0" w:color="D2232A"/>
              <w:bottom w:val="single" w:sz="4" w:space="0" w:color="D2232A"/>
              <w:right w:val="single" w:sz="4" w:space="0" w:color="D2232A"/>
            </w:tcBorders>
          </w:tcPr>
          <w:p w14:paraId="3A083AA7" w14:textId="77777777" w:rsidR="00315B67" w:rsidRPr="00040BEC" w:rsidRDefault="00315B67" w:rsidP="005702C9">
            <w:pPr>
              <w:spacing w:before="40" w:after="40"/>
              <w:rPr>
                <w:lang w:val="en-GB" w:eastAsia="nl-NL"/>
              </w:rPr>
            </w:pPr>
            <w:r w:rsidRPr="00040BEC">
              <w:rPr>
                <w:b/>
                <w:lang w:val="en-GB" w:eastAsia="nl-NL"/>
              </w:rPr>
              <w:t>Portable link</w:t>
            </w:r>
          </w:p>
        </w:tc>
        <w:tc>
          <w:tcPr>
            <w:tcW w:w="3119" w:type="dxa"/>
            <w:tcBorders>
              <w:top w:val="single" w:sz="4" w:space="0" w:color="D2232A"/>
              <w:left w:val="single" w:sz="4" w:space="0" w:color="D2232A"/>
              <w:bottom w:val="single" w:sz="4" w:space="0" w:color="D2232A"/>
              <w:right w:val="single" w:sz="4" w:space="0" w:color="D2232A"/>
            </w:tcBorders>
          </w:tcPr>
          <w:p w14:paraId="68BEF547" w14:textId="77777777" w:rsidR="00315B67" w:rsidRPr="00040BEC" w:rsidRDefault="00315B67" w:rsidP="005702C9">
            <w:pPr>
              <w:spacing w:before="40" w:after="40"/>
              <w:rPr>
                <w:lang w:val="en-GB" w:eastAsia="nl-NL"/>
              </w:rPr>
            </w:pPr>
            <w:r w:rsidRPr="00040BEC">
              <w:rPr>
                <w:lang w:val="en-GB" w:eastAsia="nl-NL"/>
              </w:rPr>
              <w:t xml:space="preserve">16 </w:t>
            </w:r>
            <w:proofErr w:type="spellStart"/>
            <w:r w:rsidRPr="00040BEC">
              <w:rPr>
                <w:lang w:val="en-GB" w:eastAsia="nl-NL"/>
              </w:rPr>
              <w:t>dBW</w:t>
            </w:r>
            <w:proofErr w:type="spellEnd"/>
          </w:p>
        </w:tc>
      </w:tr>
      <w:tr w:rsidR="00315B67" w:rsidRPr="00040BEC" w14:paraId="2E49C519" w14:textId="77777777" w:rsidTr="00176CF0">
        <w:tc>
          <w:tcPr>
            <w:tcW w:w="2976" w:type="dxa"/>
            <w:tcBorders>
              <w:top w:val="single" w:sz="4" w:space="0" w:color="D2232A"/>
              <w:left w:val="single" w:sz="4" w:space="0" w:color="D2232A"/>
              <w:bottom w:val="single" w:sz="4" w:space="0" w:color="D2232A"/>
              <w:right w:val="single" w:sz="4" w:space="0" w:color="D2232A"/>
            </w:tcBorders>
          </w:tcPr>
          <w:p w14:paraId="75F63CE5" w14:textId="77777777" w:rsidR="00315B67" w:rsidRPr="00040BEC" w:rsidRDefault="00315B67" w:rsidP="005702C9">
            <w:pPr>
              <w:spacing w:before="40" w:after="40"/>
              <w:rPr>
                <w:lang w:val="en-GB" w:eastAsia="nl-NL"/>
              </w:rPr>
            </w:pPr>
            <w:r w:rsidRPr="00040BEC">
              <w:rPr>
                <w:b/>
                <w:lang w:val="en-GB" w:eastAsia="nl-NL"/>
              </w:rPr>
              <w:t>Mobile link</w:t>
            </w:r>
          </w:p>
        </w:tc>
        <w:tc>
          <w:tcPr>
            <w:tcW w:w="3119" w:type="dxa"/>
            <w:tcBorders>
              <w:top w:val="single" w:sz="4" w:space="0" w:color="D2232A"/>
              <w:left w:val="single" w:sz="4" w:space="0" w:color="D2232A"/>
              <w:bottom w:val="single" w:sz="4" w:space="0" w:color="D2232A"/>
              <w:right w:val="single" w:sz="4" w:space="0" w:color="D2232A"/>
            </w:tcBorders>
          </w:tcPr>
          <w:p w14:paraId="028B1FA6" w14:textId="77777777" w:rsidR="00315B67" w:rsidRPr="00040BEC" w:rsidRDefault="00315B67" w:rsidP="005702C9">
            <w:pPr>
              <w:spacing w:before="40" w:after="40"/>
              <w:rPr>
                <w:lang w:val="en-GB" w:eastAsia="nl-NL"/>
              </w:rPr>
            </w:pPr>
            <w:r w:rsidRPr="00040BEC">
              <w:rPr>
                <w:lang w:val="en-GB" w:eastAsia="nl-NL"/>
              </w:rPr>
              <w:t xml:space="preserve">10 </w:t>
            </w:r>
            <w:proofErr w:type="spellStart"/>
            <w:r w:rsidRPr="00040BEC">
              <w:rPr>
                <w:lang w:val="en-GB" w:eastAsia="nl-NL"/>
              </w:rPr>
              <w:t>dBW</w:t>
            </w:r>
            <w:proofErr w:type="spellEnd"/>
          </w:p>
        </w:tc>
      </w:tr>
    </w:tbl>
    <w:p w14:paraId="5F1B26DA" w14:textId="77777777" w:rsidR="002C277E" w:rsidRPr="00040BEC" w:rsidRDefault="002C277E" w:rsidP="00766EB0">
      <w:pPr>
        <w:pStyle w:val="ECCParagraph"/>
      </w:pPr>
    </w:p>
    <w:p w14:paraId="2FAE50B6" w14:textId="77777777" w:rsidR="00A96DB7" w:rsidRPr="00040BEC" w:rsidRDefault="002C277E" w:rsidP="00766EB0">
      <w:pPr>
        <w:pStyle w:val="ECCParagraph"/>
      </w:pPr>
      <w:r w:rsidRPr="00040BEC">
        <w:t>According to conclusions of ECC Report 220</w:t>
      </w:r>
      <w:r w:rsidR="00B03A15" w:rsidRPr="00040BEC">
        <w:t xml:space="preserve"> [29]</w:t>
      </w:r>
      <w:r w:rsidRPr="00040BEC">
        <w:t xml:space="preserve">, typical </w:t>
      </w:r>
      <w:proofErr w:type="spellStart"/>
      <w:r w:rsidRPr="00040BEC">
        <w:t>e.i.r.p</w:t>
      </w:r>
      <w:proofErr w:type="spellEnd"/>
      <w:r w:rsidRPr="00040BEC">
        <w:t xml:space="preserve"> mentioned in the </w:t>
      </w:r>
      <w:r w:rsidR="009B1F09" w:rsidRPr="00040BEC">
        <w:t>T</w:t>
      </w:r>
      <w:r w:rsidRPr="00040BEC">
        <w:t xml:space="preserve">able 5 </w:t>
      </w:r>
      <w:proofErr w:type="gramStart"/>
      <w:r w:rsidR="00113A98" w:rsidRPr="00040BEC">
        <w:t xml:space="preserve">may </w:t>
      </w:r>
      <w:r w:rsidRPr="00040BEC">
        <w:t>be reduced</w:t>
      </w:r>
      <w:proofErr w:type="gramEnd"/>
      <w:r w:rsidRPr="00040BEC">
        <w:t xml:space="preserve"> for VLCC application operating in the band 1900-1920 M</w:t>
      </w:r>
      <w:r w:rsidR="00B03A15" w:rsidRPr="00040BEC">
        <w:t>H</w:t>
      </w:r>
      <w:r w:rsidRPr="00040BEC">
        <w:t>z in order to ensure compatibility with MFCN application above 1920 MHz</w:t>
      </w:r>
      <w:r w:rsidR="00113A98" w:rsidRPr="00040BEC">
        <w:t xml:space="preserve"> in some cases</w:t>
      </w:r>
      <w:r w:rsidRPr="00040BEC">
        <w:t>.</w:t>
      </w:r>
    </w:p>
    <w:p w14:paraId="4D5B35F3" w14:textId="77777777" w:rsidR="00AC326A" w:rsidRPr="00040BEC" w:rsidRDefault="00AC326A" w:rsidP="008E5B81">
      <w:pPr>
        <w:pStyle w:val="Heading2"/>
        <w:rPr>
          <w:lang w:val="en-GB"/>
        </w:rPr>
      </w:pPr>
      <w:bookmarkStart w:id="124" w:name="_Toc368435977"/>
      <w:bookmarkStart w:id="125" w:name="_Toc380672847"/>
      <w:bookmarkStart w:id="126" w:name="_Toc396904013"/>
      <w:bookmarkStart w:id="127" w:name="_Toc445129329"/>
      <w:r w:rsidRPr="00040BEC">
        <w:rPr>
          <w:lang w:val="en-GB"/>
        </w:rPr>
        <w:t>Applications under general authorisation (DECT/SRD)</w:t>
      </w:r>
      <w:bookmarkEnd w:id="124"/>
      <w:bookmarkEnd w:id="125"/>
      <w:bookmarkEnd w:id="126"/>
      <w:bookmarkEnd w:id="127"/>
    </w:p>
    <w:p w14:paraId="3F319154" w14:textId="77777777" w:rsidR="00C35843" w:rsidRPr="00040BEC" w:rsidRDefault="00C35843" w:rsidP="00C35843">
      <w:pPr>
        <w:pStyle w:val="ECCParagraph"/>
      </w:pPr>
      <w:r w:rsidRPr="00040BEC">
        <w:t xml:space="preserve">It is essential for the effective use of DECT in the band 1900-1920 MHz, that the use of this band </w:t>
      </w:r>
      <w:proofErr w:type="gramStart"/>
      <w:r w:rsidRPr="00040BEC">
        <w:t>is</w:t>
      </w:r>
      <w:proofErr w:type="gramEnd"/>
      <w:r w:rsidRPr="00040BEC">
        <w:t xml:space="preserve"> always accessed as an extension to the DECT core</w:t>
      </w:r>
      <w:r w:rsidR="00B03A15" w:rsidRPr="00040BEC">
        <w:t xml:space="preserve"> </w:t>
      </w:r>
      <w:r w:rsidRPr="00040BEC">
        <w:t xml:space="preserve">band in 1880-1900 </w:t>
      </w:r>
      <w:proofErr w:type="spellStart"/>
      <w:r w:rsidRPr="00040BEC">
        <w:t>MHz.</w:t>
      </w:r>
      <w:proofErr w:type="spellEnd"/>
      <w:r w:rsidRPr="00040BEC">
        <w:t xml:space="preserve"> </w:t>
      </w:r>
    </w:p>
    <w:p w14:paraId="6BA12C7D" w14:textId="77777777" w:rsidR="00C35843" w:rsidRPr="00040BEC" w:rsidRDefault="00C35843" w:rsidP="00C35843">
      <w:pPr>
        <w:pStyle w:val="ECCParagraph"/>
      </w:pPr>
      <w:r w:rsidRPr="00040BEC">
        <w:t xml:space="preserve">Additional functionality can and may need to be added to the DECT instant dynamic channel selection procedures, to improve coexistence with non-DECT compatible technologies using the band 1900-1920 </w:t>
      </w:r>
      <w:proofErr w:type="spellStart"/>
      <w:r w:rsidRPr="00040BEC">
        <w:t>MHz.</w:t>
      </w:r>
      <w:proofErr w:type="spellEnd"/>
      <w:r w:rsidRPr="00040BEC">
        <w:t xml:space="preserve"> SRD applications using other technologies than DECT can co-.exist in the band 1900-1920 MHz because of the intended modification of the DECT dynamic channel selection rules as follows: </w:t>
      </w:r>
    </w:p>
    <w:p w14:paraId="2134A39C" w14:textId="77777777" w:rsidR="00C35843" w:rsidRPr="00040BEC" w:rsidRDefault="00C35843" w:rsidP="00BE115C">
      <w:pPr>
        <w:pStyle w:val="ECCParagraph"/>
        <w:numPr>
          <w:ilvl w:val="0"/>
          <w:numId w:val="48"/>
        </w:numPr>
      </w:pPr>
      <w:r w:rsidRPr="00040BEC">
        <w:t>DECT only using the core</w:t>
      </w:r>
      <w:r w:rsidR="00B03A15" w:rsidRPr="00040BEC">
        <w:t xml:space="preserve"> </w:t>
      </w:r>
      <w:r w:rsidRPr="00040BEC">
        <w:t>band 1880-1900 MHz for RFP beacon transmissions;</w:t>
      </w:r>
    </w:p>
    <w:p w14:paraId="7B75563C" w14:textId="77777777" w:rsidR="00C35843" w:rsidRPr="00040BEC" w:rsidRDefault="00C35843" w:rsidP="00BE115C">
      <w:pPr>
        <w:pStyle w:val="ECCParagraph"/>
        <w:numPr>
          <w:ilvl w:val="0"/>
          <w:numId w:val="48"/>
        </w:numPr>
      </w:pPr>
      <w:r w:rsidRPr="00040BEC">
        <w:t xml:space="preserve">Use the Least Interfered Channel within the entire 1880-1920 MHz for initial traffic bearer set up. If the setup </w:t>
      </w:r>
      <w:proofErr w:type="gramStart"/>
      <w:r w:rsidRPr="00040BEC">
        <w:t>is made</w:t>
      </w:r>
      <w:proofErr w:type="gramEnd"/>
      <w:r w:rsidRPr="00040BEC">
        <w:t xml:space="preserve"> on a channel within the extended band 1900-1920 MHz, and if the radio link is interfered, then the Least Interfered Channel selection for the intra-cell handover shall be limited to the DECT core</w:t>
      </w:r>
      <w:r w:rsidR="00B03A15" w:rsidRPr="00040BEC">
        <w:t xml:space="preserve"> </w:t>
      </w:r>
      <w:r w:rsidRPr="00040BEC">
        <w:t xml:space="preserve">band 1880-1900 </w:t>
      </w:r>
      <w:proofErr w:type="spellStart"/>
      <w:r w:rsidRPr="00040BEC">
        <w:t>MHz.</w:t>
      </w:r>
      <w:proofErr w:type="spellEnd"/>
    </w:p>
    <w:p w14:paraId="5F7A2F56" w14:textId="77777777" w:rsidR="00C35843" w:rsidRPr="00040BEC" w:rsidRDefault="00C35843" w:rsidP="00C35843">
      <w:pPr>
        <w:pStyle w:val="ECCParagraph"/>
      </w:pPr>
      <w:r w:rsidRPr="00040BEC">
        <w:lastRenderedPageBreak/>
        <w:t xml:space="preserve">With this the quality mark of the DECT band can be preserved, because escape possibilities to the “interference free” 1880-1900 MHz are always available, when or if local and/or temporary severe interference would occur within the extension band 1900-1920 </w:t>
      </w:r>
      <w:proofErr w:type="spellStart"/>
      <w:r w:rsidRPr="00040BEC">
        <w:t>MHz.</w:t>
      </w:r>
      <w:proofErr w:type="spellEnd"/>
      <w:r w:rsidRPr="00040BEC">
        <w:t xml:space="preserve"> </w:t>
      </w:r>
    </w:p>
    <w:p w14:paraId="6D76D3AD" w14:textId="77777777" w:rsidR="00C35843" w:rsidRPr="00040BEC" w:rsidRDefault="00C35843" w:rsidP="00C35843">
      <w:pPr>
        <w:pStyle w:val="ECCParagraph"/>
      </w:pPr>
      <w:r w:rsidRPr="00040BEC">
        <w:t xml:space="preserve">This means that DECT will be able to utilise the capacity of all extended 20 MHz, and during the few occasions (locally and temporary) of severe interference, the equipment automatically limits itself to only use the interference free 10 carriers of the base band 1880-1900 </w:t>
      </w:r>
      <w:proofErr w:type="spellStart"/>
      <w:r w:rsidRPr="00040BEC">
        <w:t>MHz.</w:t>
      </w:r>
      <w:proofErr w:type="spellEnd"/>
    </w:p>
    <w:p w14:paraId="02A38119" w14:textId="77777777" w:rsidR="00C35843" w:rsidRPr="00040BEC" w:rsidRDefault="00C35843" w:rsidP="000C5520">
      <w:pPr>
        <w:pStyle w:val="ECCParagraph"/>
        <w:spacing w:after="120"/>
      </w:pPr>
      <w:r w:rsidRPr="00040BEC">
        <w:t>The following gives an overview on SRD typical parameters as used in recent studies in the ECC:</w:t>
      </w:r>
    </w:p>
    <w:p w14:paraId="559C4943" w14:textId="77777777" w:rsidR="00C35843" w:rsidRPr="00040BEC" w:rsidRDefault="00C35843" w:rsidP="000C5520">
      <w:pPr>
        <w:pStyle w:val="ECCParagraph"/>
        <w:numPr>
          <w:ilvl w:val="0"/>
          <w:numId w:val="49"/>
        </w:numPr>
        <w:spacing w:after="120"/>
        <w:jc w:val="left"/>
      </w:pPr>
      <w:r w:rsidRPr="00040BEC">
        <w:t>ECC Report 182</w:t>
      </w:r>
      <w:r w:rsidR="0077609E" w:rsidRPr="00040BEC">
        <w:t xml:space="preserve"> </w:t>
      </w:r>
      <w:r w:rsidR="000A5980" w:rsidRPr="00040BEC">
        <w:fldChar w:fldCharType="begin"/>
      </w:r>
      <w:r w:rsidR="0077609E" w:rsidRPr="00040BEC">
        <w:instrText xml:space="preserve"> REF _Ref388516053 \r \h </w:instrText>
      </w:r>
      <w:r w:rsidR="000A5980" w:rsidRPr="00040BEC">
        <w:fldChar w:fldCharType="separate"/>
      </w:r>
      <w:r w:rsidR="002327BB">
        <w:t>[45]</w:t>
      </w:r>
      <w:r w:rsidR="000A5980" w:rsidRPr="00040BEC">
        <w:fldChar w:fldCharType="end"/>
      </w:r>
      <w:r w:rsidRPr="00040BEC">
        <w:t xml:space="preserve"> (863-870 MHz survey);</w:t>
      </w:r>
    </w:p>
    <w:p w14:paraId="67B37D7C" w14:textId="285F92CB" w:rsidR="00C35843" w:rsidRPr="00040BEC" w:rsidRDefault="0077609E" w:rsidP="000C5520">
      <w:pPr>
        <w:pStyle w:val="ECCParagraph"/>
        <w:numPr>
          <w:ilvl w:val="0"/>
          <w:numId w:val="49"/>
        </w:numPr>
        <w:spacing w:after="120"/>
        <w:jc w:val="left"/>
      </w:pPr>
      <w:r w:rsidRPr="00040BEC">
        <w:t>ECC Report</w:t>
      </w:r>
      <w:r w:rsidR="00C35843" w:rsidRPr="00040BEC">
        <w:t xml:space="preserve"> 189</w:t>
      </w:r>
      <w:r w:rsidR="00344FA1" w:rsidRPr="00040BEC">
        <w:t xml:space="preserve"> </w:t>
      </w:r>
      <w:r w:rsidR="00344FA1" w:rsidRPr="00040BEC">
        <w:fldChar w:fldCharType="begin"/>
      </w:r>
      <w:r w:rsidR="00344FA1" w:rsidRPr="00040BEC">
        <w:instrText xml:space="preserve"> REF _Ref412024151 \n \h </w:instrText>
      </w:r>
      <w:r w:rsidR="00344FA1" w:rsidRPr="00040BEC">
        <w:fldChar w:fldCharType="separate"/>
      </w:r>
      <w:r w:rsidR="002327BB">
        <w:t>[30]</w:t>
      </w:r>
      <w:r w:rsidR="00344FA1" w:rsidRPr="00040BEC">
        <w:fldChar w:fldCharType="end"/>
      </w:r>
      <w:r w:rsidR="00344FA1" w:rsidRPr="00040BEC">
        <w:t xml:space="preserve"> </w:t>
      </w:r>
      <w:r w:rsidR="00C35843" w:rsidRPr="00040BEC">
        <w:t xml:space="preserve">and </w:t>
      </w:r>
      <w:r w:rsidRPr="00040BEC">
        <w:t xml:space="preserve">ECC Report </w:t>
      </w:r>
      <w:r w:rsidR="00C35843" w:rsidRPr="00040BEC">
        <w:t>200</w:t>
      </w:r>
      <w:r w:rsidRPr="00040BEC">
        <w:t xml:space="preserve"> </w:t>
      </w:r>
      <w:r w:rsidR="00470D17" w:rsidRPr="00040BEC">
        <w:fldChar w:fldCharType="begin"/>
      </w:r>
      <w:r w:rsidR="00470D17" w:rsidRPr="00040BEC">
        <w:instrText xml:space="preserve"> REF _Ref401577068 \n \h </w:instrText>
      </w:r>
      <w:r w:rsidR="00470D17" w:rsidRPr="00040BEC">
        <w:fldChar w:fldCharType="separate"/>
      </w:r>
      <w:r w:rsidR="002327BB">
        <w:t>[46]</w:t>
      </w:r>
      <w:r w:rsidR="00470D17" w:rsidRPr="00040BEC">
        <w:fldChar w:fldCharType="end"/>
      </w:r>
      <w:r w:rsidR="00470D17" w:rsidRPr="00040BEC">
        <w:t xml:space="preserve"> </w:t>
      </w:r>
      <w:r w:rsidR="00C35843" w:rsidRPr="00040BEC">
        <w:t>on new UHF frequency opportunities in the 870-876/915-921 MHz containing information on several SRD market sectors set out in five ETSI System Reference Documents;</w:t>
      </w:r>
    </w:p>
    <w:p w14:paraId="6BE1EF56" w14:textId="77777777" w:rsidR="00C35843" w:rsidRPr="00040BEC" w:rsidRDefault="00C35843" w:rsidP="00BE115C">
      <w:pPr>
        <w:pStyle w:val="ECCParagraph"/>
        <w:numPr>
          <w:ilvl w:val="0"/>
          <w:numId w:val="49"/>
        </w:numPr>
        <w:jc w:val="left"/>
      </w:pPr>
      <w:proofErr w:type="gramStart"/>
      <w:r w:rsidRPr="00040BEC">
        <w:t xml:space="preserve">ECC Report 181 </w:t>
      </w:r>
      <w:r w:rsidR="000A5980" w:rsidRPr="00040BEC">
        <w:fldChar w:fldCharType="begin"/>
      </w:r>
      <w:r w:rsidR="0077609E" w:rsidRPr="00040BEC">
        <w:instrText xml:space="preserve"> REF _Ref388516081 \r \h </w:instrText>
      </w:r>
      <w:r w:rsidR="000A5980" w:rsidRPr="00040BEC">
        <w:fldChar w:fldCharType="separate"/>
      </w:r>
      <w:r w:rsidR="002327BB">
        <w:t>[44]</w:t>
      </w:r>
      <w:r w:rsidR="000A5980" w:rsidRPr="00040BEC">
        <w:fldChar w:fldCharType="end"/>
      </w:r>
      <w:r w:rsidR="0077609E" w:rsidRPr="00040BEC">
        <w:t xml:space="preserve"> </w:t>
      </w:r>
      <w:r w:rsidRPr="00040BEC">
        <w:t>on improving spectrum efficiency in SRD bands.</w:t>
      </w:r>
      <w:proofErr w:type="gramEnd"/>
    </w:p>
    <w:p w14:paraId="55A7A8A8" w14:textId="77777777" w:rsidR="00C35843" w:rsidRPr="00040BEC" w:rsidRDefault="00C35843" w:rsidP="00C35843">
      <w:pPr>
        <w:pStyle w:val="ECCParagraph"/>
      </w:pPr>
      <w:r w:rsidRPr="00040BEC">
        <w:t xml:space="preserve">The studies provide the evidence that duty cycle restriction is the by far the dominant SRD mitigation technology in the market. It </w:t>
      </w:r>
      <w:proofErr w:type="gramStart"/>
      <w:r w:rsidRPr="00040BEC">
        <w:t>is also considered</w:t>
      </w:r>
      <w:proofErr w:type="gramEnd"/>
      <w:r w:rsidRPr="00040BEC">
        <w:t xml:space="preserve"> that the development of more sophisticated spectrum access technologies is not obvious due to the presence of the DECT DCS spectrum access technology and market participants would rather employ DECT spectrum access than developing more sophisticated spectrum access alternatives than the duty cycle restriction. </w:t>
      </w:r>
    </w:p>
    <w:p w14:paraId="1BFE1CF6" w14:textId="77777777" w:rsidR="00C35843" w:rsidRPr="00040BEC" w:rsidRDefault="00C35843" w:rsidP="00C35843">
      <w:pPr>
        <w:pStyle w:val="ECCParagraph"/>
      </w:pPr>
      <w:r w:rsidRPr="00040BEC">
        <w:t>Typical SRD bandwidths are 200 kHz-600 kHz (as found for almost all applications in ECC Report 200</w:t>
      </w:r>
      <w:r w:rsidR="0077609E" w:rsidRPr="00040BEC">
        <w:t xml:space="preserve"> </w:t>
      </w:r>
      <w:r w:rsidR="00470D17" w:rsidRPr="00040BEC">
        <w:fldChar w:fldCharType="begin"/>
      </w:r>
      <w:r w:rsidR="00470D17" w:rsidRPr="00040BEC">
        <w:instrText xml:space="preserve"> REF _Ref401577068 \n \h </w:instrText>
      </w:r>
      <w:r w:rsidR="00470D17" w:rsidRPr="00040BEC">
        <w:fldChar w:fldCharType="separate"/>
      </w:r>
      <w:r w:rsidR="002327BB">
        <w:t>[46</w:t>
      </w:r>
      <w:proofErr w:type="gramStart"/>
      <w:r w:rsidR="002327BB">
        <w:t>]</w:t>
      </w:r>
      <w:proofErr w:type="gramEnd"/>
      <w:r w:rsidR="00470D17" w:rsidRPr="00040BEC">
        <w:fldChar w:fldCharType="end"/>
      </w:r>
      <w:r w:rsidR="000A5980" w:rsidRPr="00040BEC">
        <w:fldChar w:fldCharType="begin"/>
      </w:r>
      <w:r w:rsidR="0077609E" w:rsidRPr="00040BEC">
        <w:instrText xml:space="preserve"> REF _Ref388516068 \r \h </w:instrText>
      </w:r>
      <w:r w:rsidR="000A5980" w:rsidRPr="00040BEC">
        <w:fldChar w:fldCharType="separate"/>
      </w:r>
      <w:r w:rsidR="002327BB">
        <w:t>[46]</w:t>
      </w:r>
      <w:r w:rsidR="000A5980" w:rsidRPr="00040BEC">
        <w:fldChar w:fldCharType="end"/>
      </w:r>
      <w:r w:rsidRPr="00040BEC">
        <w:t xml:space="preserve"> and also ECC Report 182</w:t>
      </w:r>
      <w:r w:rsidR="0077609E" w:rsidRPr="00040BEC">
        <w:t xml:space="preserve"> </w:t>
      </w:r>
      <w:r w:rsidR="000A5980" w:rsidRPr="00040BEC">
        <w:fldChar w:fldCharType="begin"/>
      </w:r>
      <w:r w:rsidR="0077609E" w:rsidRPr="00040BEC">
        <w:instrText xml:space="preserve"> REF _Ref388516053 \r \h </w:instrText>
      </w:r>
      <w:r w:rsidR="000A5980" w:rsidRPr="00040BEC">
        <w:fldChar w:fldCharType="separate"/>
      </w:r>
      <w:r w:rsidR="002327BB">
        <w:t>[45]</w:t>
      </w:r>
      <w:r w:rsidR="000A5980" w:rsidRPr="00040BEC">
        <w:fldChar w:fldCharType="end"/>
      </w:r>
      <w:r w:rsidRPr="00040BEC">
        <w:t xml:space="preserve">), </w:t>
      </w:r>
      <w:r w:rsidR="007349E8" w:rsidRPr="00040BEC">
        <w:t xml:space="preserve">although </w:t>
      </w:r>
      <w:r w:rsidRPr="00040BEC">
        <w:t xml:space="preserve">future studies with UHF SRD will also take into account 1 MHz bandwidth (ETSI is developing a System Reference Document for this purpose). This is well in line with the DECT channel bandwidth of 1 MHz and it </w:t>
      </w:r>
      <w:proofErr w:type="gramStart"/>
      <w:r w:rsidRPr="00040BEC">
        <w:t>can be proposed</w:t>
      </w:r>
      <w:proofErr w:type="gramEnd"/>
      <w:r w:rsidRPr="00040BEC">
        <w:t xml:space="preserve"> to limit the modulation bandwidth of unlicensed applications in the band 1900-1920 MHz to 1 MHz occupied bandwidth/ modulation bandwidth. </w:t>
      </w:r>
    </w:p>
    <w:p w14:paraId="7EA9BA5E" w14:textId="77777777" w:rsidR="00C35843" w:rsidRPr="00040BEC" w:rsidRDefault="00C35843" w:rsidP="00C35843">
      <w:pPr>
        <w:pStyle w:val="ECCParagraph"/>
      </w:pPr>
      <w:r w:rsidRPr="00040BEC">
        <w:t xml:space="preserve">The assumption is that one could think about SRD applications and indoor use. For home automation, metering, alarms, </w:t>
      </w:r>
      <w:proofErr w:type="spellStart"/>
      <w:r w:rsidRPr="00040BEC">
        <w:t>IoT</w:t>
      </w:r>
      <w:proofErr w:type="spellEnd"/>
      <w:r w:rsidRPr="00040BEC">
        <w:t>/M2M: these are all dominantly installed applications and indoor use/restriction may be enforceable.</w:t>
      </w:r>
    </w:p>
    <w:p w14:paraId="505FA068" w14:textId="77777777" w:rsidR="00C35843" w:rsidRPr="00040BEC" w:rsidRDefault="00C35843" w:rsidP="00C35843">
      <w:pPr>
        <w:pStyle w:val="ECCParagraph"/>
      </w:pPr>
      <w:proofErr w:type="gramStart"/>
      <w:r w:rsidRPr="00040BEC">
        <w:t xml:space="preserve">It is proposed to limit the single SRD device duty cycle limit to 1% but for typical use taken into account for the aggregated impact on </w:t>
      </w:r>
      <w:r w:rsidR="00C36960" w:rsidRPr="00040BEC">
        <w:rPr>
          <w:lang w:eastAsia="nl-NL"/>
        </w:rPr>
        <w:t xml:space="preserve">Broadband </w:t>
      </w:r>
      <w:r w:rsidRPr="00040BEC">
        <w:t xml:space="preserve">DA2GC as well as DECT devices, it is important to understand that for most applications the maximum equivalent needed transmit duty cycle is considerably lower (see for example Table 5 in CEPT Report </w:t>
      </w:r>
      <w:r w:rsidR="00E2014B" w:rsidRPr="00040BEC">
        <w:t>0</w:t>
      </w:r>
      <w:r w:rsidRPr="00040BEC">
        <w:t>43</w:t>
      </w:r>
      <w:r w:rsidR="00E2014B" w:rsidRPr="00040BEC">
        <w:t xml:space="preserve"> </w:t>
      </w:r>
      <w:r w:rsidR="000A5980" w:rsidRPr="00040BEC">
        <w:fldChar w:fldCharType="begin"/>
      </w:r>
      <w:r w:rsidR="00E2014B" w:rsidRPr="00040BEC">
        <w:instrText xml:space="preserve"> REF _Ref387910749 \r \h </w:instrText>
      </w:r>
      <w:r w:rsidR="000A5980" w:rsidRPr="00040BEC">
        <w:fldChar w:fldCharType="separate"/>
      </w:r>
      <w:r w:rsidR="002327BB">
        <w:t>[40]</w:t>
      </w:r>
      <w:r w:rsidR="000A5980" w:rsidRPr="00040BEC">
        <w:fldChar w:fldCharType="end"/>
      </w:r>
      <w:r w:rsidRPr="00040BEC">
        <w:t xml:space="preserve"> based on duty cycle considerations in STF411 in ETSI).</w:t>
      </w:r>
      <w:proofErr w:type="gramEnd"/>
      <w:r w:rsidRPr="00040BEC">
        <w:t xml:space="preserve"> With this restriction, technology-neutral balance between DECT and other SRD technologies </w:t>
      </w:r>
      <w:proofErr w:type="gramStart"/>
      <w:r w:rsidRPr="00040BEC">
        <w:t>can be achieved</w:t>
      </w:r>
      <w:proofErr w:type="gramEnd"/>
      <w:r w:rsidR="002D3EBE" w:rsidRPr="00040BEC">
        <w:t>.</w:t>
      </w:r>
    </w:p>
    <w:p w14:paraId="7F99A426" w14:textId="77777777" w:rsidR="00C35843" w:rsidRPr="00040BEC" w:rsidRDefault="00C35843" w:rsidP="00C35843">
      <w:pPr>
        <w:pStyle w:val="ECCParagraph"/>
      </w:pPr>
      <w:r w:rsidRPr="00040BEC">
        <w:t xml:space="preserve">It </w:t>
      </w:r>
      <w:proofErr w:type="gramStart"/>
      <w:r w:rsidRPr="00040BEC">
        <w:t>is further proposed</w:t>
      </w:r>
      <w:proofErr w:type="gramEnd"/>
      <w:r w:rsidRPr="00040BEC">
        <w:t xml:space="preserve"> to also limit DECT applications in their duty cycle. Due to the application of the modified DCS mechanism, this duty cycle restriction could potentially be a higher duty cycle. DECT applications needing higher transmit duty cycles or outdoor usage can still use the DECT </w:t>
      </w:r>
      <w:proofErr w:type="spellStart"/>
      <w:r w:rsidRPr="00040BEC">
        <w:t>coreband</w:t>
      </w:r>
      <w:proofErr w:type="spellEnd"/>
      <w:r w:rsidRPr="00040BEC">
        <w:t xml:space="preserve">. It </w:t>
      </w:r>
      <w:proofErr w:type="gramStart"/>
      <w:r w:rsidRPr="00040BEC">
        <w:t>is understood</w:t>
      </w:r>
      <w:proofErr w:type="gramEnd"/>
      <w:r w:rsidRPr="00040BEC">
        <w:t xml:space="preserve"> that DECT equipment able to operate in the extension band always implements also the DECT </w:t>
      </w:r>
      <w:proofErr w:type="spellStart"/>
      <w:r w:rsidRPr="00040BEC">
        <w:t>coreband</w:t>
      </w:r>
      <w:proofErr w:type="spellEnd"/>
      <w:r w:rsidRPr="00040BEC">
        <w:t>.</w:t>
      </w:r>
    </w:p>
    <w:p w14:paraId="443B3500" w14:textId="6BEF6054" w:rsidR="00466753" w:rsidRPr="00040BEC" w:rsidRDefault="00C35843" w:rsidP="00E000DC">
      <w:pPr>
        <w:pStyle w:val="ECCParagraph"/>
        <w:keepNext/>
      </w:pPr>
      <w:r w:rsidRPr="00040BEC">
        <w:t>The</w:t>
      </w:r>
      <w:r w:rsidR="00E73C0D" w:rsidRPr="00040BEC">
        <w:t xml:space="preserve"> </w:t>
      </w:r>
      <w:r w:rsidR="008928EE" w:rsidRPr="00040BEC">
        <w:t xml:space="preserve">considered </w:t>
      </w:r>
      <w:r w:rsidRPr="00040BEC">
        <w:t xml:space="preserve">main technical parameters </w:t>
      </w:r>
      <w:r w:rsidR="008928EE" w:rsidRPr="00040BEC">
        <w:t xml:space="preserve">proposed </w:t>
      </w:r>
      <w:r w:rsidRPr="00040BEC">
        <w:t xml:space="preserve">for SRD applications (including DECT) under general authorisation </w:t>
      </w:r>
      <w:proofErr w:type="gramStart"/>
      <w:r w:rsidRPr="00040BEC">
        <w:t>regime which were investigated in the compatibility studies</w:t>
      </w:r>
      <w:proofErr w:type="gramEnd"/>
      <w:r w:rsidRPr="00040BEC">
        <w:t xml:space="preserve"> can be set out as follows:</w:t>
      </w:r>
    </w:p>
    <w:p w14:paraId="58FEEEB7" w14:textId="594F6602" w:rsidR="00BD6DFB" w:rsidRPr="00040BEC" w:rsidRDefault="00BD6DFB" w:rsidP="00BD6DFB">
      <w:pPr>
        <w:pStyle w:val="Caption"/>
        <w:keepNext/>
        <w:rPr>
          <w:lang w:val="en-GB"/>
        </w:rPr>
      </w:pPr>
      <w:r w:rsidRPr="00040BEC">
        <w:rPr>
          <w:lang w:val="en-GB"/>
        </w:rPr>
        <w:t xml:space="preserve">Table </w:t>
      </w:r>
      <w:r w:rsidRPr="00040BEC">
        <w:rPr>
          <w:lang w:val="en-GB"/>
        </w:rPr>
        <w:fldChar w:fldCharType="begin"/>
      </w:r>
      <w:r w:rsidRPr="00040BEC">
        <w:rPr>
          <w:lang w:val="en-GB"/>
        </w:rPr>
        <w:instrText xml:space="preserve"> SEQ Table \* ARABIC </w:instrText>
      </w:r>
      <w:r w:rsidRPr="00040BEC">
        <w:rPr>
          <w:lang w:val="en-GB"/>
        </w:rPr>
        <w:fldChar w:fldCharType="separate"/>
      </w:r>
      <w:r w:rsidR="002327BB">
        <w:rPr>
          <w:noProof/>
          <w:lang w:val="en-GB"/>
        </w:rPr>
        <w:t>6</w:t>
      </w:r>
      <w:r w:rsidRPr="00040BEC">
        <w:rPr>
          <w:lang w:val="en-GB"/>
        </w:rPr>
        <w:fldChar w:fldCharType="end"/>
      </w:r>
      <w:r w:rsidRPr="00040BEC">
        <w:rPr>
          <w:lang w:val="en-GB"/>
        </w:rPr>
        <w:t>: Parameters considered for SRD (including DECT)</w:t>
      </w:r>
    </w:p>
    <w:tbl>
      <w:tblPr>
        <w:tblW w:w="508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 w:type="dxa"/>
          <w:bottom w:w="11" w:type="dxa"/>
        </w:tblCellMar>
        <w:tblLook w:val="01E0" w:firstRow="1" w:lastRow="1" w:firstColumn="1" w:lastColumn="1" w:noHBand="0" w:noVBand="0"/>
      </w:tblPr>
      <w:tblGrid>
        <w:gridCol w:w="1845"/>
        <w:gridCol w:w="1699"/>
        <w:gridCol w:w="1595"/>
        <w:gridCol w:w="1284"/>
        <w:gridCol w:w="1400"/>
        <w:gridCol w:w="2207"/>
      </w:tblGrid>
      <w:tr w:rsidR="00A629C2" w:rsidRPr="00040BEC" w14:paraId="20E22D9C" w14:textId="77777777" w:rsidTr="000C5520">
        <w:trPr>
          <w:tblHeader/>
        </w:trPr>
        <w:tc>
          <w:tcPr>
            <w:tcW w:w="919" w:type="pct"/>
            <w:tcBorders>
              <w:top w:val="single" w:sz="4" w:space="0" w:color="D2232A"/>
              <w:left w:val="single" w:sz="4" w:space="0" w:color="D2232A"/>
              <w:bottom w:val="single" w:sz="4" w:space="0" w:color="D2232A"/>
              <w:right w:val="single" w:sz="8" w:space="0" w:color="FFFFFF" w:themeColor="background1"/>
            </w:tcBorders>
            <w:shd w:val="clear" w:color="auto" w:fill="D2232A"/>
            <w:vAlign w:val="center"/>
          </w:tcPr>
          <w:p w14:paraId="1F40E0D3" w14:textId="75FC5925" w:rsidR="00A629C2" w:rsidRPr="00040BEC" w:rsidRDefault="00A629C2" w:rsidP="00A629C2">
            <w:pPr>
              <w:spacing w:line="288" w:lineRule="auto"/>
              <w:jc w:val="center"/>
              <w:rPr>
                <w:b/>
                <w:color w:val="FFFFFF"/>
                <w:lang w:val="en-GB"/>
              </w:rPr>
            </w:pPr>
            <w:r w:rsidRPr="00040BEC">
              <w:rPr>
                <w:b/>
                <w:color w:val="FFFFFF"/>
                <w:lang w:val="en-GB"/>
              </w:rPr>
              <w:t>Application</w:t>
            </w:r>
          </w:p>
        </w:tc>
        <w:tc>
          <w:tcPr>
            <w:tcW w:w="847" w:type="pct"/>
            <w:tcBorders>
              <w:top w:val="single" w:sz="4" w:space="0" w:color="D2232A"/>
              <w:left w:val="single" w:sz="4" w:space="0" w:color="D2232A"/>
              <w:bottom w:val="single" w:sz="4" w:space="0" w:color="D2232A"/>
              <w:right w:val="single" w:sz="8" w:space="0" w:color="FFFFFF" w:themeColor="background1"/>
            </w:tcBorders>
            <w:shd w:val="clear" w:color="auto" w:fill="D2232A"/>
            <w:vAlign w:val="center"/>
          </w:tcPr>
          <w:p w14:paraId="4718BD5E" w14:textId="7058F1CB" w:rsidR="00A629C2" w:rsidRPr="00040BEC" w:rsidRDefault="00A629C2" w:rsidP="000C5520">
            <w:pPr>
              <w:jc w:val="center"/>
              <w:rPr>
                <w:b/>
                <w:color w:val="FFFFFF"/>
                <w:lang w:val="en-GB"/>
              </w:rPr>
            </w:pPr>
            <w:r w:rsidRPr="00040BEC">
              <w:rPr>
                <w:b/>
                <w:color w:val="FFFFFF"/>
                <w:lang w:val="en-GB"/>
              </w:rPr>
              <w:t>Frequency Band</w:t>
            </w:r>
          </w:p>
        </w:tc>
        <w:tc>
          <w:tcPr>
            <w:tcW w:w="795" w:type="pct"/>
            <w:tcBorders>
              <w:top w:val="single" w:sz="4" w:space="0" w:color="D2232A"/>
              <w:left w:val="single" w:sz="8" w:space="0" w:color="FFFFFF" w:themeColor="background1"/>
              <w:bottom w:val="single" w:sz="4" w:space="0" w:color="D2232A"/>
              <w:right w:val="single" w:sz="8" w:space="0" w:color="FFFFFF" w:themeColor="background1"/>
            </w:tcBorders>
            <w:shd w:val="clear" w:color="auto" w:fill="D2232A"/>
            <w:vAlign w:val="center"/>
          </w:tcPr>
          <w:p w14:paraId="1B25A5A7" w14:textId="77777777" w:rsidR="00A629C2" w:rsidRPr="00040BEC" w:rsidRDefault="00A629C2" w:rsidP="00C57EA3">
            <w:pPr>
              <w:spacing w:line="288" w:lineRule="auto"/>
              <w:jc w:val="center"/>
              <w:rPr>
                <w:b/>
                <w:color w:val="FFFFFF"/>
                <w:lang w:val="en-GB"/>
              </w:rPr>
            </w:pPr>
            <w:r w:rsidRPr="00040BEC">
              <w:rPr>
                <w:b/>
                <w:color w:val="FFFFFF"/>
                <w:lang w:val="en-GB"/>
              </w:rPr>
              <w:t xml:space="preserve">Power </w:t>
            </w:r>
          </w:p>
        </w:tc>
        <w:tc>
          <w:tcPr>
            <w:tcW w:w="640" w:type="pct"/>
            <w:tcBorders>
              <w:top w:val="single" w:sz="4" w:space="0" w:color="D2232A"/>
              <w:left w:val="single" w:sz="8" w:space="0" w:color="FFFFFF" w:themeColor="background1"/>
              <w:bottom w:val="single" w:sz="4" w:space="0" w:color="D2232A"/>
              <w:right w:val="single" w:sz="8" w:space="0" w:color="FFFFFF" w:themeColor="background1"/>
            </w:tcBorders>
            <w:shd w:val="clear" w:color="auto" w:fill="D2232A"/>
            <w:vAlign w:val="center"/>
          </w:tcPr>
          <w:p w14:paraId="0E50BDBB" w14:textId="77777777" w:rsidR="00A629C2" w:rsidRPr="00040BEC" w:rsidRDefault="00A629C2" w:rsidP="000C5520">
            <w:pPr>
              <w:jc w:val="center"/>
              <w:rPr>
                <w:b/>
                <w:color w:val="FFFFFF"/>
                <w:lang w:val="en-GB"/>
              </w:rPr>
            </w:pPr>
            <w:r w:rsidRPr="00040BEC">
              <w:rPr>
                <w:b/>
                <w:color w:val="FFFFFF"/>
                <w:lang w:val="en-GB"/>
              </w:rPr>
              <w:t>Spectrum access and mitigation requirements</w:t>
            </w:r>
          </w:p>
        </w:tc>
        <w:tc>
          <w:tcPr>
            <w:tcW w:w="698" w:type="pct"/>
            <w:tcBorders>
              <w:top w:val="single" w:sz="4" w:space="0" w:color="D2232A"/>
              <w:left w:val="single" w:sz="8" w:space="0" w:color="FFFFFF" w:themeColor="background1"/>
              <w:bottom w:val="single" w:sz="4" w:space="0" w:color="D2232A"/>
              <w:right w:val="single" w:sz="8" w:space="0" w:color="FFFFFF" w:themeColor="background1"/>
            </w:tcBorders>
            <w:shd w:val="clear" w:color="auto" w:fill="D2232A"/>
            <w:vAlign w:val="center"/>
          </w:tcPr>
          <w:p w14:paraId="4A8B5C0A" w14:textId="77777777" w:rsidR="00A629C2" w:rsidRPr="00040BEC" w:rsidRDefault="00A629C2" w:rsidP="000C5520">
            <w:pPr>
              <w:jc w:val="center"/>
              <w:rPr>
                <w:b/>
                <w:color w:val="FFFFFF"/>
                <w:lang w:val="en-GB"/>
              </w:rPr>
            </w:pPr>
            <w:r w:rsidRPr="00040BEC">
              <w:rPr>
                <w:b/>
                <w:color w:val="FFFFFF"/>
                <w:lang w:val="en-GB"/>
              </w:rPr>
              <w:t>Modulation/ maximum occupied bandwidth</w:t>
            </w:r>
          </w:p>
        </w:tc>
        <w:tc>
          <w:tcPr>
            <w:tcW w:w="1100" w:type="pct"/>
            <w:tcBorders>
              <w:top w:val="single" w:sz="4" w:space="0" w:color="D2232A"/>
              <w:left w:val="single" w:sz="8" w:space="0" w:color="FFFFFF" w:themeColor="background1"/>
              <w:bottom w:val="single" w:sz="4" w:space="0" w:color="D2232A"/>
              <w:right w:val="single" w:sz="4" w:space="0" w:color="D2232A"/>
            </w:tcBorders>
            <w:shd w:val="clear" w:color="auto" w:fill="D2232A"/>
            <w:vAlign w:val="center"/>
          </w:tcPr>
          <w:p w14:paraId="5F56D2CF" w14:textId="77777777" w:rsidR="00A629C2" w:rsidRPr="00040BEC" w:rsidRDefault="00A629C2" w:rsidP="00C57EA3">
            <w:pPr>
              <w:spacing w:line="288" w:lineRule="auto"/>
              <w:jc w:val="center"/>
              <w:rPr>
                <w:b/>
                <w:color w:val="FFFFFF"/>
                <w:lang w:val="en-GB"/>
              </w:rPr>
            </w:pPr>
            <w:r w:rsidRPr="00040BEC">
              <w:rPr>
                <w:b/>
                <w:color w:val="FFFFFF"/>
                <w:lang w:val="en-GB"/>
              </w:rPr>
              <w:t>Notes</w:t>
            </w:r>
          </w:p>
        </w:tc>
      </w:tr>
      <w:tr w:rsidR="00214953" w:rsidRPr="00040BEC" w14:paraId="58E3D589" w14:textId="77777777" w:rsidTr="000C5520">
        <w:tc>
          <w:tcPr>
            <w:tcW w:w="919" w:type="pct"/>
            <w:tcBorders>
              <w:top w:val="single" w:sz="4" w:space="0" w:color="D2232A"/>
              <w:left w:val="single" w:sz="4" w:space="0" w:color="D2232A"/>
              <w:bottom w:val="single" w:sz="4" w:space="0" w:color="D2232A"/>
              <w:right w:val="single" w:sz="4" w:space="0" w:color="D2232A"/>
            </w:tcBorders>
          </w:tcPr>
          <w:p w14:paraId="1F6219BF" w14:textId="56093F5B" w:rsidR="00214953" w:rsidRPr="00040BEC" w:rsidDel="00761B10" w:rsidRDefault="00214953" w:rsidP="000C5520">
            <w:pPr>
              <w:spacing w:before="40"/>
              <w:rPr>
                <w:i/>
                <w:lang w:val="en-GB"/>
              </w:rPr>
            </w:pPr>
            <w:r w:rsidRPr="00040BEC">
              <w:rPr>
                <w:i/>
                <w:lang w:val="en-GB"/>
              </w:rPr>
              <w:t>SRD (</w:t>
            </w:r>
            <w:r w:rsidRPr="00040BEC">
              <w:rPr>
                <w:i/>
                <w:iCs/>
                <w:color w:val="1F497D"/>
                <w:lang w:val="en-GB"/>
              </w:rPr>
              <w:t>including DECT and other applications using DCS or an equivalent mitigation technique)</w:t>
            </w:r>
          </w:p>
        </w:tc>
        <w:tc>
          <w:tcPr>
            <w:tcW w:w="847" w:type="pct"/>
            <w:tcBorders>
              <w:top w:val="single" w:sz="4" w:space="0" w:color="D2232A"/>
              <w:left w:val="single" w:sz="4" w:space="0" w:color="D2232A"/>
              <w:bottom w:val="single" w:sz="4" w:space="0" w:color="D2232A"/>
              <w:right w:val="single" w:sz="4" w:space="0" w:color="D2232A"/>
            </w:tcBorders>
            <w:vAlign w:val="center"/>
          </w:tcPr>
          <w:p w14:paraId="36F0630F" w14:textId="3DC72367" w:rsidR="00214953" w:rsidRPr="00040BEC" w:rsidRDefault="00214953" w:rsidP="00C57EA3">
            <w:pPr>
              <w:spacing w:before="40"/>
              <w:rPr>
                <w:rFonts w:cs="Arial"/>
                <w:lang w:val="en-GB"/>
              </w:rPr>
            </w:pPr>
            <w:r w:rsidRPr="00040BEC">
              <w:rPr>
                <w:rFonts w:cs="Arial"/>
                <w:lang w:val="en-GB"/>
              </w:rPr>
              <w:t>1900-1920 MHz</w:t>
            </w:r>
          </w:p>
        </w:tc>
        <w:tc>
          <w:tcPr>
            <w:tcW w:w="795" w:type="pct"/>
            <w:tcBorders>
              <w:top w:val="single" w:sz="4" w:space="0" w:color="D2232A"/>
              <w:left w:val="single" w:sz="4" w:space="0" w:color="D2232A"/>
              <w:bottom w:val="single" w:sz="4" w:space="0" w:color="D2232A"/>
              <w:right w:val="single" w:sz="4" w:space="0" w:color="D2232A"/>
            </w:tcBorders>
          </w:tcPr>
          <w:p w14:paraId="3F14F52A" w14:textId="77777777" w:rsidR="00214953" w:rsidRPr="00040BEC" w:rsidRDefault="00214953" w:rsidP="00C57EA3">
            <w:pPr>
              <w:spacing w:before="40"/>
              <w:rPr>
                <w:rFonts w:cs="Arial"/>
                <w:lang w:val="en-GB"/>
              </w:rPr>
            </w:pPr>
            <w:r w:rsidRPr="00040BEC">
              <w:rPr>
                <w:rFonts w:cs="Arial"/>
                <w:lang w:val="en-GB"/>
              </w:rPr>
              <w:t xml:space="preserve">≤ 250 </w:t>
            </w:r>
            <w:proofErr w:type="spellStart"/>
            <w:r w:rsidRPr="00040BEC">
              <w:rPr>
                <w:rFonts w:cs="Arial"/>
                <w:lang w:val="en-GB"/>
              </w:rPr>
              <w:t>mW</w:t>
            </w:r>
            <w:proofErr w:type="spellEnd"/>
            <w:r w:rsidRPr="00040BEC">
              <w:rPr>
                <w:rFonts w:cs="Arial"/>
                <w:lang w:val="en-GB"/>
              </w:rPr>
              <w:t xml:space="preserve"> total radiated power</w:t>
            </w:r>
            <w:r w:rsidRPr="00040BEC">
              <w:rPr>
                <w:lang w:val="en-GB"/>
              </w:rPr>
              <w:t xml:space="preserve"> </w:t>
            </w:r>
            <w:r w:rsidRPr="00040BEC">
              <w:rPr>
                <w:lang w:val="en-GB"/>
              </w:rPr>
              <w:br/>
              <w:t>(</w:t>
            </w:r>
            <w:r w:rsidRPr="00040BEC">
              <w:rPr>
                <w:rFonts w:cs="Arial"/>
                <w:lang w:val="en-GB"/>
              </w:rPr>
              <w:t xml:space="preserve"> ≤ 1 W </w:t>
            </w:r>
            <w:proofErr w:type="spellStart"/>
            <w:r w:rsidRPr="00040BEC">
              <w:rPr>
                <w:rFonts w:cs="Arial"/>
                <w:lang w:val="en-GB"/>
              </w:rPr>
              <w:t>e.i.r.p</w:t>
            </w:r>
            <w:proofErr w:type="spellEnd"/>
            <w:r w:rsidRPr="00040BEC">
              <w:rPr>
                <w:rFonts w:cs="Arial"/>
                <w:lang w:val="en-GB"/>
              </w:rPr>
              <w:t>. for directional antennas)</w:t>
            </w:r>
          </w:p>
        </w:tc>
        <w:tc>
          <w:tcPr>
            <w:tcW w:w="640" w:type="pct"/>
            <w:tcBorders>
              <w:top w:val="single" w:sz="4" w:space="0" w:color="D2232A"/>
              <w:left w:val="single" w:sz="4" w:space="0" w:color="D2232A"/>
              <w:bottom w:val="single" w:sz="4" w:space="0" w:color="D2232A"/>
              <w:right w:val="single" w:sz="4" w:space="0" w:color="D2232A"/>
            </w:tcBorders>
          </w:tcPr>
          <w:p w14:paraId="220E275F" w14:textId="77777777" w:rsidR="00214953" w:rsidRPr="00040BEC" w:rsidRDefault="00214953" w:rsidP="00C57EA3">
            <w:pPr>
              <w:spacing w:before="40"/>
              <w:rPr>
                <w:rFonts w:cs="Arial"/>
                <w:lang w:val="en-GB"/>
              </w:rPr>
            </w:pPr>
            <w:r w:rsidRPr="00040BEC">
              <w:rPr>
                <w:rFonts w:cs="Arial"/>
                <w:lang w:val="en-GB"/>
              </w:rPr>
              <w:t>≤ 20% duty cycle and DCS</w:t>
            </w:r>
          </w:p>
        </w:tc>
        <w:tc>
          <w:tcPr>
            <w:tcW w:w="698" w:type="pct"/>
            <w:tcBorders>
              <w:top w:val="single" w:sz="4" w:space="0" w:color="D2232A"/>
              <w:left w:val="single" w:sz="4" w:space="0" w:color="D2232A"/>
              <w:bottom w:val="single" w:sz="4" w:space="0" w:color="D2232A"/>
              <w:right w:val="single" w:sz="4" w:space="0" w:color="D2232A"/>
            </w:tcBorders>
          </w:tcPr>
          <w:p w14:paraId="14093C8F" w14:textId="77777777" w:rsidR="00214953" w:rsidRPr="00040BEC" w:rsidRDefault="00214953" w:rsidP="00C57EA3">
            <w:pPr>
              <w:spacing w:before="40"/>
              <w:rPr>
                <w:rFonts w:cs="Arial"/>
                <w:lang w:val="en-GB"/>
              </w:rPr>
            </w:pPr>
            <w:r w:rsidRPr="00040BEC">
              <w:rPr>
                <w:rFonts w:cs="Arial"/>
                <w:lang w:val="en-GB"/>
              </w:rPr>
              <w:t>1 MHz</w:t>
            </w:r>
          </w:p>
        </w:tc>
        <w:tc>
          <w:tcPr>
            <w:tcW w:w="1100" w:type="pct"/>
            <w:tcBorders>
              <w:top w:val="single" w:sz="4" w:space="0" w:color="D2232A"/>
              <w:left w:val="single" w:sz="4" w:space="0" w:color="D2232A"/>
              <w:bottom w:val="single" w:sz="4" w:space="0" w:color="D2232A"/>
              <w:right w:val="single" w:sz="4" w:space="0" w:color="D2232A"/>
            </w:tcBorders>
          </w:tcPr>
          <w:p w14:paraId="4164F3A5" w14:textId="77777777" w:rsidR="00214953" w:rsidRPr="00040BEC" w:rsidRDefault="00214953" w:rsidP="00C57EA3">
            <w:pPr>
              <w:spacing w:before="40"/>
              <w:rPr>
                <w:rFonts w:cs="Arial"/>
                <w:lang w:val="en-GB"/>
              </w:rPr>
            </w:pPr>
            <w:r w:rsidRPr="00040BEC">
              <w:rPr>
                <w:rFonts w:cs="Arial"/>
                <w:lang w:val="en-GB"/>
              </w:rPr>
              <w:t xml:space="preserve">Tuning range und DCS (Dynamic Channel Selection) capability applied over the frequency range 1880-1920 </w:t>
            </w:r>
            <w:proofErr w:type="spellStart"/>
            <w:r w:rsidRPr="00040BEC">
              <w:rPr>
                <w:rFonts w:cs="Arial"/>
                <w:lang w:val="en-GB"/>
              </w:rPr>
              <w:t>MHz.</w:t>
            </w:r>
            <w:proofErr w:type="spellEnd"/>
            <w:r w:rsidRPr="00040BEC">
              <w:rPr>
                <w:rFonts w:cs="Arial"/>
                <w:lang w:val="en-GB"/>
              </w:rPr>
              <w:t xml:space="preserve"> Indoor only</w:t>
            </w:r>
          </w:p>
        </w:tc>
      </w:tr>
      <w:tr w:rsidR="00214953" w:rsidRPr="00040BEC" w14:paraId="5ADB8F32" w14:textId="77777777" w:rsidTr="000C5520">
        <w:tc>
          <w:tcPr>
            <w:tcW w:w="919" w:type="pct"/>
            <w:tcBorders>
              <w:top w:val="single" w:sz="4" w:space="0" w:color="D2232A"/>
              <w:left w:val="single" w:sz="4" w:space="0" w:color="D2232A"/>
              <w:bottom w:val="single" w:sz="4" w:space="0" w:color="D2232A"/>
              <w:right w:val="single" w:sz="4" w:space="0" w:color="D2232A"/>
            </w:tcBorders>
          </w:tcPr>
          <w:p w14:paraId="5566BD78" w14:textId="3BD05DBA" w:rsidR="00214953" w:rsidRPr="00040BEC" w:rsidDel="00761B10" w:rsidRDefault="00214953" w:rsidP="00A629C2">
            <w:pPr>
              <w:spacing w:before="40" w:line="288" w:lineRule="auto"/>
              <w:rPr>
                <w:b/>
                <w:lang w:val="en-GB"/>
              </w:rPr>
            </w:pPr>
            <w:r w:rsidRPr="00040BEC">
              <w:rPr>
                <w:i/>
                <w:lang w:val="en-GB"/>
              </w:rPr>
              <w:lastRenderedPageBreak/>
              <w:t>SRD</w:t>
            </w:r>
          </w:p>
        </w:tc>
        <w:tc>
          <w:tcPr>
            <w:tcW w:w="847" w:type="pct"/>
            <w:tcBorders>
              <w:top w:val="single" w:sz="4" w:space="0" w:color="D2232A"/>
              <w:left w:val="single" w:sz="4" w:space="0" w:color="D2232A"/>
              <w:bottom w:val="single" w:sz="4" w:space="0" w:color="D2232A"/>
              <w:right w:val="single" w:sz="4" w:space="0" w:color="D2232A"/>
            </w:tcBorders>
            <w:vAlign w:val="center"/>
          </w:tcPr>
          <w:p w14:paraId="5538078F" w14:textId="004FCD81" w:rsidR="00214953" w:rsidRPr="00040BEC" w:rsidRDefault="00214953" w:rsidP="00C57EA3">
            <w:pPr>
              <w:spacing w:before="40"/>
              <w:rPr>
                <w:rFonts w:cs="Arial"/>
                <w:lang w:val="en-GB"/>
              </w:rPr>
            </w:pPr>
            <w:r w:rsidRPr="00040BEC">
              <w:rPr>
                <w:lang w:val="en-GB"/>
              </w:rPr>
              <w:t>1900-1920 MHz</w:t>
            </w:r>
          </w:p>
        </w:tc>
        <w:tc>
          <w:tcPr>
            <w:tcW w:w="795" w:type="pct"/>
            <w:tcBorders>
              <w:top w:val="single" w:sz="4" w:space="0" w:color="D2232A"/>
              <w:left w:val="single" w:sz="4" w:space="0" w:color="D2232A"/>
              <w:bottom w:val="single" w:sz="4" w:space="0" w:color="D2232A"/>
              <w:right w:val="single" w:sz="4" w:space="0" w:color="D2232A"/>
            </w:tcBorders>
          </w:tcPr>
          <w:p w14:paraId="6186D350" w14:textId="77777777" w:rsidR="00214953" w:rsidRPr="00040BEC" w:rsidRDefault="00214953" w:rsidP="000C5520">
            <w:pPr>
              <w:rPr>
                <w:rFonts w:cs="Arial"/>
                <w:lang w:val="en-GB"/>
              </w:rPr>
            </w:pPr>
            <w:r w:rsidRPr="00040BEC">
              <w:rPr>
                <w:lang w:val="en-GB"/>
              </w:rPr>
              <w:t xml:space="preserve">≤ 250 </w:t>
            </w:r>
            <w:proofErr w:type="spellStart"/>
            <w:r w:rsidRPr="00040BEC">
              <w:rPr>
                <w:lang w:val="en-GB"/>
              </w:rPr>
              <w:t>mW</w:t>
            </w:r>
            <w:proofErr w:type="spellEnd"/>
            <w:r w:rsidRPr="00040BEC">
              <w:rPr>
                <w:lang w:val="en-GB"/>
              </w:rPr>
              <w:t xml:space="preserve"> </w:t>
            </w:r>
            <w:proofErr w:type="spellStart"/>
            <w:r w:rsidRPr="00040BEC">
              <w:rPr>
                <w:lang w:val="en-GB"/>
              </w:rPr>
              <w:t>e.i.r.p</w:t>
            </w:r>
            <w:proofErr w:type="spellEnd"/>
            <w:r w:rsidRPr="00040BEC">
              <w:rPr>
                <w:lang w:val="en-GB"/>
              </w:rPr>
              <w:t>.</w:t>
            </w:r>
          </w:p>
        </w:tc>
        <w:tc>
          <w:tcPr>
            <w:tcW w:w="640" w:type="pct"/>
            <w:tcBorders>
              <w:top w:val="single" w:sz="4" w:space="0" w:color="D2232A"/>
              <w:left w:val="single" w:sz="4" w:space="0" w:color="D2232A"/>
              <w:bottom w:val="single" w:sz="4" w:space="0" w:color="D2232A"/>
              <w:right w:val="single" w:sz="4" w:space="0" w:color="D2232A"/>
            </w:tcBorders>
          </w:tcPr>
          <w:p w14:paraId="0C658027" w14:textId="77777777" w:rsidR="00214953" w:rsidRPr="00040BEC" w:rsidRDefault="00214953" w:rsidP="000C5520">
            <w:pPr>
              <w:rPr>
                <w:rFonts w:cs="Arial"/>
                <w:lang w:val="en-GB"/>
              </w:rPr>
            </w:pPr>
            <w:r w:rsidRPr="00040BEC">
              <w:rPr>
                <w:rFonts w:cs="Arial"/>
                <w:lang w:val="en-GB"/>
              </w:rPr>
              <w:t>≤ 1% duty cycle</w:t>
            </w:r>
          </w:p>
        </w:tc>
        <w:tc>
          <w:tcPr>
            <w:tcW w:w="698" w:type="pct"/>
            <w:tcBorders>
              <w:top w:val="single" w:sz="4" w:space="0" w:color="D2232A"/>
              <w:left w:val="single" w:sz="4" w:space="0" w:color="D2232A"/>
              <w:bottom w:val="single" w:sz="4" w:space="0" w:color="D2232A"/>
              <w:right w:val="single" w:sz="4" w:space="0" w:color="D2232A"/>
            </w:tcBorders>
          </w:tcPr>
          <w:p w14:paraId="2CF214B6" w14:textId="77777777" w:rsidR="00214953" w:rsidRPr="00040BEC" w:rsidRDefault="00214953" w:rsidP="000C5520">
            <w:pPr>
              <w:rPr>
                <w:rFonts w:cs="Arial"/>
                <w:lang w:val="en-GB"/>
              </w:rPr>
            </w:pPr>
            <w:r w:rsidRPr="00040BEC">
              <w:rPr>
                <w:rFonts w:cs="Arial"/>
                <w:lang w:val="en-GB"/>
              </w:rPr>
              <w:t xml:space="preserve">≤ 200 kHz to </w:t>
            </w:r>
            <w:r w:rsidRPr="00040BEC">
              <w:rPr>
                <w:rFonts w:cs="Arial"/>
                <w:lang w:val="en-GB"/>
              </w:rPr>
              <w:br/>
              <w:t>1 MHz</w:t>
            </w:r>
          </w:p>
        </w:tc>
        <w:tc>
          <w:tcPr>
            <w:tcW w:w="1100" w:type="pct"/>
            <w:tcBorders>
              <w:top w:val="single" w:sz="4" w:space="0" w:color="D2232A"/>
              <w:left w:val="single" w:sz="4" w:space="0" w:color="D2232A"/>
              <w:bottom w:val="single" w:sz="4" w:space="0" w:color="D2232A"/>
              <w:right w:val="single" w:sz="4" w:space="0" w:color="D2232A"/>
            </w:tcBorders>
          </w:tcPr>
          <w:p w14:paraId="5E115AF7" w14:textId="77777777" w:rsidR="00214953" w:rsidRPr="00040BEC" w:rsidRDefault="00214953" w:rsidP="00C57EA3">
            <w:pPr>
              <w:spacing w:before="40"/>
              <w:rPr>
                <w:rFonts w:cs="Arial"/>
                <w:lang w:val="en-GB"/>
              </w:rPr>
            </w:pPr>
            <w:r w:rsidRPr="00040BEC">
              <w:rPr>
                <w:rFonts w:cs="Arial"/>
                <w:lang w:val="en-GB"/>
              </w:rPr>
              <w:t>Indoor only</w:t>
            </w:r>
          </w:p>
        </w:tc>
      </w:tr>
    </w:tbl>
    <w:p w14:paraId="54C08BA3" w14:textId="77777777" w:rsidR="00466753" w:rsidRPr="00040BEC" w:rsidRDefault="00466753" w:rsidP="00466753">
      <w:pPr>
        <w:pStyle w:val="ECCParagraph"/>
      </w:pPr>
    </w:p>
    <w:p w14:paraId="79B9CE84" w14:textId="77777777" w:rsidR="00C35843" w:rsidRPr="00040BEC" w:rsidRDefault="00C35843" w:rsidP="00C35843">
      <w:pPr>
        <w:pStyle w:val="ECCParagraph"/>
        <w:rPr>
          <w:b/>
        </w:rPr>
      </w:pPr>
      <w:r w:rsidRPr="00040BEC">
        <w:rPr>
          <w:b/>
        </w:rPr>
        <w:t>The parameters in the Table 6 above should not be understood as parameters for implementation in a regulatory approach but as parameters proposed by stakeholders for the compatibility studies which were performed.</w:t>
      </w:r>
    </w:p>
    <w:p w14:paraId="65D1507A" w14:textId="7A3B8139" w:rsidR="005D5808" w:rsidRPr="00040BEC" w:rsidRDefault="005D5808" w:rsidP="005D5808">
      <w:pPr>
        <w:spacing w:after="240"/>
        <w:jc w:val="both"/>
        <w:rPr>
          <w:lang w:val="en-GB"/>
        </w:rPr>
      </w:pPr>
      <w:r w:rsidRPr="00040BEC">
        <w:rPr>
          <w:lang w:val="en-GB"/>
        </w:rPr>
        <w:t xml:space="preserve">Further considerations will be necessary to derive the precise technical parameters for implementation of a regulatory approach for DECT/SRD applications. The precise sharing conditions with </w:t>
      </w:r>
      <w:r w:rsidRPr="00040BEC">
        <w:rPr>
          <w:lang w:val="en-GB" w:eastAsia="nl-NL"/>
        </w:rPr>
        <w:t xml:space="preserve">Broadband </w:t>
      </w:r>
      <w:r w:rsidRPr="00040BEC">
        <w:rPr>
          <w:lang w:val="en-GB"/>
        </w:rPr>
        <w:t xml:space="preserve">DA2GC also depend on DA2GC system specific characteristics. The regulatory approach needs to </w:t>
      </w:r>
      <w:proofErr w:type="gramStart"/>
      <w:r w:rsidRPr="00040BEC">
        <w:rPr>
          <w:lang w:val="en-GB"/>
        </w:rPr>
        <w:t>be fine-tuned</w:t>
      </w:r>
      <w:proofErr w:type="gramEnd"/>
      <w:r w:rsidRPr="00040BEC">
        <w:rPr>
          <w:lang w:val="en-GB"/>
        </w:rPr>
        <w:t xml:space="preserve"> for the avoidance of harmful aggregated interference into DA2GC AS.</w:t>
      </w:r>
    </w:p>
    <w:p w14:paraId="47702196" w14:textId="77777777" w:rsidR="00C35843" w:rsidRPr="00040BEC" w:rsidRDefault="00C35843" w:rsidP="00C35843">
      <w:pPr>
        <w:pStyle w:val="ECCParagraph"/>
      </w:pPr>
      <w:r w:rsidRPr="00040BEC">
        <w:t>The proposal for the regulatory approach is to include these new entries in ERC</w:t>
      </w:r>
      <w:r w:rsidR="00137811" w:rsidRPr="00040BEC">
        <w:t>/</w:t>
      </w:r>
      <w:r w:rsidRPr="00040BEC">
        <w:t>R</w:t>
      </w:r>
      <w:r w:rsidR="00137811" w:rsidRPr="00040BEC">
        <w:t>EC</w:t>
      </w:r>
      <w:r w:rsidRPr="00040BEC">
        <w:t xml:space="preserve"> 70-03</w:t>
      </w:r>
      <w:r w:rsidR="00137811" w:rsidRPr="00040BEC">
        <w:t xml:space="preserve"> </w:t>
      </w:r>
      <w:r w:rsidR="000A5980" w:rsidRPr="00040BEC">
        <w:fldChar w:fldCharType="begin"/>
      </w:r>
      <w:r w:rsidR="00137811" w:rsidRPr="00040BEC">
        <w:instrText xml:space="preserve"> REF _Ref387908880 \r \h </w:instrText>
      </w:r>
      <w:r w:rsidR="000A5980" w:rsidRPr="00040BEC">
        <w:fldChar w:fldCharType="separate"/>
      </w:r>
      <w:r w:rsidR="002327BB">
        <w:t>[38]</w:t>
      </w:r>
      <w:r w:rsidR="000A5980" w:rsidRPr="00040BEC">
        <w:fldChar w:fldCharType="end"/>
      </w:r>
      <w:r w:rsidRPr="00040BEC">
        <w:t xml:space="preserve">. This particular approach provides a good example of the CEPT use of ‘soft harmonisation’, where existing and new services remain protected to the extent that national administrations deem it necessary, yet providing the opportunity for the harmonised development of new unlicensed applications in the majority of European countries. Taking into account the current licenses for ECS in the band 1900-1920 MHz in many CEPT countries as shown in annex 3 and the fact that in many countries, not the whole band is covered by current licenses, limited implementations will also be possible. </w:t>
      </w:r>
    </w:p>
    <w:p w14:paraId="33C550A8" w14:textId="57D96E80" w:rsidR="00C35843" w:rsidRPr="00040BEC" w:rsidRDefault="00C35843" w:rsidP="00C35843">
      <w:pPr>
        <w:pStyle w:val="ECCParagraph"/>
      </w:pPr>
      <w:r w:rsidRPr="00040BEC">
        <w:t xml:space="preserve">The approach is as application-neutral and technology-neutral as much as possible and in line with the principles set out in CEPT Report </w:t>
      </w:r>
      <w:r w:rsidR="00137811" w:rsidRPr="00040BEC">
        <w:t>0</w:t>
      </w:r>
      <w:r w:rsidRPr="00040BEC">
        <w:t>14</w:t>
      </w:r>
      <w:r w:rsidR="00137811" w:rsidRPr="00040BEC">
        <w:t xml:space="preserve"> </w:t>
      </w:r>
      <w:r w:rsidR="000A5980" w:rsidRPr="00040BEC">
        <w:fldChar w:fldCharType="begin"/>
      </w:r>
      <w:r w:rsidR="00137811" w:rsidRPr="00040BEC">
        <w:instrText xml:space="preserve"> REF _Ref387908922 \r \h </w:instrText>
      </w:r>
      <w:r w:rsidR="000A5980" w:rsidRPr="00040BEC">
        <w:fldChar w:fldCharType="separate"/>
      </w:r>
      <w:r w:rsidR="002327BB">
        <w:t>[1]</w:t>
      </w:r>
      <w:r w:rsidR="000A5980" w:rsidRPr="00040BEC">
        <w:fldChar w:fldCharType="end"/>
      </w:r>
      <w:r w:rsidRPr="00040BEC">
        <w:t xml:space="preserve"> and CEPT Report </w:t>
      </w:r>
      <w:r w:rsidR="00137811" w:rsidRPr="00040BEC">
        <w:t>0</w:t>
      </w:r>
      <w:r w:rsidRPr="00040BEC">
        <w:t>44</w:t>
      </w:r>
      <w:r w:rsidR="00137811" w:rsidRPr="00040BEC">
        <w:t xml:space="preserve"> </w:t>
      </w:r>
      <w:r w:rsidR="000A5980" w:rsidRPr="00040BEC">
        <w:fldChar w:fldCharType="begin"/>
      </w:r>
      <w:r w:rsidR="00137811" w:rsidRPr="00040BEC">
        <w:instrText xml:space="preserve"> REF _Ref387908941 \r \h </w:instrText>
      </w:r>
      <w:r w:rsidR="000A5980" w:rsidRPr="00040BEC">
        <w:fldChar w:fldCharType="separate"/>
      </w:r>
      <w:r w:rsidR="002327BB">
        <w:t>[2]</w:t>
      </w:r>
      <w:r w:rsidR="000A5980" w:rsidRPr="00040BEC">
        <w:fldChar w:fldCharType="end"/>
      </w:r>
      <w:r w:rsidRPr="00040BEC">
        <w:t>. In addition, the approach fulfils the expectations raised by administrations in ECC as well as during the call for inputs indicating that DECT should operate under a</w:t>
      </w:r>
      <w:r w:rsidR="00904B2A" w:rsidRPr="00040BEC">
        <w:t>n</w:t>
      </w:r>
      <w:r w:rsidRPr="00040BEC">
        <w:t xml:space="preserve"> SRD regulation on a shared basis with other technologies. Spectrum access techniques are mutually compatible and frequency segmentation amongst such applications </w:t>
      </w:r>
      <w:proofErr w:type="gramStart"/>
      <w:r w:rsidRPr="00040BEC">
        <w:t>should be avoided</w:t>
      </w:r>
      <w:proofErr w:type="gramEnd"/>
      <w:r w:rsidRPr="00040BEC">
        <w:t xml:space="preserve">. It is important that the regulation also in practice </w:t>
      </w:r>
      <w:proofErr w:type="gramStart"/>
      <w:r w:rsidRPr="00040BEC">
        <w:t>provides</w:t>
      </w:r>
      <w:proofErr w:type="gramEnd"/>
      <w:r w:rsidRPr="00040BEC">
        <w:t xml:space="preserve"> an opportunity for alternative technologies to use the spectrum so that a competitive market is created. </w:t>
      </w:r>
    </w:p>
    <w:p w14:paraId="33B41CB7" w14:textId="77777777" w:rsidR="00C35843" w:rsidRPr="00040BEC" w:rsidRDefault="00DD1265" w:rsidP="00C35843">
      <w:pPr>
        <w:pStyle w:val="ECCParagraph"/>
      </w:pPr>
      <w:r w:rsidRPr="00040BEC">
        <w:t xml:space="preserve">It </w:t>
      </w:r>
      <w:proofErr w:type="gramStart"/>
      <w:r w:rsidR="00C35843" w:rsidRPr="00040BEC">
        <w:t>is expected</w:t>
      </w:r>
      <w:proofErr w:type="gramEnd"/>
      <w:r w:rsidR="00C35843" w:rsidRPr="00040BEC">
        <w:t xml:space="preserve"> that the opening of this new opportunity for unlicensed applications may also trigger new technology developments and improvements as well as deployment developments in the initial years, making adaptions of the regulatory approach for unlicensed applications in the band 1900-1920 MHz quite likely. Also from this perspective, the approach in </w:t>
      </w:r>
      <w:r w:rsidR="00137811" w:rsidRPr="00040BEC">
        <w:t>ERC/</w:t>
      </w:r>
      <w:r w:rsidR="00C35843" w:rsidRPr="00040BEC">
        <w:t>R</w:t>
      </w:r>
      <w:r w:rsidR="00137811" w:rsidRPr="00040BEC">
        <w:t>EC</w:t>
      </w:r>
      <w:r w:rsidR="00C35843" w:rsidRPr="00040BEC">
        <w:t xml:space="preserve"> 70-03</w:t>
      </w:r>
      <w:r w:rsidR="00137811" w:rsidRPr="00040BEC">
        <w:t xml:space="preserve"> </w:t>
      </w:r>
      <w:r w:rsidR="000A5980" w:rsidRPr="00040BEC">
        <w:fldChar w:fldCharType="begin"/>
      </w:r>
      <w:r w:rsidR="00137811" w:rsidRPr="00040BEC">
        <w:instrText xml:space="preserve"> REF _Ref387908880 \r \h </w:instrText>
      </w:r>
      <w:r w:rsidR="000A5980" w:rsidRPr="00040BEC">
        <w:fldChar w:fldCharType="separate"/>
      </w:r>
      <w:r w:rsidR="002327BB">
        <w:t>[38]</w:t>
      </w:r>
      <w:r w:rsidR="000A5980" w:rsidRPr="00040BEC">
        <w:fldChar w:fldCharType="end"/>
      </w:r>
      <w:r w:rsidR="00C35843" w:rsidRPr="00040BEC">
        <w:t xml:space="preserve"> provides a flexible basis for needed adaptations in the future. This does also provide for the development of other </w:t>
      </w:r>
      <w:proofErr w:type="gramStart"/>
      <w:r w:rsidR="00C35843" w:rsidRPr="00040BEC">
        <w:t>SRD application spectrum access options</w:t>
      </w:r>
      <w:proofErr w:type="gramEnd"/>
      <w:r w:rsidR="00C35843" w:rsidRPr="00040BEC">
        <w:t xml:space="preserve"> such as LBT with </w:t>
      </w:r>
      <w:r w:rsidRPr="00040BEC">
        <w:t xml:space="preserve">adaptive </w:t>
      </w:r>
      <w:r w:rsidR="00C35843" w:rsidRPr="00040BEC">
        <w:t xml:space="preserve">frequency </w:t>
      </w:r>
      <w:r w:rsidRPr="00040BEC">
        <w:t xml:space="preserve">agility </w:t>
      </w:r>
      <w:r w:rsidR="00C35843" w:rsidRPr="00040BEC">
        <w:t>or DAA in the future, which may be added if so demanded, and after appropriate compatibility studies.</w:t>
      </w:r>
    </w:p>
    <w:p w14:paraId="1FBE7099" w14:textId="77777777" w:rsidR="00DD1265" w:rsidRPr="00040BEC" w:rsidRDefault="00DD1265" w:rsidP="00DD1265">
      <w:pPr>
        <w:pStyle w:val="ECCParagraph"/>
      </w:pPr>
      <w:r w:rsidRPr="00040BEC">
        <w:t xml:space="preserve">Finally, according to ECC Report 220 </w:t>
      </w:r>
      <w:r w:rsidR="000A5980" w:rsidRPr="00040BEC">
        <w:fldChar w:fldCharType="begin"/>
      </w:r>
      <w:r w:rsidRPr="00040BEC">
        <w:instrText xml:space="preserve"> REF _Ref388514212 \r \h </w:instrText>
      </w:r>
      <w:r w:rsidR="000A5980" w:rsidRPr="00040BEC">
        <w:fldChar w:fldCharType="separate"/>
      </w:r>
      <w:r w:rsidR="002327BB">
        <w:t>[29]</w:t>
      </w:r>
      <w:r w:rsidR="000A5980" w:rsidRPr="00040BEC">
        <w:fldChar w:fldCharType="end"/>
      </w:r>
      <w:r w:rsidRPr="00040BEC">
        <w:t xml:space="preserve">, DECT stations with directional antenna should not use DECT channels F20 and F21, in order to ensure coexistence with MFCN BS above 1920 </w:t>
      </w:r>
      <w:proofErr w:type="spellStart"/>
      <w:r w:rsidRPr="00040BEC">
        <w:t>MHz.</w:t>
      </w:r>
      <w:proofErr w:type="spellEnd"/>
      <w:r w:rsidR="00C559A6" w:rsidRPr="00040BEC">
        <w:t xml:space="preserve"> The summary for DECT channels F11 to F19 and F20 to F21 </w:t>
      </w:r>
      <w:proofErr w:type="gramStart"/>
      <w:r w:rsidR="00C559A6" w:rsidRPr="00040BEC">
        <w:t>is shown</w:t>
      </w:r>
      <w:proofErr w:type="gramEnd"/>
      <w:r w:rsidR="00C559A6" w:rsidRPr="00040BEC">
        <w:t xml:space="preserve"> in </w:t>
      </w:r>
      <w:r w:rsidR="00F14073" w:rsidRPr="00040BEC">
        <w:rPr>
          <w:highlight w:val="yellow"/>
        </w:rPr>
        <w:fldChar w:fldCharType="begin"/>
      </w:r>
      <w:r w:rsidR="00F14073" w:rsidRPr="00040BEC">
        <w:instrText xml:space="preserve"> REF _Ref400574919 \h </w:instrText>
      </w:r>
      <w:r w:rsidR="00F14073" w:rsidRPr="00040BEC">
        <w:rPr>
          <w:highlight w:val="yellow"/>
        </w:rPr>
      </w:r>
      <w:r w:rsidR="00F14073" w:rsidRPr="00040BEC">
        <w:rPr>
          <w:highlight w:val="yellow"/>
        </w:rPr>
        <w:fldChar w:fldCharType="separate"/>
      </w:r>
      <w:r w:rsidR="002327BB" w:rsidRPr="00040BEC">
        <w:t xml:space="preserve">Table </w:t>
      </w:r>
      <w:r w:rsidR="002327BB">
        <w:rPr>
          <w:noProof/>
        </w:rPr>
        <w:t>7</w:t>
      </w:r>
      <w:r w:rsidR="00F14073" w:rsidRPr="00040BEC">
        <w:rPr>
          <w:highlight w:val="yellow"/>
        </w:rPr>
        <w:fldChar w:fldCharType="end"/>
      </w:r>
      <w:r w:rsidR="00337457" w:rsidRPr="00040BEC">
        <w:t xml:space="preserve"> </w:t>
      </w:r>
      <w:r w:rsidR="00C559A6" w:rsidRPr="00040BEC">
        <w:t>below.</w:t>
      </w:r>
    </w:p>
    <w:p w14:paraId="67F2686F" w14:textId="77777777" w:rsidR="00405F5E" w:rsidRPr="00040BEC" w:rsidRDefault="00405F5E" w:rsidP="00405F5E">
      <w:pPr>
        <w:rPr>
          <w:rFonts w:ascii="Calibri" w:eastAsia="Calibri" w:hAnsi="Calibri"/>
          <w:sz w:val="22"/>
          <w:szCs w:val="22"/>
          <w:lang w:val="en-GB" w:eastAsia="da-DK"/>
        </w:rPr>
      </w:pPr>
    </w:p>
    <w:p w14:paraId="599D55C5" w14:textId="77777777" w:rsidR="00555184" w:rsidRPr="000C5520" w:rsidRDefault="00555184" w:rsidP="00555184">
      <w:pPr>
        <w:pStyle w:val="Caption"/>
        <w:rPr>
          <w:rFonts w:cs="Arial"/>
          <w:lang w:val="en-GB"/>
        </w:rPr>
      </w:pPr>
      <w:bookmarkStart w:id="128" w:name="_Ref400574919"/>
      <w:r w:rsidRPr="00040BEC">
        <w:rPr>
          <w:lang w:val="en-GB"/>
        </w:rPr>
        <w:t xml:space="preserve">Table </w:t>
      </w:r>
      <w:r w:rsidRPr="00040BEC">
        <w:rPr>
          <w:lang w:val="en-GB"/>
        </w:rPr>
        <w:fldChar w:fldCharType="begin"/>
      </w:r>
      <w:r w:rsidRPr="00040BEC">
        <w:rPr>
          <w:lang w:val="en-GB"/>
        </w:rPr>
        <w:instrText xml:space="preserve"> SEQ Table \* ARABIC </w:instrText>
      </w:r>
      <w:r w:rsidRPr="00040BEC">
        <w:rPr>
          <w:lang w:val="en-GB"/>
        </w:rPr>
        <w:fldChar w:fldCharType="separate"/>
      </w:r>
      <w:r w:rsidR="002327BB">
        <w:rPr>
          <w:noProof/>
          <w:lang w:val="en-GB"/>
        </w:rPr>
        <w:t>7</w:t>
      </w:r>
      <w:r w:rsidRPr="00040BEC">
        <w:rPr>
          <w:lang w:val="en-GB"/>
        </w:rPr>
        <w:fldChar w:fldCharType="end"/>
      </w:r>
      <w:bookmarkEnd w:id="128"/>
      <w:r w:rsidR="00405F5E" w:rsidRPr="00040BEC">
        <w:rPr>
          <w:rFonts w:cs="Arial"/>
          <w:lang w:val="en-GB"/>
        </w:rPr>
        <w:t xml:space="preserve">: </w:t>
      </w:r>
      <w:r w:rsidR="00405F5E" w:rsidRPr="000C5520">
        <w:rPr>
          <w:rFonts w:cs="Arial"/>
          <w:lang w:val="en-GB"/>
        </w:rPr>
        <w:t xml:space="preserve">Summary of compatibility study </w:t>
      </w:r>
      <w:r w:rsidR="00777955" w:rsidRPr="000C5520">
        <w:rPr>
          <w:rFonts w:cs="Arial"/>
          <w:lang w:val="en-GB"/>
        </w:rPr>
        <w:t xml:space="preserve">(ECC Report 220) </w:t>
      </w:r>
      <w:r w:rsidR="00405F5E" w:rsidRPr="000C5520">
        <w:rPr>
          <w:rFonts w:cs="Arial"/>
          <w:lang w:val="en-GB"/>
        </w:rPr>
        <w:t>results between DECT and MFCN</w:t>
      </w:r>
      <w:r w:rsidRPr="000C5520">
        <w:rPr>
          <w:rFonts w:cs="Arial"/>
          <w:lang w:val="en-GB"/>
        </w:rPr>
        <w:t xml:space="preserve"> </w:t>
      </w:r>
    </w:p>
    <w:tbl>
      <w:tblPr>
        <w:tblW w:w="0" w:type="auto"/>
        <w:jc w:val="center"/>
        <w:tblBorders>
          <w:top w:val="single" w:sz="8" w:space="0" w:color="FFFFFF" w:themeColor="background1"/>
          <w:left w:val="single" w:sz="8" w:space="0" w:color="C00000"/>
          <w:bottom w:val="single" w:sz="8" w:space="0" w:color="C00000"/>
          <w:right w:val="single" w:sz="8" w:space="0" w:color="C00000"/>
          <w:insideH w:val="single" w:sz="8" w:space="0" w:color="C00000"/>
          <w:insideV w:val="single" w:sz="8" w:space="0" w:color="C00000"/>
        </w:tblBorders>
        <w:tblCellMar>
          <w:left w:w="0" w:type="dxa"/>
          <w:right w:w="0" w:type="dxa"/>
        </w:tblCellMar>
        <w:tblLook w:val="04A0" w:firstRow="1" w:lastRow="0" w:firstColumn="1" w:lastColumn="0" w:noHBand="0" w:noVBand="1"/>
      </w:tblPr>
      <w:tblGrid>
        <w:gridCol w:w="2459"/>
        <w:gridCol w:w="2640"/>
        <w:gridCol w:w="2640"/>
      </w:tblGrid>
      <w:tr w:rsidR="00405F5E" w:rsidRPr="000C5520" w14:paraId="300B8EB4" w14:textId="77777777" w:rsidTr="00344FA1">
        <w:trPr>
          <w:jc w:val="center"/>
        </w:trPr>
        <w:tc>
          <w:tcPr>
            <w:tcW w:w="2459"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D2232A"/>
            <w:tcMar>
              <w:top w:w="0" w:type="dxa"/>
              <w:left w:w="108" w:type="dxa"/>
              <w:bottom w:w="0" w:type="dxa"/>
              <w:right w:w="108" w:type="dxa"/>
            </w:tcMar>
            <w:vAlign w:val="center"/>
            <w:hideMark/>
          </w:tcPr>
          <w:p w14:paraId="03F0528B" w14:textId="77777777" w:rsidR="00405F5E" w:rsidRPr="000C5520" w:rsidRDefault="00405F5E" w:rsidP="00405F5E">
            <w:pPr>
              <w:keepNext/>
              <w:jc w:val="center"/>
              <w:rPr>
                <w:rFonts w:eastAsia="Calibri" w:cs="Arial"/>
                <w:b/>
                <w:bCs/>
                <w:color w:val="FFFFFF"/>
                <w:szCs w:val="20"/>
                <w:lang w:val="en-GB" w:eastAsia="de-DE"/>
              </w:rPr>
            </w:pPr>
            <w:r w:rsidRPr="000C5520">
              <w:rPr>
                <w:rFonts w:eastAsia="Calibri" w:cs="Arial"/>
                <w:b/>
                <w:bCs/>
                <w:color w:val="FFFFFF"/>
                <w:szCs w:val="20"/>
                <w:lang w:val="en-GB" w:eastAsia="en-GB"/>
              </w:rPr>
              <w:t>DECT channels</w:t>
            </w:r>
          </w:p>
        </w:tc>
        <w:tc>
          <w:tcPr>
            <w:tcW w:w="2640"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D2232A"/>
            <w:tcMar>
              <w:top w:w="0" w:type="dxa"/>
              <w:left w:w="108" w:type="dxa"/>
              <w:bottom w:w="0" w:type="dxa"/>
              <w:right w:w="108" w:type="dxa"/>
            </w:tcMar>
            <w:vAlign w:val="center"/>
            <w:hideMark/>
          </w:tcPr>
          <w:p w14:paraId="359B4828" w14:textId="77777777" w:rsidR="00405F5E" w:rsidRPr="000C5520" w:rsidRDefault="00405F5E" w:rsidP="00405F5E">
            <w:pPr>
              <w:keepNext/>
              <w:jc w:val="center"/>
              <w:rPr>
                <w:rFonts w:eastAsia="Calibri" w:cs="Arial"/>
                <w:b/>
                <w:bCs/>
                <w:color w:val="FFFFFF"/>
                <w:szCs w:val="20"/>
                <w:lang w:val="en-GB" w:eastAsia="de-DE"/>
              </w:rPr>
            </w:pPr>
            <w:r w:rsidRPr="000C5520">
              <w:rPr>
                <w:rFonts w:eastAsia="Calibri" w:cs="Arial"/>
                <w:b/>
                <w:bCs/>
                <w:color w:val="FFFFFF"/>
                <w:szCs w:val="20"/>
                <w:lang w:val="en-GB" w:eastAsia="en-GB"/>
              </w:rPr>
              <w:t>F11 to F19</w:t>
            </w:r>
          </w:p>
        </w:tc>
        <w:tc>
          <w:tcPr>
            <w:tcW w:w="2640"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D2232A"/>
            <w:tcMar>
              <w:top w:w="0" w:type="dxa"/>
              <w:left w:w="108" w:type="dxa"/>
              <w:bottom w:w="0" w:type="dxa"/>
              <w:right w:w="108" w:type="dxa"/>
            </w:tcMar>
            <w:vAlign w:val="center"/>
            <w:hideMark/>
          </w:tcPr>
          <w:p w14:paraId="212C0013" w14:textId="77777777" w:rsidR="00405F5E" w:rsidRPr="000C5520" w:rsidRDefault="00405F5E" w:rsidP="00405F5E">
            <w:pPr>
              <w:keepNext/>
              <w:jc w:val="center"/>
              <w:rPr>
                <w:rFonts w:eastAsia="Calibri" w:cs="Arial"/>
                <w:b/>
                <w:bCs/>
                <w:color w:val="FFFFFF"/>
                <w:szCs w:val="20"/>
                <w:lang w:val="en-GB" w:eastAsia="de-DE"/>
              </w:rPr>
            </w:pPr>
            <w:r w:rsidRPr="000C5520">
              <w:rPr>
                <w:rFonts w:eastAsia="Calibri" w:cs="Arial"/>
                <w:b/>
                <w:bCs/>
                <w:color w:val="FFFFFF"/>
                <w:szCs w:val="20"/>
                <w:lang w:val="en-GB" w:eastAsia="en-GB"/>
              </w:rPr>
              <w:t>F20 and F21</w:t>
            </w:r>
          </w:p>
        </w:tc>
      </w:tr>
      <w:tr w:rsidR="00405F5E" w:rsidRPr="000C5520" w14:paraId="724377C7" w14:textId="77777777" w:rsidTr="00344FA1">
        <w:trPr>
          <w:jc w:val="center"/>
        </w:trPr>
        <w:tc>
          <w:tcPr>
            <w:tcW w:w="2459" w:type="dxa"/>
            <w:tcBorders>
              <w:top w:val="single" w:sz="8" w:space="0" w:color="FFFFFF" w:themeColor="background1"/>
            </w:tcBorders>
            <w:tcMar>
              <w:top w:w="0" w:type="dxa"/>
              <w:left w:w="108" w:type="dxa"/>
              <w:bottom w:w="0" w:type="dxa"/>
              <w:right w:w="108" w:type="dxa"/>
            </w:tcMar>
            <w:vAlign w:val="center"/>
            <w:hideMark/>
          </w:tcPr>
          <w:p w14:paraId="466E52E7" w14:textId="77777777" w:rsidR="00405F5E" w:rsidRPr="000C5520" w:rsidRDefault="00405F5E" w:rsidP="00405F5E">
            <w:pPr>
              <w:keepNext/>
              <w:rPr>
                <w:rFonts w:eastAsia="Calibri" w:cs="Arial"/>
                <w:szCs w:val="20"/>
                <w:lang w:val="en-GB" w:eastAsia="de-DE"/>
              </w:rPr>
            </w:pPr>
            <w:r w:rsidRPr="000C5520">
              <w:rPr>
                <w:rFonts w:eastAsia="Calibri" w:cs="Arial"/>
                <w:szCs w:val="20"/>
                <w:lang w:val="en-GB" w:eastAsia="en-GB"/>
              </w:rPr>
              <w:t xml:space="preserve">DECT stations with </w:t>
            </w:r>
            <w:r w:rsidRPr="000C5520">
              <w:rPr>
                <w:rFonts w:eastAsia="Calibri" w:cs="Arial"/>
                <w:szCs w:val="20"/>
                <w:lang w:val="en-GB" w:eastAsia="en-GB"/>
              </w:rPr>
              <w:br/>
            </w:r>
            <w:proofErr w:type="spellStart"/>
            <w:r w:rsidRPr="000C5520">
              <w:rPr>
                <w:rFonts w:eastAsia="Calibri" w:cs="Arial"/>
                <w:szCs w:val="20"/>
                <w:lang w:val="en-GB" w:eastAsia="en-GB"/>
              </w:rPr>
              <w:t>omni</w:t>
            </w:r>
            <w:proofErr w:type="spellEnd"/>
            <w:r w:rsidRPr="000C5520">
              <w:rPr>
                <w:rFonts w:eastAsia="Calibri" w:cs="Arial"/>
                <w:szCs w:val="20"/>
                <w:lang w:val="en-GB" w:eastAsia="en-GB"/>
              </w:rPr>
              <w:t>-directional antenna</w:t>
            </w:r>
          </w:p>
        </w:tc>
        <w:tc>
          <w:tcPr>
            <w:tcW w:w="5280" w:type="dxa"/>
            <w:gridSpan w:val="2"/>
            <w:tcBorders>
              <w:top w:val="single" w:sz="8" w:space="0" w:color="FFFFFF" w:themeColor="background1"/>
            </w:tcBorders>
            <w:tcMar>
              <w:top w:w="0" w:type="dxa"/>
              <w:left w:w="108" w:type="dxa"/>
              <w:bottom w:w="0" w:type="dxa"/>
              <w:right w:w="108" w:type="dxa"/>
            </w:tcMar>
            <w:vAlign w:val="center"/>
            <w:hideMark/>
          </w:tcPr>
          <w:p w14:paraId="116F34A6" w14:textId="77777777" w:rsidR="00405F5E" w:rsidRPr="000C5520" w:rsidRDefault="00405F5E" w:rsidP="00344FA1">
            <w:pPr>
              <w:keepNext/>
              <w:rPr>
                <w:rFonts w:eastAsia="Calibri" w:cs="Arial"/>
                <w:szCs w:val="20"/>
                <w:lang w:val="en-GB" w:eastAsia="de-DE"/>
              </w:rPr>
            </w:pPr>
            <w:r w:rsidRPr="000C5520">
              <w:rPr>
                <w:rFonts w:eastAsia="Calibri" w:cs="Arial"/>
                <w:szCs w:val="20"/>
                <w:lang w:val="en-GB" w:eastAsia="en-GB"/>
              </w:rPr>
              <w:t>no restriction</w:t>
            </w:r>
            <w:r w:rsidRPr="000C5520">
              <w:rPr>
                <w:rFonts w:eastAsia="Calibri" w:cs="Arial"/>
                <w:szCs w:val="20"/>
                <w:lang w:val="en-GB" w:eastAsia="en-GB"/>
              </w:rPr>
              <w:br/>
              <w:t xml:space="preserve">(26 </w:t>
            </w:r>
            <w:proofErr w:type="spellStart"/>
            <w:r w:rsidRPr="000C5520">
              <w:rPr>
                <w:rFonts w:eastAsia="Calibri" w:cs="Arial"/>
                <w:szCs w:val="20"/>
                <w:lang w:val="en-GB" w:eastAsia="en-GB"/>
              </w:rPr>
              <w:t>dBm</w:t>
            </w:r>
            <w:proofErr w:type="spellEnd"/>
            <w:r w:rsidRPr="000C5520">
              <w:rPr>
                <w:rFonts w:eastAsia="Calibri" w:cs="Arial"/>
                <w:szCs w:val="20"/>
                <w:lang w:val="en-GB" w:eastAsia="en-GB"/>
              </w:rPr>
              <w:t xml:space="preserve"> max </w:t>
            </w:r>
            <w:proofErr w:type="spellStart"/>
            <w:r w:rsidRPr="000C5520">
              <w:rPr>
                <w:rFonts w:eastAsia="Calibri" w:cs="Arial"/>
                <w:szCs w:val="20"/>
                <w:lang w:val="en-GB" w:eastAsia="en-GB"/>
              </w:rPr>
              <w:t>e.i.r.p</w:t>
            </w:r>
            <w:proofErr w:type="spellEnd"/>
            <w:r w:rsidRPr="000C5520">
              <w:rPr>
                <w:rFonts w:eastAsia="Calibri" w:cs="Arial"/>
                <w:szCs w:val="20"/>
                <w:lang w:val="en-GB" w:eastAsia="en-GB"/>
              </w:rPr>
              <w:t>. as in ERC/DEC/(98)22)</w:t>
            </w:r>
          </w:p>
        </w:tc>
      </w:tr>
      <w:tr w:rsidR="00405F5E" w:rsidRPr="000C5520" w14:paraId="082764C4" w14:textId="77777777" w:rsidTr="00344FA1">
        <w:trPr>
          <w:jc w:val="center"/>
        </w:trPr>
        <w:tc>
          <w:tcPr>
            <w:tcW w:w="2459" w:type="dxa"/>
            <w:tcMar>
              <w:top w:w="0" w:type="dxa"/>
              <w:left w:w="108" w:type="dxa"/>
              <w:bottom w:w="0" w:type="dxa"/>
              <w:right w:w="108" w:type="dxa"/>
            </w:tcMar>
            <w:vAlign w:val="center"/>
            <w:hideMark/>
          </w:tcPr>
          <w:p w14:paraId="21570555" w14:textId="77777777" w:rsidR="00405F5E" w:rsidRPr="000C5520" w:rsidRDefault="00405F5E" w:rsidP="00405F5E">
            <w:pPr>
              <w:rPr>
                <w:rFonts w:eastAsia="Calibri" w:cs="Arial"/>
                <w:szCs w:val="20"/>
                <w:lang w:val="en-GB" w:eastAsia="de-DE"/>
              </w:rPr>
            </w:pPr>
            <w:r w:rsidRPr="000C5520">
              <w:rPr>
                <w:rFonts w:eastAsia="Calibri" w:cs="Arial"/>
                <w:szCs w:val="20"/>
                <w:lang w:val="en-GB" w:eastAsia="en-GB"/>
              </w:rPr>
              <w:t xml:space="preserve">DECT stations with </w:t>
            </w:r>
            <w:r w:rsidRPr="000C5520">
              <w:rPr>
                <w:rFonts w:eastAsia="Calibri" w:cs="Arial"/>
                <w:szCs w:val="20"/>
                <w:lang w:val="en-GB" w:eastAsia="en-GB"/>
              </w:rPr>
              <w:br/>
              <w:t>directional antenna</w:t>
            </w:r>
          </w:p>
        </w:tc>
        <w:tc>
          <w:tcPr>
            <w:tcW w:w="2640" w:type="dxa"/>
            <w:tcMar>
              <w:top w:w="0" w:type="dxa"/>
              <w:left w:w="108" w:type="dxa"/>
              <w:bottom w:w="0" w:type="dxa"/>
              <w:right w:w="108" w:type="dxa"/>
            </w:tcMar>
            <w:vAlign w:val="center"/>
            <w:hideMark/>
          </w:tcPr>
          <w:p w14:paraId="2274410F" w14:textId="77777777" w:rsidR="00405F5E" w:rsidRPr="000C5520" w:rsidRDefault="00405F5E" w:rsidP="00405F5E">
            <w:pPr>
              <w:rPr>
                <w:rFonts w:eastAsia="Calibri" w:cs="Arial"/>
                <w:szCs w:val="20"/>
                <w:lang w:val="en-GB" w:eastAsia="de-DE"/>
              </w:rPr>
            </w:pPr>
            <w:r w:rsidRPr="000C5520">
              <w:rPr>
                <w:rFonts w:eastAsia="Calibri" w:cs="Arial"/>
                <w:szCs w:val="20"/>
                <w:lang w:val="en-GB" w:eastAsia="en-GB"/>
              </w:rPr>
              <w:t xml:space="preserve">30 </w:t>
            </w:r>
            <w:proofErr w:type="spellStart"/>
            <w:r w:rsidRPr="000C5520">
              <w:rPr>
                <w:rFonts w:eastAsia="Calibri" w:cs="Arial"/>
                <w:szCs w:val="20"/>
                <w:lang w:val="en-GB" w:eastAsia="en-GB"/>
              </w:rPr>
              <w:t>dBm</w:t>
            </w:r>
            <w:proofErr w:type="spellEnd"/>
            <w:r w:rsidRPr="000C5520">
              <w:rPr>
                <w:rFonts w:eastAsia="Calibri" w:cs="Arial"/>
                <w:szCs w:val="20"/>
                <w:lang w:val="en-GB" w:eastAsia="en-GB"/>
              </w:rPr>
              <w:t xml:space="preserve"> max </w:t>
            </w:r>
            <w:proofErr w:type="spellStart"/>
            <w:r w:rsidRPr="000C5520">
              <w:rPr>
                <w:rFonts w:eastAsia="Calibri" w:cs="Arial"/>
                <w:szCs w:val="20"/>
                <w:lang w:val="en-GB" w:eastAsia="en-GB"/>
              </w:rPr>
              <w:t>e.i.r.p</w:t>
            </w:r>
            <w:proofErr w:type="spellEnd"/>
            <w:r w:rsidRPr="000C5520">
              <w:rPr>
                <w:rFonts w:eastAsia="Calibri" w:cs="Arial"/>
                <w:szCs w:val="20"/>
                <w:lang w:val="en-GB" w:eastAsia="en-GB"/>
              </w:rPr>
              <w:t>.</w:t>
            </w:r>
          </w:p>
        </w:tc>
        <w:tc>
          <w:tcPr>
            <w:tcW w:w="2640" w:type="dxa"/>
            <w:tcMar>
              <w:top w:w="0" w:type="dxa"/>
              <w:left w:w="108" w:type="dxa"/>
              <w:bottom w:w="0" w:type="dxa"/>
              <w:right w:w="108" w:type="dxa"/>
            </w:tcMar>
            <w:vAlign w:val="center"/>
            <w:hideMark/>
          </w:tcPr>
          <w:p w14:paraId="60F0923F" w14:textId="77777777" w:rsidR="00405F5E" w:rsidRPr="000C5520" w:rsidRDefault="00405F5E" w:rsidP="00344FA1">
            <w:pPr>
              <w:rPr>
                <w:rFonts w:eastAsia="Calibri" w:cs="Arial"/>
                <w:szCs w:val="20"/>
                <w:lang w:val="en-GB" w:eastAsia="de-DE"/>
              </w:rPr>
            </w:pPr>
            <w:r w:rsidRPr="000C5520">
              <w:rPr>
                <w:rFonts w:eastAsia="Calibri" w:cs="Arial"/>
                <w:szCs w:val="20"/>
                <w:lang w:val="en-GB" w:eastAsia="en-GB"/>
              </w:rPr>
              <w:t>not allowed</w:t>
            </w:r>
          </w:p>
        </w:tc>
      </w:tr>
    </w:tbl>
    <w:p w14:paraId="6A515990" w14:textId="77777777" w:rsidR="00405F5E" w:rsidRPr="00040BEC" w:rsidRDefault="00405F5E" w:rsidP="00DD1265">
      <w:pPr>
        <w:pStyle w:val="ECCParagraph"/>
      </w:pPr>
    </w:p>
    <w:p w14:paraId="4DE5E984" w14:textId="77777777" w:rsidR="00DD1265" w:rsidRPr="00040BEC" w:rsidRDefault="00DD1265" w:rsidP="00C35843">
      <w:pPr>
        <w:pStyle w:val="ECCParagraph"/>
      </w:pPr>
    </w:p>
    <w:p w14:paraId="083C3EA1" w14:textId="77777777" w:rsidR="00766EB0" w:rsidRPr="00040BEC" w:rsidRDefault="00766EB0" w:rsidP="00176CF0">
      <w:pPr>
        <w:pStyle w:val="Heading1"/>
      </w:pPr>
      <w:bookmarkStart w:id="129" w:name="_Ref355341864"/>
      <w:bookmarkStart w:id="130" w:name="_Toc368435978"/>
      <w:bookmarkStart w:id="131" w:name="_Toc396904014"/>
      <w:bookmarkStart w:id="132" w:name="_Toc445129330"/>
      <w:bookmarkStart w:id="133" w:name="_Ref355341901"/>
      <w:r w:rsidRPr="00040BEC">
        <w:lastRenderedPageBreak/>
        <w:t>HARMONISATION POSSIBILITIES</w:t>
      </w:r>
      <w:bookmarkEnd w:id="129"/>
      <w:bookmarkEnd w:id="130"/>
      <w:bookmarkEnd w:id="131"/>
      <w:bookmarkEnd w:id="132"/>
    </w:p>
    <w:p w14:paraId="0A3B5985" w14:textId="77777777" w:rsidR="00E411D5" w:rsidRPr="00040BEC" w:rsidRDefault="00D44B5A" w:rsidP="00E411D5">
      <w:pPr>
        <w:jc w:val="both"/>
        <w:rPr>
          <w:highlight w:val="yellow"/>
          <w:lang w:val="en-GB"/>
        </w:rPr>
      </w:pPr>
      <w:r w:rsidRPr="00040BEC">
        <w:rPr>
          <w:lang w:val="en-GB"/>
        </w:rPr>
        <w:t xml:space="preserve">As presented in section 2.2 (Current authorisations and uses of the unpaired 2 GHz bands), there are licenses in force in Europe in both unpaired 2 GHz bands. Some of the licenses </w:t>
      </w:r>
      <w:proofErr w:type="gramStart"/>
      <w:r w:rsidRPr="00040BEC">
        <w:rPr>
          <w:lang w:val="en-GB"/>
        </w:rPr>
        <w:t>were awarded</w:t>
      </w:r>
      <w:proofErr w:type="gramEnd"/>
      <w:r w:rsidRPr="00040BEC">
        <w:rPr>
          <w:lang w:val="en-GB"/>
        </w:rPr>
        <w:t xml:space="preserve"> after spectrum auction processes and, as a result, considerable auction prices were achieved. </w:t>
      </w:r>
      <w:proofErr w:type="gramStart"/>
      <w:r w:rsidRPr="00040BEC">
        <w:rPr>
          <w:lang w:val="en-GB"/>
        </w:rPr>
        <w:t>In some countries, a license repeal process might be possible in case of continued non-implementation, whereas in other countries this will not be possible due to specific conditions and obligations which are part of the license (e.g. coverage obligations are interpreted in some cases as fulfilled when providing services via other spectrum where the same licensee has also a license and for which the network is implemented).</w:t>
      </w:r>
      <w:proofErr w:type="gramEnd"/>
      <w:r w:rsidRPr="00040BEC">
        <w:rPr>
          <w:lang w:val="en-GB"/>
        </w:rPr>
        <w:t xml:space="preserve"> Other options for making the spectrum available for new usage need to </w:t>
      </w:r>
      <w:proofErr w:type="gramStart"/>
      <w:r w:rsidRPr="00040BEC">
        <w:rPr>
          <w:lang w:val="en-GB"/>
        </w:rPr>
        <w:t>be considered</w:t>
      </w:r>
      <w:proofErr w:type="gramEnd"/>
      <w:r w:rsidRPr="00040BEC">
        <w:rPr>
          <w:lang w:val="en-GB"/>
        </w:rPr>
        <w:t xml:space="preserve"> (e.g. liberalisation, transfer).</w:t>
      </w:r>
    </w:p>
    <w:p w14:paraId="21E5EB2E" w14:textId="77777777" w:rsidR="00D4371A" w:rsidRPr="00040BEC" w:rsidRDefault="00D4371A" w:rsidP="00D01A0C">
      <w:pPr>
        <w:pStyle w:val="Heading2"/>
        <w:rPr>
          <w:lang w:val="en-GB"/>
        </w:rPr>
      </w:pPr>
      <w:bookmarkStart w:id="134" w:name="_Toc396904015"/>
      <w:bookmarkStart w:id="135" w:name="_Toc445129331"/>
      <w:r w:rsidRPr="00040BEC">
        <w:rPr>
          <w:lang w:val="en-GB"/>
        </w:rPr>
        <w:t>DA2GC</w:t>
      </w:r>
      <w:bookmarkEnd w:id="134"/>
      <w:bookmarkEnd w:id="135"/>
    </w:p>
    <w:p w14:paraId="0C7C0F78" w14:textId="52A4A9C8" w:rsidR="005E11AD" w:rsidRPr="00040BEC" w:rsidRDefault="00766EB0" w:rsidP="00387932">
      <w:pPr>
        <w:spacing w:after="240"/>
        <w:jc w:val="both"/>
        <w:rPr>
          <w:lang w:val="en-GB"/>
        </w:rPr>
      </w:pPr>
      <w:r w:rsidRPr="00040BEC">
        <w:rPr>
          <w:lang w:val="en-GB"/>
        </w:rPr>
        <w:t xml:space="preserve">A Broadband DA2GC system constitutes an application for various types of telecommunications services, such as internet access and mobile multimedia services. It aims to provide access to broadband communication services during continental flights on a Europe-wide basis. Currently, there is no spectrum designated for Broadband DA2GC in Europe. To allow European citizens and airlines to profit from the social and economic benefits of the implementation of such a radio application (intended to provide broadband connectivity between the aircraft and a terrestrial based network), a harmonised spectrum designation within CEPT would be necessary. In order for the system to be commercially </w:t>
      </w:r>
      <w:r w:rsidR="000C5520" w:rsidRPr="00040BEC">
        <w:rPr>
          <w:lang w:val="en-GB"/>
        </w:rPr>
        <w:t>viable,</w:t>
      </w:r>
      <w:r w:rsidRPr="00040BEC">
        <w:rPr>
          <w:lang w:val="en-GB"/>
        </w:rPr>
        <w:t xml:space="preserve"> it would need to have the potential to provide a pan-European solution.</w:t>
      </w:r>
    </w:p>
    <w:p w14:paraId="0E6A1436" w14:textId="1E1B9CDB" w:rsidR="005E11AD" w:rsidRPr="00040BEC" w:rsidRDefault="005E11AD" w:rsidP="00387932">
      <w:pPr>
        <w:spacing w:after="240"/>
        <w:jc w:val="both"/>
        <w:rPr>
          <w:lang w:val="en-GB"/>
        </w:rPr>
      </w:pPr>
      <w:r w:rsidRPr="00040BEC">
        <w:rPr>
          <w:lang w:val="en-GB"/>
        </w:rPr>
        <w:t xml:space="preserve">Network investment and deployment costs as well as aircraft equipment costs are high for Broadband DA2GCS, especially when considering the first </w:t>
      </w:r>
      <w:r w:rsidR="000C5520" w:rsidRPr="00040BEC">
        <w:rPr>
          <w:lang w:val="en-GB"/>
        </w:rPr>
        <w:t>rollout</w:t>
      </w:r>
      <w:r w:rsidRPr="00040BEC">
        <w:rPr>
          <w:lang w:val="en-GB"/>
        </w:rPr>
        <w:t xml:space="preserve"> of </w:t>
      </w:r>
      <w:r w:rsidR="00F131E7" w:rsidRPr="00040BEC">
        <w:rPr>
          <w:lang w:val="en-GB" w:eastAsia="nl-NL"/>
        </w:rPr>
        <w:t xml:space="preserve">Broadband </w:t>
      </w:r>
      <w:r w:rsidRPr="00040BEC">
        <w:rPr>
          <w:lang w:val="en-GB"/>
        </w:rPr>
        <w:t xml:space="preserve">DA2GCS. The implementation of such a system is only reasonable if a continuous and pan-European coverage </w:t>
      </w:r>
      <w:proofErr w:type="gramStart"/>
      <w:r w:rsidR="000C5520" w:rsidRPr="00040BEC">
        <w:rPr>
          <w:lang w:val="en-GB"/>
        </w:rPr>
        <w:t>were</w:t>
      </w:r>
      <w:r w:rsidRPr="00040BEC">
        <w:rPr>
          <w:lang w:val="en-GB"/>
        </w:rPr>
        <w:t xml:space="preserve"> achieved</w:t>
      </w:r>
      <w:proofErr w:type="gramEnd"/>
      <w:r w:rsidRPr="00040BEC">
        <w:rPr>
          <w:lang w:val="en-GB"/>
        </w:rPr>
        <w:t xml:space="preserve">, thus a harmonised radio spectrum designation and harmonised licensing conditions would be essential. In addition, a harmonised authorisation framework </w:t>
      </w:r>
      <w:r w:rsidR="00653C8B" w:rsidRPr="00040BEC">
        <w:rPr>
          <w:lang w:val="en-GB"/>
        </w:rPr>
        <w:t xml:space="preserve">across Europe </w:t>
      </w:r>
      <w:proofErr w:type="gramStart"/>
      <w:r w:rsidRPr="00040BEC">
        <w:rPr>
          <w:lang w:val="en-GB"/>
        </w:rPr>
        <w:t>is considered</w:t>
      </w:r>
      <w:proofErr w:type="gramEnd"/>
      <w:r w:rsidRPr="00040BEC">
        <w:rPr>
          <w:lang w:val="en-GB"/>
        </w:rPr>
        <w:t xml:space="preserve"> necessary to provide the regulatory certainty that network operators and airlines require to invest in a Broadband DA2GCS.</w:t>
      </w:r>
    </w:p>
    <w:p w14:paraId="16961624" w14:textId="77777777" w:rsidR="00766EB0" w:rsidRPr="00040BEC" w:rsidRDefault="00387932" w:rsidP="00387932">
      <w:pPr>
        <w:spacing w:after="240"/>
        <w:jc w:val="both"/>
        <w:rPr>
          <w:lang w:val="en-GB"/>
        </w:rPr>
      </w:pPr>
      <w:r w:rsidRPr="00040BEC">
        <w:rPr>
          <w:lang w:val="en-GB"/>
        </w:rPr>
        <w:t xml:space="preserve">Given the need for substantial financial investment, together with the requirement to protect other spectrum users, it is reasonable to envisage individual authorisation for the ground stations in Europe and that the aircraft stations </w:t>
      </w:r>
      <w:proofErr w:type="gramStart"/>
      <w:r w:rsidRPr="00040BEC">
        <w:rPr>
          <w:lang w:val="en-GB"/>
        </w:rPr>
        <w:t>are exempted</w:t>
      </w:r>
      <w:proofErr w:type="gramEnd"/>
      <w:r w:rsidRPr="00040BEC">
        <w:rPr>
          <w:lang w:val="en-GB"/>
        </w:rPr>
        <w:t xml:space="preserve"> from individual licensing. Free circulation and use is required for Aircraft </w:t>
      </w:r>
      <w:proofErr w:type="gramStart"/>
      <w:r w:rsidRPr="00040BEC">
        <w:rPr>
          <w:lang w:val="en-GB"/>
        </w:rPr>
        <w:t>Stations which</w:t>
      </w:r>
      <w:proofErr w:type="gramEnd"/>
      <w:r w:rsidRPr="00040BEC">
        <w:rPr>
          <w:lang w:val="en-GB"/>
        </w:rPr>
        <w:t xml:space="preserve"> are under the control of the DA2GC network. In addition</w:t>
      </w:r>
      <w:r w:rsidR="00CC176E" w:rsidRPr="00040BEC">
        <w:rPr>
          <w:lang w:val="en-GB"/>
        </w:rPr>
        <w:t>,</w:t>
      </w:r>
      <w:r w:rsidRPr="00040BEC">
        <w:rPr>
          <w:lang w:val="en-GB"/>
        </w:rPr>
        <w:t xml:space="preserve"> it is important that the chosen forms of regulation and licensing do not impose unreasonable restrictions on competition. The deployment of a European wide DA2GC network on a harmonised basis is urgent and a decision regarding spectrum and licensing conditions needs to </w:t>
      </w:r>
      <w:proofErr w:type="gramStart"/>
      <w:r w:rsidRPr="00040BEC">
        <w:rPr>
          <w:lang w:val="en-GB"/>
        </w:rPr>
        <w:t>be made</w:t>
      </w:r>
      <w:proofErr w:type="gramEnd"/>
      <w:r w:rsidRPr="00040BEC">
        <w:rPr>
          <w:lang w:val="en-GB"/>
        </w:rPr>
        <w:t xml:space="preserve"> quickly for a start of operation by end of 2017. </w:t>
      </w:r>
      <w:proofErr w:type="gramStart"/>
      <w:r w:rsidRPr="00040BEC">
        <w:rPr>
          <w:lang w:val="en-GB"/>
        </w:rPr>
        <w:t>Otherwise</w:t>
      </w:r>
      <w:proofErr w:type="gramEnd"/>
      <w:r w:rsidRPr="00040BEC">
        <w:rPr>
          <w:lang w:val="en-GB"/>
        </w:rPr>
        <w:t xml:space="preserve"> European airlines could only implement satellite solutions which may be more expensive.</w:t>
      </w:r>
      <w:r w:rsidR="00D756F3" w:rsidRPr="00040BEC">
        <w:rPr>
          <w:lang w:val="en-GB"/>
        </w:rPr>
        <w:t xml:space="preserve"> A </w:t>
      </w:r>
      <w:proofErr w:type="gramStart"/>
      <w:r w:rsidR="00D756F3" w:rsidRPr="00040BEC">
        <w:rPr>
          <w:lang w:val="en-GB"/>
        </w:rPr>
        <w:t>short term</w:t>
      </w:r>
      <w:proofErr w:type="gramEnd"/>
      <w:r w:rsidR="00D756F3" w:rsidRPr="00040BEC">
        <w:rPr>
          <w:lang w:val="en-GB"/>
        </w:rPr>
        <w:t xml:space="preserve"> solution for Broadband DA2GC (by end of 2017) could not be realised in a frequency band above 6 GHz. However, higher frequency bands </w:t>
      </w:r>
      <w:proofErr w:type="gramStart"/>
      <w:r w:rsidR="00D756F3" w:rsidRPr="00040BEC">
        <w:rPr>
          <w:lang w:val="en-GB"/>
        </w:rPr>
        <w:t>can be considered</w:t>
      </w:r>
      <w:proofErr w:type="gramEnd"/>
      <w:r w:rsidR="00D756F3" w:rsidRPr="00040BEC">
        <w:rPr>
          <w:lang w:val="en-GB"/>
        </w:rPr>
        <w:t xml:space="preserve"> in the future for next generation Broadband DA2GC systems.</w:t>
      </w:r>
    </w:p>
    <w:p w14:paraId="16DC113D" w14:textId="77777777" w:rsidR="0034011A" w:rsidRPr="00040BEC" w:rsidRDefault="0034011A" w:rsidP="00387932">
      <w:pPr>
        <w:spacing w:after="240"/>
        <w:jc w:val="both"/>
        <w:rPr>
          <w:lang w:val="en-GB"/>
        </w:rPr>
      </w:pPr>
      <w:r w:rsidRPr="00040BEC">
        <w:rPr>
          <w:lang w:val="en-GB"/>
        </w:rPr>
        <w:t xml:space="preserve">The </w:t>
      </w:r>
      <w:proofErr w:type="gramStart"/>
      <w:r w:rsidRPr="00040BEC">
        <w:rPr>
          <w:lang w:val="en-GB"/>
        </w:rPr>
        <w:t>roll-out</w:t>
      </w:r>
      <w:proofErr w:type="gramEnd"/>
      <w:r w:rsidRPr="00040BEC">
        <w:rPr>
          <w:lang w:val="en-GB"/>
        </w:rPr>
        <w:t xml:space="preserve"> of a European wide Broadband DA2GC system will most likely be realised step by step. The timeframe will depend on the availability of the regulatory framework and then on the selection process and on commercial/financial decisions. Cross-border coordination amongst European countries </w:t>
      </w:r>
      <w:proofErr w:type="gramStart"/>
      <w:r w:rsidRPr="00040BEC">
        <w:rPr>
          <w:lang w:val="en-GB"/>
        </w:rPr>
        <w:t>is considered</w:t>
      </w:r>
      <w:proofErr w:type="gramEnd"/>
      <w:r w:rsidRPr="00040BEC">
        <w:rPr>
          <w:lang w:val="en-GB"/>
        </w:rPr>
        <w:t xml:space="preserve"> not to be an issue because the unpaired 2 GHz bands are not in use, although licences are issued in many CEPT Member States. Coordination with services in adjacent bands - either within a country or between neighbouring countries - </w:t>
      </w:r>
      <w:proofErr w:type="gramStart"/>
      <w:r w:rsidRPr="00040BEC">
        <w:rPr>
          <w:lang w:val="en-GB"/>
        </w:rPr>
        <w:t>is expected to be based</w:t>
      </w:r>
      <w:proofErr w:type="gramEnd"/>
      <w:r w:rsidRPr="00040BEC">
        <w:rPr>
          <w:lang w:val="en-GB"/>
        </w:rPr>
        <w:t xml:space="preserve"> on the results of the compatibility studies.</w:t>
      </w:r>
    </w:p>
    <w:p w14:paraId="138E0071" w14:textId="77777777" w:rsidR="000D7A4A" w:rsidRPr="00040BEC" w:rsidRDefault="000D7A4A" w:rsidP="00387932">
      <w:pPr>
        <w:spacing w:after="240"/>
        <w:jc w:val="both"/>
        <w:rPr>
          <w:lang w:val="en-GB"/>
        </w:rPr>
      </w:pPr>
      <w:r w:rsidRPr="00040BEC">
        <w:rPr>
          <w:lang w:val="en-GB"/>
        </w:rPr>
        <w:t xml:space="preserve">The European wide designation and timely implementation may also imply a harmonised selection and authorisation of a </w:t>
      </w:r>
      <w:r w:rsidR="00F131E7" w:rsidRPr="00040BEC">
        <w:rPr>
          <w:lang w:val="en-GB" w:eastAsia="nl-NL"/>
        </w:rPr>
        <w:t xml:space="preserve">Broadband </w:t>
      </w:r>
      <w:r w:rsidRPr="00040BEC">
        <w:rPr>
          <w:lang w:val="en-GB"/>
        </w:rPr>
        <w:t>DA2GC</w:t>
      </w:r>
      <w:r w:rsidR="00653C8B" w:rsidRPr="00040BEC">
        <w:rPr>
          <w:lang w:val="en-GB"/>
        </w:rPr>
        <w:t xml:space="preserve"> </w:t>
      </w:r>
      <w:r w:rsidR="009844E5" w:rsidRPr="00040BEC">
        <w:rPr>
          <w:lang w:val="en-GB"/>
        </w:rPr>
        <w:t>system</w:t>
      </w:r>
      <w:r w:rsidR="00653C8B" w:rsidRPr="00040BEC">
        <w:rPr>
          <w:lang w:val="en-GB"/>
        </w:rPr>
        <w:t xml:space="preserve"> across Europe</w:t>
      </w:r>
      <w:r w:rsidRPr="00040BEC">
        <w:rPr>
          <w:lang w:val="en-GB"/>
        </w:rPr>
        <w:t xml:space="preserve">. For a successful launch of a </w:t>
      </w:r>
      <w:r w:rsidR="00F131E7" w:rsidRPr="00040BEC">
        <w:rPr>
          <w:lang w:val="en-GB"/>
        </w:rPr>
        <w:t>B</w:t>
      </w:r>
      <w:r w:rsidRPr="00040BEC">
        <w:rPr>
          <w:lang w:val="en-GB"/>
        </w:rPr>
        <w:t xml:space="preserve">roadband DA2GC system, coordination of regulatory action </w:t>
      </w:r>
      <w:r w:rsidR="00653C8B" w:rsidRPr="00040BEC">
        <w:rPr>
          <w:lang w:val="en-GB"/>
        </w:rPr>
        <w:t>across Europe</w:t>
      </w:r>
      <w:r w:rsidRPr="00040BEC">
        <w:rPr>
          <w:lang w:val="en-GB"/>
        </w:rPr>
        <w:t xml:space="preserve"> would be highly advantageous. Differences in national selection procedures could create fragmentation of the internal market due to the divergent implementation of selection criteria, including the weighting of the criteria, or different timescales of the selection procedures. This would result in a patchwork of successful applicants selected in contradiction to the pan-European nature of DA2GC.</w:t>
      </w:r>
    </w:p>
    <w:p w14:paraId="49B3BA21" w14:textId="77777777" w:rsidR="00D4371A" w:rsidRPr="00040BEC" w:rsidRDefault="00D4371A" w:rsidP="00D01A0C">
      <w:pPr>
        <w:pStyle w:val="Heading2"/>
        <w:rPr>
          <w:lang w:val="en-GB"/>
        </w:rPr>
      </w:pPr>
      <w:bookmarkStart w:id="136" w:name="_Toc396904016"/>
      <w:bookmarkStart w:id="137" w:name="_Toc445129332"/>
      <w:r w:rsidRPr="00040BEC">
        <w:rPr>
          <w:lang w:val="en-GB"/>
        </w:rPr>
        <w:lastRenderedPageBreak/>
        <w:t>VLCC</w:t>
      </w:r>
      <w:bookmarkEnd w:id="136"/>
      <w:bookmarkEnd w:id="137"/>
    </w:p>
    <w:p w14:paraId="0EF85DFB" w14:textId="77777777" w:rsidR="00766EB0" w:rsidRPr="00040BEC" w:rsidRDefault="00766EB0" w:rsidP="00D4371A">
      <w:pPr>
        <w:spacing w:after="240"/>
        <w:jc w:val="both"/>
        <w:rPr>
          <w:lang w:val="en-GB"/>
        </w:rPr>
      </w:pPr>
      <w:r w:rsidRPr="00040BEC">
        <w:rPr>
          <w:lang w:val="en-GB"/>
        </w:rPr>
        <w:t xml:space="preserve">With respect to PMSE, it </w:t>
      </w:r>
      <w:proofErr w:type="gramStart"/>
      <w:r w:rsidRPr="00040BEC">
        <w:rPr>
          <w:lang w:val="en-GB"/>
        </w:rPr>
        <w:t>is considered</w:t>
      </w:r>
      <w:proofErr w:type="gramEnd"/>
      <w:r w:rsidRPr="00040BEC">
        <w:rPr>
          <w:lang w:val="en-GB"/>
        </w:rPr>
        <w:t xml:space="preserve"> that there is a need for these services to be coordinated to avoid harmful interference and therefore an individual authorisation regime may be appropriate for implementation by national Administrations. </w:t>
      </w:r>
    </w:p>
    <w:p w14:paraId="693A1F6D" w14:textId="77777777" w:rsidR="00D4371A" w:rsidRPr="00040BEC" w:rsidRDefault="00D4371A" w:rsidP="00D4371A">
      <w:pPr>
        <w:spacing w:after="240"/>
        <w:jc w:val="both"/>
        <w:rPr>
          <w:lang w:val="en-GB"/>
        </w:rPr>
      </w:pPr>
      <w:r w:rsidRPr="00040BEC">
        <w:rPr>
          <w:lang w:val="en-GB"/>
        </w:rPr>
        <w:t>Based on the 10 MHz channelling arrangement for PMSE, the 1900-1920 MHz band would permit 2 × 10 MHz channels and the 2010-2025 MHz band would permit 1½ × 10 MHz channels, with the other half channel provided in the adjacent 2025-2110 MHz band</w:t>
      </w:r>
      <w:r w:rsidR="00D44B5A" w:rsidRPr="00040BEC">
        <w:rPr>
          <w:lang w:val="en-GB"/>
        </w:rPr>
        <w:t xml:space="preserve">, </w:t>
      </w:r>
      <w:r w:rsidRPr="00040BEC">
        <w:rPr>
          <w:lang w:val="en-GB"/>
        </w:rPr>
        <w:t>which is already widely used for video PMSE applications</w:t>
      </w:r>
      <w:r w:rsidR="00D44B5A" w:rsidRPr="00040BEC">
        <w:rPr>
          <w:lang w:val="en-GB"/>
        </w:rPr>
        <w:t xml:space="preserve">. </w:t>
      </w:r>
      <w:r w:rsidRPr="00040BEC">
        <w:rPr>
          <w:lang w:val="en-GB"/>
        </w:rPr>
        <w:t>, being identified in the European Common Allocation Table for PMSE use and in ERC</w:t>
      </w:r>
      <w:r w:rsidR="00137811" w:rsidRPr="00040BEC">
        <w:rPr>
          <w:lang w:val="en-GB"/>
        </w:rPr>
        <w:t>/</w:t>
      </w:r>
      <w:r w:rsidRPr="00040BEC">
        <w:rPr>
          <w:lang w:val="en-GB"/>
        </w:rPr>
        <w:t>R</w:t>
      </w:r>
      <w:r w:rsidR="00137811" w:rsidRPr="00040BEC">
        <w:rPr>
          <w:lang w:val="en-GB"/>
        </w:rPr>
        <w:t>EC</w:t>
      </w:r>
      <w:r w:rsidRPr="00040BEC">
        <w:rPr>
          <w:lang w:val="en-GB"/>
        </w:rPr>
        <w:t xml:space="preserve"> 25-10 </w:t>
      </w:r>
      <w:r w:rsidR="000A5980" w:rsidRPr="00040BEC">
        <w:rPr>
          <w:lang w:val="en-GB"/>
        </w:rPr>
        <w:fldChar w:fldCharType="begin"/>
      </w:r>
      <w:r w:rsidR="00454BBF" w:rsidRPr="00040BEC">
        <w:rPr>
          <w:lang w:val="en-GB"/>
        </w:rPr>
        <w:instrText xml:space="preserve"> REF _Ref356389398 \r \h </w:instrText>
      </w:r>
      <w:r w:rsidR="000A5980" w:rsidRPr="00040BEC">
        <w:rPr>
          <w:lang w:val="en-GB"/>
        </w:rPr>
      </w:r>
      <w:r w:rsidR="000A5980" w:rsidRPr="00040BEC">
        <w:rPr>
          <w:lang w:val="en-GB"/>
        </w:rPr>
        <w:fldChar w:fldCharType="separate"/>
      </w:r>
      <w:r w:rsidR="002327BB">
        <w:rPr>
          <w:lang w:val="en-GB"/>
        </w:rPr>
        <w:t>[17</w:t>
      </w:r>
      <w:proofErr w:type="gramStart"/>
      <w:r w:rsidR="002327BB">
        <w:rPr>
          <w:lang w:val="en-GB"/>
        </w:rPr>
        <w:t>]</w:t>
      </w:r>
      <w:proofErr w:type="gramEnd"/>
      <w:r w:rsidR="000A5980" w:rsidRPr="00040BEC">
        <w:rPr>
          <w:lang w:val="en-GB"/>
        </w:rPr>
        <w:fldChar w:fldCharType="end"/>
      </w:r>
      <w:r w:rsidRPr="00040BEC">
        <w:rPr>
          <w:lang w:val="en-GB"/>
        </w:rPr>
        <w:t>as a recommended tuning range.</w:t>
      </w:r>
    </w:p>
    <w:p w14:paraId="75D4901B" w14:textId="77777777" w:rsidR="00D4371A" w:rsidRPr="00040BEC" w:rsidRDefault="00D4371A" w:rsidP="00D4371A">
      <w:pPr>
        <w:spacing w:after="240"/>
        <w:jc w:val="both"/>
        <w:rPr>
          <w:lang w:val="en-GB"/>
        </w:rPr>
      </w:pPr>
      <w:r w:rsidRPr="00040BEC">
        <w:rPr>
          <w:lang w:val="en-GB"/>
        </w:rPr>
        <w:t>PMSE use described in section 3.2 (Programme Making and Special Events) and ad-hoc PPDR use identified in section 3.5 (Public Protection and Disaster Relief) should further be explored since the same technologies may be used.</w:t>
      </w:r>
    </w:p>
    <w:p w14:paraId="76A95125" w14:textId="77777777" w:rsidR="00D4371A" w:rsidRPr="00040BEC" w:rsidRDefault="00D4371A" w:rsidP="00D4371A">
      <w:pPr>
        <w:spacing w:after="240"/>
        <w:jc w:val="both"/>
        <w:rPr>
          <w:lang w:val="en-GB"/>
        </w:rPr>
      </w:pPr>
      <w:r w:rsidRPr="00040BEC">
        <w:rPr>
          <w:lang w:val="en-GB"/>
        </w:rPr>
        <w:t xml:space="preserve">A harmonised solution for ad-hoc PPDR network uses above 1 GHz is under consideration, which includes, for some countries, PPDR broadband air-to-ground applications. Cross-border coordination </w:t>
      </w:r>
      <w:proofErr w:type="gramStart"/>
      <w:r w:rsidRPr="00040BEC">
        <w:rPr>
          <w:lang w:val="en-GB"/>
        </w:rPr>
        <w:t>is needed</w:t>
      </w:r>
      <w:proofErr w:type="gramEnd"/>
      <w:r w:rsidRPr="00040BEC">
        <w:rPr>
          <w:lang w:val="en-GB"/>
        </w:rPr>
        <w:t xml:space="preserve"> for PPDR broadband air-to-ground applications. Broadband PPDR temporary additional capacity (also known as “hot-spot” or “local area” networks) are supposed to provide additional local coverage at the scene of the incident in order to provide the necessary communication facilities to PPDR users in addition to those provided through the Wide Area network (WAN) or where the WAN </w:t>
      </w:r>
      <w:proofErr w:type="spellStart"/>
      <w:r w:rsidRPr="00040BEC">
        <w:rPr>
          <w:lang w:val="en-GB"/>
        </w:rPr>
        <w:t>radiocommunications</w:t>
      </w:r>
      <w:proofErr w:type="spellEnd"/>
      <w:r w:rsidRPr="00040BEC">
        <w:rPr>
          <w:lang w:val="en-GB"/>
        </w:rPr>
        <w:t xml:space="preserve"> are limited or not available. This additional capacity </w:t>
      </w:r>
      <w:proofErr w:type="gramStart"/>
      <w:r w:rsidRPr="00040BEC">
        <w:rPr>
          <w:lang w:val="en-GB"/>
        </w:rPr>
        <w:t>may be provided</w:t>
      </w:r>
      <w:proofErr w:type="gramEnd"/>
      <w:r w:rsidRPr="00040BEC">
        <w:rPr>
          <w:lang w:val="en-GB"/>
        </w:rPr>
        <w:t xml:space="preserve"> by Ad-hoc networks or other means (such as additional temporary base stations of the WAN) and are supposed to have high capacity and support PPDR users with low mobility. Ad-hoc networks may operate in the same (i.e. in a form of an ad-hoc micro-cell deployed at the event’s scene) as well as in a different frequency band.</w:t>
      </w:r>
    </w:p>
    <w:p w14:paraId="589AE3AA" w14:textId="77777777" w:rsidR="00D4371A" w:rsidRPr="00040BEC" w:rsidRDefault="00D4371A" w:rsidP="00D01A0C">
      <w:pPr>
        <w:pStyle w:val="Heading2"/>
        <w:rPr>
          <w:lang w:val="en-GB"/>
        </w:rPr>
      </w:pPr>
      <w:bookmarkStart w:id="138" w:name="_Toc396904017"/>
      <w:bookmarkStart w:id="139" w:name="_Toc445129333"/>
      <w:r w:rsidRPr="00040BEC">
        <w:rPr>
          <w:lang w:val="en-GB"/>
        </w:rPr>
        <w:t>DECT/SRD</w:t>
      </w:r>
      <w:bookmarkEnd w:id="138"/>
      <w:bookmarkEnd w:id="139"/>
    </w:p>
    <w:p w14:paraId="491CC7E6" w14:textId="77777777" w:rsidR="00F705E7" w:rsidRPr="00040BEC" w:rsidRDefault="00F705E7" w:rsidP="00F705E7">
      <w:pPr>
        <w:pStyle w:val="ECCParagraph"/>
      </w:pPr>
      <w:r w:rsidRPr="00040BEC">
        <w:t xml:space="preserve">Taking into account that no allocation is required, SRD/DECT are subject to a soft harmonisation in the ERC/REC 70-03 and therefore, it is not proposed to introduce a Commission implementing decision in this part of the spectrum for DECT/SRD. In addition, further complementary studies may be required in the future when the primary applications </w:t>
      </w:r>
      <w:proofErr w:type="gramStart"/>
      <w:r w:rsidRPr="00040BEC">
        <w:t>have been identified</w:t>
      </w:r>
      <w:proofErr w:type="gramEnd"/>
      <w:r w:rsidRPr="00040BEC">
        <w:t>.</w:t>
      </w:r>
    </w:p>
    <w:p w14:paraId="702DA5E8" w14:textId="77777777" w:rsidR="00F705E7" w:rsidRPr="00040BEC" w:rsidRDefault="00F705E7" w:rsidP="00766EB0">
      <w:pPr>
        <w:pStyle w:val="ECCParagraph"/>
      </w:pPr>
    </w:p>
    <w:bookmarkEnd w:id="133"/>
    <w:p w14:paraId="2242AFF1" w14:textId="77777777" w:rsidR="00E000DC" w:rsidRPr="00040BEC" w:rsidRDefault="00E000DC" w:rsidP="00E73C0D">
      <w:pPr>
        <w:pStyle w:val="ECCParagraph"/>
        <w:rPr>
          <w:rFonts w:cs="Arial"/>
          <w:b/>
          <w:caps/>
          <w:color w:val="D2232A"/>
          <w:kern w:val="32"/>
          <w:szCs w:val="32"/>
        </w:rPr>
      </w:pPr>
    </w:p>
    <w:p w14:paraId="7364715C" w14:textId="77777777" w:rsidR="00766EB0" w:rsidRPr="00040BEC" w:rsidRDefault="00766EB0" w:rsidP="00176CF0">
      <w:pPr>
        <w:pStyle w:val="Heading1"/>
      </w:pPr>
      <w:bookmarkStart w:id="140" w:name="_Ref366598622"/>
      <w:bookmarkStart w:id="141" w:name="_Toc368435982"/>
      <w:bookmarkStart w:id="142" w:name="_Toc396904022"/>
      <w:bookmarkStart w:id="143" w:name="_Toc445129334"/>
      <w:r w:rsidRPr="00040BEC">
        <w:lastRenderedPageBreak/>
        <w:t>CONCLUSIONS</w:t>
      </w:r>
      <w:bookmarkEnd w:id="140"/>
      <w:bookmarkEnd w:id="141"/>
      <w:bookmarkEnd w:id="142"/>
      <w:bookmarkEnd w:id="143"/>
    </w:p>
    <w:p w14:paraId="73982FA0" w14:textId="33CECBE8" w:rsidR="00341D54" w:rsidRPr="00040BEC" w:rsidRDefault="00337457" w:rsidP="00337457">
      <w:pPr>
        <w:pStyle w:val="ECCParagraph"/>
      </w:pPr>
      <w:r w:rsidRPr="00040BEC">
        <w:t xml:space="preserve">There are many interdependencies between all the possible applications that might use the unpaired 2 GHz bands under beneficial sharing arrangements and the priorities towards different services affect the outcomes. In order to provide some conclusions within the timeframe specified in the Mandate, a number of simplifications </w:t>
      </w:r>
      <w:proofErr w:type="gramStart"/>
      <w:r w:rsidRPr="00040BEC">
        <w:t>have been made</w:t>
      </w:r>
      <w:proofErr w:type="gramEnd"/>
      <w:r w:rsidRPr="00040BEC">
        <w:t xml:space="preserve">. Firstly, the five candidate applications </w:t>
      </w:r>
      <w:proofErr w:type="gramStart"/>
      <w:r w:rsidRPr="00040BEC">
        <w:t>have been grouped</w:t>
      </w:r>
      <w:proofErr w:type="gramEnd"/>
      <w:r w:rsidRPr="00040BEC">
        <w:t xml:space="preserve"> into three usage categories: DA2GC, VLCC and DECT/SRD.  Secondly, the possible arrangements of the usage categories </w:t>
      </w:r>
      <w:proofErr w:type="gramStart"/>
      <w:r w:rsidRPr="00040BEC">
        <w:t>have been simplified</w:t>
      </w:r>
      <w:proofErr w:type="gramEnd"/>
      <w:r w:rsidRPr="00040BEC">
        <w:t xml:space="preserve"> into two scenarios; effectively the difference being in the band usage of the </w:t>
      </w:r>
      <w:r w:rsidRPr="00040BEC">
        <w:rPr>
          <w:lang w:eastAsia="nl-NL"/>
        </w:rPr>
        <w:t xml:space="preserve">Broadband </w:t>
      </w:r>
      <w:r w:rsidRPr="00040BEC">
        <w:t xml:space="preserve">DA2GC system. Both scenarios accommodated Broadband DA2GC, VLCC and DECT/SRD, although there are effectively different outcomes for each scenario. </w:t>
      </w:r>
    </w:p>
    <w:p w14:paraId="6F5DDB31" w14:textId="205BBDB7" w:rsidR="00337457" w:rsidRPr="00040BEC" w:rsidRDefault="00337457" w:rsidP="00337457">
      <w:pPr>
        <w:pStyle w:val="ECCParagraph"/>
      </w:pPr>
      <w:r w:rsidRPr="00040BEC">
        <w:t xml:space="preserve">Finally, for future harmonisation one preferable scenario was chosen – Scenario 2, as more effective scenario for </w:t>
      </w:r>
      <w:r w:rsidRPr="00040BEC">
        <w:rPr>
          <w:rFonts w:cs="Arial"/>
          <w:lang w:eastAsia="de-DE"/>
        </w:rPr>
        <w:t xml:space="preserve">implementation of all </w:t>
      </w:r>
      <w:proofErr w:type="gramStart"/>
      <w:r w:rsidRPr="00040BEC">
        <w:rPr>
          <w:rFonts w:cs="Arial"/>
          <w:lang w:eastAsia="de-DE"/>
        </w:rPr>
        <w:t>three usage</w:t>
      </w:r>
      <w:proofErr w:type="gramEnd"/>
      <w:r w:rsidRPr="00040BEC">
        <w:rPr>
          <w:rFonts w:cs="Arial"/>
          <w:lang w:eastAsia="de-DE"/>
        </w:rPr>
        <w:t xml:space="preserve"> categories</w:t>
      </w:r>
      <w:r w:rsidRPr="00040BEC">
        <w:t>: DA2GC</w:t>
      </w:r>
      <w:r w:rsidR="00341D54" w:rsidRPr="00040BEC">
        <w:t xml:space="preserve"> based on TDD</w:t>
      </w:r>
      <w:r w:rsidRPr="00040BEC">
        <w:t xml:space="preserve">, VLCC and DECT/SRD.  </w:t>
      </w:r>
    </w:p>
    <w:p w14:paraId="5C754761" w14:textId="77777777" w:rsidR="00EA23D4" w:rsidRPr="00040BEC" w:rsidRDefault="00EA23D4" w:rsidP="00EA23D4">
      <w:pPr>
        <w:pStyle w:val="ECCParagraph"/>
      </w:pPr>
      <w:r w:rsidRPr="00040BEC">
        <w:t xml:space="preserve">For scenario 2, the usage </w:t>
      </w:r>
      <w:r w:rsidR="00F72E57" w:rsidRPr="00040BEC">
        <w:t>categories</w:t>
      </w:r>
      <w:r w:rsidRPr="00040BEC">
        <w:t xml:space="preserve"> DA2GC and VLCC </w:t>
      </w:r>
      <w:proofErr w:type="gramStart"/>
      <w:r w:rsidRPr="00040BEC">
        <w:t>are assigned</w:t>
      </w:r>
      <w:proofErr w:type="gramEnd"/>
      <w:r w:rsidRPr="00040BEC">
        <w:t xml:space="preserve"> to different bands.</w:t>
      </w:r>
    </w:p>
    <w:p w14:paraId="1A4034D3" w14:textId="17EF93C5" w:rsidR="00EA23D4" w:rsidRPr="00040BEC" w:rsidRDefault="00EA23D4" w:rsidP="00EA23D4">
      <w:pPr>
        <w:pStyle w:val="ECCParagraph"/>
      </w:pPr>
      <w:r w:rsidRPr="00040BEC">
        <w:t xml:space="preserve">The </w:t>
      </w:r>
      <w:r w:rsidR="00F131E7" w:rsidRPr="00040BEC">
        <w:rPr>
          <w:lang w:eastAsia="nl-NL"/>
        </w:rPr>
        <w:t xml:space="preserve">Broadband </w:t>
      </w:r>
      <w:r w:rsidRPr="00040BEC">
        <w:t xml:space="preserve">DA2CG system is authorised and </w:t>
      </w:r>
      <w:r w:rsidR="00341D54" w:rsidRPr="00040BEC">
        <w:t xml:space="preserve">can occupy </w:t>
      </w:r>
      <w:r w:rsidRPr="00040BEC">
        <w:t xml:space="preserve">the whole of the lower band </w:t>
      </w:r>
      <w:proofErr w:type="gramStart"/>
      <w:r w:rsidRPr="00040BEC">
        <w:t>in a TDD arrangement</w:t>
      </w:r>
      <w:r w:rsidR="00007156" w:rsidRPr="00040BEC">
        <w:t xml:space="preserve"> with appropriate </w:t>
      </w:r>
      <w:r w:rsidR="00E36E55" w:rsidRPr="00040BEC">
        <w:t xml:space="preserve">coordination measures </w:t>
      </w:r>
      <w:r w:rsidR="001D5A1A" w:rsidRPr="00040BEC">
        <w:t xml:space="preserve">such as </w:t>
      </w:r>
      <w:r w:rsidR="00007156" w:rsidRPr="00040BEC">
        <w:t xml:space="preserve">separation distances </w:t>
      </w:r>
      <w:r w:rsidR="003155B5" w:rsidRPr="00040BEC">
        <w:t xml:space="preserve">with </w:t>
      </w:r>
      <w:r w:rsidR="00007156" w:rsidRPr="00040BEC">
        <w:t xml:space="preserve">MFCN base stations above 1920 </w:t>
      </w:r>
      <w:proofErr w:type="spellStart"/>
      <w:r w:rsidR="00007156" w:rsidRPr="00040BEC">
        <w:t>MHz</w:t>
      </w:r>
      <w:r w:rsidRPr="00040BEC">
        <w:t>.</w:t>
      </w:r>
      <w:proofErr w:type="spellEnd"/>
      <w:r w:rsidRPr="00040BEC">
        <w:t xml:space="preserve"> VLCC</w:t>
      </w:r>
      <w:proofErr w:type="gramEnd"/>
      <w:r w:rsidRPr="00040BEC">
        <w:t xml:space="preserve"> is authorised in the band 2010-2025 MHz under the same conditions as authorised for PMSE in the 2025-2110 MHz band. DECT/SRD usage in the band 1900-1920 MHz </w:t>
      </w:r>
      <w:r w:rsidR="00A56349" w:rsidRPr="00040BEC">
        <w:t xml:space="preserve">is possible </w:t>
      </w:r>
      <w:r w:rsidRPr="00040BEC">
        <w:t>with certain mitigation techniques</w:t>
      </w:r>
      <w:r w:rsidR="00A56349" w:rsidRPr="00040BEC">
        <w:t xml:space="preserve"> and restrictions</w:t>
      </w:r>
      <w:r w:rsidR="00CE6B3C" w:rsidRPr="00040BEC">
        <w:t xml:space="preserve"> </w:t>
      </w:r>
      <w:r w:rsidR="00E36E55" w:rsidRPr="00040BEC">
        <w:t xml:space="preserve">yet </w:t>
      </w:r>
      <w:r w:rsidR="00CE6B3C" w:rsidRPr="00040BEC">
        <w:t xml:space="preserve">to be </w:t>
      </w:r>
      <w:r w:rsidR="00E36E55" w:rsidRPr="00040BEC">
        <w:t>determined</w:t>
      </w:r>
      <w:r w:rsidRPr="00040BEC">
        <w:t>.</w:t>
      </w:r>
    </w:p>
    <w:p w14:paraId="2C373B4D" w14:textId="77777777" w:rsidR="00EA23D4" w:rsidRPr="00040BEC" w:rsidRDefault="00EA23D4" w:rsidP="00EA23D4">
      <w:pPr>
        <w:pStyle w:val="ECCParagraph"/>
      </w:pPr>
    </w:p>
    <w:p w14:paraId="5DEAB8BC" w14:textId="77777777" w:rsidR="00187660" w:rsidRPr="00040BEC" w:rsidRDefault="00187660">
      <w:pPr>
        <w:rPr>
          <w:rFonts w:cs="Arial"/>
          <w:b/>
          <w:caps/>
          <w:color w:val="D2232A"/>
          <w:kern w:val="32"/>
          <w:szCs w:val="32"/>
          <w:lang w:val="en-GB"/>
        </w:rPr>
      </w:pPr>
      <w:r w:rsidRPr="00040BEC">
        <w:rPr>
          <w:lang w:val="en-GB"/>
        </w:rPr>
        <w:br w:type="page"/>
      </w:r>
    </w:p>
    <w:p w14:paraId="10BDF43E" w14:textId="77777777" w:rsidR="00F710F4" w:rsidRPr="00040BEC" w:rsidRDefault="00F710F4" w:rsidP="0081646C">
      <w:pPr>
        <w:rPr>
          <w:lang w:val="en-GB"/>
        </w:rPr>
        <w:sectPr w:rsidR="00F710F4" w:rsidRPr="00040BEC" w:rsidSect="00B84FF4">
          <w:headerReference w:type="even" r:id="rId31"/>
          <w:headerReference w:type="default" r:id="rId32"/>
          <w:headerReference w:type="first" r:id="rId33"/>
          <w:pgSz w:w="11907" w:h="16839" w:code="9"/>
          <w:pgMar w:top="1418" w:right="850" w:bottom="907" w:left="1418" w:header="720" w:footer="720" w:gutter="0"/>
          <w:cols w:space="720"/>
          <w:titlePg/>
          <w:docGrid w:linePitch="299"/>
        </w:sectPr>
      </w:pPr>
    </w:p>
    <w:p w14:paraId="624FB03C" w14:textId="77777777" w:rsidR="00512C73" w:rsidRPr="00040BEC" w:rsidRDefault="00B63017" w:rsidP="00176CF0">
      <w:pPr>
        <w:pStyle w:val="ECCAnnexheading1"/>
      </w:pPr>
      <w:bookmarkStart w:id="144" w:name="_Ref380049480"/>
      <w:bookmarkStart w:id="145" w:name="_Toc396904023"/>
      <w:bookmarkStart w:id="146" w:name="_Toc445129335"/>
      <w:bookmarkStart w:id="147" w:name="_Ref355357410"/>
      <w:bookmarkStart w:id="148" w:name="_Ref355357484"/>
      <w:r w:rsidRPr="00040BEC">
        <w:lastRenderedPageBreak/>
        <w:t>EC Mandate</w:t>
      </w:r>
      <w:bookmarkEnd w:id="144"/>
      <w:bookmarkEnd w:id="145"/>
      <w:bookmarkEnd w:id="146"/>
    </w:p>
    <w:p w14:paraId="144BE448" w14:textId="77777777" w:rsidR="00B63017" w:rsidRPr="004C6A33" w:rsidRDefault="00B63017" w:rsidP="00B63017">
      <w:pPr>
        <w:spacing w:after="600"/>
        <w:jc w:val="center"/>
        <w:rPr>
          <w:rFonts w:ascii="Times New Roman" w:hAnsi="Times New Roman"/>
          <w:b/>
          <w:smallCaps/>
          <w:sz w:val="24"/>
          <w:lang w:val="en-GB"/>
        </w:rPr>
      </w:pPr>
      <w:r w:rsidRPr="004C6A33">
        <w:rPr>
          <w:rFonts w:ascii="Times New Roman" w:hAnsi="Times New Roman"/>
          <w:b/>
          <w:smallCaps/>
          <w:sz w:val="24"/>
          <w:lang w:val="en-GB"/>
        </w:rPr>
        <w:t xml:space="preserve">Mandate to CEPT </w:t>
      </w:r>
      <w:r w:rsidRPr="004C6A33">
        <w:rPr>
          <w:rFonts w:ascii="Times New Roman" w:hAnsi="Times New Roman"/>
          <w:b/>
          <w:smallCaps/>
          <w:sz w:val="24"/>
          <w:lang w:val="en-GB"/>
        </w:rPr>
        <w:br/>
        <w:t>to undertake studies on the harmonised technical conditions for the 1900-1920 MHz and 2010-2025 MHz frequency bands ("unpaired terrestrial 2 GHz band") in the EU</w:t>
      </w:r>
    </w:p>
    <w:p w14:paraId="3E816B7C" w14:textId="77777777" w:rsidR="00B63017" w:rsidRPr="004C6A33" w:rsidRDefault="00B63017" w:rsidP="004C6A33">
      <w:pPr>
        <w:rPr>
          <w:rFonts w:ascii="Times New Roman" w:hAnsi="Times New Roman"/>
          <w:b/>
          <w:sz w:val="24"/>
        </w:rPr>
      </w:pPr>
      <w:r w:rsidRPr="004C6A33">
        <w:rPr>
          <w:rFonts w:ascii="Times New Roman" w:hAnsi="Times New Roman"/>
          <w:b/>
          <w:sz w:val="24"/>
        </w:rPr>
        <w:t>PURPOSE</w:t>
      </w:r>
    </w:p>
    <w:p w14:paraId="060538E9" w14:textId="77777777" w:rsidR="00B63017" w:rsidRPr="004C6A33" w:rsidRDefault="00B63017" w:rsidP="00B63017">
      <w:pPr>
        <w:rPr>
          <w:rFonts w:ascii="Times New Roman" w:hAnsi="Times New Roman"/>
          <w:sz w:val="24"/>
          <w:lang w:val="en-GB"/>
        </w:rPr>
      </w:pPr>
    </w:p>
    <w:p w14:paraId="1164F35A" w14:textId="77777777" w:rsidR="00B63017" w:rsidRDefault="00B63017" w:rsidP="004C6A33">
      <w:pPr>
        <w:jc w:val="both"/>
        <w:rPr>
          <w:rFonts w:ascii="Times New Roman" w:hAnsi="Times New Roman"/>
          <w:sz w:val="24"/>
          <w:lang w:val="en-GB"/>
        </w:rPr>
      </w:pPr>
      <w:r w:rsidRPr="004C6A33">
        <w:rPr>
          <w:rFonts w:ascii="Times New Roman" w:hAnsi="Times New Roman"/>
          <w:sz w:val="24"/>
          <w:lang w:val="en-GB"/>
        </w:rPr>
        <w:t>The purpose of the UMTS Decision of 1999</w:t>
      </w:r>
      <w:r w:rsidRPr="004C6A33">
        <w:rPr>
          <w:rStyle w:val="FootnoteReference"/>
          <w:rFonts w:ascii="Times New Roman" w:hAnsi="Times New Roman"/>
          <w:sz w:val="24"/>
          <w:lang w:val="en-GB"/>
        </w:rPr>
        <w:footnoteReference w:id="10"/>
      </w:r>
      <w:r w:rsidRPr="004C6A33">
        <w:rPr>
          <w:rFonts w:ascii="Times New Roman" w:hAnsi="Times New Roman"/>
          <w:sz w:val="24"/>
          <w:lang w:val="en-GB"/>
        </w:rPr>
        <w:t xml:space="preserve">, which covered the frequency bands 1900-1980 MHz, 2010-2025 MHz and 2110-2170 MHz ('terrestrial 2 GHz band'), was to initiate the introduction of UMTS in the EU in a coherent manner. The UMTS Decision expired on 22 January 2003 and fulfilled its objectives. </w:t>
      </w:r>
      <w:proofErr w:type="gramStart"/>
      <w:r w:rsidRPr="004C6A33">
        <w:rPr>
          <w:rFonts w:ascii="Times New Roman" w:hAnsi="Times New Roman"/>
          <w:sz w:val="24"/>
          <w:lang w:val="en-GB"/>
        </w:rPr>
        <w:t>Any outstanding or related issues after 2003 such as on spectrum allocation, licensing or re-farming have been governed by the EU regulatory framework in electronic communications as well as the Radio Spectrum Decision 676/2002/EC</w:t>
      </w:r>
      <w:proofErr w:type="gramEnd"/>
      <w:r w:rsidRPr="004C6A33">
        <w:rPr>
          <w:rFonts w:ascii="Times New Roman" w:hAnsi="Times New Roman"/>
          <w:sz w:val="24"/>
          <w:lang w:val="en-GB"/>
        </w:rPr>
        <w:t xml:space="preserve"> since 2002.</w:t>
      </w:r>
    </w:p>
    <w:p w14:paraId="79FC29EE" w14:textId="77777777" w:rsidR="004C6A33" w:rsidRPr="004C6A33" w:rsidRDefault="004C6A33" w:rsidP="004C6A33">
      <w:pPr>
        <w:jc w:val="both"/>
        <w:rPr>
          <w:rFonts w:ascii="Times New Roman" w:hAnsi="Times New Roman"/>
          <w:sz w:val="24"/>
          <w:lang w:val="en-GB"/>
        </w:rPr>
      </w:pPr>
    </w:p>
    <w:p w14:paraId="68D879B7" w14:textId="77777777" w:rsidR="00B63017" w:rsidRDefault="00B63017" w:rsidP="004C6A33">
      <w:pPr>
        <w:jc w:val="both"/>
        <w:rPr>
          <w:rFonts w:ascii="Times New Roman" w:hAnsi="Times New Roman"/>
          <w:sz w:val="24"/>
          <w:lang w:val="en-GB"/>
        </w:rPr>
      </w:pPr>
      <w:proofErr w:type="gramStart"/>
      <w:r w:rsidRPr="004C6A33">
        <w:rPr>
          <w:rFonts w:ascii="Times New Roman" w:hAnsi="Times New Roman"/>
          <w:sz w:val="24"/>
          <w:lang w:val="en-GB"/>
        </w:rPr>
        <w:t>Even if licences for the unpaired terrestrial 2 GHz band, comprising the TDD bands 1900-1920 MHz and 2010-2025 MHz, have been granted to mobile operators in the EU for many years, the proven lack of use of these bands (see document RSCOM12-05) necessitates new harmonisation measures in order to ensure effective and efficient spectrum use in line with the EU regulatory framework and the "use it or lose it" approach endorsed by the Commission to the extent possible under the existing regulatory framework.</w:t>
      </w:r>
      <w:proofErr w:type="gramEnd"/>
    </w:p>
    <w:p w14:paraId="59E17DD4" w14:textId="77777777" w:rsidR="004C6A33" w:rsidRPr="004C6A33" w:rsidRDefault="004C6A33" w:rsidP="004C6A33">
      <w:pPr>
        <w:jc w:val="both"/>
        <w:rPr>
          <w:rFonts w:ascii="Times New Roman" w:hAnsi="Times New Roman"/>
          <w:sz w:val="24"/>
          <w:lang w:val="en-GB"/>
        </w:rPr>
      </w:pPr>
    </w:p>
    <w:p w14:paraId="53C26042" w14:textId="77777777" w:rsidR="00B63017" w:rsidRDefault="00B63017" w:rsidP="004C6A33">
      <w:pPr>
        <w:jc w:val="both"/>
        <w:rPr>
          <w:rFonts w:ascii="Times New Roman" w:hAnsi="Times New Roman"/>
          <w:sz w:val="24"/>
          <w:lang w:val="en-GB"/>
        </w:rPr>
      </w:pPr>
      <w:r w:rsidRPr="004C6A33">
        <w:rPr>
          <w:rFonts w:ascii="Times New Roman" w:hAnsi="Times New Roman"/>
          <w:sz w:val="24"/>
          <w:lang w:val="en-GB"/>
        </w:rPr>
        <w:t xml:space="preserve">Technical conditions for the provision of electronic communications services (ECS) in the unpaired terrestrial 2 GHz band </w:t>
      </w:r>
      <w:proofErr w:type="gramStart"/>
      <w:r w:rsidRPr="004C6A33">
        <w:rPr>
          <w:rFonts w:ascii="Times New Roman" w:hAnsi="Times New Roman"/>
          <w:sz w:val="24"/>
          <w:lang w:val="en-GB"/>
        </w:rPr>
        <w:t>have been developed</w:t>
      </w:r>
      <w:proofErr w:type="gramEnd"/>
      <w:r w:rsidRPr="004C6A33">
        <w:rPr>
          <w:rFonts w:ascii="Times New Roman" w:hAnsi="Times New Roman"/>
          <w:sz w:val="24"/>
          <w:lang w:val="en-GB"/>
        </w:rPr>
        <w:t xml:space="preserve"> under the initial Commission's Mandate to CEPT</w:t>
      </w:r>
      <w:r w:rsidRPr="004C6A33">
        <w:rPr>
          <w:rStyle w:val="FootnoteReference"/>
          <w:rFonts w:ascii="Times New Roman" w:hAnsi="Times New Roman"/>
          <w:sz w:val="24"/>
          <w:lang w:val="en-GB"/>
        </w:rPr>
        <w:footnoteReference w:id="11"/>
      </w:r>
      <w:r w:rsidRPr="004C6A33">
        <w:rPr>
          <w:rFonts w:ascii="Times New Roman" w:hAnsi="Times New Roman"/>
          <w:sz w:val="24"/>
          <w:lang w:val="en-GB"/>
        </w:rPr>
        <w:t xml:space="preserve"> in CEPT Report 39</w:t>
      </w:r>
      <w:r w:rsidRPr="004C6A33">
        <w:rPr>
          <w:rStyle w:val="FootnoteReference"/>
          <w:rFonts w:ascii="Times New Roman" w:hAnsi="Times New Roman"/>
          <w:sz w:val="24"/>
          <w:lang w:val="en-GB"/>
        </w:rPr>
        <w:footnoteReference w:id="12"/>
      </w:r>
      <w:r w:rsidRPr="004C6A33">
        <w:rPr>
          <w:rFonts w:ascii="Times New Roman" w:hAnsi="Times New Roman"/>
          <w:sz w:val="24"/>
          <w:lang w:val="en-GB"/>
        </w:rPr>
        <w:t xml:space="preserve">. Unless demonstrated in the course of the work to </w:t>
      </w:r>
      <w:proofErr w:type="gramStart"/>
      <w:r w:rsidRPr="004C6A33">
        <w:rPr>
          <w:rFonts w:ascii="Times New Roman" w:hAnsi="Times New Roman"/>
          <w:sz w:val="24"/>
          <w:lang w:val="en-GB"/>
        </w:rPr>
        <w:t>be done</w:t>
      </w:r>
      <w:proofErr w:type="gramEnd"/>
      <w:r w:rsidRPr="004C6A33">
        <w:rPr>
          <w:rFonts w:ascii="Times New Roman" w:hAnsi="Times New Roman"/>
          <w:sz w:val="24"/>
          <w:lang w:val="en-GB"/>
        </w:rPr>
        <w:t xml:space="preserve"> under this Mandate that new technological developments in electronic communications should be taken into account, there is no need to revise those results. Therefore, this Mandate should cover as a priority uses not covered by CEPT Report 39, primarily non-ECS uses.</w:t>
      </w:r>
    </w:p>
    <w:p w14:paraId="3AA51D49" w14:textId="77777777" w:rsidR="004C6A33" w:rsidRPr="004C6A33" w:rsidRDefault="004C6A33" w:rsidP="004C6A33">
      <w:pPr>
        <w:jc w:val="both"/>
        <w:rPr>
          <w:rFonts w:ascii="Times New Roman" w:hAnsi="Times New Roman"/>
          <w:sz w:val="24"/>
          <w:lang w:val="en-GB"/>
        </w:rPr>
      </w:pPr>
    </w:p>
    <w:p w14:paraId="62F3AAB4" w14:textId="77777777" w:rsidR="00B63017" w:rsidRPr="004C6A33" w:rsidRDefault="00B63017" w:rsidP="004C6A33">
      <w:pPr>
        <w:jc w:val="both"/>
        <w:rPr>
          <w:rFonts w:ascii="Times New Roman" w:hAnsi="Times New Roman"/>
          <w:sz w:val="24"/>
          <w:lang w:val="en-GB"/>
        </w:rPr>
      </w:pPr>
      <w:r w:rsidRPr="004C6A33">
        <w:rPr>
          <w:rFonts w:ascii="Times New Roman" w:hAnsi="Times New Roman"/>
          <w:sz w:val="24"/>
          <w:lang w:val="en-GB"/>
        </w:rPr>
        <w:t>Therefore, the purpose of this Mandate is to assess and identify alternative uses of the unpaired terrestrial 2 GHz band other than for the provision of mobile electronic communications services (as introduced by the UMTS Decision) as well as develop relevant least restrictive technical conditions for spectrum use. The deliverables should aim at ensuring effective and efficient spectrum use by one or more applications while also exploiting the possibility of beneficial sharing arrangements between different applications.</w:t>
      </w:r>
    </w:p>
    <w:p w14:paraId="38E8965B" w14:textId="77777777" w:rsidR="00B63017" w:rsidRPr="004C6A33" w:rsidRDefault="00B63017" w:rsidP="00B63017">
      <w:pPr>
        <w:rPr>
          <w:rFonts w:ascii="Times New Roman" w:hAnsi="Times New Roman"/>
          <w:sz w:val="24"/>
          <w:lang w:val="en-GB"/>
        </w:rPr>
      </w:pPr>
    </w:p>
    <w:p w14:paraId="4DDCE82A" w14:textId="4FC232C1" w:rsidR="004C6A33" w:rsidRDefault="004C6A33">
      <w:pPr>
        <w:rPr>
          <w:rFonts w:ascii="Times New Roman" w:hAnsi="Times New Roman"/>
          <w:sz w:val="24"/>
          <w:lang w:val="en-GB"/>
        </w:rPr>
      </w:pPr>
      <w:r>
        <w:rPr>
          <w:rFonts w:ascii="Times New Roman" w:hAnsi="Times New Roman"/>
          <w:sz w:val="24"/>
          <w:lang w:val="en-GB"/>
        </w:rPr>
        <w:br w:type="page"/>
      </w:r>
    </w:p>
    <w:p w14:paraId="2EC37B8F" w14:textId="77777777" w:rsidR="00B63017" w:rsidRPr="004C6A33" w:rsidRDefault="00B63017" w:rsidP="00B63017">
      <w:pPr>
        <w:rPr>
          <w:rFonts w:ascii="Times New Roman" w:hAnsi="Times New Roman"/>
          <w:b/>
          <w:sz w:val="24"/>
          <w:lang w:val="en-GB"/>
        </w:rPr>
      </w:pPr>
      <w:r w:rsidRPr="004C6A33">
        <w:rPr>
          <w:rFonts w:ascii="Times New Roman" w:hAnsi="Times New Roman"/>
          <w:b/>
          <w:sz w:val="24"/>
          <w:lang w:val="en-GB"/>
        </w:rPr>
        <w:lastRenderedPageBreak/>
        <w:t>JUSTIFICATION</w:t>
      </w:r>
    </w:p>
    <w:p w14:paraId="1C67F0CC" w14:textId="77777777" w:rsidR="00B63017" w:rsidRPr="004C6A33" w:rsidRDefault="00B63017" w:rsidP="00B63017">
      <w:pPr>
        <w:rPr>
          <w:rFonts w:ascii="Times New Roman" w:hAnsi="Times New Roman"/>
          <w:sz w:val="24"/>
          <w:lang w:val="en-GB"/>
        </w:rPr>
      </w:pPr>
    </w:p>
    <w:p w14:paraId="5A8D7F66" w14:textId="77777777" w:rsidR="00B63017" w:rsidRDefault="00B63017" w:rsidP="004C6A33">
      <w:pPr>
        <w:jc w:val="both"/>
        <w:rPr>
          <w:rFonts w:ascii="Times New Roman" w:hAnsi="Times New Roman"/>
          <w:sz w:val="24"/>
          <w:lang w:val="en-GB"/>
        </w:rPr>
      </w:pPr>
      <w:r w:rsidRPr="004C6A33">
        <w:rPr>
          <w:rFonts w:ascii="Times New Roman" w:hAnsi="Times New Roman"/>
          <w:sz w:val="24"/>
          <w:lang w:val="en-GB"/>
        </w:rPr>
        <w:t xml:space="preserve">Pursuant to Article 4(2) of the Radio Spectrum </w:t>
      </w:r>
      <w:proofErr w:type="gramStart"/>
      <w:r w:rsidRPr="004C6A33">
        <w:rPr>
          <w:rFonts w:ascii="Times New Roman" w:hAnsi="Times New Roman"/>
          <w:sz w:val="24"/>
          <w:lang w:val="en-GB"/>
        </w:rPr>
        <w:t>Decision</w:t>
      </w:r>
      <w:proofErr w:type="gramEnd"/>
      <w:r w:rsidRPr="004C6A33">
        <w:rPr>
          <w:rStyle w:val="FootnoteReference"/>
          <w:rFonts w:ascii="Times New Roman" w:hAnsi="Times New Roman"/>
          <w:sz w:val="24"/>
          <w:lang w:val="en-GB"/>
        </w:rPr>
        <w:footnoteReference w:id="13"/>
      </w:r>
      <w:r w:rsidRPr="004C6A33">
        <w:rPr>
          <w:rFonts w:ascii="Times New Roman" w:hAnsi="Times New Roman"/>
          <w:sz w:val="24"/>
          <w:lang w:val="en-GB"/>
        </w:rPr>
        <w:t xml:space="preserve"> the Commission may issue mandates to the CEPT for the development of technical implementing measures with a view to ensuring harmonised conditions for the availability and efficient use of radio spectrum necessary for the functioning of the internal market. Such mandates shall set the tasks to </w:t>
      </w:r>
      <w:proofErr w:type="gramStart"/>
      <w:r w:rsidRPr="004C6A33">
        <w:rPr>
          <w:rFonts w:ascii="Times New Roman" w:hAnsi="Times New Roman"/>
          <w:sz w:val="24"/>
          <w:lang w:val="en-GB"/>
        </w:rPr>
        <w:t>be performed</w:t>
      </w:r>
      <w:proofErr w:type="gramEnd"/>
      <w:r w:rsidRPr="004C6A33">
        <w:rPr>
          <w:rFonts w:ascii="Times New Roman" w:hAnsi="Times New Roman"/>
          <w:sz w:val="24"/>
          <w:lang w:val="en-GB"/>
        </w:rPr>
        <w:t xml:space="preserve"> and their timetable. </w:t>
      </w:r>
    </w:p>
    <w:p w14:paraId="6B61493E" w14:textId="77777777" w:rsidR="004C6A33" w:rsidRPr="004C6A33" w:rsidRDefault="004C6A33" w:rsidP="004C6A33">
      <w:pPr>
        <w:jc w:val="both"/>
        <w:rPr>
          <w:rFonts w:ascii="Times New Roman" w:hAnsi="Times New Roman"/>
          <w:sz w:val="24"/>
          <w:lang w:val="en-GB"/>
        </w:rPr>
      </w:pPr>
    </w:p>
    <w:p w14:paraId="015D5C3A" w14:textId="77777777" w:rsidR="00B63017" w:rsidRDefault="00B63017" w:rsidP="004C6A33">
      <w:pPr>
        <w:jc w:val="both"/>
        <w:rPr>
          <w:rFonts w:ascii="Times New Roman" w:hAnsi="Times New Roman"/>
          <w:sz w:val="24"/>
          <w:lang w:val="en-GB"/>
        </w:rPr>
      </w:pPr>
      <w:r w:rsidRPr="004C6A33">
        <w:rPr>
          <w:rFonts w:ascii="Times New Roman" w:hAnsi="Times New Roman"/>
          <w:sz w:val="24"/>
          <w:lang w:val="en-GB"/>
        </w:rPr>
        <w:t xml:space="preserve">In response to the Mandate by the Commission, CEPT Report 39 lays down least restrictive harmonised technical conditions for use of the terrestrial 2 GHz band for the provision of two-way mobile electronic communications services. However, the technical conditions for the unpaired (TDD) bands impose significant restrictions regarding the amount of usable spectrum or the admissible transmit power levels in order to protect operations in adjacent frequency bands, mainly the FDD uplink band above 1920 MHz, from harmful interference. </w:t>
      </w:r>
    </w:p>
    <w:p w14:paraId="0E43B38E" w14:textId="77777777" w:rsidR="004C6A33" w:rsidRPr="004C6A33" w:rsidRDefault="004C6A33" w:rsidP="004C6A33">
      <w:pPr>
        <w:jc w:val="both"/>
        <w:rPr>
          <w:rFonts w:ascii="Times New Roman" w:hAnsi="Times New Roman"/>
          <w:sz w:val="24"/>
          <w:lang w:val="en-GB"/>
        </w:rPr>
      </w:pPr>
    </w:p>
    <w:p w14:paraId="75A7CD52" w14:textId="77777777" w:rsidR="00B63017" w:rsidRDefault="00B63017" w:rsidP="004C6A33">
      <w:pPr>
        <w:jc w:val="both"/>
        <w:rPr>
          <w:rFonts w:ascii="Times New Roman" w:hAnsi="Times New Roman"/>
          <w:sz w:val="24"/>
          <w:lang w:val="en-GB"/>
        </w:rPr>
      </w:pPr>
      <w:r w:rsidRPr="004C6A33">
        <w:rPr>
          <w:rFonts w:ascii="Times New Roman" w:hAnsi="Times New Roman"/>
          <w:sz w:val="24"/>
          <w:lang w:val="en-GB"/>
        </w:rPr>
        <w:t xml:space="preserve">Currently, the frequency band 1900-1920 MHz </w:t>
      </w:r>
      <w:proofErr w:type="gramStart"/>
      <w:r w:rsidRPr="004C6A33">
        <w:rPr>
          <w:rFonts w:ascii="Times New Roman" w:hAnsi="Times New Roman"/>
          <w:sz w:val="24"/>
          <w:lang w:val="en-GB"/>
        </w:rPr>
        <w:t>is licensed</w:t>
      </w:r>
      <w:proofErr w:type="gramEnd"/>
      <w:r w:rsidRPr="004C6A33">
        <w:rPr>
          <w:rFonts w:ascii="Times New Roman" w:hAnsi="Times New Roman"/>
          <w:sz w:val="24"/>
          <w:lang w:val="en-GB"/>
        </w:rPr>
        <w:t xml:space="preserve"> to mobile operators for the provision of electronic communications services in most EU Member States, whereby the licences are mainly limited to UMTS/IMT-2000 TDD technology</w:t>
      </w:r>
      <w:r w:rsidRPr="004C6A33">
        <w:rPr>
          <w:rStyle w:val="FootnoteReference"/>
          <w:rFonts w:ascii="Times New Roman" w:hAnsi="Times New Roman"/>
          <w:sz w:val="24"/>
          <w:lang w:val="en-GB"/>
        </w:rPr>
        <w:footnoteReference w:id="14"/>
      </w:r>
      <w:r w:rsidRPr="004C6A33">
        <w:rPr>
          <w:rFonts w:ascii="Times New Roman" w:hAnsi="Times New Roman"/>
          <w:sz w:val="24"/>
          <w:lang w:val="en-GB"/>
        </w:rPr>
        <w:t xml:space="preserve">. On the other hand, the frequency band 2010-2025 MHz </w:t>
      </w:r>
      <w:proofErr w:type="gramStart"/>
      <w:r w:rsidRPr="004C6A33">
        <w:rPr>
          <w:rFonts w:ascii="Times New Roman" w:hAnsi="Times New Roman"/>
          <w:sz w:val="24"/>
          <w:lang w:val="en-GB"/>
        </w:rPr>
        <w:t>is licensed</w:t>
      </w:r>
      <w:proofErr w:type="gramEnd"/>
      <w:r w:rsidRPr="004C6A33">
        <w:rPr>
          <w:rFonts w:ascii="Times New Roman" w:hAnsi="Times New Roman"/>
          <w:sz w:val="24"/>
          <w:lang w:val="en-GB"/>
        </w:rPr>
        <w:t xml:space="preserve"> to mobile operators in just few Member States for the provision of electronic communications services, in some cases in a technology-neutral way. Both bands </w:t>
      </w:r>
      <w:proofErr w:type="gramStart"/>
      <w:r w:rsidRPr="004C6A33">
        <w:rPr>
          <w:rFonts w:ascii="Times New Roman" w:hAnsi="Times New Roman"/>
          <w:sz w:val="24"/>
          <w:lang w:val="en-GB"/>
        </w:rPr>
        <w:t>are not used</w:t>
      </w:r>
      <w:proofErr w:type="gramEnd"/>
      <w:r w:rsidRPr="004C6A33">
        <w:rPr>
          <w:rFonts w:ascii="Times New Roman" w:hAnsi="Times New Roman"/>
          <w:sz w:val="24"/>
          <w:lang w:val="en-GB"/>
        </w:rPr>
        <w:t xml:space="preserve"> in the EU. Recently, the lack of interest of mobile operators for spectrum in the unpaired terrestrial 2 GHz band </w:t>
      </w:r>
      <w:proofErr w:type="gramStart"/>
      <w:r w:rsidRPr="004C6A33">
        <w:rPr>
          <w:rFonts w:ascii="Times New Roman" w:hAnsi="Times New Roman"/>
          <w:sz w:val="24"/>
          <w:lang w:val="en-GB"/>
        </w:rPr>
        <w:t>has been demonstrated</w:t>
      </w:r>
      <w:proofErr w:type="gramEnd"/>
      <w:r w:rsidRPr="004C6A33">
        <w:rPr>
          <w:rFonts w:ascii="Times New Roman" w:hAnsi="Times New Roman"/>
          <w:sz w:val="24"/>
          <w:lang w:val="en-GB"/>
        </w:rPr>
        <w:t xml:space="preserve"> during the auctions in Italy and Portugal in 2011, where the 2010-2025 MHz band was put on offer but remained unsold. </w:t>
      </w:r>
    </w:p>
    <w:p w14:paraId="564C14F1" w14:textId="77777777" w:rsidR="004C6A33" w:rsidRPr="004C6A33" w:rsidRDefault="004C6A33" w:rsidP="004C6A33">
      <w:pPr>
        <w:jc w:val="both"/>
        <w:rPr>
          <w:rFonts w:ascii="Times New Roman" w:hAnsi="Times New Roman"/>
          <w:sz w:val="24"/>
          <w:lang w:val="en-GB"/>
        </w:rPr>
      </w:pPr>
    </w:p>
    <w:p w14:paraId="417CC218" w14:textId="77777777" w:rsidR="00B63017" w:rsidRDefault="00B63017" w:rsidP="004C6A33">
      <w:pPr>
        <w:jc w:val="both"/>
        <w:rPr>
          <w:rFonts w:ascii="Times New Roman" w:hAnsi="Times New Roman"/>
          <w:sz w:val="24"/>
          <w:lang w:val="en-GB"/>
        </w:rPr>
      </w:pPr>
      <w:r w:rsidRPr="004C6A33">
        <w:rPr>
          <w:rFonts w:ascii="Times New Roman" w:hAnsi="Times New Roman"/>
          <w:sz w:val="24"/>
          <w:lang w:val="en-GB"/>
        </w:rPr>
        <w:t xml:space="preserve">Therefore, the effective and efficient use of the 1900-1920 MHz and 2010-2025 MHz frequency bands </w:t>
      </w:r>
      <w:proofErr w:type="gramStart"/>
      <w:r w:rsidRPr="004C6A33">
        <w:rPr>
          <w:rFonts w:ascii="Times New Roman" w:hAnsi="Times New Roman"/>
          <w:sz w:val="24"/>
          <w:lang w:val="en-GB"/>
        </w:rPr>
        <w:t>is handicapped</w:t>
      </w:r>
      <w:proofErr w:type="gramEnd"/>
      <w:r w:rsidRPr="004C6A33">
        <w:rPr>
          <w:rFonts w:ascii="Times New Roman" w:hAnsi="Times New Roman"/>
          <w:sz w:val="24"/>
          <w:lang w:val="en-GB"/>
        </w:rPr>
        <w:t xml:space="preserve"> by the lack of business interest of current rights' holders or other potential stakeholders from the mobile domain. This </w:t>
      </w:r>
      <w:proofErr w:type="gramStart"/>
      <w:r w:rsidRPr="004C6A33">
        <w:rPr>
          <w:rFonts w:ascii="Times New Roman" w:hAnsi="Times New Roman"/>
          <w:sz w:val="24"/>
          <w:lang w:val="en-GB"/>
        </w:rPr>
        <w:t>may be explained</w:t>
      </w:r>
      <w:proofErr w:type="gramEnd"/>
      <w:r w:rsidRPr="004C6A33">
        <w:rPr>
          <w:rFonts w:ascii="Times New Roman" w:hAnsi="Times New Roman"/>
          <w:sz w:val="24"/>
          <w:lang w:val="en-GB"/>
        </w:rPr>
        <w:t xml:space="preserve"> with the limited overall bandwidth of each of these bands and the coexistence limitations between multiple mobile networks</w:t>
      </w:r>
      <w:r w:rsidRPr="004C6A33">
        <w:rPr>
          <w:rStyle w:val="FootnoteReference"/>
          <w:rFonts w:ascii="Times New Roman" w:hAnsi="Times New Roman"/>
          <w:sz w:val="24"/>
          <w:lang w:val="en-GB"/>
        </w:rPr>
        <w:footnoteReference w:id="15"/>
      </w:r>
      <w:r w:rsidRPr="004C6A33">
        <w:rPr>
          <w:rFonts w:ascii="Times New Roman" w:hAnsi="Times New Roman"/>
          <w:sz w:val="24"/>
          <w:lang w:val="en-GB"/>
        </w:rPr>
        <w:t xml:space="preserve">, which reduce the number of independent mobile broadband operators in each band (operating on a channel of at least 10 MHz) to one or two. The lack of demand for unpaired 2 GHz spectrum has </w:t>
      </w:r>
      <w:proofErr w:type="spellStart"/>
      <w:r w:rsidRPr="004C6A33">
        <w:rPr>
          <w:rFonts w:ascii="Times New Roman" w:hAnsi="Times New Roman"/>
          <w:sz w:val="24"/>
          <w:lang w:val="en-GB"/>
        </w:rPr>
        <w:t>lead</w:t>
      </w:r>
      <w:proofErr w:type="spellEnd"/>
      <w:r w:rsidRPr="004C6A33">
        <w:rPr>
          <w:rFonts w:ascii="Times New Roman" w:hAnsi="Times New Roman"/>
          <w:sz w:val="24"/>
          <w:lang w:val="en-GB"/>
        </w:rPr>
        <w:t xml:space="preserve"> to the absence of equipment and an ecosystem. Therefore, the Commission considers that there is no viable harmonisation option within the mobile broadband context for both bands so that it becomes necessary to focus on alternative scenarios for the harmonised use of the unpaired terrestrial 2 GHz band that can justify demand and demonstrate socio-economic benefits.</w:t>
      </w:r>
    </w:p>
    <w:p w14:paraId="3FCC50E5" w14:textId="77777777" w:rsidR="004C6A33" w:rsidRPr="004C6A33" w:rsidRDefault="004C6A33" w:rsidP="004C6A33">
      <w:pPr>
        <w:jc w:val="both"/>
        <w:rPr>
          <w:rFonts w:ascii="Times New Roman" w:hAnsi="Times New Roman"/>
          <w:sz w:val="24"/>
          <w:lang w:val="en-GB"/>
        </w:rPr>
      </w:pPr>
    </w:p>
    <w:p w14:paraId="6A2EE91C" w14:textId="77777777" w:rsidR="00B63017" w:rsidRDefault="00B63017" w:rsidP="004C6A33">
      <w:pPr>
        <w:jc w:val="both"/>
        <w:rPr>
          <w:rFonts w:ascii="Times New Roman" w:hAnsi="Times New Roman"/>
          <w:sz w:val="24"/>
          <w:lang w:val="en-GB"/>
        </w:rPr>
      </w:pPr>
      <w:proofErr w:type="gramStart"/>
      <w:r w:rsidRPr="004C6A33">
        <w:rPr>
          <w:rFonts w:ascii="Times New Roman" w:hAnsi="Times New Roman"/>
          <w:sz w:val="24"/>
          <w:lang w:val="en-GB"/>
        </w:rPr>
        <w:t>In this regard, the principles and objectives set out by the Radio Spectrum Policy Programme (RSPP) must be duly taken into account, as well as the spectrum needs of specific Union policies</w:t>
      </w:r>
      <w:r w:rsidRPr="004C6A33">
        <w:rPr>
          <w:rStyle w:val="FootnoteReference"/>
          <w:rFonts w:ascii="Times New Roman" w:hAnsi="Times New Roman"/>
          <w:sz w:val="24"/>
          <w:lang w:val="en-GB"/>
        </w:rPr>
        <w:footnoteReference w:id="16"/>
      </w:r>
      <w:r w:rsidRPr="004C6A33">
        <w:rPr>
          <w:rFonts w:ascii="Times New Roman" w:hAnsi="Times New Roman"/>
          <w:sz w:val="24"/>
          <w:lang w:val="en-GB"/>
        </w:rPr>
        <w:t xml:space="preserve"> such as improving energy saving and efficiency, public protection and disaster relief (PPDR), the Internet of Things (</w:t>
      </w:r>
      <w:proofErr w:type="spellStart"/>
      <w:r w:rsidRPr="004C6A33">
        <w:rPr>
          <w:rFonts w:ascii="Times New Roman" w:hAnsi="Times New Roman"/>
          <w:sz w:val="24"/>
          <w:lang w:val="en-GB"/>
        </w:rPr>
        <w:t>IoT</w:t>
      </w:r>
      <w:proofErr w:type="spellEnd"/>
      <w:r w:rsidRPr="004C6A33">
        <w:rPr>
          <w:rFonts w:ascii="Times New Roman" w:hAnsi="Times New Roman"/>
          <w:sz w:val="24"/>
          <w:lang w:val="en-GB"/>
        </w:rPr>
        <w:t>), programme making and special events (PMSE)</w:t>
      </w:r>
      <w:bookmarkStart w:id="149" w:name="_Ref380053157"/>
      <w:r w:rsidRPr="004C6A33">
        <w:rPr>
          <w:rStyle w:val="FootnoteReference"/>
          <w:rFonts w:ascii="Times New Roman" w:hAnsi="Times New Roman"/>
          <w:sz w:val="24"/>
          <w:lang w:val="en-GB"/>
        </w:rPr>
        <w:footnoteReference w:id="17"/>
      </w:r>
      <w:bookmarkEnd w:id="149"/>
      <w:r w:rsidRPr="004C6A33">
        <w:rPr>
          <w:rFonts w:ascii="Times New Roman" w:hAnsi="Times New Roman"/>
          <w:sz w:val="24"/>
          <w:lang w:val="en-GB"/>
        </w:rPr>
        <w:t xml:space="preserve"> as well as for innovative applications that may have a major socio-economic impact and/or potential for investment.</w:t>
      </w:r>
      <w:proofErr w:type="gramEnd"/>
    </w:p>
    <w:p w14:paraId="1C4837E3" w14:textId="77777777" w:rsidR="004C6A33" w:rsidRPr="004C6A33" w:rsidRDefault="004C6A33" w:rsidP="004C6A33">
      <w:pPr>
        <w:jc w:val="both"/>
        <w:rPr>
          <w:rFonts w:ascii="Times New Roman" w:hAnsi="Times New Roman"/>
          <w:sz w:val="24"/>
          <w:lang w:val="en-GB"/>
        </w:rPr>
      </w:pPr>
    </w:p>
    <w:p w14:paraId="24B1C192" w14:textId="77777777" w:rsidR="00B63017" w:rsidRDefault="00B63017" w:rsidP="004C6A33">
      <w:pPr>
        <w:jc w:val="both"/>
        <w:rPr>
          <w:rFonts w:ascii="Times New Roman" w:hAnsi="Times New Roman"/>
          <w:sz w:val="24"/>
          <w:lang w:val="en-GB"/>
        </w:rPr>
      </w:pPr>
      <w:r w:rsidRPr="004C6A33">
        <w:rPr>
          <w:rFonts w:ascii="Times New Roman" w:hAnsi="Times New Roman"/>
          <w:sz w:val="24"/>
          <w:lang w:val="en-GB"/>
        </w:rPr>
        <w:lastRenderedPageBreak/>
        <w:t xml:space="preserve">Furthermore, </w:t>
      </w:r>
      <w:proofErr w:type="gramStart"/>
      <w:r w:rsidRPr="004C6A33">
        <w:rPr>
          <w:rFonts w:ascii="Times New Roman" w:hAnsi="Times New Roman"/>
          <w:sz w:val="24"/>
          <w:lang w:val="en-GB"/>
        </w:rPr>
        <w:t>as a result</w:t>
      </w:r>
      <w:proofErr w:type="gramEnd"/>
      <w:r w:rsidRPr="004C6A33">
        <w:rPr>
          <w:rFonts w:ascii="Times New Roman" w:hAnsi="Times New Roman"/>
          <w:sz w:val="24"/>
          <w:lang w:val="en-GB"/>
        </w:rPr>
        <w:t xml:space="preserve"> of the public consultation of the Commission on the introduction of EU-wide technical harmonisation conditions for the terrestrial 2 GHz band (15 November 2011 - 28 January 2012)</w:t>
      </w:r>
      <w:r w:rsidRPr="004C6A33">
        <w:rPr>
          <w:rStyle w:val="FootnoteReference"/>
          <w:rFonts w:ascii="Times New Roman" w:hAnsi="Times New Roman"/>
          <w:sz w:val="24"/>
          <w:lang w:val="en-GB"/>
        </w:rPr>
        <w:footnoteReference w:id="18"/>
      </w:r>
      <w:r w:rsidRPr="004C6A33">
        <w:rPr>
          <w:rFonts w:ascii="Times New Roman" w:hAnsi="Times New Roman"/>
          <w:sz w:val="24"/>
          <w:lang w:val="en-GB"/>
        </w:rPr>
        <w:t xml:space="preserve">, a number of respondents proposed alternative uses of the 1900-1920 MHz and 2010-2025 MHz frequency bands. These include broadband PPDR, DECT, Direct-Air-to-Ground Communications (DA2GC), PMSE (e.g. wireless cameras), short range devices (SRD), backhaul relay links of mobile networks, mobile IP services with quality-of-service management based on the IEEE 802.20 standard. Some of these proposals correspond to sectors or policies outside of wireless broadband, which </w:t>
      </w:r>
      <w:proofErr w:type="gramStart"/>
      <w:r w:rsidRPr="004C6A33">
        <w:rPr>
          <w:rFonts w:ascii="Times New Roman" w:hAnsi="Times New Roman"/>
          <w:sz w:val="24"/>
          <w:lang w:val="en-GB"/>
        </w:rPr>
        <w:t>have been identified</w:t>
      </w:r>
      <w:proofErr w:type="gramEnd"/>
      <w:r w:rsidRPr="004C6A33">
        <w:rPr>
          <w:rFonts w:ascii="Times New Roman" w:hAnsi="Times New Roman"/>
          <w:sz w:val="24"/>
          <w:lang w:val="en-GB"/>
        </w:rPr>
        <w:t xml:space="preserve"> by the RSPP as requiring special attention, and all are aligned with the RSPP's policies and objectives.</w:t>
      </w:r>
    </w:p>
    <w:p w14:paraId="7897C589" w14:textId="77777777" w:rsidR="004C6A33" w:rsidRPr="004C6A33" w:rsidRDefault="004C6A33" w:rsidP="004C6A33">
      <w:pPr>
        <w:jc w:val="both"/>
        <w:rPr>
          <w:rFonts w:ascii="Times New Roman" w:hAnsi="Times New Roman"/>
          <w:sz w:val="24"/>
          <w:lang w:val="en-GB"/>
        </w:rPr>
      </w:pPr>
    </w:p>
    <w:p w14:paraId="525BD52E" w14:textId="77777777" w:rsidR="00B63017" w:rsidRPr="004C6A33" w:rsidRDefault="00B63017" w:rsidP="004C6A33">
      <w:pPr>
        <w:jc w:val="both"/>
        <w:rPr>
          <w:rFonts w:ascii="Times New Roman" w:hAnsi="Times New Roman"/>
          <w:sz w:val="24"/>
          <w:lang w:val="en-GB"/>
        </w:rPr>
      </w:pPr>
      <w:r w:rsidRPr="004C6A33">
        <w:rPr>
          <w:rFonts w:ascii="Times New Roman" w:hAnsi="Times New Roman"/>
          <w:sz w:val="24"/>
          <w:lang w:val="en-GB"/>
        </w:rPr>
        <w:t xml:space="preserve">In view of the above, the Commission services have identified the following </w:t>
      </w:r>
      <w:r w:rsidRPr="004C6A33">
        <w:rPr>
          <w:rFonts w:ascii="Times New Roman" w:hAnsi="Times New Roman"/>
          <w:i/>
          <w:sz w:val="24"/>
          <w:lang w:val="en-GB"/>
        </w:rPr>
        <w:t>shortlist</w:t>
      </w:r>
      <w:r w:rsidRPr="004C6A33">
        <w:rPr>
          <w:rFonts w:ascii="Times New Roman" w:hAnsi="Times New Roman"/>
          <w:sz w:val="24"/>
          <w:lang w:val="en-GB"/>
        </w:rPr>
        <w:t xml:space="preserve"> of potential harmonised uses of the 1900-1920 MHz and 2010-2025 MHz frequency bands to </w:t>
      </w:r>
      <w:proofErr w:type="gramStart"/>
      <w:r w:rsidRPr="004C6A33">
        <w:rPr>
          <w:rFonts w:ascii="Times New Roman" w:hAnsi="Times New Roman"/>
          <w:sz w:val="24"/>
          <w:lang w:val="en-GB"/>
        </w:rPr>
        <w:t>be given</w:t>
      </w:r>
      <w:proofErr w:type="gramEnd"/>
      <w:r w:rsidRPr="004C6A33">
        <w:rPr>
          <w:rFonts w:ascii="Times New Roman" w:hAnsi="Times New Roman"/>
          <w:sz w:val="24"/>
          <w:lang w:val="en-GB"/>
        </w:rPr>
        <w:t xml:space="preserve"> priority</w:t>
      </w:r>
      <w:r w:rsidRPr="004C6A33">
        <w:rPr>
          <w:rStyle w:val="FootnoteReference"/>
          <w:rFonts w:ascii="Times New Roman" w:hAnsi="Times New Roman"/>
          <w:sz w:val="24"/>
          <w:lang w:val="en-GB"/>
        </w:rPr>
        <w:footnoteReference w:id="19"/>
      </w:r>
      <w:r w:rsidRPr="004C6A33">
        <w:rPr>
          <w:rFonts w:ascii="Times New Roman" w:hAnsi="Times New Roman"/>
          <w:sz w:val="24"/>
          <w:lang w:val="en-GB"/>
        </w:rPr>
        <w:t xml:space="preserve"> in this Mandate:</w:t>
      </w:r>
    </w:p>
    <w:p w14:paraId="280E2911" w14:textId="77777777" w:rsidR="00B63017" w:rsidRPr="004C6A33" w:rsidRDefault="00B63017" w:rsidP="004C6A33">
      <w:pPr>
        <w:jc w:val="both"/>
        <w:rPr>
          <w:rFonts w:ascii="Times New Roman" w:hAnsi="Times New Roman"/>
          <w:sz w:val="24"/>
          <w:lang w:val="en-GB"/>
        </w:rPr>
      </w:pPr>
    </w:p>
    <w:p w14:paraId="424A4578" w14:textId="77777777" w:rsidR="00B63017" w:rsidRPr="004C6A33" w:rsidRDefault="00B63017" w:rsidP="004C6A33">
      <w:pPr>
        <w:pStyle w:val="ListNumber"/>
        <w:rPr>
          <w:szCs w:val="24"/>
        </w:rPr>
      </w:pPr>
      <w:r w:rsidRPr="004C6A33">
        <w:rPr>
          <w:szCs w:val="24"/>
        </w:rPr>
        <w:t>PPDR, most likely with preference to ad-hoc (non-permanent) PPDR networks.</w:t>
      </w:r>
    </w:p>
    <w:p w14:paraId="3657F3B2" w14:textId="77777777" w:rsidR="00B63017" w:rsidRPr="004C6A33" w:rsidRDefault="00B63017" w:rsidP="004C6A33">
      <w:pPr>
        <w:pStyle w:val="ListNumber"/>
        <w:rPr>
          <w:szCs w:val="24"/>
        </w:rPr>
      </w:pPr>
      <w:proofErr w:type="gramStart"/>
      <w:r w:rsidRPr="004C6A33">
        <w:rPr>
          <w:szCs w:val="24"/>
        </w:rPr>
        <w:t>PMSE, preferably for use by wireless cameras</w:t>
      </w:r>
      <w:r w:rsidR="00531617" w:rsidRPr="004C6A33">
        <w:rPr>
          <w:szCs w:val="24"/>
        </w:rPr>
        <w:fldChar w:fldCharType="begin"/>
      </w:r>
      <w:r w:rsidR="00531617" w:rsidRPr="004C6A33">
        <w:rPr>
          <w:szCs w:val="24"/>
        </w:rPr>
        <w:instrText xml:space="preserve"> NOTEREF _Ref380053157 \h  \* MERGEFORMAT </w:instrText>
      </w:r>
      <w:r w:rsidR="00531617" w:rsidRPr="004C6A33">
        <w:rPr>
          <w:szCs w:val="24"/>
        </w:rPr>
      </w:r>
      <w:r w:rsidR="00531617" w:rsidRPr="004C6A33">
        <w:rPr>
          <w:szCs w:val="24"/>
        </w:rPr>
        <w:fldChar w:fldCharType="separate"/>
      </w:r>
      <w:r w:rsidR="002327BB" w:rsidRPr="002327BB">
        <w:rPr>
          <w:szCs w:val="24"/>
          <w:vertAlign w:val="superscript"/>
        </w:rPr>
        <w:t>16</w:t>
      </w:r>
      <w:r w:rsidR="00531617" w:rsidRPr="004C6A33">
        <w:rPr>
          <w:szCs w:val="24"/>
        </w:rPr>
        <w:fldChar w:fldCharType="end"/>
      </w:r>
      <w:r w:rsidRPr="004C6A33">
        <w:rPr>
          <w:szCs w:val="24"/>
        </w:rPr>
        <w:t>.</w:t>
      </w:r>
      <w:proofErr w:type="gramEnd"/>
    </w:p>
    <w:p w14:paraId="672CCB1A" w14:textId="77777777" w:rsidR="00B63017" w:rsidRPr="004C6A33" w:rsidRDefault="00B63017" w:rsidP="004C6A33">
      <w:pPr>
        <w:pStyle w:val="ListNumber"/>
        <w:rPr>
          <w:szCs w:val="24"/>
        </w:rPr>
      </w:pPr>
      <w:r w:rsidRPr="004C6A33">
        <w:rPr>
          <w:szCs w:val="24"/>
        </w:rPr>
        <w:tab/>
      </w:r>
      <w:proofErr w:type="gramStart"/>
      <w:r w:rsidRPr="004C6A33">
        <w:rPr>
          <w:szCs w:val="24"/>
        </w:rPr>
        <w:t>Short-range devices (SRD), preferably for improving energy saving and/or energy efficiency.</w:t>
      </w:r>
      <w:proofErr w:type="gramEnd"/>
    </w:p>
    <w:p w14:paraId="3C78A3AD" w14:textId="77777777" w:rsidR="00B63017" w:rsidRPr="004C6A33" w:rsidRDefault="00B63017" w:rsidP="004C6A33">
      <w:pPr>
        <w:pStyle w:val="ListNumber"/>
        <w:rPr>
          <w:szCs w:val="24"/>
        </w:rPr>
      </w:pPr>
      <w:proofErr w:type="gramStart"/>
      <w:r w:rsidRPr="004C6A33">
        <w:rPr>
          <w:szCs w:val="24"/>
        </w:rPr>
        <w:t>DECT</w:t>
      </w:r>
      <w:r w:rsidRPr="004C6A33">
        <w:rPr>
          <w:rStyle w:val="FootnoteReference"/>
          <w:szCs w:val="24"/>
        </w:rPr>
        <w:footnoteReference w:id="20"/>
      </w:r>
      <w:r w:rsidRPr="004C6A33">
        <w:rPr>
          <w:szCs w:val="24"/>
        </w:rPr>
        <w:t>, preferably in the 1900-1920 MHz band.</w:t>
      </w:r>
      <w:proofErr w:type="gramEnd"/>
    </w:p>
    <w:p w14:paraId="7B2BE7A8" w14:textId="77777777" w:rsidR="00B63017" w:rsidRPr="004C6A33" w:rsidRDefault="00B63017" w:rsidP="004C6A33">
      <w:pPr>
        <w:pStyle w:val="ListNumber"/>
        <w:rPr>
          <w:szCs w:val="24"/>
        </w:rPr>
      </w:pPr>
      <w:proofErr w:type="gramStart"/>
      <w:r w:rsidRPr="004C6A33">
        <w:rPr>
          <w:szCs w:val="24"/>
        </w:rPr>
        <w:t>Broadband Direct Air-to-Ground Communications (BDA2GC), preferably in a paired spectrum arrangement.</w:t>
      </w:r>
      <w:proofErr w:type="gramEnd"/>
    </w:p>
    <w:p w14:paraId="5E6300A1" w14:textId="77777777" w:rsidR="00B63017" w:rsidRPr="004C6A33" w:rsidRDefault="00B63017" w:rsidP="004C6A33">
      <w:pPr>
        <w:pStyle w:val="ListNumber"/>
        <w:numPr>
          <w:ilvl w:val="0"/>
          <w:numId w:val="0"/>
        </w:numPr>
        <w:rPr>
          <w:szCs w:val="24"/>
        </w:rPr>
      </w:pPr>
      <w:r w:rsidRPr="004C6A33">
        <w:rPr>
          <w:szCs w:val="24"/>
        </w:rPr>
        <w:t>The Commission notes that also other frequency bands are currently under investigation in CEPT for some of the radio applications above.</w:t>
      </w:r>
    </w:p>
    <w:p w14:paraId="171C1036" w14:textId="77777777" w:rsidR="00B63017" w:rsidRDefault="00B63017" w:rsidP="004C6A33">
      <w:pPr>
        <w:jc w:val="both"/>
        <w:rPr>
          <w:rFonts w:ascii="Times New Roman" w:hAnsi="Times New Roman"/>
          <w:sz w:val="24"/>
          <w:lang w:val="en-GB"/>
        </w:rPr>
      </w:pPr>
      <w:r w:rsidRPr="004C6A33">
        <w:rPr>
          <w:rFonts w:ascii="Times New Roman" w:hAnsi="Times New Roman"/>
          <w:sz w:val="24"/>
          <w:lang w:val="en-GB"/>
        </w:rPr>
        <w:t xml:space="preserve">It </w:t>
      </w:r>
      <w:proofErr w:type="gramStart"/>
      <w:r w:rsidRPr="004C6A33">
        <w:rPr>
          <w:rFonts w:ascii="Times New Roman" w:hAnsi="Times New Roman"/>
          <w:sz w:val="24"/>
          <w:lang w:val="en-GB"/>
        </w:rPr>
        <w:t>can be assumed</w:t>
      </w:r>
      <w:proofErr w:type="gramEnd"/>
      <w:r w:rsidRPr="004C6A33">
        <w:rPr>
          <w:rFonts w:ascii="Times New Roman" w:hAnsi="Times New Roman"/>
          <w:sz w:val="24"/>
          <w:lang w:val="en-GB"/>
        </w:rPr>
        <w:t xml:space="preserve"> that some of the applications above being temporary or local in nature would not utilise exclusively the total available spectrum in the unpaired terrestrial 2 GHz band. Therefore, </w:t>
      </w:r>
      <w:r w:rsidRPr="004C6A33">
        <w:rPr>
          <w:rFonts w:ascii="Times New Roman" w:hAnsi="Times New Roman"/>
          <w:i/>
          <w:sz w:val="24"/>
          <w:lang w:val="en-GB"/>
        </w:rPr>
        <w:t>shared use</w:t>
      </w:r>
      <w:r w:rsidRPr="004C6A33">
        <w:rPr>
          <w:rFonts w:ascii="Times New Roman" w:hAnsi="Times New Roman"/>
          <w:sz w:val="24"/>
          <w:lang w:val="en-GB"/>
        </w:rPr>
        <w:t xml:space="preserve"> between the different applications </w:t>
      </w:r>
      <w:proofErr w:type="gramStart"/>
      <w:r w:rsidRPr="004C6A33">
        <w:rPr>
          <w:rFonts w:ascii="Times New Roman" w:hAnsi="Times New Roman"/>
          <w:sz w:val="24"/>
          <w:lang w:val="en-GB"/>
        </w:rPr>
        <w:t>should be studied</w:t>
      </w:r>
      <w:proofErr w:type="gramEnd"/>
      <w:r w:rsidRPr="004C6A33">
        <w:rPr>
          <w:rFonts w:ascii="Times New Roman" w:hAnsi="Times New Roman"/>
          <w:sz w:val="24"/>
          <w:lang w:val="en-GB"/>
        </w:rPr>
        <w:t xml:space="preserve"> in order to ensure efficient spectrum use. In this regard, appropriate least restrictive technical conditions </w:t>
      </w:r>
      <w:proofErr w:type="gramStart"/>
      <w:r w:rsidRPr="004C6A33">
        <w:rPr>
          <w:rFonts w:ascii="Times New Roman" w:hAnsi="Times New Roman"/>
          <w:sz w:val="24"/>
          <w:lang w:val="en-GB"/>
        </w:rPr>
        <w:t>should be developed</w:t>
      </w:r>
      <w:proofErr w:type="gramEnd"/>
      <w:r w:rsidRPr="004C6A33">
        <w:rPr>
          <w:rFonts w:ascii="Times New Roman" w:hAnsi="Times New Roman"/>
          <w:sz w:val="24"/>
          <w:lang w:val="en-GB"/>
        </w:rPr>
        <w:t xml:space="preserve"> both for the identified specific application and for any possible sharing arrangement.</w:t>
      </w:r>
    </w:p>
    <w:p w14:paraId="71821E4A" w14:textId="77777777" w:rsidR="004C6A33" w:rsidRPr="004C6A33" w:rsidRDefault="004C6A33" w:rsidP="004C6A33">
      <w:pPr>
        <w:jc w:val="both"/>
        <w:rPr>
          <w:rFonts w:ascii="Times New Roman" w:hAnsi="Times New Roman"/>
          <w:sz w:val="24"/>
          <w:lang w:val="en-GB"/>
        </w:rPr>
      </w:pPr>
    </w:p>
    <w:p w14:paraId="2AA6946D" w14:textId="77777777" w:rsidR="00B63017" w:rsidRDefault="00B63017" w:rsidP="004C6A33">
      <w:pPr>
        <w:jc w:val="both"/>
        <w:rPr>
          <w:rFonts w:ascii="Times New Roman" w:hAnsi="Times New Roman"/>
          <w:sz w:val="24"/>
          <w:lang w:val="en-GB"/>
        </w:rPr>
      </w:pPr>
      <w:r w:rsidRPr="004C6A33">
        <w:rPr>
          <w:rFonts w:ascii="Times New Roman" w:hAnsi="Times New Roman"/>
          <w:sz w:val="24"/>
          <w:lang w:val="en-GB"/>
        </w:rPr>
        <w:t>The Commission notes that the CEPT/ECC has already launched studies on the alternative use of the 1900-1920 MHz and 2010-2025 MHz frequency bands</w:t>
      </w:r>
      <w:r w:rsidRPr="004C6A33">
        <w:rPr>
          <w:rStyle w:val="FootnoteReference"/>
          <w:rFonts w:ascii="Times New Roman" w:hAnsi="Times New Roman"/>
          <w:sz w:val="24"/>
          <w:lang w:val="en-GB"/>
        </w:rPr>
        <w:footnoteReference w:id="21"/>
      </w:r>
      <w:r w:rsidRPr="004C6A33">
        <w:rPr>
          <w:rFonts w:ascii="Times New Roman" w:hAnsi="Times New Roman"/>
          <w:sz w:val="24"/>
          <w:lang w:val="en-GB"/>
        </w:rPr>
        <w:t xml:space="preserve">, which may contribute to timely deliverables in response to this Mandate. </w:t>
      </w:r>
    </w:p>
    <w:p w14:paraId="27D0F0F3" w14:textId="77777777" w:rsidR="004C6A33" w:rsidRPr="004C6A33" w:rsidRDefault="004C6A33" w:rsidP="004C6A33">
      <w:pPr>
        <w:jc w:val="both"/>
        <w:rPr>
          <w:rFonts w:ascii="Times New Roman" w:hAnsi="Times New Roman"/>
          <w:sz w:val="24"/>
          <w:lang w:val="en-GB"/>
        </w:rPr>
      </w:pPr>
    </w:p>
    <w:p w14:paraId="5398E4E6" w14:textId="77777777" w:rsidR="00B63017" w:rsidRDefault="00B63017" w:rsidP="004C6A33">
      <w:pPr>
        <w:jc w:val="both"/>
        <w:rPr>
          <w:rFonts w:ascii="Times New Roman" w:hAnsi="Times New Roman"/>
          <w:sz w:val="24"/>
          <w:lang w:val="en-GB"/>
        </w:rPr>
      </w:pPr>
      <w:r w:rsidRPr="004C6A33">
        <w:rPr>
          <w:rFonts w:ascii="Times New Roman" w:hAnsi="Times New Roman"/>
          <w:sz w:val="24"/>
          <w:lang w:val="en-GB"/>
        </w:rPr>
        <w:t xml:space="preserve">Given the proven long-term lack of use of the unpaired 2 GHz spectrum under the current assignments and the foregoing RSC work before the adoption of the RSPP, this Mandate </w:t>
      </w:r>
      <w:proofErr w:type="gramStart"/>
      <w:r w:rsidRPr="004C6A33">
        <w:rPr>
          <w:rFonts w:ascii="Times New Roman" w:hAnsi="Times New Roman"/>
          <w:sz w:val="24"/>
          <w:lang w:val="en-GB"/>
        </w:rPr>
        <w:t>may be issued</w:t>
      </w:r>
      <w:proofErr w:type="gramEnd"/>
      <w:r w:rsidRPr="004C6A33">
        <w:rPr>
          <w:rFonts w:ascii="Times New Roman" w:hAnsi="Times New Roman"/>
          <w:sz w:val="24"/>
          <w:lang w:val="en-GB"/>
        </w:rPr>
        <w:t xml:space="preserve"> in advance of the outcome of the inventory process set up by the RSPP. The deliverables of this Mandate </w:t>
      </w:r>
      <w:proofErr w:type="gramStart"/>
      <w:r w:rsidRPr="004C6A33">
        <w:rPr>
          <w:rFonts w:ascii="Times New Roman" w:hAnsi="Times New Roman"/>
          <w:sz w:val="24"/>
          <w:lang w:val="en-GB"/>
        </w:rPr>
        <w:t>should be reflected</w:t>
      </w:r>
      <w:proofErr w:type="gramEnd"/>
      <w:r w:rsidRPr="004C6A33">
        <w:rPr>
          <w:rFonts w:ascii="Times New Roman" w:hAnsi="Times New Roman"/>
          <w:sz w:val="24"/>
          <w:lang w:val="en-GB"/>
        </w:rPr>
        <w:t xml:space="preserve"> in the EU spectrum inventory process.</w:t>
      </w:r>
    </w:p>
    <w:p w14:paraId="42B4F1B7" w14:textId="77777777" w:rsidR="0030581B" w:rsidRDefault="0030581B" w:rsidP="004C6A33">
      <w:pPr>
        <w:jc w:val="both"/>
        <w:rPr>
          <w:rFonts w:ascii="Times New Roman" w:hAnsi="Times New Roman"/>
          <w:sz w:val="24"/>
          <w:lang w:val="en-GB"/>
        </w:rPr>
      </w:pPr>
    </w:p>
    <w:p w14:paraId="5BD4B573" w14:textId="77777777" w:rsidR="00B63017" w:rsidRPr="004C6A33" w:rsidRDefault="00B63017" w:rsidP="00B63017">
      <w:pPr>
        <w:rPr>
          <w:rFonts w:ascii="Times New Roman" w:hAnsi="Times New Roman"/>
          <w:b/>
          <w:sz w:val="24"/>
          <w:lang w:val="en-GB"/>
        </w:rPr>
      </w:pPr>
      <w:r w:rsidRPr="004C6A33">
        <w:rPr>
          <w:rFonts w:ascii="Times New Roman" w:hAnsi="Times New Roman"/>
          <w:b/>
          <w:sz w:val="24"/>
          <w:lang w:val="en-GB"/>
        </w:rPr>
        <w:lastRenderedPageBreak/>
        <w:t>TASK ORDER AND SCHEDULE</w:t>
      </w:r>
    </w:p>
    <w:p w14:paraId="0A41E78E" w14:textId="77777777" w:rsidR="00B63017" w:rsidRPr="004C6A33" w:rsidRDefault="00B63017" w:rsidP="00B63017">
      <w:pPr>
        <w:rPr>
          <w:rFonts w:ascii="Times New Roman" w:hAnsi="Times New Roman"/>
          <w:sz w:val="24"/>
          <w:lang w:val="en-GB"/>
        </w:rPr>
      </w:pPr>
    </w:p>
    <w:p w14:paraId="1D5CDFD8" w14:textId="77777777" w:rsidR="00B63017" w:rsidRDefault="00B63017" w:rsidP="004C6A33">
      <w:pPr>
        <w:jc w:val="both"/>
        <w:rPr>
          <w:rFonts w:ascii="Times New Roman" w:hAnsi="Times New Roman"/>
          <w:sz w:val="24"/>
          <w:lang w:val="en-GB"/>
        </w:rPr>
      </w:pPr>
      <w:proofErr w:type="gramStart"/>
      <w:r w:rsidRPr="004C6A33">
        <w:rPr>
          <w:rFonts w:ascii="Times New Roman" w:hAnsi="Times New Roman"/>
          <w:sz w:val="24"/>
          <w:lang w:val="en-GB"/>
        </w:rPr>
        <w:t xml:space="preserve">CEPT is herewith mandated to undertake work to identify use(s) of the </w:t>
      </w:r>
      <w:r w:rsidRPr="004C6A33">
        <w:rPr>
          <w:rFonts w:ascii="Times New Roman" w:hAnsi="Times New Roman"/>
          <w:i/>
          <w:sz w:val="24"/>
          <w:lang w:val="en-GB"/>
        </w:rPr>
        <w:t xml:space="preserve">unpaired terrestrial 2 GHz band </w:t>
      </w:r>
      <w:r w:rsidRPr="004C6A33">
        <w:rPr>
          <w:rFonts w:ascii="Times New Roman" w:hAnsi="Times New Roman"/>
          <w:sz w:val="24"/>
          <w:lang w:val="en-GB"/>
        </w:rPr>
        <w:t>other than for the provision of mobile electronic communications services through terrestrial cellular networks pursuant to the UMTS Decision and the most appropriate technical criteria for spectrum use as well as, if appropriate, sharing arrangements between multiple applications, in order to meet EU spectrum policy objectives and foster economies of scale in the internal market.</w:t>
      </w:r>
      <w:proofErr w:type="gramEnd"/>
    </w:p>
    <w:p w14:paraId="5CA25EBB" w14:textId="77777777" w:rsidR="004C6A33" w:rsidRPr="004C6A33" w:rsidRDefault="004C6A33" w:rsidP="004C6A33">
      <w:pPr>
        <w:jc w:val="both"/>
        <w:rPr>
          <w:rFonts w:ascii="Times New Roman" w:hAnsi="Times New Roman"/>
          <w:sz w:val="24"/>
          <w:lang w:val="en-GB"/>
        </w:rPr>
      </w:pPr>
    </w:p>
    <w:p w14:paraId="0F043039" w14:textId="77777777" w:rsidR="00B63017" w:rsidRPr="004C6A33" w:rsidRDefault="00B63017" w:rsidP="004C6A33">
      <w:pPr>
        <w:jc w:val="both"/>
        <w:rPr>
          <w:rFonts w:ascii="Times New Roman" w:hAnsi="Times New Roman"/>
          <w:sz w:val="24"/>
          <w:lang w:val="en-GB"/>
        </w:rPr>
      </w:pPr>
      <w:r w:rsidRPr="004C6A33">
        <w:rPr>
          <w:rFonts w:ascii="Times New Roman" w:hAnsi="Times New Roman"/>
          <w:sz w:val="24"/>
          <w:lang w:val="en-GB"/>
        </w:rPr>
        <w:t xml:space="preserve">In the work carried out under the Mandate, the overall policy objectives of the RSPP, such as effective and efficient spectrum use and the support for specific Union policies </w:t>
      </w:r>
      <w:proofErr w:type="gramStart"/>
      <w:r w:rsidRPr="004C6A33">
        <w:rPr>
          <w:rFonts w:ascii="Times New Roman" w:hAnsi="Times New Roman"/>
          <w:sz w:val="24"/>
          <w:lang w:val="en-GB"/>
        </w:rPr>
        <w:t>shall be given</w:t>
      </w:r>
      <w:proofErr w:type="gramEnd"/>
      <w:r w:rsidRPr="004C6A33">
        <w:rPr>
          <w:rFonts w:ascii="Times New Roman" w:hAnsi="Times New Roman"/>
          <w:sz w:val="24"/>
          <w:lang w:val="en-GB"/>
        </w:rPr>
        <w:t xml:space="preserve"> utmost consideration. In implementing this mandate, the CEPT shall, where relevant, take utmost account of EU law applicable and support the principles of service and technological neutrality, non-discrimination and proportionality insofar as technically possible. CEPT is also requested to collaborate actively with the European Telecommunications Standardisation Institute (ETSI</w:t>
      </w:r>
      <w:proofErr w:type="gramStart"/>
      <w:r w:rsidRPr="004C6A33">
        <w:rPr>
          <w:rFonts w:ascii="Times New Roman" w:hAnsi="Times New Roman"/>
          <w:sz w:val="24"/>
          <w:lang w:val="en-GB"/>
        </w:rPr>
        <w:t>) which</w:t>
      </w:r>
      <w:proofErr w:type="gramEnd"/>
      <w:r w:rsidRPr="004C6A33">
        <w:rPr>
          <w:rFonts w:ascii="Times New Roman" w:hAnsi="Times New Roman"/>
          <w:sz w:val="24"/>
          <w:lang w:val="en-GB"/>
        </w:rPr>
        <w:t xml:space="preserve"> develops harmonised standards for conformity under Directive 1999/5/EC. </w:t>
      </w:r>
    </w:p>
    <w:p w14:paraId="2EBAAA83" w14:textId="77777777" w:rsidR="00B63017" w:rsidRPr="004C6A33" w:rsidRDefault="00B63017" w:rsidP="00B63017">
      <w:pPr>
        <w:rPr>
          <w:rFonts w:ascii="Times New Roman" w:hAnsi="Times New Roman"/>
          <w:sz w:val="24"/>
          <w:lang w:val="en-GB"/>
        </w:rPr>
      </w:pPr>
    </w:p>
    <w:p w14:paraId="4A2C3915" w14:textId="77777777" w:rsidR="00B63017" w:rsidRPr="004C6A33" w:rsidRDefault="00B63017" w:rsidP="00B63017">
      <w:pPr>
        <w:pStyle w:val="ListNumber"/>
        <w:numPr>
          <w:ilvl w:val="0"/>
          <w:numId w:val="0"/>
        </w:numPr>
        <w:shd w:val="clear" w:color="auto" w:fill="FFFFFF"/>
        <w:rPr>
          <w:szCs w:val="24"/>
        </w:rPr>
      </w:pPr>
      <w:r w:rsidRPr="004C6A33">
        <w:rPr>
          <w:szCs w:val="24"/>
        </w:rPr>
        <w:t xml:space="preserve">CEPT </w:t>
      </w:r>
      <w:r w:rsidRPr="004C6A33">
        <w:rPr>
          <w:szCs w:val="24"/>
          <w:shd w:val="clear" w:color="auto" w:fill="FFFFFF"/>
        </w:rPr>
        <w:t xml:space="preserve">is hereby mandated </w:t>
      </w:r>
      <w:r w:rsidRPr="004C6A33">
        <w:rPr>
          <w:szCs w:val="24"/>
        </w:rPr>
        <w:t xml:space="preserve">to undertake the following </w:t>
      </w:r>
      <w:r w:rsidRPr="004C6A33">
        <w:rPr>
          <w:szCs w:val="24"/>
          <w:u w:val="single"/>
        </w:rPr>
        <w:t>tasks</w:t>
      </w:r>
      <w:r w:rsidRPr="004C6A33">
        <w:rPr>
          <w:szCs w:val="24"/>
        </w:rPr>
        <w:t>:</w:t>
      </w:r>
    </w:p>
    <w:p w14:paraId="1D96BE23" w14:textId="77777777" w:rsidR="00B63017" w:rsidRPr="004C6A33" w:rsidRDefault="00B63017" w:rsidP="00BE115C">
      <w:pPr>
        <w:pStyle w:val="ListNumber"/>
        <w:numPr>
          <w:ilvl w:val="0"/>
          <w:numId w:val="29"/>
        </w:numPr>
        <w:rPr>
          <w:szCs w:val="24"/>
        </w:rPr>
      </w:pPr>
      <w:r w:rsidRPr="004C6A33">
        <w:rPr>
          <w:szCs w:val="24"/>
        </w:rPr>
        <w:t xml:space="preserve">Assess and identify uses other than mobile electronic communications services delivered through terrestrial cellular networks and define the common minimal (least restrictive) technical conditions. These conditions should be sufficient to avoid interference with services or radio applications in adjacent bands, ensure co-existence with other services or radio applications in the same band, and facilitate cross-border </w:t>
      </w:r>
      <w:proofErr w:type="gramStart"/>
      <w:r w:rsidRPr="004C6A33">
        <w:rPr>
          <w:szCs w:val="24"/>
        </w:rPr>
        <w:t>coordination, also</w:t>
      </w:r>
      <w:proofErr w:type="gramEnd"/>
      <w:r w:rsidRPr="004C6A33">
        <w:rPr>
          <w:szCs w:val="24"/>
        </w:rPr>
        <w:t xml:space="preserve"> at the EU outer borders.</w:t>
      </w:r>
    </w:p>
    <w:p w14:paraId="3B090095" w14:textId="77777777" w:rsidR="00B63017" w:rsidRPr="004C6A33" w:rsidRDefault="00B63017" w:rsidP="00B63017">
      <w:pPr>
        <w:pStyle w:val="ListNumber"/>
        <w:rPr>
          <w:szCs w:val="24"/>
        </w:rPr>
      </w:pPr>
      <w:r w:rsidRPr="004C6A33">
        <w:rPr>
          <w:szCs w:val="24"/>
        </w:rPr>
        <w:t xml:space="preserve">In performing task (1), consider the following non-ECS uses in line with the priorities of the </w:t>
      </w:r>
      <w:proofErr w:type="gramStart"/>
      <w:r w:rsidRPr="004C6A33">
        <w:rPr>
          <w:szCs w:val="24"/>
        </w:rPr>
        <w:t>RSPP:</w:t>
      </w:r>
      <w:proofErr w:type="gramEnd"/>
      <w:r w:rsidRPr="004C6A33">
        <w:rPr>
          <w:szCs w:val="24"/>
        </w:rPr>
        <w:t xml:space="preserve"> broadband PPDR, PMSE, short-range devices and DECT</w:t>
      </w:r>
      <w:r w:rsidRPr="004C6A33">
        <w:rPr>
          <w:rStyle w:val="FootnoteReference"/>
          <w:szCs w:val="24"/>
        </w:rPr>
        <w:footnoteReference w:id="22"/>
      </w:r>
      <w:r w:rsidRPr="004C6A33">
        <w:rPr>
          <w:szCs w:val="24"/>
        </w:rPr>
        <w:t>. This is without prejudice to the consideration of alternative uses for electronic communications services in line with EU spectrum policy objectives, such as Broadband Direct-Air-To-Ground Communications.</w:t>
      </w:r>
    </w:p>
    <w:p w14:paraId="636832FC" w14:textId="77777777" w:rsidR="00B63017" w:rsidRPr="004C6A33" w:rsidRDefault="00B63017" w:rsidP="00B63017">
      <w:pPr>
        <w:pStyle w:val="ListNumber"/>
        <w:rPr>
          <w:szCs w:val="24"/>
        </w:rPr>
      </w:pPr>
      <w:proofErr w:type="gramStart"/>
      <w:r w:rsidRPr="004C6A33">
        <w:rPr>
          <w:szCs w:val="24"/>
        </w:rPr>
        <w:t xml:space="preserve">In performing task (1) as specified by task (2) and given the limited temporal or geographical scope of one or more of the radio application under consideration, assess and justify the possibility of spectrum sharing amongst the radio applications under consideration and, if necessary, develop common technical sharing conditions which may include </w:t>
      </w:r>
      <w:r w:rsidRPr="004C6A33">
        <w:rPr>
          <w:i/>
          <w:szCs w:val="24"/>
        </w:rPr>
        <w:t>inter alia</w:t>
      </w:r>
      <w:r w:rsidRPr="004C6A33">
        <w:rPr>
          <w:szCs w:val="24"/>
        </w:rPr>
        <w:t xml:space="preserve"> spectrum access rules, channelling arrangements or power emission limits that are sufficiently precise for the development of EU-wide equipment.</w:t>
      </w:r>
      <w:proofErr w:type="gramEnd"/>
    </w:p>
    <w:p w14:paraId="2F78EC1A" w14:textId="77777777" w:rsidR="00B63017" w:rsidRPr="004C6A33" w:rsidRDefault="00B63017" w:rsidP="00B63017">
      <w:pPr>
        <w:rPr>
          <w:rFonts w:ascii="Times New Roman" w:hAnsi="Times New Roman"/>
          <w:sz w:val="24"/>
          <w:lang w:val="en-GB" w:eastAsia="fr-BE"/>
        </w:rPr>
      </w:pPr>
      <w:r w:rsidRPr="004C6A33">
        <w:rPr>
          <w:rFonts w:ascii="Times New Roman" w:hAnsi="Times New Roman"/>
          <w:sz w:val="24"/>
          <w:lang w:val="en-GB"/>
        </w:rPr>
        <w:br w:type="page"/>
      </w:r>
    </w:p>
    <w:p w14:paraId="4D067344" w14:textId="77777777" w:rsidR="00B63017" w:rsidRPr="004C6A33" w:rsidRDefault="00B63017" w:rsidP="00B63017">
      <w:pPr>
        <w:pStyle w:val="ListNumber"/>
        <w:numPr>
          <w:ilvl w:val="0"/>
          <w:numId w:val="0"/>
        </w:numPr>
        <w:shd w:val="clear" w:color="auto" w:fill="FFFFFF"/>
        <w:ind w:left="270" w:hanging="270"/>
        <w:rPr>
          <w:szCs w:val="24"/>
        </w:rPr>
      </w:pPr>
      <w:r w:rsidRPr="004C6A33">
        <w:rPr>
          <w:szCs w:val="24"/>
        </w:rPr>
        <w:lastRenderedPageBreak/>
        <w:t>CEPT should provide deliverables according to the following schedule:</w:t>
      </w:r>
    </w:p>
    <w:p w14:paraId="0B80DF08" w14:textId="5C190612" w:rsidR="00B63017" w:rsidRPr="004C6A33" w:rsidRDefault="00B63017" w:rsidP="004C6A33">
      <w:pPr>
        <w:spacing w:after="120"/>
        <w:jc w:val="center"/>
        <w:rPr>
          <w:rFonts w:ascii="Times New Roman" w:hAnsi="Times New Roman"/>
          <w:b/>
          <w:sz w:val="24"/>
          <w:lang w:val="en-GB"/>
        </w:rPr>
      </w:pPr>
      <w:r w:rsidRPr="004C6A33">
        <w:rPr>
          <w:rFonts w:ascii="Times New Roman" w:hAnsi="Times New Roman"/>
          <w:b/>
          <w:sz w:val="24"/>
          <w:lang w:val="en-GB"/>
        </w:rPr>
        <w:t>Deliverable’s schedule as specified in the EC Mandate</w:t>
      </w:r>
    </w:p>
    <w:tbl>
      <w:tblPr>
        <w:tblW w:w="0" w:type="auto"/>
        <w:tblBorders>
          <w:top w:val="single" w:sz="4" w:space="0" w:color="000000" w:themeColor="text1"/>
          <w:left w:val="single" w:sz="4" w:space="0" w:color="000000" w:themeColor="text1"/>
          <w:bottom w:val="single" w:sz="4" w:space="0" w:color="000000" w:themeColor="text1"/>
          <w:right w:val="single" w:sz="4" w:space="0" w:color="000000" w:themeColor="text1"/>
          <w:insideH w:val="single" w:sz="6" w:space="0" w:color="000000" w:themeColor="text1"/>
          <w:insideV w:val="single" w:sz="6" w:space="0" w:color="000000" w:themeColor="text1"/>
        </w:tblBorders>
        <w:tblCellMar>
          <w:top w:w="11" w:type="dxa"/>
          <w:bottom w:w="11" w:type="dxa"/>
        </w:tblCellMar>
        <w:tblLook w:val="01E0" w:firstRow="1" w:lastRow="1" w:firstColumn="1" w:lastColumn="1" w:noHBand="0" w:noVBand="0"/>
      </w:tblPr>
      <w:tblGrid>
        <w:gridCol w:w="1951"/>
        <w:gridCol w:w="3544"/>
        <w:gridCol w:w="3791"/>
      </w:tblGrid>
      <w:tr w:rsidR="00B63017" w:rsidRPr="004C6A33" w14:paraId="00C5BC9A" w14:textId="77777777" w:rsidTr="004C6A33">
        <w:trPr>
          <w:tblHeader/>
        </w:trPr>
        <w:tc>
          <w:tcPr>
            <w:tcW w:w="1951" w:type="dxa"/>
            <w:tcBorders>
              <w:top w:val="single" w:sz="4" w:space="0" w:color="000000" w:themeColor="text1"/>
              <w:bottom w:val="single" w:sz="6" w:space="0" w:color="000000" w:themeColor="text1"/>
            </w:tcBorders>
            <w:shd w:val="clear" w:color="auto" w:fill="FFFFFF" w:themeFill="background1"/>
          </w:tcPr>
          <w:p w14:paraId="69F8FBE3" w14:textId="77777777" w:rsidR="00B63017" w:rsidRPr="004C6A33" w:rsidRDefault="00B63017" w:rsidP="00E72FF9">
            <w:pPr>
              <w:spacing w:before="120" w:after="120"/>
              <w:jc w:val="center"/>
              <w:rPr>
                <w:rFonts w:ascii="Times New Roman" w:hAnsi="Times New Roman"/>
                <w:b/>
                <w:sz w:val="24"/>
                <w:lang w:val="en-GB"/>
              </w:rPr>
            </w:pPr>
            <w:r w:rsidRPr="004C6A33">
              <w:rPr>
                <w:rFonts w:ascii="Times New Roman" w:hAnsi="Times New Roman"/>
                <w:b/>
                <w:sz w:val="24"/>
                <w:lang w:val="en-GB"/>
              </w:rPr>
              <w:t>Delivery date</w:t>
            </w:r>
          </w:p>
        </w:tc>
        <w:tc>
          <w:tcPr>
            <w:tcW w:w="3544" w:type="dxa"/>
            <w:tcBorders>
              <w:top w:val="single" w:sz="4" w:space="0" w:color="000000" w:themeColor="text1"/>
              <w:bottom w:val="single" w:sz="6" w:space="0" w:color="000000" w:themeColor="text1"/>
            </w:tcBorders>
            <w:shd w:val="clear" w:color="auto" w:fill="FFFFFF" w:themeFill="background1"/>
          </w:tcPr>
          <w:p w14:paraId="0FE42655" w14:textId="77777777" w:rsidR="00B63017" w:rsidRPr="004C6A33" w:rsidRDefault="00B63017" w:rsidP="00E72FF9">
            <w:pPr>
              <w:spacing w:before="120" w:after="120"/>
              <w:jc w:val="center"/>
              <w:rPr>
                <w:rFonts w:ascii="Times New Roman" w:hAnsi="Times New Roman"/>
                <w:b/>
                <w:sz w:val="24"/>
                <w:lang w:val="en-GB"/>
              </w:rPr>
            </w:pPr>
            <w:r w:rsidRPr="004C6A33">
              <w:rPr>
                <w:rFonts w:ascii="Times New Roman" w:hAnsi="Times New Roman"/>
                <w:b/>
                <w:sz w:val="24"/>
                <w:lang w:val="en-GB"/>
              </w:rPr>
              <w:t>Deliverable</w:t>
            </w:r>
          </w:p>
        </w:tc>
        <w:tc>
          <w:tcPr>
            <w:tcW w:w="3791" w:type="dxa"/>
            <w:tcBorders>
              <w:top w:val="single" w:sz="4" w:space="0" w:color="000000" w:themeColor="text1"/>
              <w:bottom w:val="single" w:sz="6" w:space="0" w:color="000000" w:themeColor="text1"/>
            </w:tcBorders>
            <w:shd w:val="clear" w:color="auto" w:fill="FFFFFF" w:themeFill="background1"/>
          </w:tcPr>
          <w:p w14:paraId="3E9F4FD0" w14:textId="77777777" w:rsidR="00B63017" w:rsidRPr="004C6A33" w:rsidRDefault="00B63017" w:rsidP="00E72FF9">
            <w:pPr>
              <w:spacing w:before="120" w:after="120"/>
              <w:jc w:val="center"/>
              <w:rPr>
                <w:rFonts w:ascii="Times New Roman" w:hAnsi="Times New Roman"/>
                <w:b/>
                <w:sz w:val="24"/>
                <w:lang w:val="en-GB"/>
              </w:rPr>
            </w:pPr>
            <w:r w:rsidRPr="004C6A33">
              <w:rPr>
                <w:rFonts w:ascii="Times New Roman" w:hAnsi="Times New Roman"/>
                <w:b/>
                <w:sz w:val="24"/>
                <w:lang w:val="en-GB"/>
              </w:rPr>
              <w:t>Subject</w:t>
            </w:r>
          </w:p>
        </w:tc>
      </w:tr>
      <w:tr w:rsidR="00B63017" w:rsidRPr="004C6A33" w14:paraId="2C3834AB" w14:textId="77777777" w:rsidTr="004C6A33">
        <w:tc>
          <w:tcPr>
            <w:tcW w:w="1951" w:type="dxa"/>
            <w:tcBorders>
              <w:top w:val="single" w:sz="6" w:space="0" w:color="000000" w:themeColor="text1"/>
            </w:tcBorders>
          </w:tcPr>
          <w:p w14:paraId="3CE111D9" w14:textId="77777777" w:rsidR="00B63017" w:rsidRPr="004C6A33" w:rsidRDefault="00B63017" w:rsidP="00E72FF9">
            <w:pPr>
              <w:spacing w:before="120" w:after="120"/>
              <w:rPr>
                <w:rFonts w:ascii="Times New Roman" w:hAnsi="Times New Roman"/>
                <w:sz w:val="24"/>
                <w:lang w:val="en-GB"/>
              </w:rPr>
            </w:pPr>
            <w:r w:rsidRPr="004C6A33">
              <w:rPr>
                <w:rFonts w:ascii="Times New Roman" w:hAnsi="Times New Roman"/>
                <w:sz w:val="24"/>
                <w:lang w:val="en-GB"/>
              </w:rPr>
              <w:t>June 2013</w:t>
            </w:r>
          </w:p>
        </w:tc>
        <w:tc>
          <w:tcPr>
            <w:tcW w:w="3544" w:type="dxa"/>
            <w:tcBorders>
              <w:top w:val="single" w:sz="6" w:space="0" w:color="000000" w:themeColor="text1"/>
            </w:tcBorders>
          </w:tcPr>
          <w:p w14:paraId="21768AA0" w14:textId="77777777" w:rsidR="00B63017" w:rsidRPr="004C6A33" w:rsidRDefault="00B63017" w:rsidP="00E72FF9">
            <w:pPr>
              <w:spacing w:before="120" w:after="120"/>
              <w:rPr>
                <w:rFonts w:ascii="Times New Roman" w:hAnsi="Times New Roman"/>
                <w:sz w:val="24"/>
                <w:lang w:val="en-GB"/>
              </w:rPr>
            </w:pPr>
            <w:r w:rsidRPr="004C6A33">
              <w:rPr>
                <w:rFonts w:ascii="Times New Roman" w:hAnsi="Times New Roman"/>
                <w:sz w:val="24"/>
                <w:lang w:val="en-GB"/>
              </w:rPr>
              <w:t>Interim Report from CEPT to the Commission</w:t>
            </w:r>
          </w:p>
        </w:tc>
        <w:tc>
          <w:tcPr>
            <w:tcW w:w="3791" w:type="dxa"/>
            <w:tcBorders>
              <w:top w:val="single" w:sz="6" w:space="0" w:color="000000" w:themeColor="text1"/>
            </w:tcBorders>
          </w:tcPr>
          <w:p w14:paraId="5BB0E46E" w14:textId="77777777" w:rsidR="00B63017" w:rsidRPr="004C6A33" w:rsidRDefault="00B63017" w:rsidP="00E72FF9">
            <w:pPr>
              <w:spacing w:before="120" w:after="120"/>
              <w:rPr>
                <w:rFonts w:ascii="Times New Roman" w:hAnsi="Times New Roman"/>
                <w:sz w:val="24"/>
                <w:lang w:val="en-GB"/>
              </w:rPr>
            </w:pPr>
            <w:proofErr w:type="gramStart"/>
            <w:r w:rsidRPr="004C6A33">
              <w:rPr>
                <w:rFonts w:ascii="Times New Roman" w:hAnsi="Times New Roman"/>
                <w:sz w:val="24"/>
                <w:lang w:val="en-GB"/>
              </w:rPr>
              <w:t>Description of work undertaken and interim results under this Mandate.</w:t>
            </w:r>
            <w:proofErr w:type="gramEnd"/>
            <w:r w:rsidRPr="004C6A33">
              <w:rPr>
                <w:rFonts w:ascii="Times New Roman" w:hAnsi="Times New Roman"/>
                <w:sz w:val="24"/>
                <w:lang w:val="en-GB"/>
              </w:rPr>
              <w:t xml:space="preserve">  </w:t>
            </w:r>
          </w:p>
        </w:tc>
      </w:tr>
      <w:tr w:rsidR="00B63017" w:rsidRPr="004C6A33" w14:paraId="6C39FD91" w14:textId="77777777" w:rsidTr="004C6A33">
        <w:tc>
          <w:tcPr>
            <w:tcW w:w="1951" w:type="dxa"/>
          </w:tcPr>
          <w:p w14:paraId="03493C65" w14:textId="77777777" w:rsidR="00B63017" w:rsidRPr="004C6A33" w:rsidRDefault="00B63017" w:rsidP="00E72FF9">
            <w:pPr>
              <w:spacing w:before="120" w:after="120"/>
              <w:rPr>
                <w:rFonts w:ascii="Times New Roman" w:hAnsi="Times New Roman"/>
                <w:sz w:val="24"/>
                <w:lang w:val="en-GB"/>
              </w:rPr>
            </w:pPr>
            <w:r w:rsidRPr="004C6A33">
              <w:rPr>
                <w:rFonts w:ascii="Times New Roman" w:hAnsi="Times New Roman"/>
                <w:sz w:val="24"/>
                <w:lang w:val="en-GB"/>
              </w:rPr>
              <w:t>November 2013</w:t>
            </w:r>
            <w:bookmarkStart w:id="150" w:name="_Ref380054933"/>
            <w:r w:rsidRPr="004C6A33">
              <w:rPr>
                <w:rStyle w:val="FootnoteReference"/>
                <w:rFonts w:ascii="Times New Roman" w:hAnsi="Times New Roman"/>
                <w:sz w:val="24"/>
                <w:lang w:val="en-GB"/>
              </w:rPr>
              <w:footnoteReference w:id="23"/>
            </w:r>
            <w:bookmarkEnd w:id="150"/>
          </w:p>
        </w:tc>
        <w:tc>
          <w:tcPr>
            <w:tcW w:w="3544" w:type="dxa"/>
          </w:tcPr>
          <w:p w14:paraId="2B9EB1FB" w14:textId="77777777" w:rsidR="00B63017" w:rsidRPr="004C6A33" w:rsidRDefault="00B63017" w:rsidP="00E72FF9">
            <w:pPr>
              <w:spacing w:before="120" w:after="120"/>
              <w:rPr>
                <w:rFonts w:ascii="Times New Roman" w:hAnsi="Times New Roman"/>
                <w:sz w:val="24"/>
                <w:lang w:val="en-GB"/>
              </w:rPr>
            </w:pPr>
            <w:proofErr w:type="gramStart"/>
            <w:r w:rsidRPr="004C6A33">
              <w:rPr>
                <w:rFonts w:ascii="Times New Roman" w:hAnsi="Times New Roman"/>
                <w:sz w:val="24"/>
                <w:lang w:val="en-GB"/>
              </w:rPr>
              <w:t>Final Draft Report from CEPT to the Commission on selected use(s).</w:t>
            </w:r>
            <w:proofErr w:type="gramEnd"/>
          </w:p>
        </w:tc>
        <w:tc>
          <w:tcPr>
            <w:tcW w:w="3791" w:type="dxa"/>
          </w:tcPr>
          <w:p w14:paraId="021EA203" w14:textId="77777777" w:rsidR="00B63017" w:rsidRPr="004C6A33" w:rsidRDefault="00B63017" w:rsidP="00E72FF9">
            <w:pPr>
              <w:spacing w:before="120" w:after="120"/>
              <w:rPr>
                <w:rFonts w:ascii="Times New Roman" w:hAnsi="Times New Roman"/>
                <w:sz w:val="24"/>
                <w:lang w:val="en-GB"/>
              </w:rPr>
            </w:pPr>
            <w:r w:rsidRPr="004C6A33">
              <w:rPr>
                <w:rFonts w:ascii="Times New Roman" w:hAnsi="Times New Roman"/>
                <w:sz w:val="24"/>
                <w:lang w:val="en-GB"/>
              </w:rPr>
              <w:t xml:space="preserve">Description of work undertaken and </w:t>
            </w:r>
            <w:proofErr w:type="gramStart"/>
            <w:r w:rsidRPr="004C6A33">
              <w:rPr>
                <w:rFonts w:ascii="Times New Roman" w:hAnsi="Times New Roman"/>
                <w:sz w:val="24"/>
                <w:lang w:val="en-GB"/>
              </w:rPr>
              <w:t>final results</w:t>
            </w:r>
            <w:proofErr w:type="gramEnd"/>
            <w:r w:rsidRPr="004C6A33">
              <w:rPr>
                <w:rFonts w:ascii="Times New Roman" w:hAnsi="Times New Roman"/>
                <w:sz w:val="24"/>
                <w:lang w:val="en-GB"/>
              </w:rPr>
              <w:t xml:space="preserve"> under tasks (1) and (2) of this Mandate.</w:t>
            </w:r>
          </w:p>
        </w:tc>
      </w:tr>
      <w:tr w:rsidR="00B63017" w:rsidRPr="004C6A33" w14:paraId="681EDBA4" w14:textId="77777777" w:rsidTr="004C6A33">
        <w:tc>
          <w:tcPr>
            <w:tcW w:w="1951" w:type="dxa"/>
          </w:tcPr>
          <w:p w14:paraId="07C19187" w14:textId="77777777" w:rsidR="00B63017" w:rsidRPr="004C6A33" w:rsidRDefault="00B63017" w:rsidP="00E72FF9">
            <w:pPr>
              <w:spacing w:before="120" w:after="120"/>
              <w:rPr>
                <w:rFonts w:ascii="Times New Roman" w:hAnsi="Times New Roman"/>
                <w:sz w:val="24"/>
                <w:lang w:val="en-GB"/>
              </w:rPr>
            </w:pPr>
            <w:r w:rsidRPr="004C6A33">
              <w:rPr>
                <w:rFonts w:ascii="Times New Roman" w:hAnsi="Times New Roman"/>
                <w:sz w:val="24"/>
                <w:lang w:val="en-GB"/>
              </w:rPr>
              <w:t>March 2014</w:t>
            </w:r>
          </w:p>
        </w:tc>
        <w:tc>
          <w:tcPr>
            <w:tcW w:w="3544" w:type="dxa"/>
          </w:tcPr>
          <w:p w14:paraId="27F8972D" w14:textId="77777777" w:rsidR="00B63017" w:rsidRPr="004C6A33" w:rsidRDefault="00B63017" w:rsidP="00E72FF9">
            <w:pPr>
              <w:spacing w:before="120" w:after="120"/>
              <w:rPr>
                <w:rFonts w:ascii="Times New Roman" w:hAnsi="Times New Roman"/>
                <w:sz w:val="24"/>
                <w:lang w:val="en-GB"/>
              </w:rPr>
            </w:pPr>
            <w:r w:rsidRPr="004C6A33">
              <w:rPr>
                <w:rFonts w:ascii="Times New Roman" w:hAnsi="Times New Roman"/>
                <w:sz w:val="24"/>
                <w:lang w:val="en-GB"/>
              </w:rPr>
              <w:t>Final Report from CEPT to the Commission on selected use(s), taking into account the outcome of the public consultation</w:t>
            </w:r>
          </w:p>
        </w:tc>
        <w:tc>
          <w:tcPr>
            <w:tcW w:w="3791" w:type="dxa"/>
          </w:tcPr>
          <w:p w14:paraId="06CC567E" w14:textId="77777777" w:rsidR="00B63017" w:rsidRPr="004C6A33" w:rsidRDefault="00B63017" w:rsidP="00E72FF9">
            <w:pPr>
              <w:spacing w:before="120" w:after="120"/>
              <w:rPr>
                <w:rFonts w:ascii="Times New Roman" w:hAnsi="Times New Roman"/>
                <w:sz w:val="24"/>
                <w:lang w:val="en-GB"/>
              </w:rPr>
            </w:pPr>
            <w:r w:rsidRPr="004C6A33">
              <w:rPr>
                <w:rFonts w:ascii="Times New Roman" w:hAnsi="Times New Roman"/>
                <w:sz w:val="24"/>
                <w:lang w:val="en-GB"/>
              </w:rPr>
              <w:t>Description of work undertaken and final results under tasks (1) and (2) of this Mandate taking into account the results of the public consultation</w:t>
            </w:r>
          </w:p>
        </w:tc>
      </w:tr>
      <w:tr w:rsidR="00B63017" w:rsidRPr="004C6A33" w14:paraId="76DBD65A" w14:textId="77777777" w:rsidTr="004C6A33">
        <w:tc>
          <w:tcPr>
            <w:tcW w:w="1951" w:type="dxa"/>
          </w:tcPr>
          <w:p w14:paraId="02DD0171" w14:textId="77777777" w:rsidR="00B63017" w:rsidRPr="004C6A33" w:rsidRDefault="00B63017" w:rsidP="00B06A25">
            <w:pPr>
              <w:spacing w:before="120" w:after="120"/>
              <w:rPr>
                <w:rFonts w:ascii="Times New Roman" w:hAnsi="Times New Roman"/>
                <w:sz w:val="24"/>
                <w:lang w:val="en-GB"/>
              </w:rPr>
            </w:pPr>
            <w:r w:rsidRPr="004C6A33">
              <w:rPr>
                <w:rFonts w:ascii="Times New Roman" w:hAnsi="Times New Roman"/>
                <w:sz w:val="24"/>
                <w:lang w:val="en-GB"/>
              </w:rPr>
              <w:t>June 2014</w:t>
            </w:r>
            <w:r w:rsidR="00531617" w:rsidRPr="004C6A33">
              <w:rPr>
                <w:rFonts w:ascii="Times New Roman" w:hAnsi="Times New Roman"/>
                <w:sz w:val="24"/>
                <w:lang w:val="en-GB"/>
              </w:rPr>
              <w:fldChar w:fldCharType="begin"/>
            </w:r>
            <w:r w:rsidR="00531617" w:rsidRPr="004C6A33">
              <w:rPr>
                <w:rFonts w:ascii="Times New Roman" w:hAnsi="Times New Roman"/>
                <w:sz w:val="24"/>
                <w:lang w:val="en-GB"/>
              </w:rPr>
              <w:instrText xml:space="preserve"> NOTEREF _Ref380054933 \h  \* MERGEFORMAT </w:instrText>
            </w:r>
            <w:r w:rsidR="00531617" w:rsidRPr="004C6A33">
              <w:rPr>
                <w:rFonts w:ascii="Times New Roman" w:hAnsi="Times New Roman"/>
                <w:sz w:val="24"/>
                <w:lang w:val="en-GB"/>
              </w:rPr>
            </w:r>
            <w:r w:rsidR="00531617" w:rsidRPr="004C6A33">
              <w:rPr>
                <w:rFonts w:ascii="Times New Roman" w:hAnsi="Times New Roman"/>
                <w:sz w:val="24"/>
                <w:lang w:val="en-GB"/>
              </w:rPr>
              <w:fldChar w:fldCharType="separate"/>
            </w:r>
            <w:r w:rsidR="002327BB" w:rsidRPr="002327BB">
              <w:rPr>
                <w:rFonts w:ascii="Times New Roman" w:hAnsi="Times New Roman"/>
                <w:sz w:val="24"/>
                <w:vertAlign w:val="superscript"/>
                <w:lang w:val="en-GB"/>
              </w:rPr>
              <w:t>22</w:t>
            </w:r>
            <w:r w:rsidR="00531617" w:rsidRPr="004C6A33">
              <w:rPr>
                <w:rFonts w:ascii="Times New Roman" w:hAnsi="Times New Roman"/>
                <w:sz w:val="24"/>
                <w:lang w:val="en-GB"/>
              </w:rPr>
              <w:fldChar w:fldCharType="end"/>
            </w:r>
          </w:p>
        </w:tc>
        <w:tc>
          <w:tcPr>
            <w:tcW w:w="3544" w:type="dxa"/>
          </w:tcPr>
          <w:p w14:paraId="738CFDE0" w14:textId="77777777" w:rsidR="00B63017" w:rsidRPr="004C6A33" w:rsidRDefault="00B63017" w:rsidP="00E72FF9">
            <w:pPr>
              <w:spacing w:before="120" w:after="120"/>
              <w:rPr>
                <w:rFonts w:ascii="Times New Roman" w:hAnsi="Times New Roman"/>
                <w:sz w:val="24"/>
                <w:lang w:val="en-GB"/>
              </w:rPr>
            </w:pPr>
            <w:proofErr w:type="gramStart"/>
            <w:r w:rsidRPr="004C6A33">
              <w:rPr>
                <w:rFonts w:ascii="Times New Roman" w:hAnsi="Times New Roman"/>
                <w:sz w:val="24"/>
                <w:lang w:val="en-GB"/>
              </w:rPr>
              <w:t>Final Draft Report from CEPT to the Commission.</w:t>
            </w:r>
            <w:proofErr w:type="gramEnd"/>
          </w:p>
        </w:tc>
        <w:tc>
          <w:tcPr>
            <w:tcW w:w="3791" w:type="dxa"/>
          </w:tcPr>
          <w:p w14:paraId="02F47291" w14:textId="77777777" w:rsidR="00B63017" w:rsidRPr="004C6A33" w:rsidRDefault="00B63017" w:rsidP="00E72FF9">
            <w:pPr>
              <w:spacing w:before="120" w:after="120"/>
              <w:rPr>
                <w:rFonts w:ascii="Times New Roman" w:hAnsi="Times New Roman"/>
                <w:sz w:val="24"/>
                <w:lang w:val="en-GB"/>
              </w:rPr>
            </w:pPr>
            <w:r w:rsidRPr="004C6A33">
              <w:rPr>
                <w:rFonts w:ascii="Times New Roman" w:hAnsi="Times New Roman"/>
                <w:sz w:val="24"/>
                <w:lang w:val="en-GB"/>
              </w:rPr>
              <w:t xml:space="preserve">Description of work undertaken and </w:t>
            </w:r>
            <w:proofErr w:type="gramStart"/>
            <w:r w:rsidRPr="004C6A33">
              <w:rPr>
                <w:rFonts w:ascii="Times New Roman" w:hAnsi="Times New Roman"/>
                <w:sz w:val="24"/>
                <w:lang w:val="en-GB"/>
              </w:rPr>
              <w:t>final results</w:t>
            </w:r>
            <w:proofErr w:type="gramEnd"/>
            <w:r w:rsidRPr="004C6A33">
              <w:rPr>
                <w:rFonts w:ascii="Times New Roman" w:hAnsi="Times New Roman"/>
                <w:sz w:val="24"/>
                <w:lang w:val="en-GB"/>
              </w:rPr>
              <w:t xml:space="preserve"> under this Mandate.</w:t>
            </w:r>
          </w:p>
        </w:tc>
      </w:tr>
      <w:tr w:rsidR="00B63017" w:rsidRPr="004C6A33" w14:paraId="6BCAAD01" w14:textId="77777777" w:rsidTr="004C6A33">
        <w:tc>
          <w:tcPr>
            <w:tcW w:w="1951" w:type="dxa"/>
          </w:tcPr>
          <w:p w14:paraId="6ABB24F2" w14:textId="77777777" w:rsidR="00B63017" w:rsidRPr="004C6A33" w:rsidRDefault="00B63017" w:rsidP="00E72FF9">
            <w:pPr>
              <w:spacing w:before="120" w:after="120"/>
              <w:rPr>
                <w:rFonts w:ascii="Times New Roman" w:hAnsi="Times New Roman"/>
                <w:sz w:val="24"/>
                <w:lang w:val="en-GB"/>
              </w:rPr>
            </w:pPr>
            <w:r w:rsidRPr="004C6A33">
              <w:rPr>
                <w:rFonts w:ascii="Times New Roman" w:hAnsi="Times New Roman"/>
                <w:sz w:val="24"/>
                <w:lang w:val="en-GB"/>
              </w:rPr>
              <w:t>November 2014</w:t>
            </w:r>
          </w:p>
        </w:tc>
        <w:tc>
          <w:tcPr>
            <w:tcW w:w="3544" w:type="dxa"/>
          </w:tcPr>
          <w:p w14:paraId="28853833" w14:textId="77777777" w:rsidR="00B63017" w:rsidRPr="004C6A33" w:rsidRDefault="00B63017" w:rsidP="00E72FF9">
            <w:pPr>
              <w:spacing w:before="120" w:after="120"/>
              <w:rPr>
                <w:rFonts w:ascii="Times New Roman" w:hAnsi="Times New Roman"/>
                <w:sz w:val="24"/>
                <w:lang w:val="en-GB"/>
              </w:rPr>
            </w:pPr>
            <w:proofErr w:type="gramStart"/>
            <w:r w:rsidRPr="004C6A33">
              <w:rPr>
                <w:rFonts w:ascii="Times New Roman" w:hAnsi="Times New Roman"/>
                <w:sz w:val="24"/>
                <w:lang w:val="en-GB"/>
              </w:rPr>
              <w:t>Final Report from CEPT to the Commission.</w:t>
            </w:r>
            <w:proofErr w:type="gramEnd"/>
            <w:r w:rsidRPr="004C6A33">
              <w:rPr>
                <w:rFonts w:ascii="Times New Roman" w:hAnsi="Times New Roman"/>
                <w:sz w:val="24"/>
                <w:lang w:val="en-GB"/>
              </w:rPr>
              <w:t xml:space="preserve"> taking into account the outcome of the public consultations</w:t>
            </w:r>
          </w:p>
        </w:tc>
        <w:tc>
          <w:tcPr>
            <w:tcW w:w="3791" w:type="dxa"/>
          </w:tcPr>
          <w:p w14:paraId="19C9BFAA" w14:textId="77777777" w:rsidR="00B63017" w:rsidRPr="004C6A33" w:rsidRDefault="00B63017" w:rsidP="00E72FF9">
            <w:pPr>
              <w:spacing w:before="120" w:after="120"/>
              <w:rPr>
                <w:rFonts w:ascii="Times New Roman" w:hAnsi="Times New Roman"/>
                <w:sz w:val="24"/>
                <w:lang w:val="en-GB"/>
              </w:rPr>
            </w:pPr>
            <w:r w:rsidRPr="004C6A33">
              <w:rPr>
                <w:rFonts w:ascii="Times New Roman" w:hAnsi="Times New Roman"/>
                <w:sz w:val="24"/>
                <w:lang w:val="en-GB"/>
              </w:rPr>
              <w:t>Description of work undertaken and final results under this Mandate taking into account the results of the public consultations</w:t>
            </w:r>
          </w:p>
        </w:tc>
      </w:tr>
    </w:tbl>
    <w:p w14:paraId="595BEDCE" w14:textId="77777777" w:rsidR="00B63017" w:rsidRPr="004C6A33" w:rsidRDefault="00B63017" w:rsidP="00B63017">
      <w:pPr>
        <w:pStyle w:val="ListNumber"/>
        <w:numPr>
          <w:ilvl w:val="0"/>
          <w:numId w:val="0"/>
        </w:numPr>
        <w:shd w:val="clear" w:color="auto" w:fill="FFFFFF"/>
        <w:ind w:left="270" w:hanging="270"/>
        <w:rPr>
          <w:szCs w:val="24"/>
        </w:rPr>
      </w:pPr>
    </w:p>
    <w:p w14:paraId="36BEEE26" w14:textId="77777777" w:rsidR="00B63017" w:rsidRPr="004C6A33" w:rsidRDefault="00B63017" w:rsidP="00B63017">
      <w:pPr>
        <w:pStyle w:val="ECCParagraph"/>
        <w:rPr>
          <w:rFonts w:ascii="Times New Roman" w:hAnsi="Times New Roman"/>
          <w:sz w:val="24"/>
        </w:rPr>
      </w:pPr>
      <w:r w:rsidRPr="004C6A33">
        <w:rPr>
          <w:rFonts w:ascii="Times New Roman" w:hAnsi="Times New Roman"/>
          <w:sz w:val="24"/>
        </w:rPr>
        <w:t xml:space="preserve">In addition, CEPT </w:t>
      </w:r>
      <w:proofErr w:type="gramStart"/>
      <w:r w:rsidRPr="004C6A33">
        <w:rPr>
          <w:rFonts w:ascii="Times New Roman" w:hAnsi="Times New Roman"/>
          <w:sz w:val="24"/>
        </w:rPr>
        <w:t>is requested</w:t>
      </w:r>
      <w:proofErr w:type="gramEnd"/>
      <w:r w:rsidRPr="004C6A33">
        <w:rPr>
          <w:rFonts w:ascii="Times New Roman" w:hAnsi="Times New Roman"/>
          <w:sz w:val="24"/>
        </w:rPr>
        <w:t xml:space="preserve"> to report on the progress of its work pursuant to this Mandate to all meetings of the Radio Spectrum Committee taking place during the course of the Mandate. </w:t>
      </w:r>
    </w:p>
    <w:p w14:paraId="55C2FA60" w14:textId="77777777" w:rsidR="00B63017" w:rsidRPr="004C6A33" w:rsidRDefault="00B63017" w:rsidP="00B63017">
      <w:pPr>
        <w:pStyle w:val="ECCParagraph"/>
        <w:rPr>
          <w:rFonts w:ascii="Times New Roman" w:hAnsi="Times New Roman"/>
          <w:sz w:val="24"/>
        </w:rPr>
      </w:pPr>
      <w:r w:rsidRPr="004C6A33">
        <w:rPr>
          <w:rFonts w:ascii="Times New Roman" w:hAnsi="Times New Roman"/>
          <w:sz w:val="24"/>
        </w:rPr>
        <w:t>The Commission, with the assistance of the Radio Spectrum Committee and pursuant to the Radio Spectrum Decision, may consider applying the results of this mandate in the EU, pursuant to Article 4 of the Radio Spectrum Decision.</w:t>
      </w:r>
    </w:p>
    <w:p w14:paraId="340C1529" w14:textId="77777777" w:rsidR="00B63017" w:rsidRPr="004C6A33" w:rsidRDefault="00B63017" w:rsidP="00B63017">
      <w:pPr>
        <w:pStyle w:val="ECCParagraph"/>
        <w:rPr>
          <w:rFonts w:ascii="Times New Roman" w:hAnsi="Times New Roman"/>
          <w:szCs w:val="20"/>
        </w:rPr>
      </w:pPr>
    </w:p>
    <w:p w14:paraId="4E948908" w14:textId="77777777" w:rsidR="00B63017" w:rsidRPr="004C6A33" w:rsidRDefault="00B63017" w:rsidP="00B63017">
      <w:pPr>
        <w:pStyle w:val="ECCParagraph"/>
        <w:rPr>
          <w:rFonts w:ascii="Times New Roman" w:hAnsi="Times New Roman"/>
        </w:rPr>
      </w:pPr>
    </w:p>
    <w:p w14:paraId="3359C828" w14:textId="77777777" w:rsidR="00E2237B" w:rsidRPr="00040BEC" w:rsidRDefault="00E2237B" w:rsidP="00176CF0">
      <w:pPr>
        <w:pStyle w:val="ECCAnnexheading1"/>
      </w:pPr>
      <w:bookmarkStart w:id="151" w:name="_Ref380595956"/>
      <w:bookmarkStart w:id="152" w:name="_Toc396904024"/>
      <w:bookmarkStart w:id="153" w:name="_Toc445129336"/>
      <w:r w:rsidRPr="00040BEC">
        <w:lastRenderedPageBreak/>
        <w:t>RESULTS OF THE CALL FOR INPUTS</w:t>
      </w:r>
      <w:bookmarkEnd w:id="151"/>
      <w:bookmarkEnd w:id="152"/>
      <w:bookmarkEnd w:id="153"/>
    </w:p>
    <w:p w14:paraId="16606E9D" w14:textId="77777777" w:rsidR="00E2237B" w:rsidRPr="00040BEC" w:rsidRDefault="00E2237B" w:rsidP="00E2237B">
      <w:pPr>
        <w:autoSpaceDE w:val="0"/>
        <w:autoSpaceDN w:val="0"/>
        <w:adjustRightInd w:val="0"/>
        <w:spacing w:after="240"/>
        <w:jc w:val="both"/>
        <w:rPr>
          <w:rFonts w:cs="Arial"/>
          <w:szCs w:val="22"/>
          <w:lang w:val="en-GB"/>
        </w:rPr>
      </w:pPr>
      <w:r w:rsidRPr="00040BEC">
        <w:rPr>
          <w:lang w:val="en-GB"/>
        </w:rPr>
        <w:t>The present Annex provides the results of the Call for Inputs on the outline</w:t>
      </w:r>
      <w:r w:rsidRPr="00040BEC">
        <w:rPr>
          <w:rFonts w:cs="Arial"/>
          <w:szCs w:val="22"/>
          <w:lang w:val="en-GB"/>
        </w:rPr>
        <w:t xml:space="preserve"> of the response to the Commission in respect of the development of a CEPT response to the EC Mandate “To undertake studies on the harmonised technical conditions for the 1900-1920 MHz and 2010-2025 MHz frequency bands (</w:t>
      </w:r>
      <w:proofErr w:type="gramStart"/>
      <w:r w:rsidRPr="00040BEC">
        <w:rPr>
          <w:rFonts w:cs="Arial"/>
          <w:szCs w:val="22"/>
          <w:lang w:val="en-GB"/>
        </w:rPr>
        <w:t>‘Unpaired</w:t>
      </w:r>
      <w:proofErr w:type="gramEnd"/>
      <w:r w:rsidRPr="00040BEC">
        <w:rPr>
          <w:rFonts w:cs="Arial"/>
          <w:szCs w:val="22"/>
          <w:lang w:val="en-GB"/>
        </w:rPr>
        <w:t xml:space="preserve"> terrestrial 2 GHz bands’) in the EU”.</w:t>
      </w:r>
    </w:p>
    <w:p w14:paraId="0C804CD6" w14:textId="77777777" w:rsidR="00E2237B" w:rsidRPr="00040BEC" w:rsidRDefault="00E2237B" w:rsidP="00E2237B">
      <w:pPr>
        <w:autoSpaceDE w:val="0"/>
        <w:autoSpaceDN w:val="0"/>
        <w:adjustRightInd w:val="0"/>
        <w:spacing w:after="240"/>
        <w:jc w:val="both"/>
        <w:rPr>
          <w:b/>
          <w:lang w:val="en-GB"/>
        </w:rPr>
      </w:pPr>
      <w:r w:rsidRPr="00040BEC">
        <w:rPr>
          <w:b/>
          <w:lang w:val="en-GB"/>
        </w:rPr>
        <w:t>Background</w:t>
      </w:r>
    </w:p>
    <w:p w14:paraId="31107261" w14:textId="77777777" w:rsidR="00E2237B" w:rsidRPr="00040BEC" w:rsidRDefault="00E2237B" w:rsidP="00E2237B">
      <w:pPr>
        <w:pStyle w:val="ListParagraph"/>
        <w:ind w:left="0"/>
        <w:jc w:val="both"/>
        <w:rPr>
          <w:szCs w:val="20"/>
          <w:lang w:val="en-GB"/>
        </w:rPr>
      </w:pPr>
      <w:r w:rsidRPr="00040BEC">
        <w:rPr>
          <w:szCs w:val="20"/>
          <w:lang w:val="en-GB"/>
        </w:rPr>
        <w:t xml:space="preserve">The present </w:t>
      </w:r>
      <w:r w:rsidRPr="00040BEC">
        <w:rPr>
          <w:lang w:val="en-GB"/>
        </w:rPr>
        <w:t>outline of the response to the Commission</w:t>
      </w:r>
      <w:r w:rsidRPr="00040BEC">
        <w:rPr>
          <w:szCs w:val="20"/>
          <w:lang w:val="en-GB"/>
        </w:rPr>
        <w:t xml:space="preserve"> describes the </w:t>
      </w:r>
      <w:r w:rsidRPr="00040BEC">
        <w:rPr>
          <w:rFonts w:cs="Arial"/>
          <w:szCs w:val="20"/>
          <w:lang w:val="en-GB"/>
        </w:rPr>
        <w:t xml:space="preserve">shortlist of potential harmonised uses of the 1900-1920 MHz and 2010-2025 MHz frequency bands in accordance with </w:t>
      </w:r>
      <w:r w:rsidRPr="00040BEC">
        <w:rPr>
          <w:szCs w:val="20"/>
          <w:lang w:val="en-GB"/>
        </w:rPr>
        <w:t>the EC Mandate to CEPT “To undertake studies on the harmonised technical conditions for the 1900-1920 MHz and 2010-2025 MHz frequency bands (“Unpaired terrestrial 2 GHz bands”) in the EU”.</w:t>
      </w:r>
    </w:p>
    <w:p w14:paraId="5F00B566" w14:textId="77777777" w:rsidR="00E2237B" w:rsidRPr="00040BEC" w:rsidRDefault="00E2237B" w:rsidP="00E2237B">
      <w:pPr>
        <w:pStyle w:val="ListParagraph"/>
        <w:ind w:left="0"/>
        <w:jc w:val="both"/>
        <w:rPr>
          <w:b/>
          <w:lang w:val="en-GB"/>
        </w:rPr>
      </w:pPr>
    </w:p>
    <w:p w14:paraId="393BF2CE" w14:textId="77777777" w:rsidR="00E2237B" w:rsidRPr="00040BEC" w:rsidRDefault="00E2237B" w:rsidP="00E2237B">
      <w:pPr>
        <w:jc w:val="both"/>
        <w:rPr>
          <w:rFonts w:cs="Arial"/>
          <w:szCs w:val="20"/>
          <w:lang w:val="en-GB"/>
        </w:rPr>
      </w:pPr>
      <w:r w:rsidRPr="00040BEC">
        <w:rPr>
          <w:rFonts w:cs="Arial"/>
          <w:szCs w:val="20"/>
          <w:lang w:val="en-GB"/>
        </w:rPr>
        <w:t xml:space="preserve">The full range of source information has not been available to the extent that an ECC consultation in the formal sense </w:t>
      </w:r>
      <w:proofErr w:type="gramStart"/>
      <w:r w:rsidRPr="00040BEC">
        <w:rPr>
          <w:rFonts w:cs="Arial"/>
          <w:szCs w:val="20"/>
          <w:lang w:val="en-GB"/>
        </w:rPr>
        <w:t>could have been started</w:t>
      </w:r>
      <w:proofErr w:type="gramEnd"/>
      <w:r w:rsidRPr="00040BEC">
        <w:rPr>
          <w:rFonts w:cs="Arial"/>
          <w:szCs w:val="20"/>
          <w:lang w:val="en-GB"/>
        </w:rPr>
        <w:t xml:space="preserve"> at the ECC meeting in 5-8 November 2013. Therefore, the ECC decided instead to make a ‘Call for Inputs’ in order to gather relevant information from stakeholders in a timescale aligned with the requirements of the </w:t>
      </w:r>
      <w:r w:rsidRPr="00040BEC">
        <w:rPr>
          <w:rFonts w:cs="Arial"/>
          <w:szCs w:val="22"/>
          <w:lang w:val="en-GB"/>
        </w:rPr>
        <w:t>‘Unpaired terrestrial 2 GHz bands’</w:t>
      </w:r>
      <w:r w:rsidRPr="00040BEC">
        <w:rPr>
          <w:rFonts w:cs="Arial"/>
          <w:szCs w:val="20"/>
          <w:lang w:val="en-GB"/>
        </w:rPr>
        <w:t xml:space="preserve"> Mandate. </w:t>
      </w:r>
      <w:r w:rsidRPr="00040BEC">
        <w:rPr>
          <w:szCs w:val="20"/>
          <w:lang w:val="en-GB"/>
        </w:rPr>
        <w:t>The consultation ended on 20</w:t>
      </w:r>
      <w:r w:rsidRPr="00040BEC">
        <w:rPr>
          <w:szCs w:val="20"/>
          <w:vertAlign w:val="superscript"/>
          <w:lang w:val="en-GB"/>
        </w:rPr>
        <w:t>th</w:t>
      </w:r>
      <w:r w:rsidRPr="00040BEC">
        <w:rPr>
          <w:szCs w:val="20"/>
          <w:lang w:val="en-GB"/>
        </w:rPr>
        <w:t xml:space="preserve"> December 2013. </w:t>
      </w:r>
    </w:p>
    <w:p w14:paraId="4BDEA021" w14:textId="77777777" w:rsidR="00E2237B" w:rsidRPr="00040BEC" w:rsidRDefault="00E2237B" w:rsidP="00E2237B">
      <w:pPr>
        <w:pStyle w:val="ListParagraph"/>
        <w:ind w:left="0"/>
        <w:jc w:val="both"/>
        <w:rPr>
          <w:szCs w:val="20"/>
          <w:lang w:val="en-GB"/>
        </w:rPr>
      </w:pPr>
    </w:p>
    <w:p w14:paraId="36B1DCEB" w14:textId="77777777" w:rsidR="00E2237B" w:rsidRPr="00040BEC" w:rsidRDefault="00E2237B" w:rsidP="00E2237B">
      <w:pPr>
        <w:pStyle w:val="ListParagraph"/>
        <w:ind w:left="0"/>
        <w:jc w:val="both"/>
        <w:rPr>
          <w:szCs w:val="20"/>
          <w:lang w:val="en-GB"/>
        </w:rPr>
      </w:pPr>
      <w:r w:rsidRPr="00040BEC">
        <w:rPr>
          <w:szCs w:val="20"/>
          <w:lang w:val="en-GB"/>
        </w:rPr>
        <w:t xml:space="preserve">The following questions </w:t>
      </w:r>
      <w:proofErr w:type="gramStart"/>
      <w:r w:rsidRPr="00040BEC">
        <w:rPr>
          <w:szCs w:val="20"/>
          <w:lang w:val="en-GB"/>
        </w:rPr>
        <w:t>were put</w:t>
      </w:r>
      <w:proofErr w:type="gramEnd"/>
      <w:r w:rsidRPr="00040BEC">
        <w:rPr>
          <w:szCs w:val="20"/>
          <w:lang w:val="en-GB"/>
        </w:rPr>
        <w:t xml:space="preserve"> forward for consideration in addition to the outline of the response to the Commission on the </w:t>
      </w:r>
      <w:r w:rsidRPr="00040BEC">
        <w:rPr>
          <w:rFonts w:cs="Arial"/>
          <w:szCs w:val="20"/>
          <w:lang w:val="en-GB"/>
        </w:rPr>
        <w:t>shortlist of potential harmonised uses</w:t>
      </w:r>
      <w:r w:rsidRPr="00040BEC">
        <w:rPr>
          <w:szCs w:val="20"/>
          <w:lang w:val="en-GB"/>
        </w:rPr>
        <w:t>:</w:t>
      </w:r>
    </w:p>
    <w:p w14:paraId="6074EF6C" w14:textId="77777777" w:rsidR="00E2237B" w:rsidRPr="00040BEC" w:rsidRDefault="00E2237B" w:rsidP="00E2237B">
      <w:pPr>
        <w:rPr>
          <w:szCs w:val="20"/>
          <w:lang w:val="en-GB"/>
        </w:rPr>
      </w:pPr>
    </w:p>
    <w:p w14:paraId="0111EA17" w14:textId="77777777" w:rsidR="00E2237B" w:rsidRPr="00040BEC" w:rsidRDefault="00E2237B" w:rsidP="00BE115C">
      <w:pPr>
        <w:pStyle w:val="ECCParagraph"/>
        <w:numPr>
          <w:ilvl w:val="0"/>
          <w:numId w:val="32"/>
        </w:numPr>
        <w:rPr>
          <w:szCs w:val="20"/>
        </w:rPr>
      </w:pPr>
      <w:r w:rsidRPr="00040BEC">
        <w:t xml:space="preserve">General questions </w:t>
      </w:r>
    </w:p>
    <w:p w14:paraId="274E1E64" w14:textId="77777777" w:rsidR="00E2237B" w:rsidRPr="00040BEC" w:rsidRDefault="00E2237B" w:rsidP="00BE115C">
      <w:pPr>
        <w:pStyle w:val="ECCParagraph"/>
        <w:numPr>
          <w:ilvl w:val="0"/>
          <w:numId w:val="43"/>
        </w:numPr>
        <w:ind w:left="1134" w:hanging="425"/>
        <w:rPr>
          <w:b/>
          <w:szCs w:val="20"/>
        </w:rPr>
      </w:pPr>
      <w:r w:rsidRPr="00040BEC">
        <w:rPr>
          <w:b/>
        </w:rPr>
        <w:t>What is your view on the preferred scenarios / uses for the bands 1900-1920 MHz and 2010-2025 MHz as set out in the outline of the response to the Commission? Please, justify your answer by indicating the associated economic and other benefits of your preference.</w:t>
      </w:r>
    </w:p>
    <w:p w14:paraId="7AF0B858" w14:textId="77777777" w:rsidR="00E2237B" w:rsidRPr="00040BEC" w:rsidRDefault="00E2237B" w:rsidP="00BE115C">
      <w:pPr>
        <w:pStyle w:val="ECCParagraph"/>
        <w:numPr>
          <w:ilvl w:val="0"/>
          <w:numId w:val="43"/>
        </w:numPr>
        <w:ind w:left="1134" w:hanging="425"/>
        <w:rPr>
          <w:b/>
        </w:rPr>
      </w:pPr>
      <w:proofErr w:type="gramStart"/>
      <w:r w:rsidRPr="00040BEC">
        <w:t xml:space="preserve">In the outline of the response to the Commission it is suggested placing the shortlist of potential harmonised uses of the 1900-1920 MHz and 2010-2025 MHz frequency bands, proposed for further study in the EC Mandate (as detailed in Annex 4), into 3 defined categories (see section </w:t>
      </w:r>
      <w:r w:rsidR="00531617" w:rsidRPr="00040BEC">
        <w:fldChar w:fldCharType="begin"/>
      </w:r>
      <w:r w:rsidR="00531617" w:rsidRPr="00040BEC">
        <w:instrText xml:space="preserve"> REF _Ref368347696 \r \h  \* MERGEFORMAT </w:instrText>
      </w:r>
      <w:r w:rsidR="00531617" w:rsidRPr="00040BEC">
        <w:fldChar w:fldCharType="separate"/>
      </w:r>
      <w:r w:rsidR="002327BB">
        <w:t>3.6</w:t>
      </w:r>
      <w:r w:rsidR="00531617" w:rsidRPr="00040BEC">
        <w:fldChar w:fldCharType="end"/>
      </w:r>
      <w:r w:rsidRPr="00040BEC">
        <w:t xml:space="preserve"> of the outline of the response to the Commission on </w:t>
      </w:r>
      <w:r w:rsidR="00531617" w:rsidRPr="00040BEC">
        <w:fldChar w:fldCharType="begin"/>
      </w:r>
      <w:r w:rsidR="00531617" w:rsidRPr="00040BEC">
        <w:instrText xml:space="preserve"> REF _Ref368347719 \h  \* MERGEFORMAT </w:instrText>
      </w:r>
      <w:r w:rsidR="00531617" w:rsidRPr="00040BEC">
        <w:fldChar w:fldCharType="separate"/>
      </w:r>
      <w:r w:rsidR="002327BB" w:rsidRPr="00040BEC">
        <w:t>Synergies between the proposed short list of selected use</w:t>
      </w:r>
      <w:r w:rsidR="00531617" w:rsidRPr="00040BEC">
        <w:fldChar w:fldCharType="end"/>
      </w:r>
      <w:r w:rsidRPr="00040BEC">
        <w:t>).</w:t>
      </w:r>
      <w:proofErr w:type="gramEnd"/>
      <w:r w:rsidRPr="00040BEC">
        <w:t xml:space="preserve"> </w:t>
      </w:r>
      <w:r w:rsidRPr="00040BEC">
        <w:rPr>
          <w:b/>
        </w:rPr>
        <w:t>Do you agree with this approach? (Yes/No) If not please explain in detail why.</w:t>
      </w:r>
    </w:p>
    <w:p w14:paraId="7FDD0163" w14:textId="77777777" w:rsidR="00E2237B" w:rsidRPr="00040BEC" w:rsidRDefault="00E2237B" w:rsidP="00BE115C">
      <w:pPr>
        <w:pStyle w:val="ECCParagraph"/>
        <w:numPr>
          <w:ilvl w:val="0"/>
          <w:numId w:val="32"/>
        </w:numPr>
      </w:pPr>
      <w:r w:rsidRPr="00040BEC">
        <w:t>DECT and SRD</w:t>
      </w:r>
    </w:p>
    <w:p w14:paraId="5C8B2D79" w14:textId="77777777" w:rsidR="00E2237B" w:rsidRPr="00040BEC" w:rsidRDefault="00E2237B" w:rsidP="00E2237B">
      <w:pPr>
        <w:pStyle w:val="ECCParagraph"/>
        <w:ind w:left="709"/>
      </w:pPr>
      <w:r w:rsidRPr="00040BEC">
        <w:t>Two of the potential uses of the 1900-1920 MHz and 2010-2025 MHz frequency bands proposed for study in the EC Mandate are DECT (1900-1920 MHz) and SRDs. Both uses would normally employ adequate mechanisms to access the spectrum equitably and operate under a general authorisation framework. The approach is application-neutral and technology-neutral as much as possible and in line with the principles set out in CEPT Report 14 and CEPT Report 44.</w:t>
      </w:r>
    </w:p>
    <w:p w14:paraId="625C5432" w14:textId="77777777" w:rsidR="00E2237B" w:rsidRPr="00040BEC" w:rsidRDefault="00E2237B" w:rsidP="00E2237B">
      <w:pPr>
        <w:pStyle w:val="ECCParagraph"/>
        <w:ind w:left="709"/>
        <w:rPr>
          <w:b/>
        </w:rPr>
      </w:pPr>
      <w:r w:rsidRPr="00040BEC">
        <w:rPr>
          <w:b/>
        </w:rPr>
        <w:t xml:space="preserve">Do you agree that SRD and DECT </w:t>
      </w:r>
      <w:proofErr w:type="gramStart"/>
      <w:r w:rsidRPr="00040BEC">
        <w:rPr>
          <w:b/>
        </w:rPr>
        <w:t>may be deployed</w:t>
      </w:r>
      <w:proofErr w:type="gramEnd"/>
      <w:r w:rsidRPr="00040BEC">
        <w:rPr>
          <w:b/>
        </w:rPr>
        <w:t xml:space="preserve"> and share the spectrum under a common technical and regulatory framework to foster a more efficient use of spectrum and future innovation? (Yes/No) If not, please indicate why.</w:t>
      </w:r>
    </w:p>
    <w:p w14:paraId="0B16E8D2" w14:textId="77777777" w:rsidR="00E2237B" w:rsidRPr="00040BEC" w:rsidRDefault="00E2237B" w:rsidP="00BE115C">
      <w:pPr>
        <w:pStyle w:val="ECCParagraph"/>
        <w:numPr>
          <w:ilvl w:val="0"/>
          <w:numId w:val="32"/>
        </w:numPr>
      </w:pPr>
      <w:r w:rsidRPr="00040BEC">
        <w:t>PMSE and ad-hoc PPDR</w:t>
      </w:r>
    </w:p>
    <w:p w14:paraId="08EE6DED" w14:textId="77777777" w:rsidR="00E2237B" w:rsidRPr="00040BEC" w:rsidRDefault="00E2237B" w:rsidP="00E2237B">
      <w:pPr>
        <w:pStyle w:val="ECCParagraph"/>
        <w:ind w:left="709"/>
      </w:pPr>
      <w:r w:rsidRPr="00040BEC">
        <w:t xml:space="preserve">Two of the potential uses of the 1900-1920 MHz and 2010-2025 MHz frequency bands proposed for study in the EC Mandate are PMSE and ad-hoc PPDR. Both proposed uses of the band are to provide temporary links both fixed and mobile (incl. airborne such as video links from/to helicopters or unmanned air vehicles), where these frequency bands would be included in an extended harmonised tuning range for video cameras and video links. The proposal in the </w:t>
      </w:r>
      <w:r w:rsidRPr="00040BEC">
        <w:lastRenderedPageBreak/>
        <w:t xml:space="preserve">outline of the response to the Commission is that the same technical framework and same equipment </w:t>
      </w:r>
      <w:proofErr w:type="gramStart"/>
      <w:r w:rsidRPr="00040BEC">
        <w:t>can be used</w:t>
      </w:r>
      <w:proofErr w:type="gramEnd"/>
      <w:r w:rsidRPr="00040BEC">
        <w:t xml:space="preserve"> to meet the operational needs of both PMSE and PPDR users. </w:t>
      </w:r>
    </w:p>
    <w:p w14:paraId="3DFBC1F6" w14:textId="77777777" w:rsidR="00E2237B" w:rsidRPr="00040BEC" w:rsidRDefault="00E2237B" w:rsidP="00E2237B">
      <w:pPr>
        <w:pStyle w:val="ECCParagraph"/>
        <w:ind w:left="709"/>
        <w:rPr>
          <w:b/>
        </w:rPr>
      </w:pPr>
      <w:r w:rsidRPr="00040BEC">
        <w:rPr>
          <w:b/>
        </w:rPr>
        <w:t xml:space="preserve">Do you agree that PMSE and ad-hoc PPDR show sufficient similarities to share the same technical framework to foster a more efficient use of spectrum and future innovation? </w:t>
      </w:r>
      <w:proofErr w:type="gramStart"/>
      <w:r w:rsidRPr="00040BEC">
        <w:rPr>
          <w:b/>
        </w:rPr>
        <w:t>(Yes/No).</w:t>
      </w:r>
      <w:proofErr w:type="gramEnd"/>
      <w:r w:rsidRPr="00040BEC">
        <w:rPr>
          <w:b/>
        </w:rPr>
        <w:t xml:space="preserve"> If not, please indicate why.-</w:t>
      </w:r>
    </w:p>
    <w:p w14:paraId="7E4CE24A" w14:textId="77777777" w:rsidR="00E2237B" w:rsidRPr="00040BEC" w:rsidRDefault="00E2237B" w:rsidP="00E2237B">
      <w:pPr>
        <w:pStyle w:val="ListParagraph"/>
        <w:ind w:left="0"/>
        <w:jc w:val="both"/>
        <w:rPr>
          <w:szCs w:val="20"/>
          <w:lang w:val="en-GB"/>
        </w:rPr>
      </w:pPr>
      <w:r w:rsidRPr="00040BEC">
        <w:rPr>
          <w:szCs w:val="20"/>
          <w:lang w:val="en-GB"/>
        </w:rPr>
        <w:t xml:space="preserve">Comments </w:t>
      </w:r>
      <w:proofErr w:type="gramStart"/>
      <w:r w:rsidRPr="00040BEC">
        <w:rPr>
          <w:szCs w:val="20"/>
          <w:lang w:val="en-GB"/>
        </w:rPr>
        <w:t>have been received</w:t>
      </w:r>
      <w:proofErr w:type="gramEnd"/>
      <w:r w:rsidRPr="00040BEC">
        <w:rPr>
          <w:szCs w:val="20"/>
          <w:lang w:val="en-GB"/>
        </w:rPr>
        <w:t xml:space="preserve"> from: </w:t>
      </w:r>
    </w:p>
    <w:p w14:paraId="66922E9C" w14:textId="77777777" w:rsidR="00E2237B" w:rsidRPr="00040BEC" w:rsidRDefault="00E2237B" w:rsidP="00BE115C">
      <w:pPr>
        <w:pStyle w:val="Header3"/>
        <w:numPr>
          <w:ilvl w:val="0"/>
          <w:numId w:val="33"/>
        </w:numPr>
        <w:spacing w:before="120" w:after="120"/>
        <w:rPr>
          <w:b w:val="0"/>
          <w:sz w:val="20"/>
          <w:lang w:val="en-GB"/>
        </w:rPr>
      </w:pPr>
      <w:r w:rsidRPr="00040BEC">
        <w:rPr>
          <w:b w:val="0"/>
          <w:sz w:val="20"/>
          <w:lang w:val="en-GB"/>
        </w:rPr>
        <w:t>Deutsche Telekom</w:t>
      </w:r>
    </w:p>
    <w:p w14:paraId="11130F16" w14:textId="77777777" w:rsidR="00E2237B" w:rsidRPr="00040BEC" w:rsidRDefault="00E2237B" w:rsidP="00BE115C">
      <w:pPr>
        <w:pStyle w:val="Header3"/>
        <w:numPr>
          <w:ilvl w:val="0"/>
          <w:numId w:val="33"/>
        </w:numPr>
        <w:spacing w:before="120" w:after="120"/>
        <w:rPr>
          <w:b w:val="0"/>
          <w:sz w:val="20"/>
          <w:lang w:val="en-GB"/>
        </w:rPr>
      </w:pPr>
      <w:proofErr w:type="spellStart"/>
      <w:r w:rsidRPr="00040BEC">
        <w:rPr>
          <w:b w:val="0"/>
          <w:sz w:val="20"/>
          <w:lang w:val="en-GB"/>
        </w:rPr>
        <w:t>TriaGnoSys</w:t>
      </w:r>
      <w:proofErr w:type="spellEnd"/>
      <w:r w:rsidRPr="00040BEC">
        <w:rPr>
          <w:b w:val="0"/>
          <w:sz w:val="20"/>
          <w:lang w:val="en-GB"/>
        </w:rPr>
        <w:t xml:space="preserve"> (affiliated to aircraft cabin manufacturer Zodiac Aerospace)</w:t>
      </w:r>
    </w:p>
    <w:p w14:paraId="23366E80" w14:textId="77777777" w:rsidR="00E2237B" w:rsidRPr="00040BEC" w:rsidRDefault="00E2237B" w:rsidP="00BE115C">
      <w:pPr>
        <w:pStyle w:val="ListParagraph"/>
        <w:numPr>
          <w:ilvl w:val="0"/>
          <w:numId w:val="33"/>
        </w:numPr>
        <w:spacing w:before="120" w:after="120"/>
        <w:rPr>
          <w:szCs w:val="20"/>
          <w:lang w:val="en-GB"/>
        </w:rPr>
      </w:pPr>
      <w:r w:rsidRPr="00040BEC">
        <w:rPr>
          <w:szCs w:val="20"/>
          <w:lang w:val="en-GB"/>
        </w:rPr>
        <w:t>Riedel (provider of PMSE solutions)</w:t>
      </w:r>
    </w:p>
    <w:p w14:paraId="7A39DE1E" w14:textId="77777777" w:rsidR="00E2237B" w:rsidRPr="00040BEC" w:rsidRDefault="00E2237B" w:rsidP="00BE115C">
      <w:pPr>
        <w:pStyle w:val="Header3"/>
        <w:numPr>
          <w:ilvl w:val="0"/>
          <w:numId w:val="33"/>
        </w:numPr>
        <w:spacing w:before="120" w:after="120"/>
        <w:rPr>
          <w:b w:val="0"/>
          <w:sz w:val="20"/>
          <w:lang w:val="en-GB"/>
        </w:rPr>
      </w:pPr>
      <w:r w:rsidRPr="00040BEC">
        <w:rPr>
          <w:b w:val="0"/>
          <w:sz w:val="20"/>
          <w:lang w:val="en-GB"/>
        </w:rPr>
        <w:t>NPO (</w:t>
      </w:r>
      <w:proofErr w:type="spellStart"/>
      <w:r w:rsidRPr="00040BEC">
        <w:rPr>
          <w:b w:val="0"/>
          <w:sz w:val="20"/>
          <w:lang w:val="en-GB"/>
        </w:rPr>
        <w:t>Nederlandse</w:t>
      </w:r>
      <w:proofErr w:type="spellEnd"/>
      <w:r w:rsidRPr="00040BEC">
        <w:rPr>
          <w:b w:val="0"/>
          <w:sz w:val="20"/>
          <w:lang w:val="en-GB"/>
        </w:rPr>
        <w:t xml:space="preserve"> </w:t>
      </w:r>
      <w:proofErr w:type="spellStart"/>
      <w:r w:rsidRPr="00040BEC">
        <w:rPr>
          <w:b w:val="0"/>
          <w:sz w:val="20"/>
          <w:lang w:val="en-GB"/>
        </w:rPr>
        <w:t>Publieke</w:t>
      </w:r>
      <w:proofErr w:type="spellEnd"/>
      <w:r w:rsidRPr="00040BEC">
        <w:rPr>
          <w:b w:val="0"/>
          <w:sz w:val="20"/>
          <w:lang w:val="en-GB"/>
        </w:rPr>
        <w:t xml:space="preserve"> </w:t>
      </w:r>
      <w:proofErr w:type="spellStart"/>
      <w:r w:rsidRPr="00040BEC">
        <w:rPr>
          <w:b w:val="0"/>
          <w:sz w:val="20"/>
          <w:lang w:val="en-GB"/>
        </w:rPr>
        <w:t>Omroep</w:t>
      </w:r>
      <w:proofErr w:type="spellEnd"/>
      <w:r w:rsidRPr="00040BEC">
        <w:rPr>
          <w:b w:val="0"/>
          <w:sz w:val="20"/>
          <w:lang w:val="en-GB"/>
        </w:rPr>
        <w:t>; Netherlands Public Broadcasting)</w:t>
      </w:r>
    </w:p>
    <w:p w14:paraId="190B18E4" w14:textId="77777777" w:rsidR="00E2237B" w:rsidRPr="00040BEC" w:rsidRDefault="00E2237B" w:rsidP="00BE115C">
      <w:pPr>
        <w:pStyle w:val="ListParagraph"/>
        <w:numPr>
          <w:ilvl w:val="0"/>
          <w:numId w:val="33"/>
        </w:numPr>
        <w:rPr>
          <w:szCs w:val="20"/>
          <w:lang w:val="en-GB"/>
        </w:rPr>
      </w:pPr>
      <w:proofErr w:type="spellStart"/>
      <w:r w:rsidRPr="00040BEC">
        <w:rPr>
          <w:szCs w:val="20"/>
          <w:lang w:val="en-GB"/>
        </w:rPr>
        <w:t>Vislink</w:t>
      </w:r>
      <w:proofErr w:type="spellEnd"/>
      <w:r w:rsidRPr="00040BEC">
        <w:rPr>
          <w:szCs w:val="20"/>
          <w:lang w:val="en-GB"/>
        </w:rPr>
        <w:t xml:space="preserve"> (provider of PMSE solutions)</w:t>
      </w:r>
    </w:p>
    <w:p w14:paraId="59C69D32" w14:textId="77777777" w:rsidR="00E2237B" w:rsidRPr="00040BEC" w:rsidRDefault="00E2237B" w:rsidP="00BE115C">
      <w:pPr>
        <w:pStyle w:val="Header3"/>
        <w:numPr>
          <w:ilvl w:val="0"/>
          <w:numId w:val="33"/>
        </w:numPr>
        <w:spacing w:before="120" w:after="120"/>
        <w:rPr>
          <w:b w:val="0"/>
          <w:sz w:val="20"/>
          <w:lang w:val="en-GB"/>
        </w:rPr>
      </w:pPr>
      <w:r w:rsidRPr="00040BEC">
        <w:rPr>
          <w:b w:val="0"/>
          <w:sz w:val="20"/>
          <w:lang w:val="en-GB"/>
        </w:rPr>
        <w:t>IRT (</w:t>
      </w:r>
      <w:proofErr w:type="spellStart"/>
      <w:r w:rsidRPr="00040BEC">
        <w:rPr>
          <w:b w:val="0"/>
          <w:sz w:val="20"/>
          <w:lang w:val="en-GB"/>
        </w:rPr>
        <w:t>Institut</w:t>
      </w:r>
      <w:proofErr w:type="spellEnd"/>
      <w:r w:rsidRPr="00040BEC">
        <w:rPr>
          <w:b w:val="0"/>
          <w:sz w:val="20"/>
          <w:lang w:val="en-GB"/>
        </w:rPr>
        <w:t xml:space="preserve"> </w:t>
      </w:r>
      <w:proofErr w:type="spellStart"/>
      <w:r w:rsidRPr="00040BEC">
        <w:rPr>
          <w:b w:val="0"/>
          <w:sz w:val="20"/>
          <w:lang w:val="en-GB"/>
        </w:rPr>
        <w:t>für</w:t>
      </w:r>
      <w:proofErr w:type="spellEnd"/>
      <w:r w:rsidRPr="00040BEC">
        <w:rPr>
          <w:b w:val="0"/>
          <w:sz w:val="20"/>
          <w:lang w:val="en-GB"/>
        </w:rPr>
        <w:t xml:space="preserve"> </w:t>
      </w:r>
      <w:proofErr w:type="spellStart"/>
      <w:r w:rsidRPr="00040BEC">
        <w:rPr>
          <w:b w:val="0"/>
          <w:sz w:val="20"/>
          <w:lang w:val="en-GB"/>
        </w:rPr>
        <w:t>Rundfunktechnik</w:t>
      </w:r>
      <w:proofErr w:type="spellEnd"/>
      <w:r w:rsidRPr="00040BEC">
        <w:rPr>
          <w:b w:val="0"/>
          <w:sz w:val="20"/>
          <w:lang w:val="en-GB"/>
        </w:rPr>
        <w:t>) (research institute of the public broadcasters of Germany, Austria, and Switzerland)</w:t>
      </w:r>
    </w:p>
    <w:p w14:paraId="3389741C" w14:textId="77777777" w:rsidR="00E2237B" w:rsidRPr="00040BEC" w:rsidRDefault="00E2237B" w:rsidP="00BE115C">
      <w:pPr>
        <w:pStyle w:val="Header3"/>
        <w:numPr>
          <w:ilvl w:val="0"/>
          <w:numId w:val="33"/>
        </w:numPr>
        <w:spacing w:before="120" w:after="120"/>
        <w:rPr>
          <w:b w:val="0"/>
          <w:sz w:val="20"/>
          <w:lang w:val="en-GB"/>
        </w:rPr>
      </w:pPr>
      <w:r w:rsidRPr="00040BEC">
        <w:rPr>
          <w:b w:val="0"/>
          <w:sz w:val="20"/>
          <w:lang w:val="en-GB"/>
        </w:rPr>
        <w:t>France</w:t>
      </w:r>
    </w:p>
    <w:p w14:paraId="3B38340F" w14:textId="77777777" w:rsidR="00E2237B" w:rsidRPr="00040BEC" w:rsidRDefault="00E2237B" w:rsidP="00BE115C">
      <w:pPr>
        <w:pStyle w:val="Header3"/>
        <w:numPr>
          <w:ilvl w:val="0"/>
          <w:numId w:val="33"/>
        </w:numPr>
        <w:spacing w:before="120" w:after="120"/>
        <w:rPr>
          <w:b w:val="0"/>
          <w:sz w:val="20"/>
          <w:lang w:val="en-GB"/>
        </w:rPr>
      </w:pPr>
      <w:r w:rsidRPr="00040BEC">
        <w:rPr>
          <w:b w:val="0"/>
          <w:sz w:val="20"/>
          <w:lang w:val="en-GB"/>
        </w:rPr>
        <w:t>DECT Forum</w:t>
      </w:r>
    </w:p>
    <w:p w14:paraId="7631EDC6" w14:textId="77777777" w:rsidR="00E2237B" w:rsidRPr="00040BEC" w:rsidRDefault="00E2237B" w:rsidP="00BE115C">
      <w:pPr>
        <w:pStyle w:val="Header3"/>
        <w:numPr>
          <w:ilvl w:val="0"/>
          <w:numId w:val="33"/>
        </w:numPr>
        <w:spacing w:before="120" w:after="120"/>
        <w:rPr>
          <w:sz w:val="20"/>
          <w:lang w:val="en-GB"/>
        </w:rPr>
      </w:pPr>
      <w:r w:rsidRPr="00040BEC">
        <w:rPr>
          <w:b w:val="0"/>
          <w:sz w:val="20"/>
          <w:lang w:val="en-GB"/>
        </w:rPr>
        <w:t>Sweden</w:t>
      </w:r>
    </w:p>
    <w:p w14:paraId="747BCC52" w14:textId="77777777" w:rsidR="00E2237B" w:rsidRPr="00040BEC" w:rsidRDefault="00E2237B" w:rsidP="00BE115C">
      <w:pPr>
        <w:pStyle w:val="Header3"/>
        <w:numPr>
          <w:ilvl w:val="0"/>
          <w:numId w:val="33"/>
        </w:numPr>
        <w:spacing w:before="120" w:after="120"/>
        <w:rPr>
          <w:sz w:val="20"/>
          <w:lang w:val="en-GB"/>
        </w:rPr>
      </w:pPr>
      <w:r w:rsidRPr="00040BEC">
        <w:rPr>
          <w:b w:val="0"/>
          <w:sz w:val="20"/>
          <w:lang w:val="en-GB"/>
        </w:rPr>
        <w:t>Lufthansa Systems</w:t>
      </w:r>
    </w:p>
    <w:p w14:paraId="4C5A6EAF" w14:textId="77777777" w:rsidR="00E2237B" w:rsidRPr="00040BEC" w:rsidRDefault="00E2237B" w:rsidP="00BE115C">
      <w:pPr>
        <w:pStyle w:val="Header3"/>
        <w:numPr>
          <w:ilvl w:val="0"/>
          <w:numId w:val="33"/>
        </w:numPr>
        <w:spacing w:before="120" w:after="120"/>
        <w:rPr>
          <w:sz w:val="20"/>
          <w:lang w:val="en-GB"/>
        </w:rPr>
      </w:pPr>
      <w:r w:rsidRPr="00040BEC">
        <w:rPr>
          <w:b w:val="0"/>
          <w:sz w:val="20"/>
          <w:lang w:val="en-GB"/>
        </w:rPr>
        <w:t>Netherlands</w:t>
      </w:r>
    </w:p>
    <w:p w14:paraId="44550405" w14:textId="77777777" w:rsidR="00E2237B" w:rsidRPr="00040BEC" w:rsidRDefault="00E2237B" w:rsidP="00BE115C">
      <w:pPr>
        <w:pStyle w:val="Header3"/>
        <w:numPr>
          <w:ilvl w:val="0"/>
          <w:numId w:val="33"/>
        </w:numPr>
        <w:spacing w:before="120" w:after="120"/>
        <w:rPr>
          <w:b w:val="0"/>
          <w:sz w:val="20"/>
          <w:lang w:val="en-GB"/>
        </w:rPr>
      </w:pPr>
      <w:r w:rsidRPr="00040BEC">
        <w:rPr>
          <w:b w:val="0"/>
          <w:sz w:val="20"/>
          <w:lang w:val="en-GB"/>
        </w:rPr>
        <w:t>Selex ES (inter-alia provider of PPDR solutions)</w:t>
      </w:r>
    </w:p>
    <w:p w14:paraId="0C88027F" w14:textId="77777777" w:rsidR="00E2237B" w:rsidRPr="00040BEC" w:rsidRDefault="00E2237B" w:rsidP="00BE115C">
      <w:pPr>
        <w:pStyle w:val="Header3"/>
        <w:numPr>
          <w:ilvl w:val="0"/>
          <w:numId w:val="33"/>
        </w:numPr>
        <w:spacing w:before="120" w:after="120"/>
        <w:rPr>
          <w:b w:val="0"/>
          <w:sz w:val="20"/>
          <w:lang w:val="en-GB"/>
        </w:rPr>
      </w:pPr>
      <w:r w:rsidRPr="00040BEC">
        <w:rPr>
          <w:b w:val="0"/>
          <w:sz w:val="20"/>
          <w:lang w:val="en-GB"/>
        </w:rPr>
        <w:t>British Airways</w:t>
      </w:r>
    </w:p>
    <w:p w14:paraId="58D46AF9" w14:textId="77777777" w:rsidR="00E2237B" w:rsidRPr="00040BEC" w:rsidRDefault="00E2237B" w:rsidP="00BE115C">
      <w:pPr>
        <w:pStyle w:val="Header3"/>
        <w:numPr>
          <w:ilvl w:val="0"/>
          <w:numId w:val="33"/>
        </w:numPr>
        <w:spacing w:before="120" w:after="120"/>
        <w:rPr>
          <w:b w:val="0"/>
          <w:sz w:val="20"/>
          <w:lang w:val="en-GB"/>
        </w:rPr>
      </w:pPr>
      <w:proofErr w:type="spellStart"/>
      <w:r w:rsidRPr="00040BEC">
        <w:rPr>
          <w:b w:val="0"/>
          <w:sz w:val="20"/>
          <w:lang w:val="en-GB"/>
        </w:rPr>
        <w:t>Telefónica</w:t>
      </w:r>
      <w:proofErr w:type="spellEnd"/>
      <w:r w:rsidRPr="00040BEC">
        <w:rPr>
          <w:b w:val="0"/>
          <w:sz w:val="20"/>
          <w:lang w:val="en-GB"/>
        </w:rPr>
        <w:t xml:space="preserve"> S.A.</w:t>
      </w:r>
    </w:p>
    <w:p w14:paraId="6818AC12" w14:textId="77777777" w:rsidR="00E2237B" w:rsidRPr="00FB555C" w:rsidRDefault="00E2237B" w:rsidP="00BE115C">
      <w:pPr>
        <w:pStyle w:val="Header3"/>
        <w:numPr>
          <w:ilvl w:val="0"/>
          <w:numId w:val="33"/>
        </w:numPr>
        <w:spacing w:before="120" w:after="120"/>
        <w:rPr>
          <w:b w:val="0"/>
          <w:sz w:val="20"/>
          <w:lang w:val="fr-FR"/>
        </w:rPr>
      </w:pPr>
      <w:r w:rsidRPr="00FB555C">
        <w:rPr>
          <w:b w:val="0"/>
          <w:sz w:val="20"/>
          <w:lang w:val="fr-FR"/>
        </w:rPr>
        <w:t>Multi-</w:t>
      </w:r>
      <w:proofErr w:type="spellStart"/>
      <w:r w:rsidRPr="00FB555C">
        <w:rPr>
          <w:b w:val="0"/>
          <w:sz w:val="20"/>
          <w:lang w:val="fr-FR"/>
        </w:rPr>
        <w:t>operators</w:t>
      </w:r>
      <w:proofErr w:type="spellEnd"/>
      <w:r w:rsidRPr="00FB555C">
        <w:rPr>
          <w:b w:val="0"/>
          <w:sz w:val="20"/>
          <w:lang w:val="fr-FR"/>
        </w:rPr>
        <w:t xml:space="preserve">’ </w:t>
      </w:r>
      <w:proofErr w:type="spellStart"/>
      <w:r w:rsidRPr="00FB555C">
        <w:rPr>
          <w:b w:val="0"/>
          <w:sz w:val="20"/>
          <w:lang w:val="fr-FR"/>
        </w:rPr>
        <w:t>response</w:t>
      </w:r>
      <w:proofErr w:type="spellEnd"/>
      <w:r w:rsidRPr="00FB555C">
        <w:rPr>
          <w:b w:val="0"/>
          <w:sz w:val="20"/>
          <w:lang w:val="fr-FR"/>
        </w:rPr>
        <w:t xml:space="preserve"> </w:t>
      </w:r>
      <w:proofErr w:type="spellStart"/>
      <w:r w:rsidRPr="00FB555C">
        <w:rPr>
          <w:b w:val="0"/>
          <w:sz w:val="20"/>
          <w:lang w:val="fr-FR"/>
        </w:rPr>
        <w:t>from</w:t>
      </w:r>
      <w:proofErr w:type="spellEnd"/>
      <w:r w:rsidRPr="00FB555C">
        <w:rPr>
          <w:b w:val="0"/>
          <w:sz w:val="20"/>
          <w:lang w:val="fr-FR"/>
        </w:rPr>
        <w:t xml:space="preserve"> Bouygues Telecom, Orange, and SFR (Société Française de Radiotéléphone)</w:t>
      </w:r>
    </w:p>
    <w:p w14:paraId="158E11AC" w14:textId="77777777" w:rsidR="00E2237B" w:rsidRPr="00040BEC" w:rsidRDefault="00E2237B" w:rsidP="00BE115C">
      <w:pPr>
        <w:pStyle w:val="Header3"/>
        <w:numPr>
          <w:ilvl w:val="0"/>
          <w:numId w:val="33"/>
        </w:numPr>
        <w:spacing w:before="120" w:after="120"/>
        <w:rPr>
          <w:b w:val="0"/>
          <w:sz w:val="20"/>
          <w:lang w:val="en-GB"/>
        </w:rPr>
      </w:pPr>
      <w:r w:rsidRPr="00040BEC">
        <w:rPr>
          <w:b w:val="0"/>
          <w:sz w:val="20"/>
          <w:lang w:val="en-GB"/>
        </w:rPr>
        <w:t>Germany</w:t>
      </w:r>
    </w:p>
    <w:p w14:paraId="0648B2E1" w14:textId="77777777" w:rsidR="00E2237B" w:rsidRPr="00040BEC" w:rsidRDefault="00E2237B" w:rsidP="00BE115C">
      <w:pPr>
        <w:pStyle w:val="Header3"/>
        <w:numPr>
          <w:ilvl w:val="0"/>
          <w:numId w:val="33"/>
        </w:numPr>
        <w:spacing w:before="120" w:after="120"/>
        <w:rPr>
          <w:b w:val="0"/>
          <w:sz w:val="20"/>
          <w:lang w:val="en-GB"/>
        </w:rPr>
      </w:pPr>
      <w:r w:rsidRPr="00040BEC">
        <w:rPr>
          <w:b w:val="0"/>
          <w:sz w:val="20"/>
          <w:lang w:val="en-GB"/>
        </w:rPr>
        <w:t>BT (British Telecommunications PLC)</w:t>
      </w:r>
    </w:p>
    <w:p w14:paraId="2E03087A" w14:textId="77777777" w:rsidR="00E2237B" w:rsidRPr="00040BEC" w:rsidRDefault="00E2237B" w:rsidP="00E2237B">
      <w:pPr>
        <w:pStyle w:val="Header3"/>
        <w:spacing w:before="120" w:after="120"/>
        <w:rPr>
          <w:b w:val="0"/>
          <w:sz w:val="20"/>
          <w:lang w:val="en-GB"/>
        </w:rPr>
      </w:pPr>
      <w:r w:rsidRPr="00040BEC">
        <w:rPr>
          <w:b w:val="0"/>
          <w:sz w:val="20"/>
          <w:lang w:val="en-GB"/>
        </w:rPr>
        <w:t>All the comments are included in Annex 2 of</w:t>
      </w:r>
      <w:r w:rsidRPr="00040BEC">
        <w:rPr>
          <w:sz w:val="20"/>
          <w:lang w:val="en-GB"/>
        </w:rPr>
        <w:t xml:space="preserve"> </w:t>
      </w:r>
      <w:r w:rsidRPr="00040BEC">
        <w:rPr>
          <w:b w:val="0"/>
          <w:sz w:val="20"/>
          <w:lang w:val="en-GB"/>
        </w:rPr>
        <w:t xml:space="preserve">Document </w:t>
      </w:r>
      <w:proofErr w:type="gramStart"/>
      <w:r w:rsidRPr="00040BEC">
        <w:rPr>
          <w:b w:val="0"/>
          <w:sz w:val="20"/>
          <w:lang w:val="en-GB"/>
        </w:rPr>
        <w:t>FM(</w:t>
      </w:r>
      <w:proofErr w:type="gramEnd"/>
      <w:r w:rsidRPr="00040BEC">
        <w:rPr>
          <w:b w:val="0"/>
          <w:sz w:val="20"/>
          <w:lang w:val="en-GB"/>
        </w:rPr>
        <w:t>14)</w:t>
      </w:r>
      <w:r w:rsidR="008A68DE" w:rsidRPr="00040BEC">
        <w:rPr>
          <w:b w:val="0"/>
          <w:sz w:val="20"/>
          <w:lang w:val="en-GB"/>
        </w:rPr>
        <w:t>021 [</w:t>
      </w:r>
      <w:r w:rsidR="00C14173" w:rsidRPr="00040BEC">
        <w:rPr>
          <w:b w:val="0"/>
          <w:sz w:val="20"/>
          <w:lang w:val="en-GB"/>
        </w:rPr>
        <w:t>35]</w:t>
      </w:r>
      <w:r w:rsidRPr="00040BEC">
        <w:rPr>
          <w:b w:val="0"/>
          <w:sz w:val="20"/>
          <w:lang w:val="en-GB"/>
        </w:rPr>
        <w:t>.</w:t>
      </w:r>
    </w:p>
    <w:p w14:paraId="456906A3" w14:textId="2677152F" w:rsidR="0037387C" w:rsidRPr="00040BEC" w:rsidRDefault="0037387C" w:rsidP="00E2237B">
      <w:pPr>
        <w:pStyle w:val="Header3"/>
        <w:spacing w:before="120" w:after="120"/>
        <w:rPr>
          <w:b w:val="0"/>
          <w:sz w:val="20"/>
          <w:lang w:val="en-GB"/>
        </w:rPr>
      </w:pPr>
      <w:r w:rsidRPr="00040BEC">
        <w:rPr>
          <w:b w:val="0"/>
          <w:sz w:val="20"/>
          <w:lang w:val="en-GB"/>
        </w:rPr>
        <w:t xml:space="preserve">Some of the above entities and others provided as well comments to the present report during the public consultation (available in document </w:t>
      </w:r>
      <w:proofErr w:type="gramStart"/>
      <w:r w:rsidRPr="00040BEC">
        <w:rPr>
          <w:b w:val="0"/>
          <w:sz w:val="20"/>
          <w:lang w:val="en-GB"/>
        </w:rPr>
        <w:t>FM(</w:t>
      </w:r>
      <w:proofErr w:type="gramEnd"/>
      <w:r w:rsidRPr="00040BEC">
        <w:rPr>
          <w:b w:val="0"/>
          <w:sz w:val="20"/>
          <w:lang w:val="en-GB"/>
        </w:rPr>
        <w:t>14)</w:t>
      </w:r>
      <w:r w:rsidR="009B6193" w:rsidRPr="00040BEC">
        <w:rPr>
          <w:b w:val="0"/>
          <w:sz w:val="20"/>
          <w:lang w:val="en-GB"/>
        </w:rPr>
        <w:t>183</w:t>
      </w:r>
      <w:r w:rsidRPr="00040BEC">
        <w:rPr>
          <w:b w:val="0"/>
          <w:sz w:val="20"/>
          <w:lang w:val="en-GB"/>
        </w:rPr>
        <w:t xml:space="preserve"> </w:t>
      </w:r>
      <w:r w:rsidR="008D07B6" w:rsidRPr="00040BEC">
        <w:rPr>
          <w:b w:val="0"/>
          <w:sz w:val="20"/>
          <w:lang w:val="en-GB"/>
        </w:rPr>
        <w:t>[24]</w:t>
      </w:r>
      <w:r w:rsidRPr="00040BEC">
        <w:rPr>
          <w:b w:val="0"/>
          <w:sz w:val="20"/>
          <w:lang w:val="en-GB"/>
        </w:rPr>
        <w:t>, with comment resolution), which were considered while preparing the final version of CEPT Report 52.</w:t>
      </w:r>
    </w:p>
    <w:p w14:paraId="69307EA4" w14:textId="77777777" w:rsidR="00E2237B" w:rsidRPr="00040BEC" w:rsidRDefault="00E2237B" w:rsidP="00E2237B">
      <w:pPr>
        <w:pStyle w:val="ListParagraph"/>
        <w:ind w:left="0"/>
        <w:jc w:val="both"/>
        <w:rPr>
          <w:szCs w:val="20"/>
          <w:lang w:val="en-GB"/>
        </w:rPr>
      </w:pPr>
    </w:p>
    <w:p w14:paraId="04775B35" w14:textId="77777777" w:rsidR="00E2237B" w:rsidRPr="00040BEC" w:rsidRDefault="00E2237B" w:rsidP="00E2237B">
      <w:pPr>
        <w:autoSpaceDE w:val="0"/>
        <w:autoSpaceDN w:val="0"/>
        <w:adjustRightInd w:val="0"/>
        <w:spacing w:after="240"/>
        <w:jc w:val="both"/>
        <w:rPr>
          <w:b/>
          <w:lang w:val="en-GB"/>
        </w:rPr>
      </w:pPr>
      <w:r w:rsidRPr="00040BEC">
        <w:rPr>
          <w:b/>
          <w:lang w:val="en-GB"/>
        </w:rPr>
        <w:t>Summary of the responses</w:t>
      </w:r>
    </w:p>
    <w:p w14:paraId="71F2BCDE" w14:textId="77777777" w:rsidR="00E2237B" w:rsidRPr="00040BEC" w:rsidRDefault="00E2237B" w:rsidP="00E2237B">
      <w:pPr>
        <w:spacing w:after="100" w:line="264" w:lineRule="auto"/>
        <w:jc w:val="both"/>
        <w:rPr>
          <w:rFonts w:cs="Arial"/>
          <w:color w:val="000000"/>
          <w:szCs w:val="20"/>
          <w:lang w:val="en-GB"/>
        </w:rPr>
      </w:pPr>
      <w:r w:rsidRPr="00040BEC">
        <w:rPr>
          <w:rFonts w:cs="Arial"/>
          <w:color w:val="000000"/>
          <w:szCs w:val="20"/>
          <w:lang w:val="en-GB"/>
        </w:rPr>
        <w:t>The table below includes an indicative overview of the support for applications (whereby some comments rather support the concept than specific applications, and some respondents may support different applications in different ranges).</w:t>
      </w:r>
    </w:p>
    <w:p w14:paraId="08448ED5" w14:textId="77777777" w:rsidR="00272253" w:rsidRPr="00040BEC" w:rsidRDefault="00F14073" w:rsidP="00F14073">
      <w:pPr>
        <w:pStyle w:val="Caption"/>
        <w:rPr>
          <w:rFonts w:cs="Arial"/>
          <w:color w:val="000000"/>
          <w:lang w:val="en-GB"/>
        </w:rPr>
      </w:pPr>
      <w:r w:rsidRPr="00040BEC">
        <w:rPr>
          <w:lang w:val="en-GB"/>
        </w:rPr>
        <w:t xml:space="preserve">Table </w:t>
      </w:r>
      <w:r w:rsidRPr="00040BEC">
        <w:rPr>
          <w:lang w:val="en-GB"/>
        </w:rPr>
        <w:fldChar w:fldCharType="begin"/>
      </w:r>
      <w:r w:rsidRPr="00040BEC">
        <w:rPr>
          <w:lang w:val="en-GB"/>
        </w:rPr>
        <w:instrText xml:space="preserve"> SEQ Table \* ARABIC </w:instrText>
      </w:r>
      <w:r w:rsidRPr="00040BEC">
        <w:rPr>
          <w:lang w:val="en-GB"/>
        </w:rPr>
        <w:fldChar w:fldCharType="separate"/>
      </w:r>
      <w:r w:rsidR="002327BB">
        <w:rPr>
          <w:noProof/>
          <w:lang w:val="en-GB"/>
        </w:rPr>
        <w:t>8</w:t>
      </w:r>
      <w:r w:rsidRPr="00040BEC">
        <w:rPr>
          <w:lang w:val="en-GB"/>
        </w:rPr>
        <w:fldChar w:fldCharType="end"/>
      </w:r>
      <w:r w:rsidR="00272253" w:rsidRPr="00040BEC">
        <w:rPr>
          <w:lang w:val="en-GB"/>
        </w:rPr>
        <w:t xml:space="preserve">: </w:t>
      </w:r>
      <w:r w:rsidR="00C14173" w:rsidRPr="00040BEC">
        <w:rPr>
          <w:lang w:val="en-GB"/>
        </w:rPr>
        <w:t>Support for the respective application</w:t>
      </w:r>
    </w:p>
    <w:tbl>
      <w:tblPr>
        <w:tblW w:w="0" w:type="auto"/>
        <w:tblInd w:w="1811"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550"/>
        <w:gridCol w:w="3970"/>
      </w:tblGrid>
      <w:tr w:rsidR="00272253" w:rsidRPr="00040BEC" w14:paraId="534FEA62" w14:textId="77777777" w:rsidTr="000C5520">
        <w:trPr>
          <w:tblHeader/>
        </w:trPr>
        <w:tc>
          <w:tcPr>
            <w:tcW w:w="2550" w:type="dxa"/>
            <w:tcBorders>
              <w:right w:val="single" w:sz="4" w:space="0" w:color="FFFFFF"/>
            </w:tcBorders>
            <w:shd w:val="clear" w:color="auto" w:fill="D2232A"/>
            <w:vAlign w:val="center"/>
          </w:tcPr>
          <w:p w14:paraId="4928305C" w14:textId="77777777" w:rsidR="00272253" w:rsidRPr="00040BEC" w:rsidRDefault="00272253" w:rsidP="00423619">
            <w:pPr>
              <w:spacing w:line="288" w:lineRule="auto"/>
              <w:jc w:val="center"/>
              <w:rPr>
                <w:b/>
                <w:color w:val="FFFFFF"/>
                <w:lang w:val="en-GB"/>
              </w:rPr>
            </w:pPr>
            <w:r w:rsidRPr="00040BEC">
              <w:rPr>
                <w:b/>
                <w:color w:val="FFFFFF"/>
                <w:lang w:val="en-GB"/>
              </w:rPr>
              <w:t>Application</w:t>
            </w:r>
          </w:p>
        </w:tc>
        <w:tc>
          <w:tcPr>
            <w:tcW w:w="3970" w:type="dxa"/>
            <w:tcBorders>
              <w:left w:val="single" w:sz="4" w:space="0" w:color="FFFFFF"/>
            </w:tcBorders>
            <w:shd w:val="clear" w:color="auto" w:fill="D2232A"/>
            <w:vAlign w:val="center"/>
          </w:tcPr>
          <w:p w14:paraId="25D40EFE" w14:textId="77777777" w:rsidR="00272253" w:rsidRPr="00040BEC" w:rsidRDefault="00272253" w:rsidP="00423619">
            <w:pPr>
              <w:spacing w:line="288" w:lineRule="auto"/>
              <w:jc w:val="center"/>
              <w:rPr>
                <w:b/>
                <w:color w:val="FFFFFF"/>
                <w:lang w:val="en-GB"/>
              </w:rPr>
            </w:pPr>
            <w:r w:rsidRPr="00040BEC">
              <w:rPr>
                <w:b/>
                <w:color w:val="FFFFFF"/>
                <w:lang w:val="en-GB"/>
              </w:rPr>
              <w:t>Supported by number of responses</w:t>
            </w:r>
          </w:p>
        </w:tc>
      </w:tr>
      <w:tr w:rsidR="00272253" w:rsidRPr="00040BEC" w14:paraId="2E48095E" w14:textId="77777777" w:rsidTr="000C5520">
        <w:tc>
          <w:tcPr>
            <w:tcW w:w="2550" w:type="dxa"/>
          </w:tcPr>
          <w:p w14:paraId="3BDF8FB6" w14:textId="77777777" w:rsidR="00272253" w:rsidRPr="00040BEC" w:rsidRDefault="00272253" w:rsidP="00423619">
            <w:pPr>
              <w:rPr>
                <w:rFonts w:cs="Arial"/>
                <w:szCs w:val="20"/>
                <w:lang w:val="en-GB"/>
              </w:rPr>
            </w:pPr>
            <w:r w:rsidRPr="00040BEC">
              <w:rPr>
                <w:rFonts w:cs="Arial"/>
                <w:szCs w:val="20"/>
                <w:lang w:val="en-GB"/>
              </w:rPr>
              <w:t>Broadband DA2GC</w:t>
            </w:r>
          </w:p>
        </w:tc>
        <w:tc>
          <w:tcPr>
            <w:tcW w:w="3970" w:type="dxa"/>
          </w:tcPr>
          <w:p w14:paraId="0A99185B" w14:textId="77777777" w:rsidR="00272253" w:rsidRPr="00040BEC" w:rsidRDefault="00272253" w:rsidP="00423619">
            <w:pPr>
              <w:rPr>
                <w:rFonts w:cs="Arial"/>
                <w:szCs w:val="20"/>
                <w:lang w:val="en-GB"/>
              </w:rPr>
            </w:pPr>
            <w:r w:rsidRPr="00040BEC">
              <w:rPr>
                <w:rFonts w:cs="Arial"/>
                <w:szCs w:val="20"/>
                <w:lang w:val="en-GB"/>
              </w:rPr>
              <w:t>1, 2, 7, 10, 11, 13, 14, 16, 17</w:t>
            </w:r>
          </w:p>
        </w:tc>
      </w:tr>
      <w:tr w:rsidR="00272253" w:rsidRPr="00040BEC" w14:paraId="0C49EE4A" w14:textId="77777777" w:rsidTr="000C5520">
        <w:tc>
          <w:tcPr>
            <w:tcW w:w="2550" w:type="dxa"/>
          </w:tcPr>
          <w:p w14:paraId="1C9C185E" w14:textId="77777777" w:rsidR="00272253" w:rsidRPr="00040BEC" w:rsidRDefault="00272253" w:rsidP="00423619">
            <w:pPr>
              <w:rPr>
                <w:rFonts w:cs="Arial"/>
                <w:szCs w:val="20"/>
                <w:lang w:val="en-GB"/>
              </w:rPr>
            </w:pPr>
            <w:r w:rsidRPr="00040BEC">
              <w:rPr>
                <w:rFonts w:cs="Arial"/>
                <w:szCs w:val="20"/>
                <w:lang w:val="en-GB"/>
              </w:rPr>
              <w:t>DECT</w:t>
            </w:r>
          </w:p>
        </w:tc>
        <w:tc>
          <w:tcPr>
            <w:tcW w:w="3970" w:type="dxa"/>
          </w:tcPr>
          <w:p w14:paraId="2B5F90FC" w14:textId="77777777" w:rsidR="00272253" w:rsidRPr="00040BEC" w:rsidRDefault="00272253" w:rsidP="00423619">
            <w:pPr>
              <w:rPr>
                <w:rFonts w:cs="Arial"/>
                <w:szCs w:val="20"/>
                <w:lang w:val="en-GB"/>
              </w:rPr>
            </w:pPr>
            <w:r w:rsidRPr="00040BEC">
              <w:rPr>
                <w:rFonts w:cs="Arial"/>
                <w:szCs w:val="20"/>
                <w:lang w:val="en-GB"/>
              </w:rPr>
              <w:t>8, 11, 16</w:t>
            </w:r>
          </w:p>
        </w:tc>
      </w:tr>
      <w:tr w:rsidR="00272253" w:rsidRPr="00040BEC" w14:paraId="4940F8F7" w14:textId="77777777" w:rsidTr="000C5520">
        <w:tc>
          <w:tcPr>
            <w:tcW w:w="2550" w:type="dxa"/>
          </w:tcPr>
          <w:p w14:paraId="0B473F17" w14:textId="77777777" w:rsidR="00272253" w:rsidRPr="00040BEC" w:rsidRDefault="00272253" w:rsidP="00423619">
            <w:pPr>
              <w:rPr>
                <w:rFonts w:cs="Arial"/>
                <w:szCs w:val="20"/>
                <w:lang w:val="en-GB"/>
              </w:rPr>
            </w:pPr>
            <w:r w:rsidRPr="00040BEC">
              <w:rPr>
                <w:rFonts w:cs="Arial"/>
                <w:szCs w:val="20"/>
                <w:lang w:val="en-GB"/>
              </w:rPr>
              <w:t>SRDs</w:t>
            </w:r>
          </w:p>
        </w:tc>
        <w:tc>
          <w:tcPr>
            <w:tcW w:w="3970" w:type="dxa"/>
          </w:tcPr>
          <w:p w14:paraId="474BFD4B" w14:textId="77777777" w:rsidR="00272253" w:rsidRPr="00040BEC" w:rsidRDefault="00272253" w:rsidP="00423619">
            <w:pPr>
              <w:rPr>
                <w:rFonts w:cs="Arial"/>
                <w:szCs w:val="20"/>
                <w:lang w:val="en-GB"/>
              </w:rPr>
            </w:pPr>
            <w:r w:rsidRPr="00040BEC">
              <w:rPr>
                <w:rFonts w:cs="Arial"/>
                <w:szCs w:val="20"/>
                <w:lang w:val="en-GB"/>
              </w:rPr>
              <w:t>9, 11, 16</w:t>
            </w:r>
          </w:p>
        </w:tc>
      </w:tr>
      <w:tr w:rsidR="00272253" w:rsidRPr="00040BEC" w14:paraId="6D53A8C4" w14:textId="77777777" w:rsidTr="000C5520">
        <w:tc>
          <w:tcPr>
            <w:tcW w:w="2550" w:type="dxa"/>
          </w:tcPr>
          <w:p w14:paraId="5C9C09F3" w14:textId="77777777" w:rsidR="00272253" w:rsidRPr="00040BEC" w:rsidRDefault="00272253" w:rsidP="00423619">
            <w:pPr>
              <w:rPr>
                <w:rFonts w:cs="Arial"/>
                <w:szCs w:val="20"/>
                <w:lang w:val="en-GB"/>
              </w:rPr>
            </w:pPr>
            <w:r w:rsidRPr="00040BEC">
              <w:rPr>
                <w:rFonts w:cs="Arial"/>
                <w:szCs w:val="20"/>
                <w:lang w:val="en-GB"/>
              </w:rPr>
              <w:t>PMSE</w:t>
            </w:r>
          </w:p>
        </w:tc>
        <w:tc>
          <w:tcPr>
            <w:tcW w:w="3970" w:type="dxa"/>
          </w:tcPr>
          <w:p w14:paraId="69369088" w14:textId="77777777" w:rsidR="00272253" w:rsidRPr="00040BEC" w:rsidRDefault="00272253" w:rsidP="00423619">
            <w:pPr>
              <w:rPr>
                <w:rFonts w:cs="Arial"/>
                <w:szCs w:val="20"/>
                <w:lang w:val="en-GB"/>
              </w:rPr>
            </w:pPr>
            <w:r w:rsidRPr="00040BEC">
              <w:rPr>
                <w:rFonts w:cs="Arial"/>
                <w:szCs w:val="20"/>
                <w:lang w:val="en-GB"/>
              </w:rPr>
              <w:t>3, 4, 5, 6, 7, 11, 16</w:t>
            </w:r>
          </w:p>
        </w:tc>
      </w:tr>
      <w:tr w:rsidR="00272253" w:rsidRPr="00040BEC" w14:paraId="09F89BB9" w14:textId="77777777" w:rsidTr="000C5520">
        <w:tc>
          <w:tcPr>
            <w:tcW w:w="2550" w:type="dxa"/>
          </w:tcPr>
          <w:p w14:paraId="3D7E4E9B" w14:textId="77777777" w:rsidR="00272253" w:rsidRPr="00040BEC" w:rsidRDefault="00272253" w:rsidP="00423619">
            <w:pPr>
              <w:rPr>
                <w:rFonts w:cs="Arial"/>
                <w:szCs w:val="20"/>
                <w:lang w:val="en-GB"/>
              </w:rPr>
            </w:pPr>
            <w:r w:rsidRPr="00040BEC">
              <w:rPr>
                <w:rFonts w:cs="Arial"/>
                <w:szCs w:val="20"/>
                <w:lang w:val="en-GB"/>
              </w:rPr>
              <w:t>ad-hoc PPDR</w:t>
            </w:r>
          </w:p>
        </w:tc>
        <w:tc>
          <w:tcPr>
            <w:tcW w:w="3970" w:type="dxa"/>
          </w:tcPr>
          <w:p w14:paraId="319A5D43" w14:textId="77777777" w:rsidR="00272253" w:rsidRPr="00040BEC" w:rsidRDefault="00272253" w:rsidP="00423619">
            <w:pPr>
              <w:rPr>
                <w:rFonts w:cs="Arial"/>
                <w:szCs w:val="20"/>
                <w:lang w:val="en-GB"/>
              </w:rPr>
            </w:pPr>
            <w:r w:rsidRPr="00040BEC">
              <w:rPr>
                <w:rFonts w:cs="Arial"/>
                <w:szCs w:val="20"/>
                <w:lang w:val="en-GB"/>
              </w:rPr>
              <w:t>12, 16</w:t>
            </w:r>
          </w:p>
        </w:tc>
      </w:tr>
      <w:tr w:rsidR="00272253" w:rsidRPr="00040BEC" w14:paraId="33C98E41" w14:textId="77777777" w:rsidTr="000C5520">
        <w:tc>
          <w:tcPr>
            <w:tcW w:w="2550" w:type="dxa"/>
          </w:tcPr>
          <w:p w14:paraId="217ACD85" w14:textId="77777777" w:rsidR="00272253" w:rsidRPr="00040BEC" w:rsidRDefault="00272253" w:rsidP="00423619">
            <w:pPr>
              <w:rPr>
                <w:rFonts w:cs="Arial"/>
                <w:szCs w:val="20"/>
                <w:lang w:val="en-GB"/>
              </w:rPr>
            </w:pPr>
            <w:r w:rsidRPr="00040BEC">
              <w:rPr>
                <w:rFonts w:cs="Arial"/>
                <w:szCs w:val="20"/>
                <w:lang w:val="en-GB"/>
              </w:rPr>
              <w:t>Other usage</w:t>
            </w:r>
          </w:p>
        </w:tc>
        <w:tc>
          <w:tcPr>
            <w:tcW w:w="3970" w:type="dxa"/>
          </w:tcPr>
          <w:p w14:paraId="7F2B1B77" w14:textId="77777777" w:rsidR="00272253" w:rsidRPr="00040BEC" w:rsidRDefault="00272253" w:rsidP="00423619">
            <w:pPr>
              <w:rPr>
                <w:rFonts w:cs="Arial"/>
                <w:szCs w:val="20"/>
                <w:lang w:val="en-GB"/>
              </w:rPr>
            </w:pPr>
            <w:r w:rsidRPr="00040BEC">
              <w:rPr>
                <w:rFonts w:cs="Arial"/>
                <w:szCs w:val="20"/>
                <w:lang w:val="en-GB"/>
              </w:rPr>
              <w:t>11, 15</w:t>
            </w:r>
          </w:p>
        </w:tc>
      </w:tr>
    </w:tbl>
    <w:p w14:paraId="56632E5A" w14:textId="77777777" w:rsidR="00272253" w:rsidRPr="00040BEC" w:rsidRDefault="00272253" w:rsidP="00E2237B">
      <w:pPr>
        <w:spacing w:after="100" w:line="264" w:lineRule="auto"/>
        <w:jc w:val="both"/>
        <w:rPr>
          <w:rFonts w:cs="Arial"/>
          <w:color w:val="000000"/>
          <w:szCs w:val="20"/>
          <w:lang w:val="en-GB"/>
        </w:rPr>
      </w:pPr>
    </w:p>
    <w:p w14:paraId="35F60B43" w14:textId="77777777" w:rsidR="00E2237B" w:rsidRPr="00040BEC" w:rsidRDefault="00E2237B" w:rsidP="00D71B1D">
      <w:pPr>
        <w:keepNext/>
        <w:rPr>
          <w:rFonts w:cs="Arial"/>
          <w:szCs w:val="20"/>
          <w:lang w:val="en-GB"/>
        </w:rPr>
      </w:pPr>
    </w:p>
    <w:p w14:paraId="3B1AD7A4" w14:textId="77777777" w:rsidR="00E2237B" w:rsidRPr="00040BEC" w:rsidRDefault="00E2237B" w:rsidP="00D71B1D">
      <w:pPr>
        <w:keepNext/>
        <w:numPr>
          <w:ilvl w:val="0"/>
          <w:numId w:val="18"/>
        </w:numPr>
        <w:spacing w:after="240"/>
        <w:ind w:left="284" w:hanging="284"/>
        <w:jc w:val="both"/>
        <w:rPr>
          <w:rFonts w:cs="Arial"/>
          <w:szCs w:val="20"/>
          <w:lang w:val="en-GB"/>
        </w:rPr>
      </w:pPr>
      <w:r w:rsidRPr="00040BEC">
        <w:rPr>
          <w:rFonts w:cs="Arial"/>
          <w:szCs w:val="20"/>
          <w:lang w:val="en-GB"/>
        </w:rPr>
        <w:t xml:space="preserve">General questions </w:t>
      </w:r>
    </w:p>
    <w:p w14:paraId="0FCF814D" w14:textId="77777777" w:rsidR="00E2237B" w:rsidRPr="00040BEC" w:rsidRDefault="00E2237B" w:rsidP="00BE115C">
      <w:pPr>
        <w:numPr>
          <w:ilvl w:val="1"/>
          <w:numId w:val="47"/>
        </w:numPr>
        <w:spacing w:after="240"/>
        <w:ind w:left="709" w:hanging="425"/>
        <w:jc w:val="both"/>
        <w:rPr>
          <w:rFonts w:cs="Arial"/>
          <w:b/>
          <w:szCs w:val="20"/>
          <w:lang w:val="en-GB"/>
        </w:rPr>
      </w:pPr>
      <w:r w:rsidRPr="00040BEC">
        <w:rPr>
          <w:rFonts w:cs="Arial"/>
          <w:b/>
          <w:szCs w:val="20"/>
          <w:lang w:val="en-GB"/>
        </w:rPr>
        <w:t>What is your view on the preferred scenarios / uses for the bands 1900-1920 MHz and 2010-2025 MHz as set out in the outline of the response to the Commission? Please, justify your answer by indicating the associated economic and other benefits of your preference.</w:t>
      </w:r>
    </w:p>
    <w:p w14:paraId="26A02ED5" w14:textId="77777777" w:rsidR="00E2237B" w:rsidRPr="00040BEC" w:rsidRDefault="00E2237B" w:rsidP="00E2237B">
      <w:pPr>
        <w:ind w:left="567"/>
        <w:jc w:val="both"/>
        <w:rPr>
          <w:rFonts w:cs="Arial"/>
          <w:b/>
          <w:szCs w:val="20"/>
          <w:u w:val="single"/>
          <w:lang w:val="en-GB"/>
        </w:rPr>
      </w:pPr>
      <w:r w:rsidRPr="00040BEC">
        <w:rPr>
          <w:rFonts w:cs="Arial"/>
          <w:b/>
          <w:szCs w:val="20"/>
          <w:u w:val="single"/>
          <w:lang w:val="en-GB"/>
        </w:rPr>
        <w:t>DA2GCS:</w:t>
      </w:r>
    </w:p>
    <w:p w14:paraId="6A315C45" w14:textId="77777777" w:rsidR="00E2237B" w:rsidRPr="00040BEC" w:rsidRDefault="00E2237B" w:rsidP="00E2237B">
      <w:pPr>
        <w:ind w:left="567"/>
        <w:jc w:val="both"/>
        <w:rPr>
          <w:rFonts w:cs="Arial"/>
          <w:b/>
          <w:i/>
          <w:szCs w:val="20"/>
          <w:u w:val="single"/>
          <w:lang w:val="en-GB"/>
        </w:rPr>
      </w:pPr>
    </w:p>
    <w:p w14:paraId="02ADBA6E" w14:textId="77777777" w:rsidR="00E2237B" w:rsidRPr="00040BEC" w:rsidRDefault="00E2237B" w:rsidP="00E2237B">
      <w:pPr>
        <w:ind w:left="567"/>
        <w:jc w:val="both"/>
        <w:rPr>
          <w:rFonts w:cs="Arial"/>
          <w:i/>
          <w:szCs w:val="20"/>
          <w:lang w:val="en-GB"/>
        </w:rPr>
      </w:pPr>
      <w:r w:rsidRPr="00040BEC">
        <w:rPr>
          <w:rFonts w:cs="Arial"/>
          <w:i/>
          <w:szCs w:val="20"/>
          <w:lang w:val="en-GB"/>
        </w:rPr>
        <w:t xml:space="preserve">Deutsche Telecom and </w:t>
      </w:r>
      <w:proofErr w:type="spellStart"/>
      <w:r w:rsidRPr="00040BEC">
        <w:rPr>
          <w:rFonts w:cs="Arial"/>
          <w:i/>
          <w:szCs w:val="20"/>
          <w:lang w:val="en-GB"/>
        </w:rPr>
        <w:t>TriaGnoSys</w:t>
      </w:r>
      <w:proofErr w:type="spellEnd"/>
      <w:r w:rsidRPr="00040BEC">
        <w:rPr>
          <w:rFonts w:cs="Arial"/>
          <w:i/>
          <w:szCs w:val="20"/>
          <w:lang w:val="en-GB"/>
        </w:rPr>
        <w:t xml:space="preserve"> expressed the support of a harmonised FDD solution in 1900-1910 MHz paired with 2010-2020 </w:t>
      </w:r>
      <w:proofErr w:type="spellStart"/>
      <w:r w:rsidRPr="00040BEC">
        <w:rPr>
          <w:rFonts w:cs="Arial"/>
          <w:i/>
          <w:szCs w:val="20"/>
          <w:lang w:val="en-GB"/>
        </w:rPr>
        <w:t>MHz.</w:t>
      </w:r>
      <w:proofErr w:type="spellEnd"/>
      <w:r w:rsidRPr="00040BEC">
        <w:rPr>
          <w:rFonts w:cs="Arial"/>
          <w:i/>
          <w:szCs w:val="20"/>
          <w:lang w:val="en-GB"/>
        </w:rPr>
        <w:t xml:space="preserve"> Telefonica also expressed their preference for an FDD solution for DA2GCS in the 2 GHz Unpaired Bands. Lufthansa Systems expressed the view that a TDD solution for DA2GCS in the </w:t>
      </w:r>
      <w:proofErr w:type="gramStart"/>
      <w:r w:rsidRPr="00040BEC">
        <w:rPr>
          <w:rFonts w:cs="Arial"/>
          <w:i/>
          <w:szCs w:val="20"/>
          <w:lang w:val="en-GB"/>
        </w:rPr>
        <w:t>2</w:t>
      </w:r>
      <w:proofErr w:type="gramEnd"/>
      <w:r w:rsidRPr="00040BEC">
        <w:rPr>
          <w:rFonts w:cs="Arial"/>
          <w:i/>
          <w:szCs w:val="20"/>
          <w:lang w:val="en-GB"/>
        </w:rPr>
        <w:t xml:space="preserve"> GHz Unpaired Bands should not be excluded from considerations, preferably for the 1900-1920 MHz band. BT also expressed their preference that the band 1900 – 1920 MHz </w:t>
      </w:r>
      <w:proofErr w:type="gramStart"/>
      <w:r w:rsidRPr="00040BEC">
        <w:rPr>
          <w:rFonts w:cs="Arial"/>
          <w:i/>
          <w:szCs w:val="20"/>
          <w:lang w:val="en-GB"/>
        </w:rPr>
        <w:t>is made</w:t>
      </w:r>
      <w:proofErr w:type="gramEnd"/>
      <w:r w:rsidRPr="00040BEC">
        <w:rPr>
          <w:rFonts w:cs="Arial"/>
          <w:i/>
          <w:szCs w:val="20"/>
          <w:lang w:val="en-GB"/>
        </w:rPr>
        <w:t xml:space="preserve"> available for DA2GC applications. No responder declared a preference for a DA2GCS TDD solution in the 2010-2025 MHz band.</w:t>
      </w:r>
    </w:p>
    <w:p w14:paraId="5DD5CEFF" w14:textId="77777777" w:rsidR="00E2237B" w:rsidRPr="00040BEC" w:rsidRDefault="00E2237B" w:rsidP="00E2237B">
      <w:pPr>
        <w:ind w:left="567"/>
        <w:jc w:val="both"/>
        <w:rPr>
          <w:rFonts w:cs="Arial"/>
          <w:i/>
          <w:szCs w:val="20"/>
          <w:lang w:val="en-GB"/>
        </w:rPr>
      </w:pPr>
    </w:p>
    <w:p w14:paraId="6E72FFF4" w14:textId="77777777" w:rsidR="00E2237B" w:rsidRPr="00040BEC" w:rsidRDefault="00E2237B" w:rsidP="00E2237B">
      <w:pPr>
        <w:ind w:left="567"/>
        <w:jc w:val="both"/>
        <w:rPr>
          <w:rFonts w:cs="Arial"/>
          <w:i/>
          <w:szCs w:val="20"/>
          <w:lang w:val="en-GB"/>
        </w:rPr>
      </w:pPr>
      <w:r w:rsidRPr="00040BEC">
        <w:rPr>
          <w:rFonts w:cs="Arial"/>
          <w:i/>
          <w:szCs w:val="20"/>
          <w:lang w:val="en-GB"/>
        </w:rPr>
        <w:t xml:space="preserve">France indicated that DA2GC could operate in the 2 GHz Unpaired Bands on a shared basis and the views expressed by other DA2GCS proponents go in the same direction, </w:t>
      </w:r>
      <w:proofErr w:type="gramStart"/>
      <w:r w:rsidRPr="00040BEC">
        <w:rPr>
          <w:rFonts w:cs="Arial"/>
          <w:i/>
          <w:szCs w:val="20"/>
          <w:lang w:val="en-GB"/>
        </w:rPr>
        <w:t>provided that</w:t>
      </w:r>
      <w:proofErr w:type="gramEnd"/>
      <w:r w:rsidRPr="00040BEC">
        <w:rPr>
          <w:rFonts w:cs="Arial"/>
          <w:i/>
          <w:szCs w:val="20"/>
          <w:lang w:val="en-GB"/>
        </w:rPr>
        <w:t xml:space="preserve"> coexistence conditions are clearly identified. Germany stated to support the preferred scenarios / uses as set out in the outline of the Call for Inputs. Netherlands stated that the unpaired band </w:t>
      </w:r>
      <w:proofErr w:type="gramStart"/>
      <w:r w:rsidRPr="00040BEC">
        <w:rPr>
          <w:rFonts w:cs="Arial"/>
          <w:i/>
          <w:szCs w:val="20"/>
          <w:lang w:val="en-GB"/>
        </w:rPr>
        <w:t>could partly be used</w:t>
      </w:r>
      <w:proofErr w:type="gramEnd"/>
      <w:r w:rsidRPr="00040BEC">
        <w:rPr>
          <w:rFonts w:cs="Arial"/>
          <w:i/>
          <w:szCs w:val="20"/>
          <w:lang w:val="en-GB"/>
        </w:rPr>
        <w:t xml:space="preserve"> for DA2CG. British airways expressed their support for a harmonised solution for DA2GCS without indicating a preferred technical solution. One of the two options defended by Lufthansa Systems points out the entire 20 MHz in the lower band to DA2GC for TDD usage leaving the 2010-2025 MHz for use by one or several of other applications.</w:t>
      </w:r>
    </w:p>
    <w:p w14:paraId="4CD21306" w14:textId="77777777" w:rsidR="00E2237B" w:rsidRPr="00040BEC" w:rsidRDefault="00E2237B" w:rsidP="00E2237B">
      <w:pPr>
        <w:ind w:left="567"/>
        <w:jc w:val="both"/>
        <w:rPr>
          <w:rFonts w:cs="Arial"/>
          <w:i/>
          <w:szCs w:val="20"/>
          <w:lang w:val="en-GB"/>
        </w:rPr>
      </w:pPr>
    </w:p>
    <w:p w14:paraId="3230AFDD" w14:textId="77777777" w:rsidR="00E2237B" w:rsidRPr="00040BEC" w:rsidRDefault="00E2237B" w:rsidP="00E2237B">
      <w:pPr>
        <w:ind w:left="567"/>
        <w:jc w:val="both"/>
        <w:rPr>
          <w:rFonts w:cs="Arial"/>
          <w:i/>
          <w:szCs w:val="20"/>
          <w:lang w:val="en-GB"/>
        </w:rPr>
      </w:pPr>
      <w:r w:rsidRPr="00040BEC">
        <w:rPr>
          <w:rFonts w:cs="Arial"/>
          <w:i/>
          <w:szCs w:val="20"/>
          <w:lang w:val="en-GB"/>
        </w:rPr>
        <w:t xml:space="preserve">Sweden finds it difficult to judge about economic benefits or other benefits that could be associated from an introduction of BDA2GC for a number of reasons expressed in the response. </w:t>
      </w:r>
      <w:proofErr w:type="gramStart"/>
      <w:r w:rsidRPr="00040BEC">
        <w:rPr>
          <w:rFonts w:cs="Arial"/>
          <w:i/>
          <w:szCs w:val="20"/>
          <w:lang w:val="en-GB"/>
        </w:rPr>
        <w:t>Generally</w:t>
      </w:r>
      <w:proofErr w:type="gramEnd"/>
      <w:r w:rsidRPr="00040BEC">
        <w:rPr>
          <w:rFonts w:cs="Arial"/>
          <w:i/>
          <w:szCs w:val="20"/>
          <w:lang w:val="en-GB"/>
        </w:rPr>
        <w:t xml:space="preserve"> a higher frequency band such as investigated by the FCC at the 14 GHz range would be preferred due to a lower opportunity cost. The Netherlands also indicated that economic benefits are not </w:t>
      </w:r>
      <w:proofErr w:type="gramStart"/>
      <w:r w:rsidRPr="00040BEC">
        <w:rPr>
          <w:rFonts w:cs="Arial"/>
          <w:i/>
          <w:szCs w:val="20"/>
          <w:lang w:val="en-GB"/>
        </w:rPr>
        <w:t>really clear</w:t>
      </w:r>
      <w:proofErr w:type="gramEnd"/>
      <w:r w:rsidRPr="00040BEC">
        <w:rPr>
          <w:rFonts w:cs="Arial"/>
          <w:i/>
          <w:szCs w:val="20"/>
          <w:lang w:val="en-GB"/>
        </w:rPr>
        <w:t xml:space="preserve"> yet but at least a reservation for this application may be advisable at higher frequencies.</w:t>
      </w:r>
    </w:p>
    <w:p w14:paraId="10D76D3B" w14:textId="77777777" w:rsidR="00E2237B" w:rsidRPr="00040BEC" w:rsidRDefault="00E2237B" w:rsidP="00E2237B">
      <w:pPr>
        <w:ind w:left="567"/>
        <w:jc w:val="both"/>
        <w:rPr>
          <w:rFonts w:cs="Arial"/>
          <w:szCs w:val="20"/>
          <w:lang w:val="en-GB"/>
        </w:rPr>
      </w:pPr>
    </w:p>
    <w:p w14:paraId="33862FE6" w14:textId="77777777" w:rsidR="00E2237B" w:rsidRPr="00040BEC" w:rsidRDefault="00E2237B" w:rsidP="00E2237B">
      <w:pPr>
        <w:ind w:left="567"/>
        <w:jc w:val="both"/>
        <w:rPr>
          <w:rFonts w:cs="Arial"/>
          <w:b/>
          <w:szCs w:val="20"/>
          <w:u w:val="single"/>
          <w:lang w:val="en-GB"/>
        </w:rPr>
      </w:pPr>
      <w:r w:rsidRPr="00040BEC">
        <w:rPr>
          <w:rFonts w:cs="Arial"/>
          <w:b/>
          <w:szCs w:val="20"/>
          <w:u w:val="single"/>
          <w:lang w:val="en-GB"/>
        </w:rPr>
        <w:t>PMSE:</w:t>
      </w:r>
    </w:p>
    <w:p w14:paraId="3DE85EA0" w14:textId="77777777" w:rsidR="00E2237B" w:rsidRPr="00040BEC" w:rsidRDefault="00E2237B" w:rsidP="00E2237B">
      <w:pPr>
        <w:ind w:left="567"/>
        <w:jc w:val="both"/>
        <w:rPr>
          <w:rFonts w:cs="Arial"/>
          <w:b/>
          <w:szCs w:val="20"/>
          <w:u w:val="single"/>
          <w:lang w:val="en-GB"/>
        </w:rPr>
      </w:pPr>
    </w:p>
    <w:p w14:paraId="1682F253" w14:textId="77777777" w:rsidR="00E2237B" w:rsidRPr="00040BEC" w:rsidRDefault="00E2237B" w:rsidP="00E2237B">
      <w:pPr>
        <w:ind w:left="567"/>
        <w:jc w:val="both"/>
        <w:rPr>
          <w:rFonts w:cs="Arial"/>
          <w:i/>
          <w:szCs w:val="20"/>
          <w:lang w:val="en-GB"/>
        </w:rPr>
      </w:pPr>
      <w:r w:rsidRPr="00040BEC">
        <w:rPr>
          <w:rFonts w:cs="Arial"/>
          <w:i/>
          <w:szCs w:val="20"/>
          <w:lang w:val="en-GB"/>
        </w:rPr>
        <w:t xml:space="preserve">Riedel, NPO, IRT, and </w:t>
      </w:r>
      <w:proofErr w:type="spellStart"/>
      <w:r w:rsidRPr="00040BEC">
        <w:rPr>
          <w:rFonts w:cs="Arial"/>
          <w:i/>
          <w:szCs w:val="20"/>
          <w:lang w:val="en-GB"/>
        </w:rPr>
        <w:t>Vislink</w:t>
      </w:r>
      <w:proofErr w:type="spellEnd"/>
      <w:r w:rsidRPr="00040BEC">
        <w:rPr>
          <w:rFonts w:cs="Arial"/>
          <w:i/>
          <w:szCs w:val="20"/>
          <w:lang w:val="en-GB"/>
        </w:rPr>
        <w:t xml:space="preserve"> expressed support for PMSE applications in the </w:t>
      </w:r>
      <w:proofErr w:type="gramStart"/>
      <w:r w:rsidRPr="00040BEC">
        <w:rPr>
          <w:rFonts w:cs="Arial"/>
          <w:i/>
          <w:szCs w:val="20"/>
          <w:lang w:val="en-GB"/>
        </w:rPr>
        <w:t>2</w:t>
      </w:r>
      <w:proofErr w:type="gramEnd"/>
      <w:r w:rsidRPr="00040BEC">
        <w:rPr>
          <w:rFonts w:cs="Arial"/>
          <w:i/>
          <w:szCs w:val="20"/>
          <w:lang w:val="en-GB"/>
        </w:rPr>
        <w:t xml:space="preserve"> GHz Unpaired Bands. The major benefits </w:t>
      </w:r>
      <w:proofErr w:type="gramStart"/>
      <w:r w:rsidRPr="00040BEC">
        <w:rPr>
          <w:rFonts w:cs="Arial"/>
          <w:i/>
          <w:szCs w:val="20"/>
          <w:lang w:val="en-GB"/>
        </w:rPr>
        <w:t>are seen</w:t>
      </w:r>
      <w:proofErr w:type="gramEnd"/>
      <w:r w:rsidRPr="00040BEC">
        <w:rPr>
          <w:rFonts w:cs="Arial"/>
          <w:i/>
          <w:szCs w:val="20"/>
          <w:lang w:val="en-GB"/>
        </w:rPr>
        <w:t xml:space="preserve"> in the slight expansion of the tuning range and preferable propagation conditions enabling non-line-of-sight video links compared to higher frequency ranges. </w:t>
      </w:r>
    </w:p>
    <w:p w14:paraId="38971798" w14:textId="77777777" w:rsidR="00E2237B" w:rsidRPr="00040BEC" w:rsidRDefault="00E2237B" w:rsidP="00E2237B">
      <w:pPr>
        <w:ind w:left="567"/>
        <w:jc w:val="both"/>
        <w:rPr>
          <w:rFonts w:cs="Arial"/>
          <w:i/>
          <w:szCs w:val="20"/>
          <w:lang w:val="en-GB"/>
        </w:rPr>
      </w:pPr>
    </w:p>
    <w:p w14:paraId="1770F9F6" w14:textId="77777777" w:rsidR="00E2237B" w:rsidRPr="00040BEC" w:rsidRDefault="00E2237B" w:rsidP="00E2237B">
      <w:pPr>
        <w:ind w:left="567"/>
        <w:jc w:val="both"/>
        <w:rPr>
          <w:rFonts w:cs="Arial"/>
          <w:i/>
          <w:szCs w:val="20"/>
          <w:lang w:val="en-GB"/>
        </w:rPr>
      </w:pPr>
      <w:r w:rsidRPr="00040BEC">
        <w:rPr>
          <w:rFonts w:cs="Arial"/>
          <w:i/>
          <w:szCs w:val="20"/>
          <w:lang w:val="en-GB"/>
        </w:rPr>
        <w:t xml:space="preserve">The four responding administrations also indicated to see the possibility for PMSE in the </w:t>
      </w:r>
      <w:proofErr w:type="gramStart"/>
      <w:r w:rsidRPr="00040BEC">
        <w:rPr>
          <w:rFonts w:cs="Arial"/>
          <w:i/>
          <w:szCs w:val="20"/>
          <w:lang w:val="en-GB"/>
        </w:rPr>
        <w:t>2</w:t>
      </w:r>
      <w:proofErr w:type="gramEnd"/>
      <w:r w:rsidRPr="00040BEC">
        <w:rPr>
          <w:rFonts w:cs="Arial"/>
          <w:i/>
          <w:szCs w:val="20"/>
          <w:lang w:val="en-GB"/>
        </w:rPr>
        <w:t xml:space="preserve"> GHz Unpaired Bands. Other responders such as DA2GCS proponents indicated to see sharing possibilities with PMSE applications.</w:t>
      </w:r>
    </w:p>
    <w:p w14:paraId="643220BE" w14:textId="77777777" w:rsidR="00E2237B" w:rsidRPr="00040BEC" w:rsidRDefault="00E2237B" w:rsidP="00E2237B">
      <w:pPr>
        <w:ind w:left="567"/>
        <w:jc w:val="both"/>
        <w:rPr>
          <w:rFonts w:cs="Arial"/>
          <w:b/>
          <w:szCs w:val="20"/>
          <w:u w:val="single"/>
          <w:lang w:val="en-GB"/>
        </w:rPr>
      </w:pPr>
      <w:r w:rsidRPr="00040BEC">
        <w:rPr>
          <w:rFonts w:cs="Arial"/>
          <w:b/>
          <w:szCs w:val="20"/>
          <w:u w:val="single"/>
          <w:lang w:val="en-GB"/>
        </w:rPr>
        <w:t xml:space="preserve"> </w:t>
      </w:r>
    </w:p>
    <w:p w14:paraId="721EF2B6" w14:textId="77777777" w:rsidR="00E2237B" w:rsidRPr="00040BEC" w:rsidRDefault="00E2237B" w:rsidP="00E2237B">
      <w:pPr>
        <w:ind w:left="567"/>
        <w:jc w:val="both"/>
        <w:rPr>
          <w:rFonts w:cs="Arial"/>
          <w:b/>
          <w:szCs w:val="20"/>
          <w:u w:val="single"/>
          <w:lang w:val="en-GB"/>
        </w:rPr>
      </w:pPr>
      <w:r w:rsidRPr="00040BEC">
        <w:rPr>
          <w:rFonts w:cs="Arial"/>
          <w:b/>
          <w:szCs w:val="20"/>
          <w:u w:val="single"/>
          <w:lang w:val="en-GB"/>
        </w:rPr>
        <w:t>DECT:</w:t>
      </w:r>
    </w:p>
    <w:p w14:paraId="28521A38" w14:textId="77777777" w:rsidR="00E2237B" w:rsidRPr="00040BEC" w:rsidRDefault="00E2237B" w:rsidP="00E2237B">
      <w:pPr>
        <w:ind w:left="567"/>
        <w:jc w:val="both"/>
        <w:rPr>
          <w:rFonts w:cs="Arial"/>
          <w:b/>
          <w:szCs w:val="20"/>
          <w:u w:val="single"/>
          <w:lang w:val="en-GB"/>
        </w:rPr>
      </w:pPr>
    </w:p>
    <w:p w14:paraId="70C4919C" w14:textId="77777777" w:rsidR="00E2237B" w:rsidRPr="00040BEC" w:rsidRDefault="00E2237B" w:rsidP="00E2237B">
      <w:pPr>
        <w:ind w:left="567"/>
        <w:jc w:val="both"/>
        <w:rPr>
          <w:rFonts w:cs="Arial"/>
          <w:i/>
          <w:szCs w:val="20"/>
          <w:lang w:val="en-GB"/>
        </w:rPr>
      </w:pPr>
      <w:r w:rsidRPr="00040BEC">
        <w:rPr>
          <w:rFonts w:cs="Arial"/>
          <w:i/>
          <w:szCs w:val="20"/>
          <w:lang w:val="en-GB"/>
        </w:rPr>
        <w:t xml:space="preserve">The DECT Forum expressed their view to make also available the 1900-1920 MHz band for DECT and refers to growth possibilities for higher rate data services, video surveillance and general home automation services, and especially M2M applications (for the latter one, an excerpt of the ETSI </w:t>
      </w:r>
      <w:proofErr w:type="spellStart"/>
      <w:r w:rsidRPr="00040BEC">
        <w:rPr>
          <w:rFonts w:cs="Arial"/>
          <w:i/>
          <w:szCs w:val="20"/>
          <w:lang w:val="en-GB"/>
        </w:rPr>
        <w:t>SRdoc</w:t>
      </w:r>
      <w:proofErr w:type="spellEnd"/>
      <w:r w:rsidRPr="00040BEC">
        <w:rPr>
          <w:rFonts w:cs="Arial"/>
          <w:i/>
          <w:szCs w:val="20"/>
          <w:lang w:val="en-GB"/>
        </w:rPr>
        <w:t xml:space="preserve"> has been provided).</w:t>
      </w:r>
    </w:p>
    <w:p w14:paraId="40130183" w14:textId="77777777" w:rsidR="00E2237B" w:rsidRPr="00040BEC" w:rsidRDefault="00E2237B" w:rsidP="00E2237B">
      <w:pPr>
        <w:ind w:left="567"/>
        <w:jc w:val="both"/>
        <w:rPr>
          <w:rFonts w:cs="Arial"/>
          <w:i/>
          <w:szCs w:val="20"/>
          <w:lang w:val="en-GB"/>
        </w:rPr>
      </w:pPr>
      <w:r w:rsidRPr="00040BEC">
        <w:rPr>
          <w:rFonts w:cs="Arial"/>
          <w:i/>
          <w:szCs w:val="20"/>
          <w:lang w:val="en-GB"/>
        </w:rPr>
        <w:t xml:space="preserve"> </w:t>
      </w:r>
    </w:p>
    <w:p w14:paraId="342DD189" w14:textId="77777777" w:rsidR="00E2237B" w:rsidRPr="00040BEC" w:rsidRDefault="00E2237B" w:rsidP="00E2237B">
      <w:pPr>
        <w:ind w:left="567"/>
        <w:jc w:val="both"/>
        <w:rPr>
          <w:rFonts w:cs="Arial"/>
          <w:i/>
          <w:szCs w:val="20"/>
          <w:lang w:val="en-GB"/>
        </w:rPr>
      </w:pPr>
      <w:r w:rsidRPr="00040BEC">
        <w:rPr>
          <w:rFonts w:cs="Arial"/>
          <w:i/>
          <w:szCs w:val="20"/>
          <w:lang w:val="en-GB"/>
        </w:rPr>
        <w:t xml:space="preserve">Sweden does not predict a </w:t>
      </w:r>
      <w:r w:rsidR="008A68DE" w:rsidRPr="00040BEC">
        <w:rPr>
          <w:rFonts w:cs="Arial"/>
          <w:i/>
          <w:szCs w:val="20"/>
          <w:lang w:val="en-GB"/>
        </w:rPr>
        <w:t>long-term</w:t>
      </w:r>
      <w:r w:rsidRPr="00040BEC">
        <w:rPr>
          <w:rFonts w:cs="Arial"/>
          <w:i/>
          <w:szCs w:val="20"/>
          <w:lang w:val="en-GB"/>
        </w:rPr>
        <w:t xml:space="preserve"> growth of the DECT market, and estimates the benefits associated to a harmoni</w:t>
      </w:r>
      <w:r w:rsidR="008A68DE" w:rsidRPr="00040BEC">
        <w:rPr>
          <w:rFonts w:cs="Arial"/>
          <w:i/>
          <w:szCs w:val="20"/>
          <w:lang w:val="en-GB"/>
        </w:rPr>
        <w:t>s</w:t>
      </w:r>
      <w:r w:rsidRPr="00040BEC">
        <w:rPr>
          <w:rFonts w:cs="Arial"/>
          <w:i/>
          <w:szCs w:val="20"/>
          <w:lang w:val="en-GB"/>
        </w:rPr>
        <w:t xml:space="preserve">ation of additional frequency spectrum are therefore limited. </w:t>
      </w:r>
    </w:p>
    <w:p w14:paraId="5CCC5188" w14:textId="77777777" w:rsidR="00E2237B" w:rsidRPr="00040BEC" w:rsidRDefault="00E2237B" w:rsidP="00E2237B">
      <w:pPr>
        <w:ind w:left="567"/>
        <w:jc w:val="both"/>
        <w:rPr>
          <w:rFonts w:cs="Arial"/>
          <w:i/>
          <w:szCs w:val="20"/>
          <w:lang w:val="en-GB"/>
        </w:rPr>
      </w:pPr>
    </w:p>
    <w:p w14:paraId="2560A34D" w14:textId="77777777" w:rsidR="00E2237B" w:rsidRPr="00040BEC" w:rsidRDefault="00E2237B" w:rsidP="00E2237B">
      <w:pPr>
        <w:ind w:left="567"/>
        <w:jc w:val="both"/>
        <w:rPr>
          <w:rFonts w:cs="Arial"/>
          <w:b/>
          <w:szCs w:val="20"/>
          <w:u w:val="single"/>
          <w:lang w:val="en-GB"/>
        </w:rPr>
      </w:pPr>
      <w:r w:rsidRPr="00040BEC">
        <w:rPr>
          <w:rFonts w:cs="Arial"/>
          <w:b/>
          <w:szCs w:val="20"/>
          <w:u w:val="single"/>
          <w:lang w:val="en-GB"/>
        </w:rPr>
        <w:t>SRD:</w:t>
      </w:r>
    </w:p>
    <w:p w14:paraId="07659319" w14:textId="77777777" w:rsidR="00E2237B" w:rsidRPr="00040BEC" w:rsidRDefault="00E2237B" w:rsidP="00E2237B">
      <w:pPr>
        <w:ind w:left="567"/>
        <w:jc w:val="both"/>
        <w:rPr>
          <w:rFonts w:cs="Arial"/>
          <w:i/>
          <w:szCs w:val="20"/>
          <w:lang w:val="en-GB"/>
        </w:rPr>
      </w:pPr>
    </w:p>
    <w:p w14:paraId="5EC8DC8E" w14:textId="77777777" w:rsidR="00E2237B" w:rsidRPr="00040BEC" w:rsidRDefault="00E2237B" w:rsidP="00E2237B">
      <w:pPr>
        <w:ind w:left="567"/>
        <w:jc w:val="both"/>
        <w:rPr>
          <w:rFonts w:cs="Arial"/>
          <w:i/>
          <w:szCs w:val="20"/>
          <w:lang w:val="en-GB"/>
        </w:rPr>
      </w:pPr>
      <w:r w:rsidRPr="00040BEC">
        <w:rPr>
          <w:rFonts w:cs="Arial"/>
          <w:i/>
          <w:szCs w:val="20"/>
          <w:lang w:val="en-GB"/>
        </w:rPr>
        <w:t>Sweden believes that with the right regulatory and technical conditions, an introduction of SRD in these bands potentially has a very high contribution to economic benefits in Europe.</w:t>
      </w:r>
    </w:p>
    <w:p w14:paraId="5AC20F72" w14:textId="77777777" w:rsidR="00E2237B" w:rsidRPr="00040BEC" w:rsidRDefault="00E2237B" w:rsidP="00E2237B">
      <w:pPr>
        <w:ind w:left="567"/>
        <w:jc w:val="both"/>
        <w:rPr>
          <w:rFonts w:cs="Arial"/>
          <w:szCs w:val="20"/>
          <w:lang w:val="en-GB"/>
        </w:rPr>
      </w:pPr>
    </w:p>
    <w:p w14:paraId="61D77CC7" w14:textId="77777777" w:rsidR="00E2237B" w:rsidRPr="00040BEC" w:rsidRDefault="00E2237B" w:rsidP="00E2237B">
      <w:pPr>
        <w:ind w:left="567"/>
        <w:jc w:val="both"/>
        <w:rPr>
          <w:rFonts w:cs="Arial"/>
          <w:i/>
          <w:szCs w:val="20"/>
          <w:lang w:val="en-GB"/>
        </w:rPr>
      </w:pPr>
      <w:r w:rsidRPr="00040BEC">
        <w:rPr>
          <w:rFonts w:cs="Arial"/>
          <w:i/>
          <w:szCs w:val="20"/>
          <w:lang w:val="en-GB"/>
        </w:rPr>
        <w:lastRenderedPageBreak/>
        <w:t>France is of the view that based on appropriate mitigation techniques and restrictions, DA2GC could share with video applications</w:t>
      </w:r>
      <w:r w:rsidR="001A4F87" w:rsidRPr="00040BEC">
        <w:rPr>
          <w:rFonts w:cs="Arial"/>
          <w:i/>
          <w:szCs w:val="20"/>
          <w:lang w:val="en-GB"/>
        </w:rPr>
        <w:t>,</w:t>
      </w:r>
      <w:r w:rsidRPr="00040BEC">
        <w:rPr>
          <w:rFonts w:cs="Arial"/>
          <w:i/>
          <w:szCs w:val="20"/>
          <w:lang w:val="en-GB"/>
        </w:rPr>
        <w:t xml:space="preserve"> and an SRD regulation </w:t>
      </w:r>
      <w:proofErr w:type="gramStart"/>
      <w:r w:rsidRPr="00040BEC">
        <w:rPr>
          <w:rFonts w:cs="Arial"/>
          <w:i/>
          <w:szCs w:val="20"/>
          <w:lang w:val="en-GB"/>
        </w:rPr>
        <w:t>could also</w:t>
      </w:r>
      <w:proofErr w:type="gramEnd"/>
      <w:r w:rsidRPr="00040BEC">
        <w:rPr>
          <w:rFonts w:cs="Arial"/>
          <w:i/>
          <w:szCs w:val="20"/>
          <w:lang w:val="en-GB"/>
        </w:rPr>
        <w:t xml:space="preserve"> be introduced on a non-protection, non-interference basis without </w:t>
      </w:r>
      <w:r w:rsidR="008A68DE" w:rsidRPr="00040BEC">
        <w:rPr>
          <w:rFonts w:cs="Arial"/>
          <w:i/>
          <w:szCs w:val="20"/>
          <w:lang w:val="en-GB"/>
        </w:rPr>
        <w:t>affecting</w:t>
      </w:r>
      <w:r w:rsidRPr="00040BEC">
        <w:rPr>
          <w:rFonts w:cs="Arial"/>
          <w:i/>
          <w:szCs w:val="20"/>
          <w:lang w:val="en-GB"/>
        </w:rPr>
        <w:t xml:space="preserve"> the other services, as an optimised scenario.</w:t>
      </w:r>
    </w:p>
    <w:p w14:paraId="22DABB82" w14:textId="77777777" w:rsidR="00E2237B" w:rsidRPr="00040BEC" w:rsidRDefault="00E2237B" w:rsidP="00E2237B">
      <w:pPr>
        <w:ind w:left="567"/>
        <w:jc w:val="both"/>
        <w:rPr>
          <w:rFonts w:cs="Arial"/>
          <w:i/>
          <w:szCs w:val="20"/>
          <w:lang w:val="en-GB"/>
        </w:rPr>
      </w:pPr>
    </w:p>
    <w:p w14:paraId="3C581C34" w14:textId="77777777" w:rsidR="00E2237B" w:rsidRPr="00040BEC" w:rsidRDefault="00E2237B" w:rsidP="00E2237B">
      <w:pPr>
        <w:ind w:left="567"/>
        <w:jc w:val="both"/>
        <w:rPr>
          <w:rFonts w:cs="Arial"/>
          <w:i/>
          <w:szCs w:val="20"/>
          <w:lang w:val="en-GB"/>
        </w:rPr>
      </w:pPr>
      <w:r w:rsidRPr="00040BEC">
        <w:rPr>
          <w:rFonts w:cs="Arial"/>
          <w:i/>
          <w:szCs w:val="20"/>
          <w:lang w:val="en-GB"/>
        </w:rPr>
        <w:t xml:space="preserve">The Netherlands proposed to consider metering (smart metering, smart grids and smart cities) in the unpaired bands, taking note that the needed frequency ranges are dependent on a country’s geography and the average construction of houses and buildings. It </w:t>
      </w:r>
      <w:proofErr w:type="gramStart"/>
      <w:r w:rsidRPr="00040BEC">
        <w:rPr>
          <w:rFonts w:cs="Arial"/>
          <w:i/>
          <w:szCs w:val="20"/>
          <w:lang w:val="en-GB"/>
        </w:rPr>
        <w:t xml:space="preserve">is </w:t>
      </w:r>
      <w:r w:rsidR="008A68DE" w:rsidRPr="00040BEC">
        <w:rPr>
          <w:rFonts w:cs="Arial"/>
          <w:i/>
          <w:szCs w:val="20"/>
          <w:lang w:val="en-GB"/>
        </w:rPr>
        <w:t xml:space="preserve">also </w:t>
      </w:r>
      <w:r w:rsidRPr="00040BEC">
        <w:rPr>
          <w:rFonts w:cs="Arial"/>
          <w:i/>
          <w:szCs w:val="20"/>
          <w:lang w:val="en-GB"/>
        </w:rPr>
        <w:t>referred</w:t>
      </w:r>
      <w:proofErr w:type="gramEnd"/>
      <w:r w:rsidRPr="00040BEC">
        <w:rPr>
          <w:rFonts w:cs="Arial"/>
          <w:i/>
          <w:szCs w:val="20"/>
          <w:lang w:val="en-GB"/>
        </w:rPr>
        <w:t xml:space="preserve"> that a number of bands proposed for metering, such as the 870-876 MHz, are not available in a substantial number of countries.</w:t>
      </w:r>
    </w:p>
    <w:p w14:paraId="1B3ED6A7" w14:textId="77777777" w:rsidR="00E2237B" w:rsidRPr="00040BEC" w:rsidRDefault="00E2237B" w:rsidP="00E2237B">
      <w:pPr>
        <w:ind w:left="567"/>
        <w:jc w:val="both"/>
        <w:rPr>
          <w:rFonts w:cs="Arial"/>
          <w:i/>
          <w:szCs w:val="20"/>
          <w:lang w:val="en-GB"/>
        </w:rPr>
      </w:pPr>
    </w:p>
    <w:p w14:paraId="54BD7D63" w14:textId="77777777" w:rsidR="00E2237B" w:rsidRPr="00040BEC" w:rsidRDefault="00E2237B" w:rsidP="00E2237B">
      <w:pPr>
        <w:ind w:left="567"/>
        <w:jc w:val="both"/>
        <w:rPr>
          <w:rFonts w:cs="Arial"/>
          <w:szCs w:val="20"/>
          <w:lang w:val="en-GB"/>
        </w:rPr>
      </w:pPr>
    </w:p>
    <w:p w14:paraId="04802C10" w14:textId="77777777" w:rsidR="00E2237B" w:rsidRPr="00040BEC" w:rsidRDefault="00E2237B" w:rsidP="00E2237B">
      <w:pPr>
        <w:ind w:left="567"/>
        <w:jc w:val="both"/>
        <w:rPr>
          <w:rFonts w:cs="Arial"/>
          <w:b/>
          <w:szCs w:val="20"/>
          <w:u w:val="single"/>
          <w:lang w:val="en-GB"/>
        </w:rPr>
      </w:pPr>
      <w:r w:rsidRPr="00040BEC">
        <w:rPr>
          <w:rFonts w:cs="Arial"/>
          <w:b/>
          <w:szCs w:val="20"/>
          <w:u w:val="single"/>
          <w:lang w:val="en-GB"/>
        </w:rPr>
        <w:t>Other use, outside the indicated preferred scenarios/uses:</w:t>
      </w:r>
    </w:p>
    <w:p w14:paraId="44272745" w14:textId="77777777" w:rsidR="00E2237B" w:rsidRPr="00040BEC" w:rsidRDefault="00E2237B" w:rsidP="00E2237B">
      <w:pPr>
        <w:ind w:left="567"/>
        <w:jc w:val="both"/>
        <w:rPr>
          <w:rFonts w:cs="Arial"/>
          <w:b/>
          <w:szCs w:val="20"/>
          <w:u w:val="single"/>
          <w:lang w:val="en-GB"/>
        </w:rPr>
      </w:pPr>
    </w:p>
    <w:p w14:paraId="2D1A6A85" w14:textId="77777777" w:rsidR="00E2237B" w:rsidRPr="00040BEC" w:rsidRDefault="00E2237B" w:rsidP="00E2237B">
      <w:pPr>
        <w:ind w:left="567"/>
        <w:jc w:val="both"/>
        <w:rPr>
          <w:rFonts w:cs="Arial"/>
          <w:i/>
          <w:szCs w:val="20"/>
          <w:lang w:val="en-GB"/>
        </w:rPr>
      </w:pPr>
      <w:r w:rsidRPr="00040BEC">
        <w:rPr>
          <w:rFonts w:cs="Arial"/>
          <w:i/>
          <w:szCs w:val="20"/>
          <w:lang w:val="en-GB"/>
        </w:rPr>
        <w:t>Two responses indicated other use, outside the indicated preferred scenario/uses:</w:t>
      </w:r>
    </w:p>
    <w:p w14:paraId="69752BBB" w14:textId="77777777" w:rsidR="00E2237B" w:rsidRPr="00040BEC" w:rsidRDefault="00E2237B" w:rsidP="00E2237B">
      <w:pPr>
        <w:ind w:left="567"/>
        <w:jc w:val="both"/>
        <w:rPr>
          <w:rFonts w:cs="Arial"/>
          <w:i/>
          <w:szCs w:val="20"/>
          <w:lang w:val="en-GB"/>
        </w:rPr>
      </w:pPr>
    </w:p>
    <w:p w14:paraId="4F1BA6B5" w14:textId="77777777" w:rsidR="00E2237B" w:rsidRPr="00040BEC" w:rsidRDefault="00E2237B" w:rsidP="00E2237B">
      <w:pPr>
        <w:ind w:left="567"/>
        <w:jc w:val="both"/>
        <w:rPr>
          <w:rFonts w:cs="Arial"/>
          <w:i/>
          <w:szCs w:val="20"/>
          <w:lang w:val="en-GB"/>
        </w:rPr>
      </w:pPr>
      <w:r w:rsidRPr="00040BEC">
        <w:rPr>
          <w:rFonts w:cs="Arial"/>
          <w:i/>
          <w:szCs w:val="20"/>
          <w:lang w:val="en-GB"/>
        </w:rPr>
        <w:t>Bouygues Telecom, Orange, and SFR stated that the current allocation of the unpaired terrestrial 2 GHz bands to the mobile network operators s</w:t>
      </w:r>
      <w:r w:rsidR="00CC262E" w:rsidRPr="00040BEC">
        <w:rPr>
          <w:rFonts w:cs="Arial"/>
          <w:i/>
          <w:szCs w:val="20"/>
          <w:lang w:val="en-GB"/>
        </w:rPr>
        <w:t>h</w:t>
      </w:r>
      <w:r w:rsidRPr="00040BEC">
        <w:rPr>
          <w:rFonts w:cs="Arial"/>
          <w:i/>
          <w:szCs w:val="20"/>
          <w:lang w:val="en-GB"/>
        </w:rPr>
        <w:t xml:space="preserve">ould remain as one of the possible alternatives. The main point of this contribution is to indicate the recent availability of mass-market handsets on the 2.1 GHz TDD bands. Such handsets are the same as </w:t>
      </w:r>
      <w:proofErr w:type="gramStart"/>
      <w:r w:rsidRPr="00040BEC">
        <w:rPr>
          <w:rFonts w:cs="Arial"/>
          <w:i/>
          <w:szCs w:val="20"/>
          <w:lang w:val="en-GB"/>
        </w:rPr>
        <w:t>those which also include the 2.3 GHz TDD band</w:t>
      </w:r>
      <w:proofErr w:type="gramEnd"/>
      <w:r w:rsidRPr="00040BEC">
        <w:rPr>
          <w:rFonts w:cs="Arial"/>
          <w:i/>
          <w:szCs w:val="20"/>
          <w:lang w:val="en-GB"/>
        </w:rPr>
        <w:t xml:space="preserve"> and the 2.6 GHz TDD band, in addition to all European FDD LTE bands. No statement was made with regard to the availability of network solutions in the unpaired bands (the main issue stated in the past has been the DL-emission limitations to be spectrum compatible with other applications in the adjacent spectrum).</w:t>
      </w:r>
    </w:p>
    <w:p w14:paraId="72D75EAB" w14:textId="77777777" w:rsidR="00E2237B" w:rsidRPr="00040BEC" w:rsidRDefault="00E2237B" w:rsidP="00E2237B">
      <w:pPr>
        <w:ind w:left="567"/>
        <w:jc w:val="both"/>
        <w:rPr>
          <w:rFonts w:cs="Arial"/>
          <w:i/>
          <w:szCs w:val="20"/>
          <w:lang w:val="en-GB"/>
        </w:rPr>
      </w:pPr>
    </w:p>
    <w:p w14:paraId="4B57BC0F" w14:textId="77777777" w:rsidR="00E2237B" w:rsidRPr="00040BEC" w:rsidRDefault="00E2237B" w:rsidP="00E2237B">
      <w:pPr>
        <w:ind w:left="567"/>
        <w:jc w:val="both"/>
        <w:rPr>
          <w:rFonts w:cs="Arial"/>
          <w:i/>
          <w:szCs w:val="20"/>
          <w:lang w:val="en-GB"/>
        </w:rPr>
      </w:pPr>
      <w:r w:rsidRPr="00040BEC">
        <w:rPr>
          <w:rFonts w:cs="Arial"/>
          <w:i/>
          <w:szCs w:val="20"/>
          <w:lang w:val="en-GB"/>
        </w:rPr>
        <w:t xml:space="preserve">This usage concept brought forward by the three operators may include TDD-FDD aggregation on hotspots and for M2M applications. The three operators are of the view that each potential harmonised use in the shortlist </w:t>
      </w:r>
      <w:proofErr w:type="gramStart"/>
      <w:r w:rsidRPr="00040BEC">
        <w:rPr>
          <w:rFonts w:cs="Arial"/>
          <w:i/>
          <w:szCs w:val="20"/>
          <w:lang w:val="en-GB"/>
        </w:rPr>
        <w:t>should be assessed</w:t>
      </w:r>
      <w:proofErr w:type="gramEnd"/>
      <w:r w:rsidRPr="00040BEC">
        <w:rPr>
          <w:rFonts w:cs="Arial"/>
          <w:i/>
          <w:szCs w:val="20"/>
          <w:lang w:val="en-GB"/>
        </w:rPr>
        <w:t xml:space="preserve"> against the use of the unpaired 2GHz bands for TDD-FDD aggregation on hotspots and for M2M. Telefonica mentioned the various licenses they hold in the 1920-1980 MHz/ 2110-2170 MHz across Europe and, in this context indicated that any solution in the 2 GHz Unpaired bands has to be spectrum compatible, i.e. protection of the adjacent services needs to be fulfilled.</w:t>
      </w:r>
    </w:p>
    <w:p w14:paraId="7FD661B0" w14:textId="77777777" w:rsidR="00E2237B" w:rsidRPr="00040BEC" w:rsidRDefault="00E2237B" w:rsidP="00E2237B">
      <w:pPr>
        <w:ind w:left="567"/>
        <w:jc w:val="both"/>
        <w:rPr>
          <w:rFonts w:cs="Arial"/>
          <w:i/>
          <w:szCs w:val="20"/>
          <w:lang w:val="en-GB"/>
        </w:rPr>
      </w:pPr>
    </w:p>
    <w:p w14:paraId="5E6E9FC3" w14:textId="77777777" w:rsidR="00E2237B" w:rsidRPr="00040BEC" w:rsidRDefault="00E2237B" w:rsidP="00E2237B">
      <w:pPr>
        <w:ind w:left="567"/>
        <w:jc w:val="both"/>
        <w:rPr>
          <w:rFonts w:cs="Arial"/>
          <w:i/>
          <w:szCs w:val="20"/>
          <w:lang w:val="en-GB"/>
        </w:rPr>
      </w:pPr>
      <w:r w:rsidRPr="00040BEC">
        <w:rPr>
          <w:rFonts w:cs="Arial"/>
          <w:i/>
          <w:szCs w:val="20"/>
          <w:lang w:val="en-GB"/>
        </w:rPr>
        <w:t xml:space="preserve">The Netherlands introduced the view that radio amateur (satellite) use as well as wireless smart metering, smart grids and smart city networks </w:t>
      </w:r>
      <w:proofErr w:type="gramStart"/>
      <w:r w:rsidRPr="00040BEC">
        <w:rPr>
          <w:rFonts w:cs="Arial"/>
          <w:i/>
          <w:szCs w:val="20"/>
          <w:lang w:val="en-GB"/>
        </w:rPr>
        <w:t>should also be considered</w:t>
      </w:r>
      <w:proofErr w:type="gramEnd"/>
      <w:r w:rsidRPr="00040BEC">
        <w:rPr>
          <w:rFonts w:cs="Arial"/>
          <w:i/>
          <w:szCs w:val="20"/>
          <w:lang w:val="en-GB"/>
        </w:rPr>
        <w:t xml:space="preserve">. </w:t>
      </w:r>
    </w:p>
    <w:p w14:paraId="54F3DB5F" w14:textId="77777777" w:rsidR="00E2237B" w:rsidRPr="00040BEC" w:rsidRDefault="00E2237B" w:rsidP="00E2237B">
      <w:pPr>
        <w:ind w:left="567"/>
        <w:jc w:val="both"/>
        <w:rPr>
          <w:rFonts w:cs="Arial"/>
          <w:szCs w:val="20"/>
          <w:lang w:val="en-GB"/>
        </w:rPr>
      </w:pPr>
    </w:p>
    <w:p w14:paraId="2A33BC0E" w14:textId="77777777" w:rsidR="00E2237B" w:rsidRPr="00040BEC" w:rsidRDefault="00E2237B" w:rsidP="00BE115C">
      <w:pPr>
        <w:pStyle w:val="ListParagraph"/>
        <w:numPr>
          <w:ilvl w:val="1"/>
          <w:numId w:val="47"/>
        </w:numPr>
        <w:spacing w:after="240"/>
        <w:ind w:left="993" w:hanging="426"/>
        <w:jc w:val="both"/>
        <w:rPr>
          <w:rFonts w:cs="Arial"/>
          <w:szCs w:val="20"/>
          <w:lang w:val="en-GB"/>
        </w:rPr>
      </w:pPr>
      <w:proofErr w:type="gramStart"/>
      <w:r w:rsidRPr="00040BEC">
        <w:rPr>
          <w:rFonts w:cs="Arial"/>
          <w:szCs w:val="20"/>
          <w:lang w:val="en-GB"/>
        </w:rPr>
        <w:t xml:space="preserve">In the outline of the response to the Commission it is suggested placing the shortlist of potential harmonised uses of the 1900-1920 MHz and 2010-2025 MHz frequency bands, proposed for further study in the EC Mandate (as detailed in Annex </w:t>
      </w:r>
      <w:r w:rsidR="00A15F24" w:rsidRPr="00040BEC">
        <w:rPr>
          <w:rFonts w:cs="Arial"/>
          <w:szCs w:val="20"/>
          <w:lang w:val="en-GB"/>
        </w:rPr>
        <w:t>1</w:t>
      </w:r>
      <w:r w:rsidRPr="00040BEC">
        <w:rPr>
          <w:rFonts w:cs="Arial"/>
          <w:szCs w:val="20"/>
          <w:lang w:val="en-GB"/>
        </w:rPr>
        <w:t>), into 3 defined categories (see section 3.6 of the outline of the response to the Commission on synergies between the proposed shortlist of selected use.</w:t>
      </w:r>
      <w:proofErr w:type="gramEnd"/>
      <w:r w:rsidRPr="00040BEC">
        <w:rPr>
          <w:rFonts w:cs="Arial"/>
          <w:szCs w:val="20"/>
          <w:lang w:val="en-GB"/>
        </w:rPr>
        <w:t xml:space="preserve"> </w:t>
      </w:r>
      <w:r w:rsidRPr="00040BEC">
        <w:rPr>
          <w:rFonts w:cs="Arial"/>
          <w:b/>
          <w:szCs w:val="20"/>
          <w:lang w:val="en-GB"/>
        </w:rPr>
        <w:t>Do you agree with this approach? (Yes/No) If not please explain in detail why.</w:t>
      </w:r>
    </w:p>
    <w:p w14:paraId="1DC2382F" w14:textId="77777777" w:rsidR="00E2237B" w:rsidRPr="00040BEC" w:rsidRDefault="00E2237B" w:rsidP="00E2237B">
      <w:pPr>
        <w:ind w:left="567"/>
        <w:jc w:val="both"/>
        <w:rPr>
          <w:rFonts w:cs="Arial"/>
          <w:i/>
          <w:szCs w:val="20"/>
          <w:lang w:val="en-GB"/>
        </w:rPr>
      </w:pPr>
      <w:r w:rsidRPr="00040BEC">
        <w:rPr>
          <w:rFonts w:cs="Arial"/>
          <w:i/>
          <w:szCs w:val="20"/>
          <w:lang w:val="en-GB"/>
        </w:rPr>
        <w:t xml:space="preserve">From almost all responses, a high level of support </w:t>
      </w:r>
      <w:proofErr w:type="gramStart"/>
      <w:r w:rsidRPr="00040BEC">
        <w:rPr>
          <w:rFonts w:cs="Arial"/>
          <w:i/>
          <w:szCs w:val="20"/>
          <w:lang w:val="en-GB"/>
        </w:rPr>
        <w:t>has been expressed</w:t>
      </w:r>
      <w:proofErr w:type="gramEnd"/>
      <w:r w:rsidRPr="00040BEC">
        <w:rPr>
          <w:rFonts w:cs="Arial"/>
          <w:i/>
          <w:szCs w:val="20"/>
          <w:lang w:val="en-GB"/>
        </w:rPr>
        <w:t xml:space="preserve"> for the approach adopted by CEPT. Some responses indicate explicit possibilities or concerns that may need further investigations or refer to insufficient information:</w:t>
      </w:r>
    </w:p>
    <w:p w14:paraId="3EF22769" w14:textId="77777777" w:rsidR="00E2237B" w:rsidRPr="00040BEC" w:rsidRDefault="00E2237B" w:rsidP="00E2237B">
      <w:pPr>
        <w:ind w:left="567"/>
        <w:jc w:val="both"/>
        <w:rPr>
          <w:rFonts w:cs="Arial"/>
          <w:i/>
          <w:szCs w:val="20"/>
          <w:lang w:val="en-GB"/>
        </w:rPr>
      </w:pPr>
    </w:p>
    <w:p w14:paraId="6ADEB3CB" w14:textId="77777777" w:rsidR="00E2237B" w:rsidRPr="00040BEC" w:rsidRDefault="00E2237B" w:rsidP="00BE115C">
      <w:pPr>
        <w:pStyle w:val="ListParagraph"/>
        <w:numPr>
          <w:ilvl w:val="0"/>
          <w:numId w:val="45"/>
        </w:numPr>
        <w:ind w:left="993" w:hanging="426"/>
        <w:jc w:val="both"/>
        <w:rPr>
          <w:rFonts w:cs="Arial"/>
          <w:i/>
          <w:szCs w:val="20"/>
          <w:lang w:val="en-GB"/>
        </w:rPr>
      </w:pPr>
      <w:r w:rsidRPr="00040BEC">
        <w:rPr>
          <w:rFonts w:cs="Arial"/>
          <w:i/>
          <w:szCs w:val="20"/>
          <w:lang w:val="en-GB"/>
        </w:rPr>
        <w:t xml:space="preserve">Deutsche Telekom, </w:t>
      </w:r>
      <w:proofErr w:type="spellStart"/>
      <w:r w:rsidRPr="00040BEC">
        <w:rPr>
          <w:rFonts w:cs="Arial"/>
          <w:i/>
          <w:szCs w:val="20"/>
          <w:lang w:val="en-GB"/>
        </w:rPr>
        <w:t>TriaGnoSys</w:t>
      </w:r>
      <w:proofErr w:type="spellEnd"/>
      <w:r w:rsidRPr="00040BEC">
        <w:rPr>
          <w:rFonts w:cs="Arial"/>
          <w:i/>
          <w:szCs w:val="20"/>
          <w:lang w:val="en-GB"/>
        </w:rPr>
        <w:t xml:space="preserve"> see sharing of the DA2G forward link (ground-to-air) with PMSE cordless camera links is feasible under specific conditions. Such sharing feasibility </w:t>
      </w:r>
      <w:proofErr w:type="gramStart"/>
      <w:r w:rsidRPr="00040BEC">
        <w:rPr>
          <w:rFonts w:cs="Arial"/>
          <w:i/>
          <w:szCs w:val="20"/>
          <w:lang w:val="en-GB"/>
        </w:rPr>
        <w:t>is also expected</w:t>
      </w:r>
      <w:proofErr w:type="gramEnd"/>
      <w:r w:rsidRPr="00040BEC">
        <w:rPr>
          <w:rFonts w:cs="Arial"/>
          <w:i/>
          <w:szCs w:val="20"/>
          <w:lang w:val="en-GB"/>
        </w:rPr>
        <w:t xml:space="preserve"> to be valid for applications like SRD and DECT, in particular if low power, low duty cycle, DCS (Dynamic Channel Selection) and/or a restriction to in-house-only operation would apply for these applications.</w:t>
      </w:r>
    </w:p>
    <w:p w14:paraId="7CA46BFA" w14:textId="77777777" w:rsidR="00E2237B" w:rsidRPr="00040BEC" w:rsidRDefault="00E2237B" w:rsidP="00BE115C">
      <w:pPr>
        <w:pStyle w:val="ListParagraph"/>
        <w:numPr>
          <w:ilvl w:val="0"/>
          <w:numId w:val="45"/>
        </w:numPr>
        <w:ind w:left="993" w:hanging="426"/>
        <w:jc w:val="both"/>
        <w:rPr>
          <w:rFonts w:cs="Arial"/>
          <w:i/>
          <w:szCs w:val="20"/>
          <w:lang w:val="en-GB"/>
        </w:rPr>
      </w:pPr>
      <w:proofErr w:type="gramStart"/>
      <w:r w:rsidRPr="00040BEC">
        <w:rPr>
          <w:rFonts w:cs="Arial"/>
          <w:i/>
          <w:szCs w:val="20"/>
          <w:lang w:val="en-GB"/>
        </w:rPr>
        <w:t>The need to be more precise on synergies, especially between PPDR and PMSE as well as on possibilities to coordinate ad hoc PPDR and PMSE usage.</w:t>
      </w:r>
      <w:proofErr w:type="gramEnd"/>
    </w:p>
    <w:p w14:paraId="4ACF5220" w14:textId="77777777" w:rsidR="00E2237B" w:rsidRPr="00040BEC" w:rsidRDefault="00E2237B" w:rsidP="00BE115C">
      <w:pPr>
        <w:pStyle w:val="ListParagraph"/>
        <w:numPr>
          <w:ilvl w:val="0"/>
          <w:numId w:val="45"/>
        </w:numPr>
        <w:ind w:left="993" w:hanging="426"/>
        <w:jc w:val="both"/>
        <w:rPr>
          <w:rFonts w:cs="Arial"/>
          <w:i/>
          <w:szCs w:val="20"/>
          <w:lang w:val="en-GB"/>
        </w:rPr>
      </w:pPr>
      <w:r w:rsidRPr="00040BEC">
        <w:rPr>
          <w:rFonts w:cs="Arial"/>
          <w:i/>
          <w:szCs w:val="20"/>
          <w:lang w:val="en-GB"/>
        </w:rPr>
        <w:t>Telefonica supports the approach but needs also proper consideration of existing licenses and socio-economic studies detailing the synergies.</w:t>
      </w:r>
    </w:p>
    <w:p w14:paraId="0E8E7CA8" w14:textId="77777777" w:rsidR="00E2237B" w:rsidRPr="00040BEC" w:rsidRDefault="00E2237B" w:rsidP="00BE115C">
      <w:pPr>
        <w:pStyle w:val="ListParagraph"/>
        <w:numPr>
          <w:ilvl w:val="0"/>
          <w:numId w:val="45"/>
        </w:numPr>
        <w:ind w:left="993" w:hanging="426"/>
        <w:jc w:val="both"/>
        <w:rPr>
          <w:rFonts w:cs="Arial"/>
          <w:i/>
          <w:szCs w:val="20"/>
          <w:lang w:val="en-GB"/>
        </w:rPr>
      </w:pPr>
      <w:r w:rsidRPr="00040BEC">
        <w:rPr>
          <w:rFonts w:cs="Arial"/>
          <w:i/>
          <w:szCs w:val="20"/>
          <w:lang w:val="en-GB"/>
        </w:rPr>
        <w:t xml:space="preserve">DECT: precise usage should be further clarified, especially </w:t>
      </w:r>
      <w:proofErr w:type="gramStart"/>
      <w:r w:rsidRPr="00040BEC">
        <w:rPr>
          <w:rFonts w:cs="Arial"/>
          <w:i/>
          <w:szCs w:val="20"/>
          <w:lang w:val="en-GB"/>
        </w:rPr>
        <w:t>with regards to</w:t>
      </w:r>
      <w:proofErr w:type="gramEnd"/>
      <w:r w:rsidRPr="00040BEC">
        <w:rPr>
          <w:rFonts w:cs="Arial"/>
          <w:i/>
          <w:szCs w:val="20"/>
          <w:lang w:val="en-GB"/>
        </w:rPr>
        <w:t xml:space="preserve"> the handling of DECT video/video surveillance applications under the concept with the DECT/SRD and PMSE/ad-hoc PPDR </w:t>
      </w:r>
      <w:r w:rsidR="00F72E57" w:rsidRPr="00040BEC">
        <w:rPr>
          <w:i/>
          <w:lang w:val="en-GB"/>
        </w:rPr>
        <w:t>categories</w:t>
      </w:r>
      <w:r w:rsidRPr="00040BEC">
        <w:rPr>
          <w:rFonts w:cs="Arial"/>
          <w:i/>
          <w:szCs w:val="20"/>
          <w:lang w:val="en-GB"/>
        </w:rPr>
        <w:t>.</w:t>
      </w:r>
    </w:p>
    <w:p w14:paraId="0B50E325" w14:textId="77777777" w:rsidR="00E2237B" w:rsidRPr="00040BEC" w:rsidRDefault="00E2237B" w:rsidP="00BE115C">
      <w:pPr>
        <w:pStyle w:val="ListParagraph"/>
        <w:numPr>
          <w:ilvl w:val="0"/>
          <w:numId w:val="45"/>
        </w:numPr>
        <w:ind w:left="993" w:hanging="426"/>
        <w:jc w:val="both"/>
        <w:rPr>
          <w:rFonts w:cs="Arial"/>
          <w:i/>
          <w:szCs w:val="20"/>
          <w:lang w:val="en-GB"/>
        </w:rPr>
      </w:pPr>
      <w:r w:rsidRPr="00040BEC">
        <w:rPr>
          <w:rFonts w:cs="Arial"/>
          <w:i/>
          <w:szCs w:val="20"/>
          <w:lang w:val="en-GB"/>
        </w:rPr>
        <w:t xml:space="preserve">The DECT Forum expressed itself to be unable to support the common DECT/SRD approach due to lack of information on potential SRD usage. </w:t>
      </w:r>
    </w:p>
    <w:p w14:paraId="3926B911" w14:textId="77777777" w:rsidR="00E2237B" w:rsidRPr="00040BEC" w:rsidRDefault="00E2237B" w:rsidP="00E2237B">
      <w:pPr>
        <w:ind w:left="927"/>
        <w:jc w:val="both"/>
        <w:rPr>
          <w:rFonts w:cs="Arial"/>
          <w:i/>
          <w:szCs w:val="20"/>
          <w:lang w:val="en-GB"/>
        </w:rPr>
      </w:pPr>
    </w:p>
    <w:p w14:paraId="1D96849D" w14:textId="77777777" w:rsidR="000C6788" w:rsidRPr="00040BEC" w:rsidRDefault="000C6788" w:rsidP="00E2237B">
      <w:pPr>
        <w:ind w:left="927"/>
        <w:jc w:val="both"/>
        <w:rPr>
          <w:rFonts w:cs="Arial"/>
          <w:i/>
          <w:szCs w:val="20"/>
          <w:lang w:val="en-GB"/>
        </w:rPr>
      </w:pPr>
    </w:p>
    <w:p w14:paraId="326A40CB" w14:textId="77777777" w:rsidR="00E2237B" w:rsidRPr="00040BEC" w:rsidRDefault="00E2237B" w:rsidP="00BE115C">
      <w:pPr>
        <w:keepNext/>
        <w:numPr>
          <w:ilvl w:val="0"/>
          <w:numId w:val="47"/>
        </w:numPr>
        <w:spacing w:after="240"/>
        <w:ind w:left="284" w:hanging="284"/>
        <w:jc w:val="both"/>
        <w:rPr>
          <w:rFonts w:cs="Arial"/>
          <w:szCs w:val="20"/>
          <w:lang w:val="en-GB"/>
        </w:rPr>
      </w:pPr>
      <w:r w:rsidRPr="00040BEC">
        <w:rPr>
          <w:rFonts w:cs="Arial"/>
          <w:szCs w:val="20"/>
          <w:lang w:val="en-GB"/>
        </w:rPr>
        <w:t>DECT and SRD</w:t>
      </w:r>
    </w:p>
    <w:p w14:paraId="314489B5" w14:textId="77777777" w:rsidR="00E2237B" w:rsidRPr="00040BEC" w:rsidRDefault="00E2237B" w:rsidP="00E2237B">
      <w:pPr>
        <w:spacing w:after="240"/>
        <w:ind w:left="284"/>
        <w:jc w:val="both"/>
        <w:rPr>
          <w:rFonts w:cs="Arial"/>
          <w:szCs w:val="20"/>
          <w:lang w:val="en-GB"/>
        </w:rPr>
      </w:pPr>
      <w:r w:rsidRPr="00040BEC">
        <w:rPr>
          <w:rFonts w:cs="Arial"/>
          <w:szCs w:val="20"/>
          <w:lang w:val="en-GB"/>
        </w:rPr>
        <w:t>Two of the potential uses of the 1900-1920 MHz and 2010-2025 MHz frequency bands proposed for study in the EC Mandate are DECT (1900-1920 MHz) and SRDs. Both uses would normally employ adequate mechanisms to access the spectrum equitably and operate under a general authorisation framework. The approach is application-neutral and technology-neutral as much as possible and in line with the principles set out in CEPT Report 14 and CEPT Report 44.</w:t>
      </w:r>
    </w:p>
    <w:p w14:paraId="2D63B60D" w14:textId="77777777" w:rsidR="00E2237B" w:rsidRPr="00040BEC" w:rsidRDefault="00E2237B" w:rsidP="00E2237B">
      <w:pPr>
        <w:spacing w:after="240"/>
        <w:ind w:left="284"/>
        <w:jc w:val="both"/>
        <w:rPr>
          <w:rFonts w:cs="Arial"/>
          <w:b/>
          <w:szCs w:val="20"/>
          <w:lang w:val="en-GB"/>
        </w:rPr>
      </w:pPr>
      <w:r w:rsidRPr="00040BEC">
        <w:rPr>
          <w:rFonts w:cs="Arial"/>
          <w:b/>
          <w:szCs w:val="20"/>
          <w:lang w:val="en-GB"/>
        </w:rPr>
        <w:t xml:space="preserve">Do you agree that SRD and DECT </w:t>
      </w:r>
      <w:proofErr w:type="gramStart"/>
      <w:r w:rsidRPr="00040BEC">
        <w:rPr>
          <w:rFonts w:cs="Arial"/>
          <w:b/>
          <w:szCs w:val="20"/>
          <w:lang w:val="en-GB"/>
        </w:rPr>
        <w:t>may be deployed</w:t>
      </w:r>
      <w:proofErr w:type="gramEnd"/>
      <w:r w:rsidRPr="00040BEC">
        <w:rPr>
          <w:rFonts w:cs="Arial"/>
          <w:b/>
          <w:szCs w:val="20"/>
          <w:lang w:val="en-GB"/>
        </w:rPr>
        <w:t xml:space="preserve"> and share the spectrum under a common technical and regulatory framework to foster a more efficient use of spectrum and future innovation? (Yes/No) If not, please indicate why.</w:t>
      </w:r>
    </w:p>
    <w:p w14:paraId="654BEDA2" w14:textId="77777777" w:rsidR="00E2237B" w:rsidRPr="00040BEC" w:rsidRDefault="00E2237B" w:rsidP="00BE115C">
      <w:pPr>
        <w:pStyle w:val="ListParagraph"/>
        <w:numPr>
          <w:ilvl w:val="0"/>
          <w:numId w:val="44"/>
        </w:numPr>
        <w:ind w:left="709" w:hanging="425"/>
        <w:jc w:val="both"/>
        <w:rPr>
          <w:rFonts w:cs="Arial"/>
          <w:i/>
          <w:szCs w:val="20"/>
          <w:lang w:val="en-GB"/>
        </w:rPr>
      </w:pPr>
      <w:r w:rsidRPr="00040BEC">
        <w:rPr>
          <w:rFonts w:cs="Arial"/>
          <w:i/>
          <w:szCs w:val="20"/>
          <w:lang w:val="en-GB"/>
        </w:rPr>
        <w:t xml:space="preserve">Several PMSE proponents indicate that they do not consider PMSE should share with unlicensed applications such as DECT/SRD. Usage of these licence-free devices in the same band where essential professional services (PMSE/PPDR) </w:t>
      </w:r>
      <w:proofErr w:type="gramStart"/>
      <w:r w:rsidRPr="00040BEC">
        <w:rPr>
          <w:rFonts w:cs="Arial"/>
          <w:i/>
          <w:szCs w:val="20"/>
          <w:lang w:val="en-GB"/>
        </w:rPr>
        <w:t>are being deployed</w:t>
      </w:r>
      <w:proofErr w:type="gramEnd"/>
      <w:r w:rsidRPr="00040BEC">
        <w:rPr>
          <w:rFonts w:cs="Arial"/>
          <w:i/>
          <w:szCs w:val="20"/>
          <w:lang w:val="en-GB"/>
        </w:rPr>
        <w:t xml:space="preserve"> impairs the error free use of these professional services. This notion </w:t>
      </w:r>
      <w:proofErr w:type="gramStart"/>
      <w:r w:rsidRPr="00040BEC">
        <w:rPr>
          <w:rFonts w:cs="Arial"/>
          <w:i/>
          <w:szCs w:val="20"/>
          <w:lang w:val="en-GB"/>
        </w:rPr>
        <w:t>has also been provided</w:t>
      </w:r>
      <w:proofErr w:type="gramEnd"/>
      <w:r w:rsidRPr="00040BEC">
        <w:rPr>
          <w:rFonts w:cs="Arial"/>
          <w:i/>
          <w:szCs w:val="20"/>
          <w:lang w:val="en-GB"/>
        </w:rPr>
        <w:t xml:space="preserve"> by the one response from a PPDR solutions provider.</w:t>
      </w:r>
    </w:p>
    <w:p w14:paraId="2CE842AF" w14:textId="77777777" w:rsidR="00E2237B" w:rsidRPr="00040BEC" w:rsidRDefault="00E2237B" w:rsidP="00BE115C">
      <w:pPr>
        <w:pStyle w:val="ListParagraph"/>
        <w:numPr>
          <w:ilvl w:val="0"/>
          <w:numId w:val="44"/>
        </w:numPr>
        <w:ind w:left="709" w:hanging="425"/>
        <w:jc w:val="both"/>
        <w:rPr>
          <w:rFonts w:cs="Arial"/>
          <w:szCs w:val="20"/>
          <w:lang w:val="en-GB"/>
        </w:rPr>
      </w:pPr>
      <w:r w:rsidRPr="00040BEC">
        <w:rPr>
          <w:rFonts w:cs="Arial"/>
          <w:i/>
          <w:szCs w:val="20"/>
          <w:lang w:val="en-GB"/>
        </w:rPr>
        <w:t xml:space="preserve">The responding administrations clearly indicated that DECT should operate under a generic SRD regulation on a shared basis with other technology on a non-protected non-interfered basis. Spectrum access techniques should be mutually compatible and frequency segmentation amongst such applications </w:t>
      </w:r>
      <w:proofErr w:type="gramStart"/>
      <w:r w:rsidRPr="00040BEC">
        <w:rPr>
          <w:rFonts w:cs="Arial"/>
          <w:i/>
          <w:szCs w:val="20"/>
          <w:lang w:val="en-GB"/>
        </w:rPr>
        <w:t>should be avoided</w:t>
      </w:r>
      <w:proofErr w:type="gramEnd"/>
      <w:r w:rsidRPr="00040BEC">
        <w:rPr>
          <w:rFonts w:cs="Arial"/>
          <w:i/>
          <w:szCs w:val="20"/>
          <w:lang w:val="en-GB"/>
        </w:rPr>
        <w:t xml:space="preserve">. It is important that the regulation also in practice provide an opportunity for alternative technologies to use the spectrum so that a competitive market </w:t>
      </w:r>
      <w:proofErr w:type="gramStart"/>
      <w:r w:rsidRPr="00040BEC">
        <w:rPr>
          <w:rFonts w:cs="Arial"/>
          <w:i/>
          <w:szCs w:val="20"/>
          <w:lang w:val="en-GB"/>
        </w:rPr>
        <w:t>is created</w:t>
      </w:r>
      <w:proofErr w:type="gramEnd"/>
      <w:r w:rsidRPr="00040BEC">
        <w:rPr>
          <w:rFonts w:cs="Arial"/>
          <w:i/>
          <w:szCs w:val="20"/>
          <w:lang w:val="en-GB"/>
        </w:rPr>
        <w:t xml:space="preserve">. SRD application spectrum access options (for sharing considerations) mentioned in the responses </w:t>
      </w:r>
      <w:proofErr w:type="gramStart"/>
      <w:r w:rsidRPr="00040BEC">
        <w:rPr>
          <w:rFonts w:cs="Arial"/>
          <w:i/>
          <w:szCs w:val="20"/>
          <w:lang w:val="en-GB"/>
        </w:rPr>
        <w:t>include</w:t>
      </w:r>
      <w:proofErr w:type="gramEnd"/>
      <w:r w:rsidRPr="00040BEC">
        <w:rPr>
          <w:rFonts w:cs="Arial"/>
          <w:i/>
          <w:szCs w:val="20"/>
          <w:lang w:val="en-GB"/>
        </w:rPr>
        <w:t xml:space="preserve"> low duty cycle and also LBT+AFA, DAA options. </w:t>
      </w:r>
    </w:p>
    <w:p w14:paraId="6552FD74" w14:textId="77777777" w:rsidR="00E2237B" w:rsidRPr="00040BEC" w:rsidRDefault="00E2237B" w:rsidP="00E2237B">
      <w:pPr>
        <w:ind w:left="644"/>
        <w:jc w:val="both"/>
        <w:rPr>
          <w:rFonts w:cs="Arial"/>
          <w:szCs w:val="20"/>
          <w:lang w:val="en-GB"/>
        </w:rPr>
      </w:pPr>
    </w:p>
    <w:p w14:paraId="3BD228BA" w14:textId="77777777" w:rsidR="00E2237B" w:rsidRPr="00040BEC" w:rsidRDefault="00E2237B" w:rsidP="00BE115C">
      <w:pPr>
        <w:numPr>
          <w:ilvl w:val="0"/>
          <w:numId w:val="47"/>
        </w:numPr>
        <w:spacing w:after="240"/>
        <w:ind w:left="284" w:hanging="284"/>
        <w:jc w:val="both"/>
        <w:rPr>
          <w:rFonts w:cs="Arial"/>
          <w:szCs w:val="20"/>
          <w:lang w:val="en-GB"/>
        </w:rPr>
      </w:pPr>
      <w:r w:rsidRPr="00040BEC">
        <w:rPr>
          <w:rFonts w:cs="Arial"/>
          <w:szCs w:val="20"/>
          <w:lang w:val="en-GB"/>
        </w:rPr>
        <w:t>PMSE and ad-hoc PPDR</w:t>
      </w:r>
    </w:p>
    <w:p w14:paraId="08713C65" w14:textId="77777777" w:rsidR="00E2237B" w:rsidRPr="00040BEC" w:rsidRDefault="00E2237B" w:rsidP="00E2237B">
      <w:pPr>
        <w:spacing w:after="240"/>
        <w:ind w:left="284"/>
        <w:jc w:val="both"/>
        <w:rPr>
          <w:rFonts w:cs="Arial"/>
          <w:szCs w:val="20"/>
          <w:lang w:val="en-GB"/>
        </w:rPr>
      </w:pPr>
      <w:r w:rsidRPr="00040BEC">
        <w:rPr>
          <w:rFonts w:cs="Arial"/>
          <w:szCs w:val="20"/>
          <w:lang w:val="en-GB"/>
        </w:rPr>
        <w:t xml:space="preserve">Two of the potential uses of the 1900-1920 MHz and 2010-2025 MHz frequency bands proposed for study in the EC Mandate are PMSE and ad-hoc PPDR. Both proposed uses of the band are to provide temporary links both fixed and mobile (incl. airborne such as video links from/to helicopters or unmanned air vehicles), where these frequency bands would be included in an extended harmonised tuning range for video cameras and video links. The proposal in the outline of the response to the Commission is that the same technical framework and same equipment </w:t>
      </w:r>
      <w:proofErr w:type="gramStart"/>
      <w:r w:rsidRPr="00040BEC">
        <w:rPr>
          <w:rFonts w:cs="Arial"/>
          <w:szCs w:val="20"/>
          <w:lang w:val="en-GB"/>
        </w:rPr>
        <w:t>can be used</w:t>
      </w:r>
      <w:proofErr w:type="gramEnd"/>
      <w:r w:rsidRPr="00040BEC">
        <w:rPr>
          <w:rFonts w:cs="Arial"/>
          <w:szCs w:val="20"/>
          <w:lang w:val="en-GB"/>
        </w:rPr>
        <w:t xml:space="preserve"> to meet the operational needs of both PMSE and PPDR users. </w:t>
      </w:r>
    </w:p>
    <w:p w14:paraId="7B26937A" w14:textId="77777777" w:rsidR="00E2237B" w:rsidRPr="00040BEC" w:rsidRDefault="00E2237B" w:rsidP="00E2237B">
      <w:pPr>
        <w:spacing w:after="240"/>
        <w:ind w:left="284"/>
        <w:jc w:val="both"/>
        <w:rPr>
          <w:rFonts w:cs="Arial"/>
          <w:b/>
          <w:szCs w:val="20"/>
          <w:lang w:val="en-GB"/>
        </w:rPr>
      </w:pPr>
      <w:r w:rsidRPr="00040BEC">
        <w:rPr>
          <w:rFonts w:cs="Arial"/>
          <w:b/>
          <w:szCs w:val="20"/>
          <w:lang w:val="en-GB"/>
        </w:rPr>
        <w:t xml:space="preserve">Do you agree that PMSE and ad-hoc PPDR show sufficient similarities to share the same technical framework to foster a more efficient use of spectrum and future innovation? </w:t>
      </w:r>
      <w:proofErr w:type="gramStart"/>
      <w:r w:rsidRPr="00040BEC">
        <w:rPr>
          <w:rFonts w:cs="Arial"/>
          <w:b/>
          <w:szCs w:val="20"/>
          <w:lang w:val="en-GB"/>
        </w:rPr>
        <w:t>(Yes/No).</w:t>
      </w:r>
      <w:proofErr w:type="gramEnd"/>
      <w:r w:rsidRPr="00040BEC">
        <w:rPr>
          <w:rFonts w:cs="Arial"/>
          <w:b/>
          <w:szCs w:val="20"/>
          <w:lang w:val="en-GB"/>
        </w:rPr>
        <w:t xml:space="preserve"> If not, please indicate why.</w:t>
      </w:r>
    </w:p>
    <w:p w14:paraId="11F4B6A5" w14:textId="77777777" w:rsidR="00E2237B" w:rsidRPr="00040BEC" w:rsidRDefault="00E2237B" w:rsidP="00E2237B">
      <w:pPr>
        <w:spacing w:after="240"/>
        <w:ind w:left="284"/>
        <w:jc w:val="both"/>
        <w:rPr>
          <w:rFonts w:cs="Arial"/>
          <w:i/>
          <w:szCs w:val="20"/>
          <w:lang w:val="en-GB"/>
        </w:rPr>
      </w:pPr>
      <w:r w:rsidRPr="00040BEC">
        <w:rPr>
          <w:rFonts w:cs="Arial"/>
          <w:i/>
          <w:szCs w:val="20"/>
          <w:lang w:val="en-GB"/>
        </w:rPr>
        <w:t xml:space="preserve">Two major concerns have been expressed concerning the PMSE/ ad-hoc PPDR sharing the same technical </w:t>
      </w:r>
      <w:proofErr w:type="gramStart"/>
      <w:r w:rsidRPr="00040BEC">
        <w:rPr>
          <w:rFonts w:cs="Arial"/>
          <w:i/>
          <w:szCs w:val="20"/>
          <w:lang w:val="en-GB"/>
        </w:rPr>
        <w:t>framework which</w:t>
      </w:r>
      <w:proofErr w:type="gramEnd"/>
      <w:r w:rsidRPr="00040BEC">
        <w:rPr>
          <w:rFonts w:cs="Arial"/>
          <w:i/>
          <w:szCs w:val="20"/>
          <w:lang w:val="en-GB"/>
        </w:rPr>
        <w:t xml:space="preserve"> seems to require additional discussions: </w:t>
      </w:r>
    </w:p>
    <w:p w14:paraId="740F8D36" w14:textId="77777777" w:rsidR="00E2237B" w:rsidRPr="00040BEC" w:rsidRDefault="00E2237B" w:rsidP="00BE115C">
      <w:pPr>
        <w:pStyle w:val="ListParagraph"/>
        <w:numPr>
          <w:ilvl w:val="0"/>
          <w:numId w:val="46"/>
        </w:numPr>
        <w:spacing w:after="240"/>
        <w:ind w:left="709" w:hanging="425"/>
        <w:jc w:val="both"/>
        <w:rPr>
          <w:rFonts w:cs="Arial"/>
          <w:i/>
          <w:szCs w:val="20"/>
          <w:lang w:val="en-GB"/>
        </w:rPr>
      </w:pPr>
      <w:r w:rsidRPr="00040BEC">
        <w:rPr>
          <w:rFonts w:cs="Arial"/>
          <w:i/>
          <w:szCs w:val="20"/>
          <w:lang w:val="en-GB"/>
        </w:rPr>
        <w:t xml:space="preserve">Several PMSE proponents indicated to support the categories/concept to use the same technical framework but also consider that PMSE/PPDR actual sharing might be difficult to achieve and coordination in certain situations (e.g. disaster spot) not being practicable. Others were more optimistic concerning this aspect and indicated that coordination and licensing conditions </w:t>
      </w:r>
      <w:proofErr w:type="gramStart"/>
      <w:r w:rsidRPr="00040BEC">
        <w:rPr>
          <w:rFonts w:cs="Arial"/>
          <w:i/>
          <w:szCs w:val="20"/>
          <w:lang w:val="en-GB"/>
        </w:rPr>
        <w:t>should be done</w:t>
      </w:r>
      <w:proofErr w:type="gramEnd"/>
      <w:r w:rsidRPr="00040BEC">
        <w:rPr>
          <w:rFonts w:cs="Arial"/>
          <w:i/>
          <w:szCs w:val="20"/>
          <w:lang w:val="en-GB"/>
        </w:rPr>
        <w:t xml:space="preserve"> on a national level. </w:t>
      </w:r>
    </w:p>
    <w:p w14:paraId="13A95671" w14:textId="77777777" w:rsidR="00E2237B" w:rsidRPr="00040BEC" w:rsidRDefault="00E2237B" w:rsidP="00BE115C">
      <w:pPr>
        <w:pStyle w:val="ListParagraph"/>
        <w:numPr>
          <w:ilvl w:val="0"/>
          <w:numId w:val="46"/>
        </w:numPr>
        <w:spacing w:after="240"/>
        <w:ind w:left="709" w:hanging="425"/>
        <w:jc w:val="both"/>
        <w:rPr>
          <w:rFonts w:cs="Arial"/>
          <w:i/>
          <w:szCs w:val="20"/>
          <w:lang w:val="en-GB"/>
        </w:rPr>
      </w:pPr>
      <w:r w:rsidRPr="00040BEC">
        <w:rPr>
          <w:rFonts w:cs="Arial"/>
          <w:i/>
          <w:szCs w:val="20"/>
          <w:lang w:val="en-GB"/>
        </w:rPr>
        <w:t xml:space="preserve">The need for more information, to support the on-going compatibility studies </w:t>
      </w:r>
      <w:proofErr w:type="gramStart"/>
      <w:r w:rsidRPr="00040BEC">
        <w:rPr>
          <w:rFonts w:cs="Arial"/>
          <w:i/>
          <w:szCs w:val="20"/>
          <w:lang w:val="en-GB"/>
        </w:rPr>
        <w:t>and also</w:t>
      </w:r>
      <w:proofErr w:type="gramEnd"/>
      <w:r w:rsidRPr="00040BEC">
        <w:rPr>
          <w:rFonts w:cs="Arial"/>
          <w:i/>
          <w:szCs w:val="20"/>
          <w:lang w:val="en-GB"/>
        </w:rPr>
        <w:t xml:space="preserve"> to clarify the precise PMSE/PPDR synergies was indicated. This may include DVB-T vs LTE considerations, 1-way/2-way communication needs and that PPDR does not only include video applications.</w:t>
      </w:r>
    </w:p>
    <w:p w14:paraId="6265F069" w14:textId="77777777" w:rsidR="00E2237B" w:rsidRPr="00040BEC" w:rsidRDefault="00E2237B" w:rsidP="00E2237B">
      <w:pPr>
        <w:pStyle w:val="ListParagraph"/>
        <w:ind w:left="644"/>
        <w:jc w:val="both"/>
        <w:rPr>
          <w:rFonts w:cs="Arial"/>
          <w:szCs w:val="20"/>
          <w:lang w:val="en-GB"/>
        </w:rPr>
      </w:pPr>
    </w:p>
    <w:p w14:paraId="7BC4D14B" w14:textId="77777777" w:rsidR="00E2237B" w:rsidRPr="00040BEC" w:rsidRDefault="00E2237B" w:rsidP="00E2237B">
      <w:pPr>
        <w:rPr>
          <w:rFonts w:cs="Arial"/>
          <w:szCs w:val="20"/>
          <w:lang w:val="en-GB"/>
        </w:rPr>
      </w:pPr>
    </w:p>
    <w:p w14:paraId="489E32B1" w14:textId="77777777" w:rsidR="00E2237B" w:rsidRPr="00040BEC" w:rsidRDefault="00E2237B" w:rsidP="007A74CA">
      <w:pPr>
        <w:keepNext/>
        <w:autoSpaceDE w:val="0"/>
        <w:autoSpaceDN w:val="0"/>
        <w:adjustRightInd w:val="0"/>
        <w:spacing w:after="240"/>
        <w:jc w:val="both"/>
        <w:rPr>
          <w:b/>
          <w:lang w:val="en-GB"/>
        </w:rPr>
      </w:pPr>
      <w:r w:rsidRPr="00040BEC">
        <w:rPr>
          <w:b/>
          <w:lang w:val="en-GB"/>
        </w:rPr>
        <w:lastRenderedPageBreak/>
        <w:t>Other uses suggested in the aim of the Call for Inputs</w:t>
      </w:r>
    </w:p>
    <w:p w14:paraId="780B814C" w14:textId="77777777" w:rsidR="00E2237B" w:rsidRPr="00040BEC" w:rsidRDefault="00E2237B" w:rsidP="007A74CA">
      <w:pPr>
        <w:keepNext/>
        <w:jc w:val="both"/>
        <w:rPr>
          <w:color w:val="000000" w:themeColor="text1"/>
          <w:lang w:val="en-GB"/>
        </w:rPr>
      </w:pPr>
      <w:r w:rsidRPr="00040BEC">
        <w:rPr>
          <w:color w:val="000000" w:themeColor="text1"/>
          <w:lang w:val="en-GB"/>
        </w:rPr>
        <w:t xml:space="preserve">About </w:t>
      </w:r>
      <w:r w:rsidRPr="00040BEC">
        <w:rPr>
          <w:b/>
          <w:color w:val="000000" w:themeColor="text1"/>
          <w:lang w:val="en-GB"/>
        </w:rPr>
        <w:t>other uses</w:t>
      </w:r>
      <w:r w:rsidRPr="00040BEC">
        <w:rPr>
          <w:color w:val="000000" w:themeColor="text1"/>
          <w:lang w:val="en-GB"/>
        </w:rPr>
        <w:t xml:space="preserve"> brought up in the Call for Inputs, the following is noted:</w:t>
      </w:r>
    </w:p>
    <w:p w14:paraId="6C6C2802" w14:textId="77777777" w:rsidR="00E2237B" w:rsidRPr="00040BEC" w:rsidRDefault="00E2237B" w:rsidP="007A74CA">
      <w:pPr>
        <w:keepNext/>
        <w:jc w:val="both"/>
        <w:rPr>
          <w:color w:val="000000" w:themeColor="text1"/>
          <w:lang w:val="en-GB"/>
        </w:rPr>
      </w:pPr>
    </w:p>
    <w:p w14:paraId="0C47C80B" w14:textId="77777777" w:rsidR="00E2237B" w:rsidRPr="00040BEC" w:rsidRDefault="00E2237B" w:rsidP="00BE115C">
      <w:pPr>
        <w:pStyle w:val="ListParagraph"/>
        <w:keepNext/>
        <w:numPr>
          <w:ilvl w:val="0"/>
          <w:numId w:val="34"/>
        </w:numPr>
        <w:spacing w:after="100" w:line="264" w:lineRule="auto"/>
        <w:jc w:val="both"/>
        <w:rPr>
          <w:rFonts w:cs="Arial"/>
          <w:color w:val="000000"/>
          <w:szCs w:val="20"/>
          <w:lang w:val="en-GB"/>
        </w:rPr>
      </w:pPr>
      <w:r w:rsidRPr="00040BEC">
        <w:rPr>
          <w:rFonts w:cs="Arial"/>
          <w:i/>
          <w:color w:val="000000"/>
          <w:szCs w:val="20"/>
          <w:lang w:val="en-GB"/>
        </w:rPr>
        <w:t>MOBILE</w:t>
      </w:r>
      <w:r w:rsidRPr="00040BEC">
        <w:rPr>
          <w:rFonts w:cs="Arial"/>
          <w:color w:val="000000"/>
          <w:szCs w:val="20"/>
          <w:lang w:val="en-GB"/>
        </w:rPr>
        <w:t xml:space="preserve">: </w:t>
      </w:r>
    </w:p>
    <w:p w14:paraId="38D21674" w14:textId="77777777" w:rsidR="00E2237B" w:rsidRPr="00040BEC" w:rsidRDefault="00E2237B" w:rsidP="007A74CA">
      <w:pPr>
        <w:pStyle w:val="ListParagraph"/>
        <w:keepNext/>
        <w:spacing w:after="100" w:line="264" w:lineRule="auto"/>
        <w:jc w:val="both"/>
        <w:rPr>
          <w:lang w:val="en-GB"/>
        </w:rPr>
      </w:pPr>
    </w:p>
    <w:p w14:paraId="6EB42C6A" w14:textId="77777777" w:rsidR="00E2237B" w:rsidRPr="00040BEC" w:rsidRDefault="00E2237B" w:rsidP="00E2237B">
      <w:pPr>
        <w:pStyle w:val="ListParagraph"/>
        <w:spacing w:after="100" w:line="264" w:lineRule="auto"/>
        <w:jc w:val="both"/>
        <w:rPr>
          <w:lang w:val="en-GB"/>
        </w:rPr>
      </w:pPr>
      <w:r w:rsidRPr="00040BEC">
        <w:rPr>
          <w:lang w:val="en-GB"/>
        </w:rPr>
        <w:t xml:space="preserve">In one contribution from three mobile operators, the desire to maintain the current allocation of the unpaired terrestrial 2 GHz bands to the mobile network operators </w:t>
      </w:r>
      <w:proofErr w:type="gramStart"/>
      <w:r w:rsidRPr="00040BEC">
        <w:rPr>
          <w:lang w:val="en-GB"/>
        </w:rPr>
        <w:t>is expressed</w:t>
      </w:r>
      <w:proofErr w:type="gramEnd"/>
      <w:r w:rsidRPr="00040BEC">
        <w:rPr>
          <w:lang w:val="en-GB"/>
        </w:rPr>
        <w:t xml:space="preserve"> as one of the possible alternatives. This usage concept brought forward by the three operators </w:t>
      </w:r>
      <w:proofErr w:type="gramStart"/>
      <w:r w:rsidRPr="00040BEC">
        <w:rPr>
          <w:lang w:val="en-GB"/>
        </w:rPr>
        <w:t>is meant</w:t>
      </w:r>
      <w:proofErr w:type="gramEnd"/>
      <w:r w:rsidRPr="00040BEC">
        <w:rPr>
          <w:lang w:val="en-GB"/>
        </w:rPr>
        <w:t xml:space="preserve"> to include TDD-FDD aggregation on hotspots and M2M applications. In addition, the three operators are of the view that each potential harmonised use in the shortlist </w:t>
      </w:r>
      <w:proofErr w:type="gramStart"/>
      <w:r w:rsidRPr="00040BEC">
        <w:rPr>
          <w:lang w:val="en-GB"/>
        </w:rPr>
        <w:t>should be assessed</w:t>
      </w:r>
      <w:proofErr w:type="gramEnd"/>
      <w:r w:rsidRPr="00040BEC">
        <w:rPr>
          <w:lang w:val="en-GB"/>
        </w:rPr>
        <w:t xml:space="preserve"> against the use of the unpaired 2GHz bands for TDD-FDD aggregation on hotspots and for M2M. </w:t>
      </w:r>
    </w:p>
    <w:p w14:paraId="1118DB44" w14:textId="77777777" w:rsidR="00E2237B" w:rsidRPr="00040BEC" w:rsidRDefault="00E2237B" w:rsidP="00E2237B">
      <w:pPr>
        <w:pStyle w:val="ListParagraph"/>
        <w:spacing w:after="100" w:line="264" w:lineRule="auto"/>
        <w:jc w:val="both"/>
        <w:rPr>
          <w:lang w:val="en-GB"/>
        </w:rPr>
      </w:pPr>
    </w:p>
    <w:p w14:paraId="01A083D1" w14:textId="77777777" w:rsidR="00E2237B" w:rsidRPr="00040BEC" w:rsidRDefault="00E2237B" w:rsidP="00E2237B">
      <w:pPr>
        <w:pStyle w:val="ListParagraph"/>
        <w:spacing w:after="100" w:line="264" w:lineRule="auto"/>
        <w:jc w:val="both"/>
        <w:rPr>
          <w:lang w:val="en-GB"/>
        </w:rPr>
      </w:pPr>
      <w:r w:rsidRPr="00040BEC">
        <w:rPr>
          <w:lang w:val="en-GB"/>
        </w:rPr>
        <w:t xml:space="preserve">On the other hand, it has to </w:t>
      </w:r>
      <w:proofErr w:type="gramStart"/>
      <w:r w:rsidRPr="00040BEC">
        <w:rPr>
          <w:lang w:val="en-GB"/>
        </w:rPr>
        <w:t>be noted</w:t>
      </w:r>
      <w:proofErr w:type="gramEnd"/>
      <w:r w:rsidRPr="00040BEC">
        <w:rPr>
          <w:lang w:val="en-GB"/>
        </w:rPr>
        <w:t xml:space="preserve"> that the purpose of the Mandate on the “Unpaired terrestrial 2 GHz bands” is to assess and identify alternative uses of the unpaired terrestrial 2 GHz band other than for the provision of mobile electronic communications services. Consequently, apart from the arguments presented, this option </w:t>
      </w:r>
      <w:proofErr w:type="gramStart"/>
      <w:r w:rsidRPr="00040BEC">
        <w:rPr>
          <w:lang w:val="en-GB"/>
        </w:rPr>
        <w:t>was considered</w:t>
      </w:r>
      <w:proofErr w:type="gramEnd"/>
      <w:r w:rsidRPr="00040BEC">
        <w:rPr>
          <w:lang w:val="en-GB"/>
        </w:rPr>
        <w:t xml:space="preserve"> to be out of the scope of this Mandate.</w:t>
      </w:r>
    </w:p>
    <w:p w14:paraId="05EDA0AD" w14:textId="77777777" w:rsidR="00E2237B" w:rsidRPr="00040BEC" w:rsidRDefault="00E2237B" w:rsidP="00E2237B">
      <w:pPr>
        <w:pStyle w:val="ListParagraph"/>
        <w:spacing w:after="100" w:line="264" w:lineRule="auto"/>
        <w:jc w:val="both"/>
        <w:rPr>
          <w:rFonts w:cs="Arial"/>
          <w:color w:val="000000"/>
          <w:szCs w:val="20"/>
          <w:highlight w:val="yellow"/>
          <w:lang w:val="en-GB"/>
        </w:rPr>
      </w:pPr>
    </w:p>
    <w:p w14:paraId="0839C5B9" w14:textId="77777777" w:rsidR="00E2237B" w:rsidRPr="00040BEC" w:rsidRDefault="00E2237B" w:rsidP="00BE115C">
      <w:pPr>
        <w:pStyle w:val="ListParagraph"/>
        <w:numPr>
          <w:ilvl w:val="0"/>
          <w:numId w:val="34"/>
        </w:numPr>
        <w:spacing w:after="100" w:line="264" w:lineRule="auto"/>
        <w:jc w:val="both"/>
        <w:rPr>
          <w:rFonts w:cs="Arial"/>
          <w:color w:val="000000"/>
          <w:szCs w:val="20"/>
          <w:lang w:val="en-GB"/>
        </w:rPr>
      </w:pPr>
      <w:r w:rsidRPr="00040BEC">
        <w:rPr>
          <w:rFonts w:cs="Arial"/>
          <w:i/>
          <w:color w:val="000000"/>
          <w:szCs w:val="20"/>
          <w:lang w:val="en-GB"/>
        </w:rPr>
        <w:t>AMATEUR (SATELLITE)</w:t>
      </w:r>
      <w:r w:rsidRPr="00040BEC">
        <w:rPr>
          <w:rFonts w:cs="Arial"/>
          <w:color w:val="000000"/>
          <w:szCs w:val="20"/>
          <w:lang w:val="en-GB"/>
        </w:rPr>
        <w:t>:</w:t>
      </w:r>
    </w:p>
    <w:p w14:paraId="2B630403" w14:textId="77777777" w:rsidR="00E2237B" w:rsidRPr="00040BEC" w:rsidRDefault="00E2237B" w:rsidP="00E2237B">
      <w:pPr>
        <w:pStyle w:val="ListParagraph"/>
        <w:spacing w:after="100" w:line="264" w:lineRule="auto"/>
        <w:jc w:val="both"/>
        <w:rPr>
          <w:lang w:val="en-GB"/>
        </w:rPr>
      </w:pPr>
    </w:p>
    <w:p w14:paraId="109DAB56" w14:textId="77777777" w:rsidR="00E2237B" w:rsidRPr="00040BEC" w:rsidRDefault="00E2237B" w:rsidP="00E2237B">
      <w:pPr>
        <w:pStyle w:val="ListParagraph"/>
        <w:spacing w:after="100" w:line="264" w:lineRule="auto"/>
        <w:jc w:val="both"/>
        <w:rPr>
          <w:lang w:val="en-GB"/>
        </w:rPr>
      </w:pPr>
      <w:r w:rsidRPr="00040BEC">
        <w:rPr>
          <w:lang w:val="en-GB"/>
        </w:rPr>
        <w:t>A proposal to consider the amateur (satellite) service use in the unpaired bands for cognitive radio experiments under controlled conditions was presented, under the argument that frequency use for the radio amateur service is currently under pressure.</w:t>
      </w:r>
    </w:p>
    <w:p w14:paraId="0BC2A96F" w14:textId="77777777" w:rsidR="00E2237B" w:rsidRPr="00040BEC" w:rsidRDefault="00E2237B" w:rsidP="00E2237B">
      <w:pPr>
        <w:pStyle w:val="ListParagraph"/>
        <w:spacing w:after="100" w:line="264" w:lineRule="auto"/>
        <w:jc w:val="both"/>
        <w:rPr>
          <w:lang w:val="en-GB"/>
        </w:rPr>
      </w:pPr>
    </w:p>
    <w:p w14:paraId="45EABABA" w14:textId="77777777" w:rsidR="00E2237B" w:rsidRPr="00040BEC" w:rsidRDefault="00E2237B" w:rsidP="00E2237B">
      <w:pPr>
        <w:pStyle w:val="ListParagraph"/>
        <w:spacing w:after="100" w:line="264" w:lineRule="auto"/>
        <w:jc w:val="both"/>
        <w:rPr>
          <w:lang w:val="en-GB"/>
        </w:rPr>
      </w:pPr>
      <w:r w:rsidRPr="00040BEC">
        <w:rPr>
          <w:lang w:val="en-GB"/>
        </w:rPr>
        <w:t xml:space="preserve">It </w:t>
      </w:r>
      <w:proofErr w:type="gramStart"/>
      <w:r w:rsidRPr="00040BEC">
        <w:rPr>
          <w:lang w:val="en-GB"/>
        </w:rPr>
        <w:t>can be seen</w:t>
      </w:r>
      <w:proofErr w:type="gramEnd"/>
      <w:r w:rsidRPr="00040BEC">
        <w:rPr>
          <w:lang w:val="en-GB"/>
        </w:rPr>
        <w:t xml:space="preserve"> from the RR Article 5 and the ECA Table that the amateur-satellite service always follows an amateur service allocation. As no amateur service allocation exists </w:t>
      </w:r>
      <w:proofErr w:type="gramStart"/>
      <w:r w:rsidRPr="00040BEC">
        <w:rPr>
          <w:lang w:val="en-GB"/>
        </w:rPr>
        <w:t>at the moment</w:t>
      </w:r>
      <w:proofErr w:type="gramEnd"/>
      <w:r w:rsidRPr="00040BEC">
        <w:rPr>
          <w:lang w:val="en-GB"/>
        </w:rPr>
        <w:t xml:space="preserve"> for the 2 GHz Unpaired Bands, it may be a long process to introduce such an allocation. Therefore, any activity within CEPT on this matter is considered to need sufficient support and a clear description of the demand, </w:t>
      </w:r>
      <w:proofErr w:type="gramStart"/>
      <w:r w:rsidRPr="00040BEC">
        <w:rPr>
          <w:lang w:val="en-GB"/>
        </w:rPr>
        <w:t>so as to</w:t>
      </w:r>
      <w:proofErr w:type="gramEnd"/>
      <w:r w:rsidRPr="00040BEC">
        <w:rPr>
          <w:lang w:val="en-GB"/>
        </w:rPr>
        <w:t xml:space="preserve"> conduct all necessary studies. It is as well to note that amateur-satellite service allocations already exist for the bands 1260-1270 MHz and 2400-2450 MHz, therefore it is suggested not to consider the proposed amateur-satellite usage in the 2 GHz Unpaired Bands.</w:t>
      </w:r>
    </w:p>
    <w:p w14:paraId="590A3C46" w14:textId="77777777" w:rsidR="00512C73" w:rsidRPr="00040BEC" w:rsidRDefault="00B63017" w:rsidP="00176CF0">
      <w:pPr>
        <w:pStyle w:val="ECCAnnexheading1"/>
        <w:rPr>
          <w:sz w:val="16"/>
        </w:rPr>
      </w:pPr>
      <w:bookmarkStart w:id="154" w:name="_Toc396904025"/>
      <w:bookmarkStart w:id="155" w:name="_Toc445129337"/>
      <w:r w:rsidRPr="00040BEC">
        <w:lastRenderedPageBreak/>
        <w:t>Current authorisations in the bands 1900-1920 MH</w:t>
      </w:r>
      <w:r w:rsidRPr="00040BEC">
        <w:rPr>
          <w:sz w:val="16"/>
        </w:rPr>
        <w:t>z</w:t>
      </w:r>
      <w:r w:rsidRPr="00040BEC">
        <w:t xml:space="preserve"> / 2010-2025 MH</w:t>
      </w:r>
      <w:r w:rsidRPr="00040BEC">
        <w:rPr>
          <w:sz w:val="16"/>
        </w:rPr>
        <w:t>z</w:t>
      </w:r>
      <w:bookmarkEnd w:id="154"/>
      <w:bookmarkEnd w:id="155"/>
    </w:p>
    <w:p w14:paraId="78B726F0" w14:textId="5E8395C5" w:rsidR="00B63017" w:rsidRPr="00040BEC" w:rsidRDefault="00E2014B" w:rsidP="00B63017">
      <w:pPr>
        <w:rPr>
          <w:lang w:val="en-GB"/>
        </w:rPr>
      </w:pPr>
      <w:r w:rsidRPr="00040BEC">
        <w:rPr>
          <w:lang w:val="en-GB"/>
        </w:rPr>
        <w:t xml:space="preserve">ECO Report </w:t>
      </w:r>
      <w:r w:rsidR="00B63017" w:rsidRPr="00040BEC">
        <w:rPr>
          <w:lang w:val="en-GB"/>
        </w:rPr>
        <w:t xml:space="preserve">03 </w:t>
      </w:r>
      <w:r w:rsidR="000A5980" w:rsidRPr="00040BEC">
        <w:rPr>
          <w:lang w:val="en-GB"/>
        </w:rPr>
        <w:fldChar w:fldCharType="begin"/>
      </w:r>
      <w:r w:rsidR="00B63017" w:rsidRPr="00040BEC">
        <w:rPr>
          <w:lang w:val="en-GB"/>
        </w:rPr>
        <w:instrText xml:space="preserve"> REF _Ref356388747 \n \h </w:instrText>
      </w:r>
      <w:r w:rsidR="000A5980" w:rsidRPr="00040BEC">
        <w:rPr>
          <w:lang w:val="en-GB"/>
        </w:rPr>
      </w:r>
      <w:r w:rsidR="000A5980" w:rsidRPr="00040BEC">
        <w:rPr>
          <w:lang w:val="en-GB"/>
        </w:rPr>
        <w:fldChar w:fldCharType="separate"/>
      </w:r>
      <w:r w:rsidR="002327BB">
        <w:rPr>
          <w:lang w:val="en-GB"/>
        </w:rPr>
        <w:t>[9]</w:t>
      </w:r>
      <w:r w:rsidR="000A5980" w:rsidRPr="00040BEC">
        <w:rPr>
          <w:lang w:val="en-GB"/>
        </w:rPr>
        <w:fldChar w:fldCharType="end"/>
      </w:r>
      <w:r w:rsidR="00B63017" w:rsidRPr="00040BEC">
        <w:rPr>
          <w:lang w:val="en-GB"/>
        </w:rPr>
        <w:t xml:space="preserve"> on the licensing of mobile bands in CEPT includes in the version from </w:t>
      </w:r>
      <w:r w:rsidR="00E46336" w:rsidRPr="00040BEC">
        <w:rPr>
          <w:lang w:val="en-GB"/>
        </w:rPr>
        <w:t>4 June 2014 t</w:t>
      </w:r>
      <w:r w:rsidR="00B63017" w:rsidRPr="00040BEC">
        <w:rPr>
          <w:lang w:val="en-GB"/>
        </w:rPr>
        <w:t>he following information (information update indicated in brackets)</w:t>
      </w:r>
      <w:r w:rsidR="001243CA" w:rsidRPr="00040BEC">
        <w:rPr>
          <w:lang w:val="en-GB"/>
        </w:rPr>
        <w:t>; complemented by the information recently received by ECO until 17 February 2015</w:t>
      </w:r>
      <w:r w:rsidR="00B63017" w:rsidRPr="00040BEC">
        <w:rPr>
          <w:lang w:val="en-GB"/>
        </w:rPr>
        <w:t>:</w:t>
      </w:r>
    </w:p>
    <w:p w14:paraId="179E73C5" w14:textId="5D04A0B7" w:rsidR="00E46336" w:rsidRPr="00F828D7" w:rsidRDefault="00E46336" w:rsidP="00F828D7">
      <w:pPr>
        <w:numPr>
          <w:ilvl w:val="0"/>
          <w:numId w:val="17"/>
        </w:numPr>
        <w:suppressAutoHyphens/>
        <w:overflowPunct w:val="0"/>
        <w:autoSpaceDE w:val="0"/>
        <w:autoSpaceDN w:val="0"/>
        <w:adjustRightInd w:val="0"/>
        <w:spacing w:before="240" w:after="120"/>
        <w:ind w:left="567" w:hanging="567"/>
        <w:textAlignment w:val="baseline"/>
        <w:rPr>
          <w:rFonts w:cs="Arial"/>
          <w:b/>
          <w:bCs/>
          <w:szCs w:val="20"/>
          <w:lang w:val="en-GB" w:eastAsia="en-IE"/>
        </w:rPr>
      </w:pPr>
      <w:r w:rsidRPr="00F828D7">
        <w:rPr>
          <w:rFonts w:cs="Arial"/>
          <w:b/>
          <w:bCs/>
          <w:szCs w:val="20"/>
          <w:lang w:val="en-GB" w:eastAsia="en-IE"/>
        </w:rPr>
        <w:t>Andorra (January 201</w:t>
      </w:r>
      <w:r w:rsidR="001243CA" w:rsidRPr="00F828D7">
        <w:rPr>
          <w:rFonts w:cs="Arial"/>
          <w:b/>
          <w:bCs/>
          <w:szCs w:val="20"/>
          <w:lang w:val="en-GB" w:eastAsia="en-IE"/>
        </w:rPr>
        <w:t>5</w:t>
      </w:r>
      <w:r w:rsidRPr="00F828D7">
        <w:rPr>
          <w:rFonts w:cs="Arial"/>
          <w:b/>
          <w:bCs/>
          <w:szCs w:val="20"/>
          <w:lang w:val="en-GB" w:eastAsia="en-IE"/>
        </w:rPr>
        <w:t>)</w:t>
      </w:r>
    </w:p>
    <w:p w14:paraId="13388001" w14:textId="77777777" w:rsidR="00E46336" w:rsidRDefault="00E46336" w:rsidP="00E46336">
      <w:pPr>
        <w:overflowPunct w:val="0"/>
        <w:autoSpaceDE w:val="0"/>
        <w:autoSpaceDN w:val="0"/>
        <w:adjustRightInd w:val="0"/>
        <w:jc w:val="center"/>
        <w:textAlignment w:val="baseline"/>
        <w:rPr>
          <w:rFonts w:cs="Arial"/>
          <w:b/>
          <w:szCs w:val="20"/>
          <w:lang w:val="en-GB" w:eastAsia="nl-NL"/>
        </w:rPr>
      </w:pPr>
      <w:r w:rsidRPr="00F828D7">
        <w:rPr>
          <w:rFonts w:cs="Arial"/>
          <w:b/>
          <w:szCs w:val="20"/>
          <w:lang w:val="en-GB" w:eastAsia="nl-NL"/>
        </w:rPr>
        <w:t>1900-1920 MHz (unpaired frequency arrangement)</w:t>
      </w: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43"/>
        <w:gridCol w:w="2410"/>
        <w:gridCol w:w="2126"/>
        <w:gridCol w:w="2410"/>
      </w:tblGrid>
      <w:tr w:rsidR="00F828D7" w:rsidRPr="00040BEC" w14:paraId="1509A65E" w14:textId="77777777" w:rsidTr="004C6A33">
        <w:trPr>
          <w:trHeight w:val="435"/>
        </w:trPr>
        <w:tc>
          <w:tcPr>
            <w:tcW w:w="2943" w:type="dxa"/>
            <w:vAlign w:val="center"/>
          </w:tcPr>
          <w:p w14:paraId="748E8C1F" w14:textId="77777777" w:rsidR="00F828D7" w:rsidRPr="00040BEC" w:rsidRDefault="00F828D7" w:rsidP="004C6A33">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Operator</w:t>
            </w:r>
          </w:p>
        </w:tc>
        <w:tc>
          <w:tcPr>
            <w:tcW w:w="2410" w:type="dxa"/>
            <w:vAlign w:val="center"/>
          </w:tcPr>
          <w:p w14:paraId="1BA26A63" w14:textId="4C24CC19" w:rsidR="00F828D7" w:rsidRPr="00040BEC" w:rsidRDefault="00F828D7" w:rsidP="00F828D7">
            <w:pPr>
              <w:overflowPunct w:val="0"/>
              <w:autoSpaceDE w:val="0"/>
              <w:autoSpaceDN w:val="0"/>
              <w:adjustRightInd w:val="0"/>
              <w:jc w:val="center"/>
              <w:textAlignment w:val="baseline"/>
              <w:rPr>
                <w:rFonts w:cs="Arial"/>
                <w:b/>
                <w:szCs w:val="20"/>
                <w:lang w:val="en-GB" w:eastAsia="nl-NL"/>
              </w:rPr>
            </w:pPr>
            <w:r>
              <w:rPr>
                <w:rFonts w:cs="Arial"/>
                <w:b/>
                <w:szCs w:val="20"/>
                <w:lang w:val="en-GB" w:eastAsia="nl-NL"/>
              </w:rPr>
              <w:t>Frequencies</w:t>
            </w:r>
          </w:p>
        </w:tc>
        <w:tc>
          <w:tcPr>
            <w:tcW w:w="2126" w:type="dxa"/>
            <w:vAlign w:val="center"/>
          </w:tcPr>
          <w:p w14:paraId="40D82BCF" w14:textId="77777777" w:rsidR="00F828D7" w:rsidRPr="00040BEC" w:rsidRDefault="00F828D7" w:rsidP="004C6A33">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Technology in use (optional)</w:t>
            </w:r>
          </w:p>
        </w:tc>
        <w:tc>
          <w:tcPr>
            <w:tcW w:w="2410" w:type="dxa"/>
            <w:vAlign w:val="center"/>
          </w:tcPr>
          <w:p w14:paraId="401587DB" w14:textId="77777777" w:rsidR="00F828D7" w:rsidRPr="00040BEC" w:rsidRDefault="00F828D7" w:rsidP="004C6A33">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Licence duration, tradability</w:t>
            </w:r>
          </w:p>
        </w:tc>
      </w:tr>
      <w:tr w:rsidR="00F828D7" w:rsidRPr="00040BEC" w14:paraId="459E1727" w14:textId="77777777" w:rsidTr="004C6A33">
        <w:trPr>
          <w:trHeight w:val="448"/>
        </w:trPr>
        <w:tc>
          <w:tcPr>
            <w:tcW w:w="2943" w:type="dxa"/>
          </w:tcPr>
          <w:p w14:paraId="2E401467" w14:textId="201B9880" w:rsidR="00F828D7" w:rsidRPr="00040BEC" w:rsidRDefault="00F828D7" w:rsidP="004C6A33">
            <w:pPr>
              <w:overflowPunct w:val="0"/>
              <w:autoSpaceDE w:val="0"/>
              <w:autoSpaceDN w:val="0"/>
              <w:adjustRightInd w:val="0"/>
              <w:textAlignment w:val="baseline"/>
              <w:rPr>
                <w:rFonts w:cs="Arial"/>
                <w:bCs/>
                <w:szCs w:val="20"/>
                <w:lang w:val="en-GB" w:eastAsia="nl-NL"/>
              </w:rPr>
            </w:pPr>
            <w:r w:rsidRPr="00F828D7">
              <w:rPr>
                <w:rFonts w:cs="Arial"/>
                <w:szCs w:val="20"/>
                <w:lang w:val="en-GB" w:eastAsia="nl-NL"/>
              </w:rPr>
              <w:t>vacant</w:t>
            </w:r>
          </w:p>
        </w:tc>
        <w:tc>
          <w:tcPr>
            <w:tcW w:w="2410" w:type="dxa"/>
          </w:tcPr>
          <w:p w14:paraId="6D92D1FE" w14:textId="77777777" w:rsidR="00F828D7" w:rsidRPr="00F828D7" w:rsidRDefault="00F828D7" w:rsidP="00F828D7">
            <w:pPr>
              <w:overflowPunct w:val="0"/>
              <w:autoSpaceDE w:val="0"/>
              <w:autoSpaceDN w:val="0"/>
              <w:adjustRightInd w:val="0"/>
              <w:textAlignment w:val="baseline"/>
              <w:rPr>
                <w:rFonts w:cs="Arial"/>
                <w:noProof/>
                <w:szCs w:val="20"/>
                <w:lang w:val="en-GB" w:eastAsia="nl-NL"/>
              </w:rPr>
            </w:pPr>
            <w:r w:rsidRPr="00F828D7">
              <w:rPr>
                <w:rFonts w:cs="Arial"/>
                <w:noProof/>
                <w:szCs w:val="20"/>
                <w:lang w:val="en-GB" w:eastAsia="nl-NL"/>
              </w:rPr>
              <w:t>1900-1920 MHz</w:t>
            </w:r>
          </w:p>
          <w:p w14:paraId="6B5B8C5B" w14:textId="348EFB87" w:rsidR="00F828D7" w:rsidRPr="00040BEC" w:rsidRDefault="00F828D7" w:rsidP="00F828D7">
            <w:pPr>
              <w:overflowPunct w:val="0"/>
              <w:autoSpaceDE w:val="0"/>
              <w:autoSpaceDN w:val="0"/>
              <w:adjustRightInd w:val="0"/>
              <w:textAlignment w:val="baseline"/>
              <w:rPr>
                <w:rFonts w:cs="Arial"/>
                <w:szCs w:val="20"/>
                <w:lang w:val="en-GB" w:eastAsia="nl-NL"/>
              </w:rPr>
            </w:pPr>
            <w:r w:rsidRPr="00F828D7">
              <w:rPr>
                <w:rFonts w:cs="Arial"/>
                <w:noProof/>
                <w:szCs w:val="20"/>
                <w:lang w:val="en-GB" w:eastAsia="nl-NL"/>
              </w:rPr>
              <w:t>2010-2025 MHz</w:t>
            </w:r>
          </w:p>
        </w:tc>
        <w:tc>
          <w:tcPr>
            <w:tcW w:w="2126" w:type="dxa"/>
          </w:tcPr>
          <w:p w14:paraId="32247034" w14:textId="77777777" w:rsidR="00F828D7" w:rsidRPr="00040BEC" w:rsidRDefault="00F828D7" w:rsidP="004C6A33">
            <w:pPr>
              <w:overflowPunct w:val="0"/>
              <w:autoSpaceDE w:val="0"/>
              <w:autoSpaceDN w:val="0"/>
              <w:adjustRightInd w:val="0"/>
              <w:textAlignment w:val="baseline"/>
              <w:rPr>
                <w:rFonts w:cs="Arial"/>
                <w:bCs/>
                <w:szCs w:val="20"/>
                <w:lang w:val="en-GB" w:eastAsia="nl-NL"/>
              </w:rPr>
            </w:pPr>
          </w:p>
        </w:tc>
        <w:tc>
          <w:tcPr>
            <w:tcW w:w="2410" w:type="dxa"/>
          </w:tcPr>
          <w:p w14:paraId="5324CB75" w14:textId="6C54466D" w:rsidR="00F828D7" w:rsidRPr="00040BEC" w:rsidRDefault="00F828D7" w:rsidP="004C6A33">
            <w:pPr>
              <w:overflowPunct w:val="0"/>
              <w:autoSpaceDE w:val="0"/>
              <w:autoSpaceDN w:val="0"/>
              <w:adjustRightInd w:val="0"/>
              <w:textAlignment w:val="baseline"/>
              <w:rPr>
                <w:rFonts w:cs="Arial"/>
                <w:szCs w:val="20"/>
                <w:lang w:val="en-GB" w:eastAsia="nl-NL"/>
              </w:rPr>
            </w:pPr>
          </w:p>
        </w:tc>
      </w:tr>
    </w:tbl>
    <w:p w14:paraId="5F7382D1" w14:textId="77777777" w:rsidR="00E46336" w:rsidRPr="00040BEC" w:rsidRDefault="00E46336" w:rsidP="00E46336">
      <w:pPr>
        <w:suppressAutoHyphens/>
        <w:overflowPunct w:val="0"/>
        <w:autoSpaceDE w:val="0"/>
        <w:autoSpaceDN w:val="0"/>
        <w:adjustRightInd w:val="0"/>
        <w:textAlignment w:val="baseline"/>
        <w:rPr>
          <w:rFonts w:cs="Arial"/>
          <w:b/>
          <w:bCs/>
          <w:szCs w:val="20"/>
          <w:lang w:val="en-GB" w:eastAsia="en-IE"/>
        </w:rPr>
      </w:pPr>
    </w:p>
    <w:p w14:paraId="6D6E6550" w14:textId="77777777" w:rsidR="00B63017" w:rsidRPr="00040BEC" w:rsidRDefault="00B63017" w:rsidP="00B63017">
      <w:pPr>
        <w:numPr>
          <w:ilvl w:val="0"/>
          <w:numId w:val="17"/>
        </w:numPr>
        <w:suppressAutoHyphens/>
        <w:overflowPunct w:val="0"/>
        <w:autoSpaceDE w:val="0"/>
        <w:autoSpaceDN w:val="0"/>
        <w:adjustRightInd w:val="0"/>
        <w:ind w:left="567" w:hanging="567"/>
        <w:textAlignment w:val="baseline"/>
        <w:rPr>
          <w:rFonts w:cs="Arial"/>
          <w:b/>
          <w:bCs/>
          <w:szCs w:val="20"/>
          <w:lang w:val="en-GB" w:eastAsia="en-IE"/>
        </w:rPr>
      </w:pPr>
      <w:r w:rsidRPr="00040BEC">
        <w:rPr>
          <w:rFonts w:cs="Arial"/>
          <w:b/>
          <w:bCs/>
          <w:szCs w:val="20"/>
          <w:lang w:val="en-GB" w:eastAsia="en-IE"/>
        </w:rPr>
        <w:t>Austria (</w:t>
      </w:r>
      <w:r w:rsidR="00E46336" w:rsidRPr="00040BEC">
        <w:rPr>
          <w:rFonts w:cs="Arial"/>
          <w:b/>
          <w:bCs/>
          <w:szCs w:val="20"/>
          <w:lang w:val="en-GB" w:eastAsia="en-IE"/>
        </w:rPr>
        <w:t>February 2014</w:t>
      </w:r>
      <w:r w:rsidRPr="00040BEC">
        <w:rPr>
          <w:rFonts w:cs="Arial"/>
          <w:b/>
          <w:bCs/>
          <w:szCs w:val="20"/>
          <w:lang w:val="en-GB" w:eastAsia="en-IE"/>
        </w:rPr>
        <w:t>)</w:t>
      </w:r>
    </w:p>
    <w:p w14:paraId="3F31A2A7" w14:textId="77777777" w:rsidR="00B63017" w:rsidRPr="00040BEC" w:rsidRDefault="00B63017" w:rsidP="00B63017">
      <w:pPr>
        <w:tabs>
          <w:tab w:val="left" w:pos="0"/>
        </w:tabs>
        <w:suppressAutoHyphens/>
        <w:overflowPunct w:val="0"/>
        <w:autoSpaceDE w:val="0"/>
        <w:autoSpaceDN w:val="0"/>
        <w:adjustRightInd w:val="0"/>
        <w:textAlignment w:val="baseline"/>
        <w:rPr>
          <w:rFonts w:cs="Arial"/>
          <w:b/>
          <w:bCs/>
          <w:szCs w:val="20"/>
          <w:lang w:val="en-GB" w:eastAsia="en-IE"/>
        </w:rPr>
      </w:pPr>
    </w:p>
    <w:p w14:paraId="6E39AC6B" w14:textId="77777777" w:rsidR="00B63017" w:rsidRPr="00040BEC" w:rsidRDefault="00B63017" w:rsidP="00B63017">
      <w:pPr>
        <w:overflowPunct w:val="0"/>
        <w:autoSpaceDE w:val="0"/>
        <w:autoSpaceDN w:val="0"/>
        <w:adjustRightInd w:val="0"/>
        <w:textAlignment w:val="baseline"/>
        <w:rPr>
          <w:rFonts w:cs="Arial"/>
          <w:b/>
          <w:szCs w:val="20"/>
          <w:lang w:val="en-GB" w:eastAsia="nl-NL"/>
        </w:rPr>
      </w:pPr>
      <w:r w:rsidRPr="00040BEC">
        <w:rPr>
          <w:rFonts w:cs="Arial"/>
          <w:b/>
          <w:szCs w:val="20"/>
          <w:lang w:val="en-GB" w:eastAsia="nl-NL"/>
        </w:rPr>
        <w:t>1900-1920 MHz and 2010-2025 MHz (unpaired frequency arrangement)</w:t>
      </w: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43"/>
        <w:gridCol w:w="2410"/>
        <w:gridCol w:w="2126"/>
        <w:gridCol w:w="2410"/>
      </w:tblGrid>
      <w:tr w:rsidR="00B63017" w:rsidRPr="00040BEC" w14:paraId="6FA0956C" w14:textId="77777777" w:rsidTr="00E72FF9">
        <w:trPr>
          <w:trHeight w:val="435"/>
        </w:trPr>
        <w:tc>
          <w:tcPr>
            <w:tcW w:w="2943" w:type="dxa"/>
            <w:vAlign w:val="center"/>
          </w:tcPr>
          <w:p w14:paraId="35987736"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Operator</w:t>
            </w:r>
          </w:p>
        </w:tc>
        <w:tc>
          <w:tcPr>
            <w:tcW w:w="2410" w:type="dxa"/>
            <w:vAlign w:val="center"/>
          </w:tcPr>
          <w:p w14:paraId="352233A6"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Frequency band licensed</w:t>
            </w:r>
          </w:p>
        </w:tc>
        <w:tc>
          <w:tcPr>
            <w:tcW w:w="2126" w:type="dxa"/>
            <w:vAlign w:val="center"/>
          </w:tcPr>
          <w:p w14:paraId="7C2449C2"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Technology in use (optional)</w:t>
            </w:r>
          </w:p>
        </w:tc>
        <w:tc>
          <w:tcPr>
            <w:tcW w:w="2410" w:type="dxa"/>
            <w:vAlign w:val="center"/>
          </w:tcPr>
          <w:p w14:paraId="172E8B3E"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Licence duration, tradability</w:t>
            </w:r>
          </w:p>
        </w:tc>
      </w:tr>
      <w:tr w:rsidR="00B63017" w:rsidRPr="00040BEC" w14:paraId="28C83FCE" w14:textId="77777777" w:rsidTr="00E72FF9">
        <w:trPr>
          <w:trHeight w:val="448"/>
        </w:trPr>
        <w:tc>
          <w:tcPr>
            <w:tcW w:w="2943" w:type="dxa"/>
          </w:tcPr>
          <w:p w14:paraId="7E915082" w14:textId="77777777" w:rsidR="00B63017" w:rsidRPr="00040BEC" w:rsidRDefault="00B63017" w:rsidP="00E72FF9">
            <w:pPr>
              <w:overflowPunct w:val="0"/>
              <w:autoSpaceDE w:val="0"/>
              <w:autoSpaceDN w:val="0"/>
              <w:adjustRightInd w:val="0"/>
              <w:textAlignment w:val="baseline"/>
              <w:rPr>
                <w:rFonts w:cs="Arial"/>
                <w:bCs/>
                <w:szCs w:val="20"/>
                <w:lang w:val="en-GB" w:eastAsia="nl-NL"/>
              </w:rPr>
            </w:pPr>
            <w:r w:rsidRPr="00040BEC">
              <w:rPr>
                <w:rFonts w:cs="Arial"/>
                <w:szCs w:val="20"/>
                <w:lang w:val="en-GB" w:eastAsia="nl-NL"/>
              </w:rPr>
              <w:t>Hutchison 3G Austria GmbH</w:t>
            </w:r>
          </w:p>
        </w:tc>
        <w:tc>
          <w:tcPr>
            <w:tcW w:w="2410" w:type="dxa"/>
          </w:tcPr>
          <w:p w14:paraId="27CA8A3B"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1915.1 – 1920.1 MHz</w:t>
            </w:r>
          </w:p>
        </w:tc>
        <w:tc>
          <w:tcPr>
            <w:tcW w:w="2126" w:type="dxa"/>
          </w:tcPr>
          <w:p w14:paraId="2025CEC7" w14:textId="77777777" w:rsidR="00B63017" w:rsidRPr="00040BEC" w:rsidRDefault="00B63017" w:rsidP="00E72FF9">
            <w:pPr>
              <w:overflowPunct w:val="0"/>
              <w:autoSpaceDE w:val="0"/>
              <w:autoSpaceDN w:val="0"/>
              <w:adjustRightInd w:val="0"/>
              <w:textAlignment w:val="baseline"/>
              <w:rPr>
                <w:rFonts w:cs="Arial"/>
                <w:bCs/>
                <w:szCs w:val="20"/>
                <w:lang w:val="en-GB" w:eastAsia="nl-NL"/>
              </w:rPr>
            </w:pPr>
          </w:p>
        </w:tc>
        <w:tc>
          <w:tcPr>
            <w:tcW w:w="2410" w:type="dxa"/>
          </w:tcPr>
          <w:p w14:paraId="657A7DDC"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Until Dec. 2020</w:t>
            </w:r>
          </w:p>
          <w:p w14:paraId="273B4B66"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tradeable</w:t>
            </w:r>
          </w:p>
        </w:tc>
      </w:tr>
      <w:tr w:rsidR="00B63017" w:rsidRPr="00040BEC" w14:paraId="0D062156" w14:textId="77777777" w:rsidTr="00E72FF9">
        <w:trPr>
          <w:trHeight w:val="448"/>
        </w:trPr>
        <w:tc>
          <w:tcPr>
            <w:tcW w:w="2943" w:type="dxa"/>
          </w:tcPr>
          <w:p w14:paraId="25447AB5"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A1 Telekom Austria AG</w:t>
            </w:r>
          </w:p>
        </w:tc>
        <w:tc>
          <w:tcPr>
            <w:tcW w:w="2410" w:type="dxa"/>
          </w:tcPr>
          <w:p w14:paraId="4F24466C"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1900.1 – 1910.1 MHz</w:t>
            </w:r>
          </w:p>
        </w:tc>
        <w:tc>
          <w:tcPr>
            <w:tcW w:w="2126" w:type="dxa"/>
          </w:tcPr>
          <w:p w14:paraId="3DAE80D1" w14:textId="77777777" w:rsidR="00B63017" w:rsidRPr="00040BEC" w:rsidRDefault="00B63017" w:rsidP="00E72FF9">
            <w:pPr>
              <w:overflowPunct w:val="0"/>
              <w:autoSpaceDE w:val="0"/>
              <w:autoSpaceDN w:val="0"/>
              <w:adjustRightInd w:val="0"/>
              <w:textAlignment w:val="baseline"/>
              <w:rPr>
                <w:rFonts w:cs="Arial"/>
                <w:bCs/>
                <w:szCs w:val="20"/>
                <w:lang w:val="en-GB" w:eastAsia="nl-NL"/>
              </w:rPr>
            </w:pPr>
          </w:p>
        </w:tc>
        <w:tc>
          <w:tcPr>
            <w:tcW w:w="2410" w:type="dxa"/>
          </w:tcPr>
          <w:p w14:paraId="6A9094C2"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Until Dec. 2020</w:t>
            </w:r>
          </w:p>
          <w:p w14:paraId="47A7D794"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tradeable</w:t>
            </w:r>
          </w:p>
        </w:tc>
      </w:tr>
      <w:tr w:rsidR="00B63017" w:rsidRPr="00040BEC" w14:paraId="51241127" w14:textId="77777777" w:rsidTr="00E72FF9">
        <w:trPr>
          <w:trHeight w:val="448"/>
        </w:trPr>
        <w:tc>
          <w:tcPr>
            <w:tcW w:w="2943" w:type="dxa"/>
          </w:tcPr>
          <w:p w14:paraId="3F39882E" w14:textId="77777777" w:rsidR="00B63017" w:rsidRPr="00040BEC" w:rsidRDefault="00B63017" w:rsidP="00E72FF9">
            <w:pPr>
              <w:overflowPunct w:val="0"/>
              <w:autoSpaceDE w:val="0"/>
              <w:autoSpaceDN w:val="0"/>
              <w:adjustRightInd w:val="0"/>
              <w:textAlignment w:val="baseline"/>
              <w:rPr>
                <w:rFonts w:cs="Arial"/>
                <w:bCs/>
                <w:szCs w:val="20"/>
                <w:lang w:val="en-GB" w:eastAsia="nl-NL"/>
              </w:rPr>
            </w:pPr>
            <w:r w:rsidRPr="00040BEC">
              <w:rPr>
                <w:rFonts w:cs="Arial"/>
                <w:szCs w:val="20"/>
                <w:lang w:val="en-GB" w:eastAsia="nl-NL"/>
              </w:rPr>
              <w:t>T-Mobile Austria GmbH</w:t>
            </w:r>
          </w:p>
        </w:tc>
        <w:tc>
          <w:tcPr>
            <w:tcW w:w="2410" w:type="dxa"/>
          </w:tcPr>
          <w:p w14:paraId="1D2A1F6F"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1910.1 – 1915.1 MHz</w:t>
            </w:r>
          </w:p>
          <w:p w14:paraId="7404AD2D"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2019.9 – 2024.7 MHz</w:t>
            </w:r>
          </w:p>
        </w:tc>
        <w:tc>
          <w:tcPr>
            <w:tcW w:w="2126" w:type="dxa"/>
          </w:tcPr>
          <w:p w14:paraId="72749EF7" w14:textId="77777777" w:rsidR="00B63017" w:rsidRPr="00040BEC" w:rsidRDefault="00B63017" w:rsidP="00E72FF9">
            <w:pPr>
              <w:overflowPunct w:val="0"/>
              <w:autoSpaceDE w:val="0"/>
              <w:autoSpaceDN w:val="0"/>
              <w:adjustRightInd w:val="0"/>
              <w:textAlignment w:val="baseline"/>
              <w:rPr>
                <w:rFonts w:cs="Arial"/>
                <w:bCs/>
                <w:szCs w:val="20"/>
                <w:lang w:val="en-GB" w:eastAsia="nl-NL"/>
              </w:rPr>
            </w:pPr>
          </w:p>
        </w:tc>
        <w:tc>
          <w:tcPr>
            <w:tcW w:w="2410" w:type="dxa"/>
          </w:tcPr>
          <w:p w14:paraId="7F03613D"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Until Dec. 2020</w:t>
            </w:r>
          </w:p>
          <w:p w14:paraId="3FB65693"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tradeable</w:t>
            </w:r>
          </w:p>
        </w:tc>
      </w:tr>
    </w:tbl>
    <w:p w14:paraId="6FB2F782" w14:textId="77777777" w:rsidR="00B63017" w:rsidRPr="00040BEC" w:rsidRDefault="00B63017" w:rsidP="00B63017">
      <w:pPr>
        <w:suppressAutoHyphens/>
        <w:rPr>
          <w:rFonts w:cs="Arial"/>
          <w:b/>
          <w:bCs/>
          <w:szCs w:val="20"/>
          <w:lang w:val="en-GB" w:eastAsia="en-IE"/>
        </w:rPr>
      </w:pPr>
    </w:p>
    <w:p w14:paraId="3FCE171C" w14:textId="77777777" w:rsidR="00B63017" w:rsidRPr="00040BEC" w:rsidRDefault="00B63017" w:rsidP="00B63017">
      <w:pPr>
        <w:numPr>
          <w:ilvl w:val="0"/>
          <w:numId w:val="17"/>
        </w:numPr>
        <w:suppressAutoHyphens/>
        <w:overflowPunct w:val="0"/>
        <w:autoSpaceDE w:val="0"/>
        <w:autoSpaceDN w:val="0"/>
        <w:adjustRightInd w:val="0"/>
        <w:ind w:left="567" w:hanging="567"/>
        <w:textAlignment w:val="baseline"/>
        <w:rPr>
          <w:rFonts w:cs="Arial"/>
          <w:b/>
          <w:bCs/>
          <w:szCs w:val="20"/>
          <w:lang w:val="en-GB" w:eastAsia="en-IE"/>
        </w:rPr>
      </w:pPr>
      <w:r w:rsidRPr="00040BEC">
        <w:rPr>
          <w:rFonts w:cs="Arial"/>
          <w:b/>
          <w:bCs/>
          <w:szCs w:val="20"/>
          <w:lang w:val="en-GB" w:eastAsia="en-IE"/>
        </w:rPr>
        <w:t>Belgium (January 201</w:t>
      </w:r>
      <w:r w:rsidR="00E46336" w:rsidRPr="00040BEC">
        <w:rPr>
          <w:rFonts w:cs="Arial"/>
          <w:b/>
          <w:bCs/>
          <w:szCs w:val="20"/>
          <w:lang w:val="en-GB" w:eastAsia="en-IE"/>
        </w:rPr>
        <w:t>4</w:t>
      </w:r>
      <w:r w:rsidRPr="00040BEC">
        <w:rPr>
          <w:rFonts w:cs="Arial"/>
          <w:b/>
          <w:bCs/>
          <w:szCs w:val="20"/>
          <w:lang w:val="en-GB" w:eastAsia="en-IE"/>
        </w:rPr>
        <w:t>)</w:t>
      </w:r>
    </w:p>
    <w:p w14:paraId="605961C4" w14:textId="77777777" w:rsidR="00B63017" w:rsidRPr="00040BEC" w:rsidRDefault="00B63017" w:rsidP="00B63017">
      <w:pPr>
        <w:overflowPunct w:val="0"/>
        <w:autoSpaceDE w:val="0"/>
        <w:autoSpaceDN w:val="0"/>
        <w:adjustRightInd w:val="0"/>
        <w:textAlignment w:val="baseline"/>
        <w:rPr>
          <w:rFonts w:cs="Arial"/>
          <w:b/>
          <w:szCs w:val="20"/>
          <w:lang w:val="en-GB" w:eastAsia="nl-NL"/>
        </w:rPr>
      </w:pPr>
    </w:p>
    <w:p w14:paraId="600878D0" w14:textId="77777777" w:rsidR="00B63017" w:rsidRPr="00040BEC" w:rsidRDefault="00B63017" w:rsidP="00B63017">
      <w:pPr>
        <w:overflowPunct w:val="0"/>
        <w:autoSpaceDE w:val="0"/>
        <w:autoSpaceDN w:val="0"/>
        <w:adjustRightInd w:val="0"/>
        <w:textAlignment w:val="baseline"/>
        <w:rPr>
          <w:rFonts w:cs="Arial"/>
          <w:b/>
          <w:szCs w:val="20"/>
          <w:lang w:val="en-GB" w:eastAsia="nl-NL"/>
        </w:rPr>
      </w:pPr>
      <w:r w:rsidRPr="00040BEC">
        <w:rPr>
          <w:rFonts w:cs="Arial"/>
          <w:b/>
          <w:szCs w:val="20"/>
          <w:lang w:val="en-GB" w:eastAsia="nl-NL"/>
        </w:rPr>
        <w:t>1900-1920 MHz / 2010-2025 MHz (unpaired frequency arrangement)</w:t>
      </w: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43"/>
        <w:gridCol w:w="2410"/>
        <w:gridCol w:w="2047"/>
        <w:gridCol w:w="2489"/>
      </w:tblGrid>
      <w:tr w:rsidR="00B63017" w:rsidRPr="00040BEC" w14:paraId="7922FCB9" w14:textId="77777777" w:rsidTr="00E72FF9">
        <w:trPr>
          <w:trHeight w:val="435"/>
        </w:trPr>
        <w:tc>
          <w:tcPr>
            <w:tcW w:w="2943" w:type="dxa"/>
            <w:vAlign w:val="center"/>
          </w:tcPr>
          <w:p w14:paraId="400FB0E2"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Operator</w:t>
            </w:r>
          </w:p>
        </w:tc>
        <w:tc>
          <w:tcPr>
            <w:tcW w:w="2410" w:type="dxa"/>
            <w:vAlign w:val="center"/>
          </w:tcPr>
          <w:p w14:paraId="3501A877"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Frequencies</w:t>
            </w:r>
          </w:p>
        </w:tc>
        <w:tc>
          <w:tcPr>
            <w:tcW w:w="2047" w:type="dxa"/>
            <w:vAlign w:val="center"/>
          </w:tcPr>
          <w:p w14:paraId="1BA8B952"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Technology in use (optional)</w:t>
            </w:r>
          </w:p>
        </w:tc>
        <w:tc>
          <w:tcPr>
            <w:tcW w:w="2489" w:type="dxa"/>
            <w:vAlign w:val="center"/>
          </w:tcPr>
          <w:p w14:paraId="32DA3B55"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Licence duration. tradability</w:t>
            </w:r>
          </w:p>
        </w:tc>
      </w:tr>
      <w:tr w:rsidR="00B63017" w:rsidRPr="00040BEC" w14:paraId="45908733" w14:textId="77777777" w:rsidTr="00E72FF9">
        <w:trPr>
          <w:trHeight w:val="390"/>
        </w:trPr>
        <w:tc>
          <w:tcPr>
            <w:tcW w:w="2943" w:type="dxa"/>
            <w:vAlign w:val="center"/>
          </w:tcPr>
          <w:p w14:paraId="4E464509" w14:textId="77777777" w:rsidR="00B63017" w:rsidRPr="00040BEC" w:rsidRDefault="00B63017" w:rsidP="00E72FF9">
            <w:pPr>
              <w:overflowPunct w:val="0"/>
              <w:autoSpaceDE w:val="0"/>
              <w:autoSpaceDN w:val="0"/>
              <w:adjustRightInd w:val="0"/>
              <w:textAlignment w:val="baseline"/>
              <w:rPr>
                <w:rFonts w:cs="Arial"/>
                <w:bCs/>
                <w:szCs w:val="20"/>
                <w:lang w:val="en-GB" w:eastAsia="nl-NL"/>
              </w:rPr>
            </w:pPr>
            <w:proofErr w:type="spellStart"/>
            <w:r w:rsidRPr="00040BEC">
              <w:rPr>
                <w:rFonts w:cs="Arial"/>
                <w:bCs/>
                <w:szCs w:val="20"/>
                <w:lang w:val="en-GB" w:eastAsia="nl-NL"/>
              </w:rPr>
              <w:t>Belgacom</w:t>
            </w:r>
            <w:proofErr w:type="spellEnd"/>
            <w:r w:rsidRPr="00040BEC">
              <w:rPr>
                <w:rFonts w:cs="Arial"/>
                <w:bCs/>
                <w:szCs w:val="20"/>
                <w:lang w:val="en-GB" w:eastAsia="nl-NL"/>
              </w:rPr>
              <w:t xml:space="preserve"> Mobile (</w:t>
            </w:r>
            <w:proofErr w:type="spellStart"/>
            <w:r w:rsidRPr="00040BEC">
              <w:rPr>
                <w:rFonts w:cs="Arial"/>
                <w:bCs/>
                <w:szCs w:val="20"/>
                <w:lang w:val="en-GB" w:eastAsia="nl-NL"/>
              </w:rPr>
              <w:t>Proximus</w:t>
            </w:r>
            <w:proofErr w:type="spellEnd"/>
            <w:r w:rsidRPr="00040BEC">
              <w:rPr>
                <w:rFonts w:cs="Arial"/>
                <w:bCs/>
                <w:szCs w:val="20"/>
                <w:lang w:val="en-GB" w:eastAsia="nl-NL"/>
              </w:rPr>
              <w:t>)</w:t>
            </w:r>
          </w:p>
        </w:tc>
        <w:tc>
          <w:tcPr>
            <w:tcW w:w="2410" w:type="dxa"/>
            <w:vAlign w:val="center"/>
          </w:tcPr>
          <w:p w14:paraId="78D33F9C" w14:textId="77777777" w:rsidR="00B63017" w:rsidRPr="00040BEC" w:rsidRDefault="00B63017" w:rsidP="00E72FF9">
            <w:pPr>
              <w:overflowPunct w:val="0"/>
              <w:autoSpaceDE w:val="0"/>
              <w:autoSpaceDN w:val="0"/>
              <w:adjustRightInd w:val="0"/>
              <w:textAlignment w:val="baseline"/>
              <w:rPr>
                <w:rFonts w:cs="Arial"/>
                <w:bCs/>
                <w:szCs w:val="20"/>
                <w:lang w:val="en-GB" w:eastAsia="nl-NL"/>
              </w:rPr>
            </w:pPr>
            <w:r w:rsidRPr="00040BEC">
              <w:rPr>
                <w:rFonts w:cs="Arial"/>
                <w:bCs/>
                <w:szCs w:val="20"/>
                <w:lang w:val="en-GB" w:eastAsia="nl-NL"/>
              </w:rPr>
              <w:t>1914.9-1920.3 MHz</w:t>
            </w:r>
          </w:p>
        </w:tc>
        <w:tc>
          <w:tcPr>
            <w:tcW w:w="2047" w:type="dxa"/>
            <w:vAlign w:val="center"/>
          </w:tcPr>
          <w:p w14:paraId="5B3C3F9A" w14:textId="77777777" w:rsidR="00B63017" w:rsidRPr="00040BEC" w:rsidRDefault="00B63017" w:rsidP="00E72FF9">
            <w:pPr>
              <w:overflowPunct w:val="0"/>
              <w:autoSpaceDE w:val="0"/>
              <w:autoSpaceDN w:val="0"/>
              <w:adjustRightInd w:val="0"/>
              <w:textAlignment w:val="baseline"/>
              <w:rPr>
                <w:rFonts w:cs="Arial"/>
                <w:bCs/>
                <w:szCs w:val="20"/>
                <w:lang w:val="en-GB" w:eastAsia="nl-NL"/>
              </w:rPr>
            </w:pPr>
          </w:p>
        </w:tc>
        <w:tc>
          <w:tcPr>
            <w:tcW w:w="2489" w:type="dxa"/>
            <w:vAlign w:val="center"/>
          </w:tcPr>
          <w:p w14:paraId="3160E192" w14:textId="77777777" w:rsidR="00B63017" w:rsidRPr="00040BEC" w:rsidRDefault="00B63017" w:rsidP="00E72FF9">
            <w:pPr>
              <w:overflowPunct w:val="0"/>
              <w:autoSpaceDE w:val="0"/>
              <w:autoSpaceDN w:val="0"/>
              <w:adjustRightInd w:val="0"/>
              <w:textAlignment w:val="baseline"/>
              <w:rPr>
                <w:rFonts w:cs="Arial"/>
                <w:bCs/>
                <w:szCs w:val="20"/>
                <w:lang w:val="en-GB" w:eastAsia="nl-NL"/>
              </w:rPr>
            </w:pPr>
            <w:r w:rsidRPr="00040BEC">
              <w:rPr>
                <w:rFonts w:cs="Arial"/>
                <w:bCs/>
                <w:szCs w:val="20"/>
                <w:lang w:val="en-GB" w:eastAsia="nl-NL"/>
              </w:rPr>
              <w:t>15/03/2001-15/03/2021</w:t>
            </w:r>
          </w:p>
          <w:p w14:paraId="6CBA63B8" w14:textId="77777777" w:rsidR="00B63017" w:rsidRPr="00040BEC" w:rsidRDefault="00B63017" w:rsidP="00E72FF9">
            <w:pPr>
              <w:overflowPunct w:val="0"/>
              <w:autoSpaceDE w:val="0"/>
              <w:autoSpaceDN w:val="0"/>
              <w:adjustRightInd w:val="0"/>
              <w:textAlignment w:val="baseline"/>
              <w:rPr>
                <w:rFonts w:cs="Arial"/>
                <w:bCs/>
                <w:szCs w:val="20"/>
                <w:lang w:val="en-GB" w:eastAsia="nl-NL"/>
              </w:rPr>
            </w:pPr>
            <w:r w:rsidRPr="00040BEC">
              <w:rPr>
                <w:rFonts w:cs="Arial"/>
                <w:bCs/>
                <w:szCs w:val="20"/>
                <w:lang w:val="en-GB" w:eastAsia="nl-NL"/>
              </w:rPr>
              <w:t>Tradable</w:t>
            </w:r>
          </w:p>
        </w:tc>
      </w:tr>
      <w:tr w:rsidR="00B63017" w:rsidRPr="00040BEC" w14:paraId="32A80075" w14:textId="77777777" w:rsidTr="00E72FF9">
        <w:trPr>
          <w:trHeight w:val="448"/>
        </w:trPr>
        <w:tc>
          <w:tcPr>
            <w:tcW w:w="2943" w:type="dxa"/>
            <w:vAlign w:val="center"/>
          </w:tcPr>
          <w:p w14:paraId="549F8505" w14:textId="77777777" w:rsidR="00B63017" w:rsidRPr="00040BEC" w:rsidRDefault="00B63017" w:rsidP="00E72FF9">
            <w:pPr>
              <w:overflowPunct w:val="0"/>
              <w:autoSpaceDE w:val="0"/>
              <w:autoSpaceDN w:val="0"/>
              <w:adjustRightInd w:val="0"/>
              <w:textAlignment w:val="baseline"/>
              <w:rPr>
                <w:rFonts w:cs="Arial"/>
                <w:bCs/>
                <w:szCs w:val="20"/>
                <w:lang w:val="en-GB" w:eastAsia="nl-NL"/>
              </w:rPr>
            </w:pPr>
            <w:proofErr w:type="spellStart"/>
            <w:r w:rsidRPr="00040BEC">
              <w:rPr>
                <w:rFonts w:cs="Arial"/>
                <w:bCs/>
                <w:szCs w:val="20"/>
                <w:lang w:val="en-GB" w:eastAsia="nl-NL"/>
              </w:rPr>
              <w:t>Mobistar</w:t>
            </w:r>
            <w:proofErr w:type="spellEnd"/>
          </w:p>
        </w:tc>
        <w:tc>
          <w:tcPr>
            <w:tcW w:w="2410" w:type="dxa"/>
            <w:vAlign w:val="center"/>
          </w:tcPr>
          <w:p w14:paraId="06BEF453" w14:textId="77777777" w:rsidR="00B63017" w:rsidRPr="00040BEC" w:rsidRDefault="00B63017" w:rsidP="00E72FF9">
            <w:pPr>
              <w:overflowPunct w:val="0"/>
              <w:autoSpaceDE w:val="0"/>
              <w:autoSpaceDN w:val="0"/>
              <w:adjustRightInd w:val="0"/>
              <w:textAlignment w:val="baseline"/>
              <w:rPr>
                <w:rFonts w:cs="Arial"/>
                <w:bCs/>
                <w:szCs w:val="20"/>
                <w:lang w:val="en-GB" w:eastAsia="nl-NL"/>
              </w:rPr>
            </w:pPr>
            <w:r w:rsidRPr="00040BEC">
              <w:rPr>
                <w:rFonts w:cs="Arial"/>
                <w:bCs/>
                <w:szCs w:val="20"/>
                <w:lang w:val="en-GB" w:eastAsia="nl-NL"/>
              </w:rPr>
              <w:t>1909.9-1914.9 MHz</w:t>
            </w:r>
          </w:p>
        </w:tc>
        <w:tc>
          <w:tcPr>
            <w:tcW w:w="2047" w:type="dxa"/>
            <w:vAlign w:val="center"/>
          </w:tcPr>
          <w:p w14:paraId="66AFD005" w14:textId="77777777" w:rsidR="00B63017" w:rsidRPr="00040BEC" w:rsidRDefault="00B63017" w:rsidP="00E72FF9">
            <w:pPr>
              <w:overflowPunct w:val="0"/>
              <w:autoSpaceDE w:val="0"/>
              <w:autoSpaceDN w:val="0"/>
              <w:adjustRightInd w:val="0"/>
              <w:textAlignment w:val="baseline"/>
              <w:rPr>
                <w:rFonts w:cs="Arial"/>
                <w:bCs/>
                <w:szCs w:val="20"/>
                <w:lang w:val="en-GB" w:eastAsia="nl-NL"/>
              </w:rPr>
            </w:pPr>
          </w:p>
        </w:tc>
        <w:tc>
          <w:tcPr>
            <w:tcW w:w="2489" w:type="dxa"/>
            <w:vAlign w:val="center"/>
          </w:tcPr>
          <w:p w14:paraId="01CC2EAE" w14:textId="77777777" w:rsidR="00B63017" w:rsidRPr="00040BEC" w:rsidRDefault="00B63017" w:rsidP="00E72FF9">
            <w:pPr>
              <w:overflowPunct w:val="0"/>
              <w:autoSpaceDE w:val="0"/>
              <w:autoSpaceDN w:val="0"/>
              <w:adjustRightInd w:val="0"/>
              <w:textAlignment w:val="baseline"/>
              <w:rPr>
                <w:rFonts w:cs="Arial"/>
                <w:bCs/>
                <w:szCs w:val="20"/>
                <w:lang w:val="en-GB" w:eastAsia="nl-NL"/>
              </w:rPr>
            </w:pPr>
            <w:r w:rsidRPr="00040BEC">
              <w:rPr>
                <w:rFonts w:cs="Arial"/>
                <w:bCs/>
                <w:szCs w:val="20"/>
                <w:lang w:val="en-GB" w:eastAsia="nl-NL"/>
              </w:rPr>
              <w:t>15/03/2001-15/03/2021</w:t>
            </w:r>
          </w:p>
          <w:p w14:paraId="11277B0B" w14:textId="77777777" w:rsidR="00B63017" w:rsidRPr="00040BEC" w:rsidRDefault="00B63017" w:rsidP="00E72FF9">
            <w:pPr>
              <w:overflowPunct w:val="0"/>
              <w:autoSpaceDE w:val="0"/>
              <w:autoSpaceDN w:val="0"/>
              <w:adjustRightInd w:val="0"/>
              <w:textAlignment w:val="baseline"/>
              <w:rPr>
                <w:rFonts w:cs="Arial"/>
                <w:bCs/>
                <w:szCs w:val="20"/>
                <w:lang w:val="en-GB" w:eastAsia="nl-NL"/>
              </w:rPr>
            </w:pPr>
            <w:r w:rsidRPr="00040BEC">
              <w:rPr>
                <w:rFonts w:cs="Arial"/>
                <w:bCs/>
                <w:szCs w:val="20"/>
                <w:lang w:val="en-GB" w:eastAsia="nl-NL"/>
              </w:rPr>
              <w:t>Tradable</w:t>
            </w:r>
          </w:p>
        </w:tc>
      </w:tr>
      <w:tr w:rsidR="00B63017" w:rsidRPr="00040BEC" w14:paraId="5C3D6804" w14:textId="77777777" w:rsidTr="00E72FF9">
        <w:trPr>
          <w:trHeight w:val="530"/>
        </w:trPr>
        <w:tc>
          <w:tcPr>
            <w:tcW w:w="2943" w:type="dxa"/>
            <w:vAlign w:val="center"/>
          </w:tcPr>
          <w:p w14:paraId="72266078" w14:textId="77777777" w:rsidR="00B63017" w:rsidRPr="00040BEC" w:rsidRDefault="00B63017" w:rsidP="00E72FF9">
            <w:pPr>
              <w:overflowPunct w:val="0"/>
              <w:autoSpaceDE w:val="0"/>
              <w:autoSpaceDN w:val="0"/>
              <w:adjustRightInd w:val="0"/>
              <w:textAlignment w:val="baseline"/>
              <w:rPr>
                <w:rFonts w:cs="Arial"/>
                <w:bCs/>
                <w:szCs w:val="20"/>
                <w:lang w:val="en-GB" w:eastAsia="nl-NL"/>
              </w:rPr>
            </w:pPr>
            <w:r w:rsidRPr="00040BEC">
              <w:rPr>
                <w:rFonts w:cs="Arial"/>
                <w:bCs/>
                <w:szCs w:val="20"/>
                <w:lang w:val="en-GB" w:eastAsia="nl-NL"/>
              </w:rPr>
              <w:t>KPN Group Belgium (Base)</w:t>
            </w:r>
          </w:p>
        </w:tc>
        <w:tc>
          <w:tcPr>
            <w:tcW w:w="2410" w:type="dxa"/>
            <w:vAlign w:val="center"/>
          </w:tcPr>
          <w:p w14:paraId="454FBEE0" w14:textId="77777777" w:rsidR="00B63017" w:rsidRPr="00040BEC" w:rsidRDefault="00B63017" w:rsidP="00E72FF9">
            <w:pPr>
              <w:overflowPunct w:val="0"/>
              <w:autoSpaceDE w:val="0"/>
              <w:autoSpaceDN w:val="0"/>
              <w:adjustRightInd w:val="0"/>
              <w:textAlignment w:val="baseline"/>
              <w:rPr>
                <w:rFonts w:cs="Arial"/>
                <w:bCs/>
                <w:szCs w:val="20"/>
                <w:lang w:val="en-GB" w:eastAsia="nl-NL"/>
              </w:rPr>
            </w:pPr>
            <w:r w:rsidRPr="00040BEC">
              <w:rPr>
                <w:rFonts w:cs="Arial"/>
                <w:bCs/>
                <w:szCs w:val="20"/>
                <w:lang w:val="en-GB" w:eastAsia="nl-NL"/>
              </w:rPr>
              <w:t>1899.9-1904.9 MHz</w:t>
            </w:r>
          </w:p>
        </w:tc>
        <w:tc>
          <w:tcPr>
            <w:tcW w:w="2047" w:type="dxa"/>
            <w:vAlign w:val="center"/>
          </w:tcPr>
          <w:p w14:paraId="1F5A64C7" w14:textId="77777777" w:rsidR="00B63017" w:rsidRPr="00040BEC" w:rsidRDefault="00B63017" w:rsidP="00E72FF9">
            <w:pPr>
              <w:overflowPunct w:val="0"/>
              <w:autoSpaceDE w:val="0"/>
              <w:autoSpaceDN w:val="0"/>
              <w:adjustRightInd w:val="0"/>
              <w:textAlignment w:val="baseline"/>
              <w:rPr>
                <w:rFonts w:cs="Arial"/>
                <w:bCs/>
                <w:szCs w:val="20"/>
                <w:lang w:val="en-GB" w:eastAsia="nl-NL"/>
              </w:rPr>
            </w:pPr>
          </w:p>
        </w:tc>
        <w:tc>
          <w:tcPr>
            <w:tcW w:w="2489" w:type="dxa"/>
            <w:vAlign w:val="center"/>
          </w:tcPr>
          <w:p w14:paraId="69D8F21E" w14:textId="77777777" w:rsidR="00B63017" w:rsidRPr="00040BEC" w:rsidRDefault="00B63017" w:rsidP="00E72FF9">
            <w:pPr>
              <w:overflowPunct w:val="0"/>
              <w:autoSpaceDE w:val="0"/>
              <w:autoSpaceDN w:val="0"/>
              <w:adjustRightInd w:val="0"/>
              <w:textAlignment w:val="baseline"/>
              <w:rPr>
                <w:rFonts w:cs="Arial"/>
                <w:bCs/>
                <w:szCs w:val="20"/>
                <w:lang w:val="en-GB" w:eastAsia="nl-NL"/>
              </w:rPr>
            </w:pPr>
            <w:r w:rsidRPr="00040BEC">
              <w:rPr>
                <w:rFonts w:cs="Arial"/>
                <w:bCs/>
                <w:szCs w:val="20"/>
                <w:lang w:val="en-GB" w:eastAsia="nl-NL"/>
              </w:rPr>
              <w:t>15/03/2001-15/03/2021</w:t>
            </w:r>
          </w:p>
          <w:p w14:paraId="42CD6235" w14:textId="77777777" w:rsidR="00B63017" w:rsidRPr="00040BEC" w:rsidRDefault="00B63017" w:rsidP="00E72FF9">
            <w:pPr>
              <w:overflowPunct w:val="0"/>
              <w:autoSpaceDE w:val="0"/>
              <w:autoSpaceDN w:val="0"/>
              <w:adjustRightInd w:val="0"/>
              <w:textAlignment w:val="baseline"/>
              <w:rPr>
                <w:rFonts w:cs="Arial"/>
                <w:bCs/>
                <w:szCs w:val="20"/>
                <w:lang w:val="en-GB" w:eastAsia="nl-NL"/>
              </w:rPr>
            </w:pPr>
            <w:r w:rsidRPr="00040BEC">
              <w:rPr>
                <w:rFonts w:cs="Arial"/>
                <w:bCs/>
                <w:szCs w:val="20"/>
                <w:lang w:val="en-GB" w:eastAsia="nl-NL"/>
              </w:rPr>
              <w:t>Tradable</w:t>
            </w:r>
          </w:p>
        </w:tc>
      </w:tr>
    </w:tbl>
    <w:p w14:paraId="3ACC3659" w14:textId="77777777" w:rsidR="00B63017" w:rsidRPr="00040BEC" w:rsidRDefault="00B63017" w:rsidP="00B63017">
      <w:pPr>
        <w:overflowPunct w:val="0"/>
        <w:autoSpaceDE w:val="0"/>
        <w:autoSpaceDN w:val="0"/>
        <w:adjustRightInd w:val="0"/>
        <w:jc w:val="both"/>
        <w:textAlignment w:val="baseline"/>
        <w:rPr>
          <w:rFonts w:cs="Arial"/>
          <w:b/>
          <w:szCs w:val="20"/>
          <w:lang w:val="en-GB" w:eastAsia="nl-NL"/>
        </w:rPr>
      </w:pPr>
    </w:p>
    <w:p w14:paraId="474DC674" w14:textId="77777777" w:rsidR="00B63017" w:rsidRPr="00040BEC" w:rsidRDefault="00B63017" w:rsidP="00B63017">
      <w:pPr>
        <w:numPr>
          <w:ilvl w:val="0"/>
          <w:numId w:val="17"/>
        </w:numPr>
        <w:suppressAutoHyphens/>
        <w:overflowPunct w:val="0"/>
        <w:autoSpaceDE w:val="0"/>
        <w:autoSpaceDN w:val="0"/>
        <w:adjustRightInd w:val="0"/>
        <w:ind w:left="567" w:hanging="567"/>
        <w:textAlignment w:val="baseline"/>
        <w:rPr>
          <w:rFonts w:cs="Arial"/>
          <w:b/>
          <w:bCs/>
          <w:szCs w:val="20"/>
          <w:lang w:val="en-GB" w:eastAsia="en-IE"/>
        </w:rPr>
      </w:pPr>
      <w:r w:rsidRPr="00040BEC">
        <w:rPr>
          <w:rFonts w:cs="Arial"/>
          <w:b/>
          <w:bCs/>
          <w:szCs w:val="20"/>
          <w:lang w:val="en-GB" w:eastAsia="en-IE"/>
        </w:rPr>
        <w:t>Belarus (not included yet in published ECO Report 03)</w:t>
      </w:r>
    </w:p>
    <w:p w14:paraId="0DC32CFB" w14:textId="77777777" w:rsidR="00B63017" w:rsidRPr="00040BEC" w:rsidRDefault="00B63017" w:rsidP="00B63017">
      <w:pPr>
        <w:suppressAutoHyphens/>
        <w:overflowPunct w:val="0"/>
        <w:autoSpaceDE w:val="0"/>
        <w:autoSpaceDN w:val="0"/>
        <w:adjustRightInd w:val="0"/>
        <w:textAlignment w:val="baseline"/>
        <w:rPr>
          <w:rFonts w:cs="Arial"/>
          <w:b/>
          <w:bCs/>
          <w:szCs w:val="20"/>
          <w:lang w:val="en-GB" w:eastAsia="en-IE"/>
        </w:rPr>
      </w:pPr>
    </w:p>
    <w:p w14:paraId="13A14EAF" w14:textId="77777777" w:rsidR="00B63017" w:rsidRPr="00040BEC" w:rsidRDefault="00B63017" w:rsidP="00B63017">
      <w:pPr>
        <w:overflowPunct w:val="0"/>
        <w:autoSpaceDE w:val="0"/>
        <w:autoSpaceDN w:val="0"/>
        <w:adjustRightInd w:val="0"/>
        <w:textAlignment w:val="baseline"/>
        <w:rPr>
          <w:rFonts w:cs="Arial"/>
          <w:b/>
          <w:szCs w:val="20"/>
          <w:lang w:val="en-GB" w:eastAsia="nl-NL"/>
        </w:rPr>
      </w:pPr>
      <w:r w:rsidRPr="00040BEC">
        <w:rPr>
          <w:rFonts w:cs="Arial"/>
          <w:b/>
          <w:szCs w:val="20"/>
          <w:lang w:val="en-GB" w:eastAsia="nl-NL"/>
        </w:rPr>
        <w:t>1900-1920 MHz and 2010-2025 MHz (unpaired frequency arrangement)</w:t>
      </w: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84"/>
        <w:gridCol w:w="2604"/>
        <w:gridCol w:w="2113"/>
        <w:gridCol w:w="2988"/>
      </w:tblGrid>
      <w:tr w:rsidR="00B63017" w:rsidRPr="00040BEC" w14:paraId="24A5F7CF" w14:textId="77777777" w:rsidTr="00E72FF9">
        <w:trPr>
          <w:trHeight w:val="435"/>
        </w:trPr>
        <w:tc>
          <w:tcPr>
            <w:tcW w:w="2184" w:type="dxa"/>
            <w:vAlign w:val="center"/>
          </w:tcPr>
          <w:p w14:paraId="2E545D93"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Operator</w:t>
            </w:r>
          </w:p>
        </w:tc>
        <w:tc>
          <w:tcPr>
            <w:tcW w:w="2604" w:type="dxa"/>
            <w:vAlign w:val="center"/>
          </w:tcPr>
          <w:p w14:paraId="7596AD9C"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Frequency band licensed</w:t>
            </w:r>
          </w:p>
        </w:tc>
        <w:tc>
          <w:tcPr>
            <w:tcW w:w="2113" w:type="dxa"/>
            <w:vAlign w:val="center"/>
          </w:tcPr>
          <w:p w14:paraId="308F3860"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Technology in use (optional)</w:t>
            </w:r>
          </w:p>
        </w:tc>
        <w:tc>
          <w:tcPr>
            <w:tcW w:w="2988" w:type="dxa"/>
            <w:vAlign w:val="center"/>
          </w:tcPr>
          <w:p w14:paraId="01729AB6"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Licence duration, tradability</w:t>
            </w:r>
          </w:p>
        </w:tc>
      </w:tr>
      <w:tr w:rsidR="00B63017" w:rsidRPr="00040BEC" w14:paraId="30A96199" w14:textId="77777777" w:rsidTr="00E72FF9">
        <w:trPr>
          <w:trHeight w:val="448"/>
        </w:trPr>
        <w:tc>
          <w:tcPr>
            <w:tcW w:w="2184" w:type="dxa"/>
            <w:vAlign w:val="center"/>
          </w:tcPr>
          <w:p w14:paraId="0E2082D1" w14:textId="77777777" w:rsidR="00B63017" w:rsidRPr="00040BEC" w:rsidRDefault="00B63017" w:rsidP="00E72FF9">
            <w:pPr>
              <w:overflowPunct w:val="0"/>
              <w:autoSpaceDE w:val="0"/>
              <w:autoSpaceDN w:val="0"/>
              <w:adjustRightInd w:val="0"/>
              <w:textAlignment w:val="baseline"/>
              <w:rPr>
                <w:rFonts w:cs="Arial"/>
                <w:bCs/>
                <w:szCs w:val="20"/>
                <w:lang w:val="en-GB" w:eastAsia="nl-NL"/>
              </w:rPr>
            </w:pPr>
            <w:r w:rsidRPr="00040BEC">
              <w:rPr>
                <w:rFonts w:cs="Arial"/>
                <w:bCs/>
                <w:szCs w:val="20"/>
                <w:lang w:val="en-GB" w:eastAsia="nl-NL"/>
              </w:rPr>
              <w:t>vacant</w:t>
            </w:r>
          </w:p>
        </w:tc>
        <w:tc>
          <w:tcPr>
            <w:tcW w:w="2604" w:type="dxa"/>
            <w:vAlign w:val="center"/>
          </w:tcPr>
          <w:p w14:paraId="104736E7" w14:textId="77777777" w:rsidR="00B63017" w:rsidRPr="00040BEC" w:rsidRDefault="00B63017" w:rsidP="00E72FF9">
            <w:pPr>
              <w:overflowPunct w:val="0"/>
              <w:autoSpaceDE w:val="0"/>
              <w:autoSpaceDN w:val="0"/>
              <w:adjustRightInd w:val="0"/>
              <w:textAlignment w:val="baseline"/>
              <w:rPr>
                <w:rFonts w:cs="Arial"/>
                <w:bCs/>
                <w:szCs w:val="20"/>
                <w:lang w:val="en-GB" w:eastAsia="nl-NL"/>
              </w:rPr>
            </w:pPr>
            <w:r w:rsidRPr="00040BEC">
              <w:rPr>
                <w:rFonts w:cs="Arial"/>
                <w:bCs/>
                <w:szCs w:val="20"/>
                <w:lang w:val="en-GB" w:eastAsia="nl-NL"/>
              </w:rPr>
              <w:t>1900-1920 MHz</w:t>
            </w:r>
          </w:p>
        </w:tc>
        <w:tc>
          <w:tcPr>
            <w:tcW w:w="2113" w:type="dxa"/>
            <w:vAlign w:val="center"/>
          </w:tcPr>
          <w:p w14:paraId="1711E2C5" w14:textId="77777777" w:rsidR="00B63017" w:rsidRPr="00040BEC" w:rsidRDefault="00B63017" w:rsidP="00E72FF9">
            <w:pPr>
              <w:overflowPunct w:val="0"/>
              <w:autoSpaceDE w:val="0"/>
              <w:autoSpaceDN w:val="0"/>
              <w:adjustRightInd w:val="0"/>
              <w:textAlignment w:val="baseline"/>
              <w:rPr>
                <w:rFonts w:cs="Arial"/>
                <w:bCs/>
                <w:szCs w:val="20"/>
                <w:lang w:val="en-GB" w:eastAsia="nl-NL"/>
              </w:rPr>
            </w:pPr>
            <w:r w:rsidRPr="00040BEC">
              <w:rPr>
                <w:rFonts w:cs="Arial"/>
                <w:bCs/>
                <w:szCs w:val="20"/>
                <w:lang w:val="en-GB" w:eastAsia="nl-NL"/>
              </w:rPr>
              <w:t>UTRA TDD</w:t>
            </w:r>
          </w:p>
        </w:tc>
        <w:tc>
          <w:tcPr>
            <w:tcW w:w="2988" w:type="dxa"/>
            <w:vAlign w:val="center"/>
          </w:tcPr>
          <w:p w14:paraId="24356D28" w14:textId="77777777" w:rsidR="00B63017" w:rsidRPr="00040BEC" w:rsidRDefault="00B63017" w:rsidP="00E72FF9">
            <w:pPr>
              <w:overflowPunct w:val="0"/>
              <w:autoSpaceDE w:val="0"/>
              <w:autoSpaceDN w:val="0"/>
              <w:adjustRightInd w:val="0"/>
              <w:textAlignment w:val="baseline"/>
              <w:rPr>
                <w:rFonts w:cs="Arial"/>
                <w:bCs/>
                <w:szCs w:val="20"/>
                <w:lang w:val="en-GB" w:eastAsia="nl-NL"/>
              </w:rPr>
            </w:pPr>
            <w:r w:rsidRPr="00040BEC">
              <w:rPr>
                <w:rFonts w:cs="Arial"/>
                <w:szCs w:val="20"/>
                <w:lang w:val="en-GB" w:eastAsia="nl-NL"/>
              </w:rPr>
              <w:t>Awaiting of a decision of State Commission for Radio Frequencies</w:t>
            </w:r>
          </w:p>
        </w:tc>
      </w:tr>
      <w:tr w:rsidR="00B63017" w:rsidRPr="00040BEC" w14:paraId="246148FC" w14:textId="77777777" w:rsidTr="00E72FF9">
        <w:trPr>
          <w:trHeight w:val="448"/>
        </w:trPr>
        <w:tc>
          <w:tcPr>
            <w:tcW w:w="2184" w:type="dxa"/>
            <w:vAlign w:val="center"/>
          </w:tcPr>
          <w:p w14:paraId="6D120667" w14:textId="77777777" w:rsidR="00B63017" w:rsidRPr="00040BEC" w:rsidRDefault="00B63017" w:rsidP="00E72FF9">
            <w:pPr>
              <w:overflowPunct w:val="0"/>
              <w:autoSpaceDE w:val="0"/>
              <w:autoSpaceDN w:val="0"/>
              <w:adjustRightInd w:val="0"/>
              <w:textAlignment w:val="baseline"/>
              <w:rPr>
                <w:rFonts w:cs="Arial"/>
                <w:bCs/>
                <w:szCs w:val="20"/>
                <w:lang w:val="en-GB" w:eastAsia="nl-NL"/>
              </w:rPr>
            </w:pPr>
            <w:r w:rsidRPr="00040BEC">
              <w:rPr>
                <w:rFonts w:cs="Arial"/>
                <w:bCs/>
                <w:szCs w:val="20"/>
                <w:lang w:val="en-GB" w:eastAsia="nl-NL"/>
              </w:rPr>
              <w:t>vacant</w:t>
            </w:r>
          </w:p>
        </w:tc>
        <w:tc>
          <w:tcPr>
            <w:tcW w:w="2604" w:type="dxa"/>
            <w:vAlign w:val="center"/>
          </w:tcPr>
          <w:p w14:paraId="678CA17A" w14:textId="77777777" w:rsidR="00B63017" w:rsidRPr="00040BEC" w:rsidRDefault="00B63017" w:rsidP="00E72FF9">
            <w:pPr>
              <w:overflowPunct w:val="0"/>
              <w:autoSpaceDE w:val="0"/>
              <w:autoSpaceDN w:val="0"/>
              <w:adjustRightInd w:val="0"/>
              <w:textAlignment w:val="baseline"/>
              <w:rPr>
                <w:rFonts w:cs="Arial"/>
                <w:bCs/>
                <w:szCs w:val="20"/>
                <w:lang w:val="en-GB" w:eastAsia="nl-NL"/>
              </w:rPr>
            </w:pPr>
            <w:r w:rsidRPr="00040BEC">
              <w:rPr>
                <w:rFonts w:cs="Arial"/>
                <w:bCs/>
                <w:szCs w:val="20"/>
                <w:lang w:val="en-GB" w:eastAsia="nl-NL"/>
              </w:rPr>
              <w:t>2010-2025 MHz</w:t>
            </w:r>
          </w:p>
        </w:tc>
        <w:tc>
          <w:tcPr>
            <w:tcW w:w="2113" w:type="dxa"/>
            <w:vAlign w:val="center"/>
          </w:tcPr>
          <w:p w14:paraId="191BB7E3" w14:textId="77777777" w:rsidR="00B63017" w:rsidRPr="00040BEC" w:rsidRDefault="00B63017" w:rsidP="00E72FF9">
            <w:pPr>
              <w:overflowPunct w:val="0"/>
              <w:autoSpaceDE w:val="0"/>
              <w:autoSpaceDN w:val="0"/>
              <w:adjustRightInd w:val="0"/>
              <w:textAlignment w:val="baseline"/>
              <w:rPr>
                <w:rFonts w:cs="Arial"/>
                <w:bCs/>
                <w:szCs w:val="20"/>
                <w:lang w:val="en-GB" w:eastAsia="nl-NL"/>
              </w:rPr>
            </w:pPr>
            <w:r w:rsidRPr="00040BEC">
              <w:rPr>
                <w:rFonts w:cs="Arial"/>
                <w:bCs/>
                <w:szCs w:val="20"/>
                <w:lang w:val="en-GB" w:eastAsia="nl-NL"/>
              </w:rPr>
              <w:t>UTRA TDD</w:t>
            </w:r>
          </w:p>
        </w:tc>
        <w:tc>
          <w:tcPr>
            <w:tcW w:w="2988" w:type="dxa"/>
            <w:vAlign w:val="center"/>
          </w:tcPr>
          <w:p w14:paraId="576A4EE3" w14:textId="77777777" w:rsidR="00B63017" w:rsidRPr="00040BEC" w:rsidRDefault="00B63017" w:rsidP="00E72FF9">
            <w:pPr>
              <w:overflowPunct w:val="0"/>
              <w:autoSpaceDE w:val="0"/>
              <w:autoSpaceDN w:val="0"/>
              <w:adjustRightInd w:val="0"/>
              <w:textAlignment w:val="baseline"/>
              <w:rPr>
                <w:rFonts w:cs="Arial"/>
                <w:bCs/>
                <w:szCs w:val="20"/>
                <w:lang w:val="en-GB" w:eastAsia="nl-NL"/>
              </w:rPr>
            </w:pPr>
            <w:r w:rsidRPr="00040BEC">
              <w:rPr>
                <w:rFonts w:cs="Arial"/>
                <w:szCs w:val="20"/>
                <w:lang w:val="en-GB" w:eastAsia="nl-NL"/>
              </w:rPr>
              <w:t>Awaiting of a decision of State Commission for Radio Frequencies</w:t>
            </w:r>
          </w:p>
        </w:tc>
      </w:tr>
    </w:tbl>
    <w:p w14:paraId="4339C250" w14:textId="77777777" w:rsidR="00B63017" w:rsidRPr="00040BEC" w:rsidRDefault="00B63017" w:rsidP="00B63017">
      <w:pPr>
        <w:suppressAutoHyphens/>
        <w:overflowPunct w:val="0"/>
        <w:autoSpaceDE w:val="0"/>
        <w:autoSpaceDN w:val="0"/>
        <w:adjustRightInd w:val="0"/>
        <w:textAlignment w:val="baseline"/>
        <w:rPr>
          <w:rFonts w:cs="Arial"/>
          <w:b/>
          <w:bCs/>
          <w:szCs w:val="20"/>
          <w:lang w:val="en-GB" w:eastAsia="en-IE"/>
        </w:rPr>
      </w:pPr>
    </w:p>
    <w:p w14:paraId="19E05DF1" w14:textId="77777777" w:rsidR="00B63017" w:rsidRPr="00040BEC" w:rsidRDefault="00B63017" w:rsidP="00B63017">
      <w:pPr>
        <w:numPr>
          <w:ilvl w:val="0"/>
          <w:numId w:val="17"/>
        </w:numPr>
        <w:suppressAutoHyphens/>
        <w:overflowPunct w:val="0"/>
        <w:autoSpaceDE w:val="0"/>
        <w:autoSpaceDN w:val="0"/>
        <w:adjustRightInd w:val="0"/>
        <w:ind w:left="567" w:hanging="567"/>
        <w:textAlignment w:val="baseline"/>
        <w:rPr>
          <w:rFonts w:cs="Arial"/>
          <w:b/>
          <w:bCs/>
          <w:szCs w:val="20"/>
          <w:lang w:val="en-GB" w:eastAsia="en-IE"/>
        </w:rPr>
      </w:pPr>
      <w:r w:rsidRPr="00040BEC">
        <w:rPr>
          <w:rFonts w:cs="Arial"/>
          <w:b/>
          <w:bCs/>
          <w:szCs w:val="20"/>
          <w:lang w:val="en-GB" w:eastAsia="en-IE"/>
        </w:rPr>
        <w:t>Bosnia and Herzegovina (</w:t>
      </w:r>
      <w:r w:rsidR="00E46336" w:rsidRPr="00040BEC">
        <w:rPr>
          <w:rFonts w:cs="Arial"/>
          <w:b/>
          <w:bCs/>
          <w:szCs w:val="20"/>
          <w:lang w:val="en-GB" w:eastAsia="en-IE"/>
        </w:rPr>
        <w:t>April</w:t>
      </w:r>
      <w:r w:rsidRPr="00040BEC">
        <w:rPr>
          <w:rFonts w:cs="Arial"/>
          <w:b/>
          <w:bCs/>
          <w:szCs w:val="20"/>
          <w:lang w:val="en-GB" w:eastAsia="en-IE"/>
        </w:rPr>
        <w:t xml:space="preserve"> 2013)</w:t>
      </w:r>
    </w:p>
    <w:p w14:paraId="4F80A916" w14:textId="77777777" w:rsidR="00B63017" w:rsidRPr="00040BEC" w:rsidRDefault="00B63017" w:rsidP="00B63017">
      <w:pPr>
        <w:overflowPunct w:val="0"/>
        <w:autoSpaceDE w:val="0"/>
        <w:autoSpaceDN w:val="0"/>
        <w:adjustRightInd w:val="0"/>
        <w:jc w:val="both"/>
        <w:textAlignment w:val="baseline"/>
        <w:rPr>
          <w:rFonts w:cs="Arial"/>
          <w:szCs w:val="20"/>
          <w:lang w:val="en-GB" w:eastAsia="nl-NL"/>
        </w:rPr>
      </w:pPr>
    </w:p>
    <w:p w14:paraId="15E39639" w14:textId="77777777" w:rsidR="00B63017" w:rsidRPr="00040BEC" w:rsidRDefault="00B63017" w:rsidP="00B63017">
      <w:pPr>
        <w:overflowPunct w:val="0"/>
        <w:autoSpaceDE w:val="0"/>
        <w:autoSpaceDN w:val="0"/>
        <w:adjustRightInd w:val="0"/>
        <w:textAlignment w:val="baseline"/>
        <w:rPr>
          <w:rFonts w:cs="Arial"/>
          <w:b/>
          <w:szCs w:val="20"/>
          <w:lang w:val="en-GB" w:eastAsia="nl-NL"/>
        </w:rPr>
      </w:pPr>
      <w:r w:rsidRPr="00040BEC">
        <w:rPr>
          <w:rFonts w:cs="Arial"/>
          <w:b/>
          <w:szCs w:val="20"/>
          <w:lang w:val="en-GB" w:eastAsia="nl-NL"/>
        </w:rPr>
        <w:t>1900-1920 MHz/2010-2025 MHz (unpaired frequency arrangement)</w:t>
      </w:r>
    </w:p>
    <w:tbl>
      <w:tblPr>
        <w:tblW w:w="9923"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05"/>
        <w:gridCol w:w="2247"/>
        <w:gridCol w:w="2433"/>
        <w:gridCol w:w="2838"/>
      </w:tblGrid>
      <w:tr w:rsidR="00B63017" w:rsidRPr="00040BEC" w14:paraId="20D3BE87" w14:textId="77777777" w:rsidTr="00E72FF9">
        <w:tc>
          <w:tcPr>
            <w:tcW w:w="2405" w:type="dxa"/>
            <w:shd w:val="clear" w:color="auto" w:fill="auto"/>
          </w:tcPr>
          <w:p w14:paraId="5706CB64"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Operator</w:t>
            </w:r>
          </w:p>
        </w:tc>
        <w:tc>
          <w:tcPr>
            <w:tcW w:w="2247" w:type="dxa"/>
            <w:shd w:val="clear" w:color="auto" w:fill="auto"/>
          </w:tcPr>
          <w:p w14:paraId="3AB5AE7E"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Frequencies</w:t>
            </w:r>
          </w:p>
        </w:tc>
        <w:tc>
          <w:tcPr>
            <w:tcW w:w="2433" w:type="dxa"/>
            <w:shd w:val="clear" w:color="auto" w:fill="auto"/>
          </w:tcPr>
          <w:p w14:paraId="66F3F894"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Technology in use</w:t>
            </w:r>
          </w:p>
          <w:p w14:paraId="389439AE"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(optional)</w:t>
            </w:r>
          </w:p>
        </w:tc>
        <w:tc>
          <w:tcPr>
            <w:tcW w:w="2838" w:type="dxa"/>
            <w:shd w:val="clear" w:color="auto" w:fill="auto"/>
          </w:tcPr>
          <w:p w14:paraId="2975A1FA"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Licence duration, tradability</w:t>
            </w:r>
          </w:p>
        </w:tc>
      </w:tr>
      <w:tr w:rsidR="00B63017" w:rsidRPr="00040BEC" w14:paraId="61551EC0" w14:textId="77777777" w:rsidTr="00E72FF9">
        <w:tc>
          <w:tcPr>
            <w:tcW w:w="2405" w:type="dxa"/>
            <w:shd w:val="clear" w:color="auto" w:fill="auto"/>
          </w:tcPr>
          <w:p w14:paraId="7640F830" w14:textId="77777777" w:rsidR="00B63017" w:rsidRPr="00040BEC" w:rsidRDefault="00B63017" w:rsidP="00E72FF9">
            <w:pPr>
              <w:overflowPunct w:val="0"/>
              <w:autoSpaceDE w:val="0"/>
              <w:autoSpaceDN w:val="0"/>
              <w:adjustRightInd w:val="0"/>
              <w:textAlignment w:val="baseline"/>
              <w:rPr>
                <w:rFonts w:cs="Arial"/>
                <w:szCs w:val="20"/>
                <w:lang w:val="en-GB" w:eastAsia="nl-NL"/>
              </w:rPr>
            </w:pPr>
            <w:proofErr w:type="spellStart"/>
            <w:r w:rsidRPr="00040BEC">
              <w:rPr>
                <w:rFonts w:cs="Arial"/>
                <w:szCs w:val="20"/>
                <w:lang w:val="en-GB" w:eastAsia="nl-NL"/>
              </w:rPr>
              <w:t>Telekomunikacije</w:t>
            </w:r>
            <w:proofErr w:type="spellEnd"/>
            <w:r w:rsidRPr="00040BEC">
              <w:rPr>
                <w:rFonts w:cs="Arial"/>
                <w:szCs w:val="20"/>
                <w:lang w:val="en-GB" w:eastAsia="nl-NL"/>
              </w:rPr>
              <w:t xml:space="preserve"> RS</w:t>
            </w:r>
          </w:p>
        </w:tc>
        <w:tc>
          <w:tcPr>
            <w:tcW w:w="2247" w:type="dxa"/>
            <w:shd w:val="clear" w:color="auto" w:fill="auto"/>
          </w:tcPr>
          <w:p w14:paraId="357E3DA7"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1910 – 1915 MHz</w:t>
            </w:r>
          </w:p>
        </w:tc>
        <w:tc>
          <w:tcPr>
            <w:tcW w:w="2433" w:type="dxa"/>
            <w:shd w:val="clear" w:color="auto" w:fill="auto"/>
          </w:tcPr>
          <w:p w14:paraId="470FFF04"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UTRA TDD</w:t>
            </w:r>
          </w:p>
        </w:tc>
        <w:tc>
          <w:tcPr>
            <w:tcW w:w="2838" w:type="dxa"/>
            <w:shd w:val="clear" w:color="auto" w:fill="auto"/>
          </w:tcPr>
          <w:p w14:paraId="4BB72401"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01.04.2009. -31.03.2024,</w:t>
            </w:r>
          </w:p>
          <w:p w14:paraId="4BED1540"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non-tradable</w:t>
            </w:r>
          </w:p>
        </w:tc>
      </w:tr>
      <w:tr w:rsidR="00B63017" w:rsidRPr="00040BEC" w14:paraId="467A5698" w14:textId="77777777" w:rsidTr="00E72FF9">
        <w:tc>
          <w:tcPr>
            <w:tcW w:w="2405" w:type="dxa"/>
            <w:shd w:val="clear" w:color="auto" w:fill="auto"/>
          </w:tcPr>
          <w:p w14:paraId="1989982D"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lastRenderedPageBreak/>
              <w:t xml:space="preserve">BH Telecom </w:t>
            </w:r>
          </w:p>
        </w:tc>
        <w:tc>
          <w:tcPr>
            <w:tcW w:w="2247" w:type="dxa"/>
            <w:shd w:val="clear" w:color="auto" w:fill="auto"/>
          </w:tcPr>
          <w:p w14:paraId="4E9FA374"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1900 – 1905 MHz</w:t>
            </w:r>
          </w:p>
        </w:tc>
        <w:tc>
          <w:tcPr>
            <w:tcW w:w="2433" w:type="dxa"/>
            <w:shd w:val="clear" w:color="auto" w:fill="auto"/>
          </w:tcPr>
          <w:p w14:paraId="5D4E8051"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UTRA TDD</w:t>
            </w:r>
          </w:p>
        </w:tc>
        <w:tc>
          <w:tcPr>
            <w:tcW w:w="2838" w:type="dxa"/>
            <w:shd w:val="clear" w:color="auto" w:fill="auto"/>
          </w:tcPr>
          <w:p w14:paraId="279D81D6"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01.04.2009. -31.03.2024,</w:t>
            </w:r>
          </w:p>
          <w:p w14:paraId="608AC37C"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non-tradable</w:t>
            </w:r>
          </w:p>
        </w:tc>
      </w:tr>
      <w:tr w:rsidR="00B63017" w:rsidRPr="00040BEC" w14:paraId="508EADDB" w14:textId="77777777" w:rsidTr="00E72FF9">
        <w:tc>
          <w:tcPr>
            <w:tcW w:w="2405" w:type="dxa"/>
            <w:shd w:val="clear" w:color="auto" w:fill="auto"/>
          </w:tcPr>
          <w:p w14:paraId="5E58EA4C"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HT Mostar</w:t>
            </w:r>
          </w:p>
        </w:tc>
        <w:tc>
          <w:tcPr>
            <w:tcW w:w="2247" w:type="dxa"/>
            <w:shd w:val="clear" w:color="auto" w:fill="auto"/>
          </w:tcPr>
          <w:p w14:paraId="142140BA"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1905 – 1910 MHz</w:t>
            </w:r>
          </w:p>
        </w:tc>
        <w:tc>
          <w:tcPr>
            <w:tcW w:w="2433" w:type="dxa"/>
            <w:shd w:val="clear" w:color="auto" w:fill="auto"/>
          </w:tcPr>
          <w:p w14:paraId="5ABCCE40"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UTRA TDD</w:t>
            </w:r>
          </w:p>
        </w:tc>
        <w:tc>
          <w:tcPr>
            <w:tcW w:w="2838" w:type="dxa"/>
            <w:shd w:val="clear" w:color="auto" w:fill="auto"/>
          </w:tcPr>
          <w:p w14:paraId="18414D50"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01.04.2009. -31.03.2024,</w:t>
            </w:r>
          </w:p>
          <w:p w14:paraId="1C3FA44C"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non-tradable</w:t>
            </w:r>
          </w:p>
        </w:tc>
      </w:tr>
    </w:tbl>
    <w:p w14:paraId="0CB097E2" w14:textId="77777777" w:rsidR="000C6788" w:rsidRPr="00040BEC" w:rsidRDefault="000C6788" w:rsidP="000C6788">
      <w:pPr>
        <w:pStyle w:val="NormalWeb"/>
        <w:spacing w:before="0" w:beforeAutospacing="0" w:after="0" w:afterAutospacing="0"/>
        <w:rPr>
          <w:lang w:val="en-GB" w:eastAsia="en-IE"/>
        </w:rPr>
      </w:pPr>
    </w:p>
    <w:p w14:paraId="6DBF6D19" w14:textId="77777777" w:rsidR="00B63017" w:rsidRPr="00040BEC" w:rsidRDefault="00B63017" w:rsidP="00B63017">
      <w:pPr>
        <w:keepNext/>
        <w:numPr>
          <w:ilvl w:val="0"/>
          <w:numId w:val="17"/>
        </w:numPr>
        <w:suppressAutoHyphens/>
        <w:overflowPunct w:val="0"/>
        <w:autoSpaceDE w:val="0"/>
        <w:autoSpaceDN w:val="0"/>
        <w:adjustRightInd w:val="0"/>
        <w:ind w:left="567" w:hanging="567"/>
        <w:textAlignment w:val="baseline"/>
        <w:rPr>
          <w:rFonts w:cs="Arial"/>
          <w:b/>
          <w:bCs/>
          <w:szCs w:val="20"/>
          <w:lang w:val="en-GB" w:eastAsia="en-IE"/>
        </w:rPr>
      </w:pPr>
      <w:r w:rsidRPr="00040BEC">
        <w:rPr>
          <w:rFonts w:cs="Arial"/>
          <w:b/>
          <w:bCs/>
          <w:szCs w:val="20"/>
          <w:lang w:val="en-GB" w:eastAsia="en-IE"/>
        </w:rPr>
        <w:t>Bulgaria (March 2013)</w:t>
      </w:r>
    </w:p>
    <w:p w14:paraId="63C95A88" w14:textId="77777777" w:rsidR="00B63017" w:rsidRPr="00040BEC" w:rsidRDefault="00B63017" w:rsidP="00B63017">
      <w:pPr>
        <w:keepNext/>
        <w:overflowPunct w:val="0"/>
        <w:autoSpaceDE w:val="0"/>
        <w:autoSpaceDN w:val="0"/>
        <w:adjustRightInd w:val="0"/>
        <w:jc w:val="center"/>
        <w:textAlignment w:val="baseline"/>
        <w:rPr>
          <w:rFonts w:cs="Arial"/>
          <w:szCs w:val="20"/>
          <w:lang w:val="en-GB" w:eastAsia="nl-NL"/>
        </w:rPr>
      </w:pPr>
    </w:p>
    <w:p w14:paraId="3EA2F663" w14:textId="77777777" w:rsidR="00B63017" w:rsidRPr="00040BEC" w:rsidRDefault="00B63017" w:rsidP="00B63017">
      <w:pPr>
        <w:keepNext/>
        <w:overflowPunct w:val="0"/>
        <w:autoSpaceDE w:val="0"/>
        <w:autoSpaceDN w:val="0"/>
        <w:adjustRightInd w:val="0"/>
        <w:textAlignment w:val="baseline"/>
        <w:rPr>
          <w:rFonts w:cs="Arial"/>
          <w:b/>
          <w:szCs w:val="20"/>
          <w:lang w:val="en-GB" w:eastAsia="nl-NL"/>
        </w:rPr>
      </w:pPr>
      <w:r w:rsidRPr="00040BEC">
        <w:rPr>
          <w:rFonts w:cs="Arial"/>
          <w:b/>
          <w:szCs w:val="20"/>
          <w:lang w:val="en-GB" w:eastAsia="nl-NL"/>
        </w:rPr>
        <w:t xml:space="preserve">1900-1920 MHz / 2010-2025 MHz (unpaired frequency arrangement) </w:t>
      </w:r>
    </w:p>
    <w:tbl>
      <w:tblPr>
        <w:tblW w:w="98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35"/>
        <w:gridCol w:w="1842"/>
        <w:gridCol w:w="2021"/>
        <w:gridCol w:w="3792"/>
      </w:tblGrid>
      <w:tr w:rsidR="00B63017" w:rsidRPr="00040BEC" w14:paraId="40F9BEEA" w14:textId="77777777" w:rsidTr="00F828D7">
        <w:trPr>
          <w:trHeight w:val="435"/>
        </w:trPr>
        <w:tc>
          <w:tcPr>
            <w:tcW w:w="2235" w:type="dxa"/>
            <w:vAlign w:val="center"/>
          </w:tcPr>
          <w:p w14:paraId="0CD30BC9" w14:textId="77777777" w:rsidR="00B63017" w:rsidRPr="00040BEC" w:rsidRDefault="00B63017" w:rsidP="00E72FF9">
            <w:pPr>
              <w:keepNext/>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Operator</w:t>
            </w:r>
          </w:p>
        </w:tc>
        <w:tc>
          <w:tcPr>
            <w:tcW w:w="1842" w:type="dxa"/>
            <w:vAlign w:val="center"/>
          </w:tcPr>
          <w:p w14:paraId="1777CD01" w14:textId="77777777" w:rsidR="00B63017" w:rsidRPr="00040BEC" w:rsidRDefault="00B63017" w:rsidP="00E72FF9">
            <w:pPr>
              <w:keepNext/>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Frequencies</w:t>
            </w:r>
          </w:p>
        </w:tc>
        <w:tc>
          <w:tcPr>
            <w:tcW w:w="2021" w:type="dxa"/>
            <w:vAlign w:val="center"/>
          </w:tcPr>
          <w:p w14:paraId="6A004E91" w14:textId="77777777" w:rsidR="00B63017" w:rsidRPr="00040BEC" w:rsidRDefault="00B63017" w:rsidP="00E72FF9">
            <w:pPr>
              <w:keepNext/>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Technology in use (optional)</w:t>
            </w:r>
          </w:p>
        </w:tc>
        <w:tc>
          <w:tcPr>
            <w:tcW w:w="3792" w:type="dxa"/>
            <w:vAlign w:val="center"/>
          </w:tcPr>
          <w:p w14:paraId="28D2FB27" w14:textId="77777777" w:rsidR="00B63017" w:rsidRPr="00040BEC" w:rsidRDefault="00B63017" w:rsidP="00E72FF9">
            <w:pPr>
              <w:keepNext/>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Licence duration, tradability</w:t>
            </w:r>
          </w:p>
        </w:tc>
      </w:tr>
      <w:tr w:rsidR="00B63017" w:rsidRPr="00040BEC" w14:paraId="4989D16E" w14:textId="77777777" w:rsidTr="00F828D7">
        <w:trPr>
          <w:trHeight w:val="349"/>
        </w:trPr>
        <w:tc>
          <w:tcPr>
            <w:tcW w:w="2235" w:type="dxa"/>
            <w:vAlign w:val="center"/>
          </w:tcPr>
          <w:p w14:paraId="481DF63E" w14:textId="77777777" w:rsidR="00B63017" w:rsidRPr="00040BEC" w:rsidRDefault="00B63017" w:rsidP="00E72FF9">
            <w:pPr>
              <w:keepNext/>
              <w:overflowPunct w:val="0"/>
              <w:autoSpaceDE w:val="0"/>
              <w:autoSpaceDN w:val="0"/>
              <w:adjustRightInd w:val="0"/>
              <w:textAlignment w:val="baseline"/>
              <w:rPr>
                <w:rFonts w:cs="Arial"/>
                <w:szCs w:val="20"/>
                <w:lang w:val="en-GB" w:eastAsia="nl-NL"/>
              </w:rPr>
            </w:pPr>
            <w:proofErr w:type="spellStart"/>
            <w:r w:rsidRPr="00040BEC">
              <w:rPr>
                <w:rFonts w:cs="Arial"/>
                <w:szCs w:val="20"/>
                <w:lang w:val="en-GB" w:eastAsia="nl-NL"/>
              </w:rPr>
              <w:t>Mobiltel</w:t>
            </w:r>
            <w:proofErr w:type="spellEnd"/>
            <w:r w:rsidRPr="00040BEC">
              <w:rPr>
                <w:rFonts w:cs="Arial"/>
                <w:szCs w:val="20"/>
                <w:lang w:val="en-GB" w:eastAsia="nl-NL"/>
              </w:rPr>
              <w:t xml:space="preserve"> ЕAD</w:t>
            </w:r>
          </w:p>
        </w:tc>
        <w:tc>
          <w:tcPr>
            <w:tcW w:w="1842" w:type="dxa"/>
            <w:vAlign w:val="center"/>
          </w:tcPr>
          <w:p w14:paraId="407C7D31" w14:textId="77777777" w:rsidR="00B63017" w:rsidRPr="00040BEC" w:rsidRDefault="00B63017" w:rsidP="00E72FF9">
            <w:pPr>
              <w:keepNext/>
              <w:overflowPunct w:val="0"/>
              <w:autoSpaceDE w:val="0"/>
              <w:autoSpaceDN w:val="0"/>
              <w:adjustRightInd w:val="0"/>
              <w:textAlignment w:val="baseline"/>
              <w:rPr>
                <w:rFonts w:cs="Arial"/>
                <w:szCs w:val="20"/>
                <w:lang w:val="en-GB" w:eastAsia="nl-NL"/>
              </w:rPr>
            </w:pPr>
            <w:r w:rsidRPr="00040BEC">
              <w:rPr>
                <w:rFonts w:cs="Arial"/>
                <w:szCs w:val="20"/>
                <w:lang w:val="en-GB" w:eastAsia="nl-NL"/>
              </w:rPr>
              <w:t>2010-2015 MHz</w:t>
            </w:r>
          </w:p>
        </w:tc>
        <w:tc>
          <w:tcPr>
            <w:tcW w:w="2021" w:type="dxa"/>
            <w:vAlign w:val="center"/>
          </w:tcPr>
          <w:p w14:paraId="02DBA462" w14:textId="77777777" w:rsidR="00B63017" w:rsidRPr="00040BEC" w:rsidRDefault="00B63017" w:rsidP="00E72FF9">
            <w:pPr>
              <w:keepNext/>
              <w:overflowPunct w:val="0"/>
              <w:autoSpaceDE w:val="0"/>
              <w:autoSpaceDN w:val="0"/>
              <w:adjustRightInd w:val="0"/>
              <w:textAlignment w:val="baseline"/>
              <w:rPr>
                <w:rFonts w:cs="Arial"/>
                <w:szCs w:val="20"/>
                <w:lang w:val="en-GB" w:eastAsia="nl-NL"/>
              </w:rPr>
            </w:pPr>
            <w:r w:rsidRPr="00040BEC">
              <w:rPr>
                <w:rFonts w:cs="Arial"/>
                <w:szCs w:val="20"/>
                <w:lang w:val="en-GB" w:eastAsia="nl-NL"/>
              </w:rPr>
              <w:t>UTRA TDD</w:t>
            </w:r>
          </w:p>
        </w:tc>
        <w:tc>
          <w:tcPr>
            <w:tcW w:w="3792" w:type="dxa"/>
            <w:vAlign w:val="center"/>
          </w:tcPr>
          <w:p w14:paraId="3F3E0670" w14:textId="77777777" w:rsidR="00B63017" w:rsidRPr="00040BEC" w:rsidRDefault="00B63017" w:rsidP="00E72FF9">
            <w:pPr>
              <w:keepNext/>
              <w:overflowPunct w:val="0"/>
              <w:autoSpaceDE w:val="0"/>
              <w:autoSpaceDN w:val="0"/>
              <w:adjustRightInd w:val="0"/>
              <w:textAlignment w:val="baseline"/>
              <w:rPr>
                <w:rFonts w:cs="Arial"/>
                <w:szCs w:val="20"/>
                <w:lang w:val="en-GB" w:eastAsia="nl-NL"/>
              </w:rPr>
            </w:pPr>
            <w:r w:rsidRPr="00040BEC">
              <w:rPr>
                <w:rFonts w:cs="Arial"/>
                <w:szCs w:val="20"/>
                <w:lang w:val="en-GB" w:eastAsia="nl-NL"/>
              </w:rPr>
              <w:t>25.04.2005 - 25.04.2025,</w:t>
            </w:r>
            <w:r w:rsidRPr="00040BEC">
              <w:rPr>
                <w:rFonts w:cs="Arial"/>
                <w:bCs/>
                <w:szCs w:val="20"/>
                <w:lang w:val="en-GB" w:eastAsia="nl-NL"/>
              </w:rPr>
              <w:t xml:space="preserve"> transferable</w:t>
            </w:r>
          </w:p>
        </w:tc>
      </w:tr>
      <w:tr w:rsidR="00B63017" w:rsidRPr="00040BEC" w14:paraId="01848F26" w14:textId="77777777" w:rsidTr="00F828D7">
        <w:trPr>
          <w:trHeight w:val="457"/>
        </w:trPr>
        <w:tc>
          <w:tcPr>
            <w:tcW w:w="2235" w:type="dxa"/>
            <w:vAlign w:val="center"/>
          </w:tcPr>
          <w:p w14:paraId="4734322A" w14:textId="77777777" w:rsidR="00B63017" w:rsidRPr="00040BEC" w:rsidRDefault="00B63017" w:rsidP="00E72FF9">
            <w:pPr>
              <w:keepNext/>
              <w:overflowPunct w:val="0"/>
              <w:autoSpaceDE w:val="0"/>
              <w:autoSpaceDN w:val="0"/>
              <w:adjustRightInd w:val="0"/>
              <w:textAlignment w:val="baseline"/>
              <w:rPr>
                <w:rFonts w:cs="Arial"/>
                <w:szCs w:val="20"/>
                <w:lang w:val="en-GB" w:eastAsia="nl-NL"/>
              </w:rPr>
            </w:pPr>
            <w:r w:rsidRPr="00040BEC">
              <w:rPr>
                <w:rFonts w:cs="Arial"/>
                <w:szCs w:val="20"/>
                <w:lang w:val="en-GB" w:eastAsia="nl-NL"/>
              </w:rPr>
              <w:t>Cosmo Bulgaria Mobile EAD</w:t>
            </w:r>
          </w:p>
        </w:tc>
        <w:tc>
          <w:tcPr>
            <w:tcW w:w="1842" w:type="dxa"/>
            <w:vAlign w:val="center"/>
          </w:tcPr>
          <w:p w14:paraId="387560DB" w14:textId="77777777" w:rsidR="00B63017" w:rsidRPr="00040BEC" w:rsidRDefault="00B63017" w:rsidP="00E72FF9">
            <w:pPr>
              <w:keepNext/>
              <w:overflowPunct w:val="0"/>
              <w:autoSpaceDE w:val="0"/>
              <w:autoSpaceDN w:val="0"/>
              <w:adjustRightInd w:val="0"/>
              <w:textAlignment w:val="baseline"/>
              <w:rPr>
                <w:rFonts w:cs="Arial"/>
                <w:szCs w:val="20"/>
                <w:lang w:val="en-GB" w:eastAsia="nl-NL"/>
              </w:rPr>
            </w:pPr>
            <w:r w:rsidRPr="00040BEC">
              <w:rPr>
                <w:rFonts w:cs="Arial"/>
                <w:szCs w:val="20"/>
                <w:lang w:val="en-GB" w:eastAsia="nl-NL"/>
              </w:rPr>
              <w:t>2020-2025 MHz</w:t>
            </w:r>
          </w:p>
        </w:tc>
        <w:tc>
          <w:tcPr>
            <w:tcW w:w="2021" w:type="dxa"/>
            <w:vAlign w:val="center"/>
          </w:tcPr>
          <w:p w14:paraId="0A11851B" w14:textId="77777777" w:rsidR="00B63017" w:rsidRPr="00040BEC" w:rsidRDefault="00B63017" w:rsidP="00E72FF9">
            <w:pPr>
              <w:keepNext/>
              <w:overflowPunct w:val="0"/>
              <w:autoSpaceDE w:val="0"/>
              <w:autoSpaceDN w:val="0"/>
              <w:adjustRightInd w:val="0"/>
              <w:textAlignment w:val="baseline"/>
              <w:rPr>
                <w:rFonts w:cs="Arial"/>
                <w:szCs w:val="20"/>
                <w:lang w:val="en-GB" w:eastAsia="nl-NL"/>
              </w:rPr>
            </w:pPr>
            <w:r w:rsidRPr="00040BEC">
              <w:rPr>
                <w:rFonts w:cs="Arial"/>
                <w:szCs w:val="20"/>
                <w:lang w:val="en-GB" w:eastAsia="nl-NL"/>
              </w:rPr>
              <w:t>UTRA TDD</w:t>
            </w:r>
          </w:p>
        </w:tc>
        <w:tc>
          <w:tcPr>
            <w:tcW w:w="3792" w:type="dxa"/>
            <w:vAlign w:val="center"/>
          </w:tcPr>
          <w:p w14:paraId="5D2C2497" w14:textId="77777777" w:rsidR="00B63017" w:rsidRPr="00040BEC" w:rsidRDefault="00B63017" w:rsidP="00E72FF9">
            <w:pPr>
              <w:keepNext/>
              <w:overflowPunct w:val="0"/>
              <w:autoSpaceDE w:val="0"/>
              <w:autoSpaceDN w:val="0"/>
              <w:adjustRightInd w:val="0"/>
              <w:textAlignment w:val="baseline"/>
              <w:rPr>
                <w:rFonts w:cs="Arial"/>
                <w:szCs w:val="20"/>
                <w:lang w:val="en-GB" w:eastAsia="nl-NL"/>
              </w:rPr>
            </w:pPr>
            <w:r w:rsidRPr="00040BEC">
              <w:rPr>
                <w:rFonts w:cs="Arial"/>
                <w:szCs w:val="20"/>
                <w:lang w:val="en-GB" w:eastAsia="nl-NL"/>
              </w:rPr>
              <w:t>25.04.2005 - 25.04.2025,</w:t>
            </w:r>
            <w:r w:rsidRPr="00040BEC">
              <w:rPr>
                <w:rFonts w:cs="Arial"/>
                <w:bCs/>
                <w:szCs w:val="20"/>
                <w:lang w:val="en-GB" w:eastAsia="nl-NL"/>
              </w:rPr>
              <w:t xml:space="preserve"> transferable</w:t>
            </w:r>
          </w:p>
        </w:tc>
      </w:tr>
      <w:tr w:rsidR="00B63017" w:rsidRPr="00040BEC" w14:paraId="6755A2A7" w14:textId="77777777" w:rsidTr="00F828D7">
        <w:trPr>
          <w:trHeight w:val="420"/>
        </w:trPr>
        <w:tc>
          <w:tcPr>
            <w:tcW w:w="2235" w:type="dxa"/>
            <w:vAlign w:val="center"/>
          </w:tcPr>
          <w:p w14:paraId="5574538F"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Bulgarian Telecommunications Company AD</w:t>
            </w:r>
          </w:p>
        </w:tc>
        <w:tc>
          <w:tcPr>
            <w:tcW w:w="1842" w:type="dxa"/>
            <w:vAlign w:val="center"/>
          </w:tcPr>
          <w:p w14:paraId="6AB67BF9"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2015-2020 MHz</w:t>
            </w:r>
          </w:p>
        </w:tc>
        <w:tc>
          <w:tcPr>
            <w:tcW w:w="2021" w:type="dxa"/>
            <w:vAlign w:val="center"/>
          </w:tcPr>
          <w:p w14:paraId="75BF01C1"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UTRA TDD</w:t>
            </w:r>
          </w:p>
        </w:tc>
        <w:tc>
          <w:tcPr>
            <w:tcW w:w="3792" w:type="dxa"/>
            <w:vAlign w:val="center"/>
          </w:tcPr>
          <w:p w14:paraId="3BB34472"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 xml:space="preserve">25.04.2005 - 25.04.2025, </w:t>
            </w:r>
            <w:r w:rsidRPr="00040BEC">
              <w:rPr>
                <w:rFonts w:cs="Arial"/>
                <w:bCs/>
                <w:szCs w:val="20"/>
                <w:lang w:val="en-GB" w:eastAsia="nl-NL"/>
              </w:rPr>
              <w:t>transferable</w:t>
            </w:r>
          </w:p>
        </w:tc>
      </w:tr>
    </w:tbl>
    <w:p w14:paraId="5B4DC752" w14:textId="77777777" w:rsidR="00B63017" w:rsidRPr="00040BEC" w:rsidRDefault="00B63017" w:rsidP="00B63017">
      <w:pPr>
        <w:overflowPunct w:val="0"/>
        <w:autoSpaceDE w:val="0"/>
        <w:autoSpaceDN w:val="0"/>
        <w:adjustRightInd w:val="0"/>
        <w:jc w:val="center"/>
        <w:textAlignment w:val="baseline"/>
        <w:rPr>
          <w:rFonts w:cs="Arial"/>
          <w:szCs w:val="20"/>
          <w:lang w:val="en-GB" w:eastAsia="nl-NL"/>
        </w:rPr>
      </w:pPr>
    </w:p>
    <w:p w14:paraId="51E468C8" w14:textId="77777777" w:rsidR="00B63017" w:rsidRPr="00040BEC" w:rsidRDefault="00B63017" w:rsidP="00B63017">
      <w:pPr>
        <w:numPr>
          <w:ilvl w:val="0"/>
          <w:numId w:val="17"/>
        </w:numPr>
        <w:suppressAutoHyphens/>
        <w:overflowPunct w:val="0"/>
        <w:autoSpaceDE w:val="0"/>
        <w:autoSpaceDN w:val="0"/>
        <w:adjustRightInd w:val="0"/>
        <w:ind w:left="567" w:hanging="567"/>
        <w:textAlignment w:val="baseline"/>
        <w:rPr>
          <w:rFonts w:cs="Arial"/>
          <w:b/>
          <w:bCs/>
          <w:szCs w:val="20"/>
          <w:lang w:val="en-GB" w:eastAsia="en-IE"/>
        </w:rPr>
      </w:pPr>
      <w:r w:rsidRPr="00040BEC">
        <w:rPr>
          <w:rFonts w:cs="Arial"/>
          <w:b/>
          <w:bCs/>
          <w:szCs w:val="20"/>
          <w:lang w:val="en-GB" w:eastAsia="en-IE"/>
        </w:rPr>
        <w:t>Croatia (January 201</w:t>
      </w:r>
      <w:r w:rsidR="00E46336" w:rsidRPr="00040BEC">
        <w:rPr>
          <w:rFonts w:cs="Arial"/>
          <w:b/>
          <w:bCs/>
          <w:szCs w:val="20"/>
          <w:lang w:val="en-GB" w:eastAsia="en-IE"/>
        </w:rPr>
        <w:t>4</w:t>
      </w:r>
      <w:r w:rsidRPr="00040BEC">
        <w:rPr>
          <w:rFonts w:cs="Arial"/>
          <w:b/>
          <w:bCs/>
          <w:szCs w:val="20"/>
          <w:lang w:val="en-GB" w:eastAsia="en-IE"/>
        </w:rPr>
        <w:t>)</w:t>
      </w:r>
    </w:p>
    <w:p w14:paraId="4294B23F" w14:textId="77777777" w:rsidR="00B63017" w:rsidRPr="00040BEC" w:rsidRDefault="00B63017" w:rsidP="00B63017">
      <w:pPr>
        <w:overflowPunct w:val="0"/>
        <w:autoSpaceDE w:val="0"/>
        <w:autoSpaceDN w:val="0"/>
        <w:adjustRightInd w:val="0"/>
        <w:jc w:val="center"/>
        <w:textAlignment w:val="baseline"/>
        <w:rPr>
          <w:rFonts w:cs="Arial"/>
          <w:b/>
          <w:szCs w:val="20"/>
          <w:lang w:val="en-GB" w:eastAsia="nl-NL"/>
        </w:rPr>
      </w:pPr>
    </w:p>
    <w:p w14:paraId="5D8702D0" w14:textId="77777777" w:rsidR="00B63017" w:rsidRPr="00040BEC" w:rsidRDefault="00B63017" w:rsidP="00B63017">
      <w:pPr>
        <w:overflowPunct w:val="0"/>
        <w:autoSpaceDE w:val="0"/>
        <w:autoSpaceDN w:val="0"/>
        <w:adjustRightInd w:val="0"/>
        <w:textAlignment w:val="baseline"/>
        <w:rPr>
          <w:rFonts w:cs="Arial"/>
          <w:b/>
          <w:szCs w:val="20"/>
          <w:lang w:val="en-GB" w:eastAsia="nl-NL"/>
        </w:rPr>
      </w:pPr>
      <w:r w:rsidRPr="00040BEC">
        <w:rPr>
          <w:rFonts w:cs="Arial"/>
          <w:b/>
          <w:szCs w:val="20"/>
          <w:lang w:val="en-GB" w:eastAsia="nl-NL"/>
        </w:rPr>
        <w:t>1900-1920 MHz / 2010-2025 MHz (unpaired frequency arrangement)</w:t>
      </w:r>
    </w:p>
    <w:tbl>
      <w:tblPr>
        <w:tblW w:w="98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35"/>
        <w:gridCol w:w="1842"/>
        <w:gridCol w:w="1985"/>
        <w:gridCol w:w="3828"/>
      </w:tblGrid>
      <w:tr w:rsidR="00B63017" w:rsidRPr="00040BEC" w14:paraId="4A8A3FAF" w14:textId="77777777" w:rsidTr="00F828D7">
        <w:trPr>
          <w:trHeight w:val="403"/>
        </w:trPr>
        <w:tc>
          <w:tcPr>
            <w:tcW w:w="2235" w:type="dxa"/>
            <w:vAlign w:val="center"/>
          </w:tcPr>
          <w:p w14:paraId="1F83BCEE"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Operator</w:t>
            </w:r>
          </w:p>
        </w:tc>
        <w:tc>
          <w:tcPr>
            <w:tcW w:w="1842" w:type="dxa"/>
            <w:vAlign w:val="center"/>
          </w:tcPr>
          <w:p w14:paraId="1BF3C85C"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Frequencies</w:t>
            </w:r>
          </w:p>
        </w:tc>
        <w:tc>
          <w:tcPr>
            <w:tcW w:w="1985" w:type="dxa"/>
            <w:vAlign w:val="center"/>
          </w:tcPr>
          <w:p w14:paraId="725A395A"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Technology in use (optional)</w:t>
            </w:r>
          </w:p>
        </w:tc>
        <w:tc>
          <w:tcPr>
            <w:tcW w:w="3828" w:type="dxa"/>
            <w:vAlign w:val="center"/>
          </w:tcPr>
          <w:p w14:paraId="0A5719ED"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Licence duration, tradability</w:t>
            </w:r>
          </w:p>
        </w:tc>
      </w:tr>
      <w:tr w:rsidR="00B63017" w:rsidRPr="00040BEC" w14:paraId="29D5D930" w14:textId="77777777" w:rsidTr="00F828D7">
        <w:trPr>
          <w:trHeight w:val="420"/>
        </w:trPr>
        <w:tc>
          <w:tcPr>
            <w:tcW w:w="2235" w:type="dxa"/>
          </w:tcPr>
          <w:p w14:paraId="34BA0B52"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T-Mobile</w:t>
            </w:r>
          </w:p>
        </w:tc>
        <w:tc>
          <w:tcPr>
            <w:tcW w:w="1842" w:type="dxa"/>
          </w:tcPr>
          <w:p w14:paraId="60510E19"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1900 - 1905 MHz</w:t>
            </w:r>
          </w:p>
        </w:tc>
        <w:tc>
          <w:tcPr>
            <w:tcW w:w="1985" w:type="dxa"/>
          </w:tcPr>
          <w:p w14:paraId="2096AF99"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TDD</w:t>
            </w:r>
          </w:p>
        </w:tc>
        <w:tc>
          <w:tcPr>
            <w:tcW w:w="3828" w:type="dxa"/>
          </w:tcPr>
          <w:p w14:paraId="4FDB443E"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OCT 2004 – OCT 2024, not tradable</w:t>
            </w:r>
          </w:p>
        </w:tc>
      </w:tr>
      <w:tr w:rsidR="00B63017" w:rsidRPr="00040BEC" w14:paraId="6BD46F12" w14:textId="77777777" w:rsidTr="00F828D7">
        <w:trPr>
          <w:trHeight w:val="420"/>
        </w:trPr>
        <w:tc>
          <w:tcPr>
            <w:tcW w:w="2235" w:type="dxa"/>
          </w:tcPr>
          <w:p w14:paraId="0BF9D80A"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Tele 2</w:t>
            </w:r>
          </w:p>
        </w:tc>
        <w:tc>
          <w:tcPr>
            <w:tcW w:w="1842" w:type="dxa"/>
          </w:tcPr>
          <w:p w14:paraId="0AE1A3B2"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1905 - 1910 MHz</w:t>
            </w:r>
          </w:p>
        </w:tc>
        <w:tc>
          <w:tcPr>
            <w:tcW w:w="1985" w:type="dxa"/>
          </w:tcPr>
          <w:p w14:paraId="0D518FA7"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TDD</w:t>
            </w:r>
          </w:p>
        </w:tc>
        <w:tc>
          <w:tcPr>
            <w:tcW w:w="3828" w:type="dxa"/>
          </w:tcPr>
          <w:p w14:paraId="0D009EB0" w14:textId="77777777" w:rsidR="00B63017" w:rsidRPr="00040BEC" w:rsidRDefault="00B63017" w:rsidP="00E72FF9">
            <w:pPr>
              <w:keepNext/>
              <w:overflowPunct w:val="0"/>
              <w:autoSpaceDE w:val="0"/>
              <w:autoSpaceDN w:val="0"/>
              <w:adjustRightInd w:val="0"/>
              <w:textAlignment w:val="baseline"/>
              <w:rPr>
                <w:rFonts w:cs="Arial"/>
                <w:szCs w:val="20"/>
                <w:lang w:val="en-GB" w:eastAsia="nl-NL"/>
              </w:rPr>
            </w:pPr>
            <w:r w:rsidRPr="00040BEC">
              <w:rPr>
                <w:rFonts w:cs="Arial"/>
                <w:szCs w:val="20"/>
                <w:lang w:val="en-GB" w:eastAsia="nl-NL"/>
              </w:rPr>
              <w:t>DEC 2004 – DEC 2024,not tradable</w:t>
            </w:r>
          </w:p>
        </w:tc>
      </w:tr>
      <w:tr w:rsidR="00B63017" w:rsidRPr="00040BEC" w14:paraId="2326230D" w14:textId="77777777" w:rsidTr="00F828D7">
        <w:trPr>
          <w:trHeight w:val="420"/>
        </w:trPr>
        <w:tc>
          <w:tcPr>
            <w:tcW w:w="2235" w:type="dxa"/>
          </w:tcPr>
          <w:p w14:paraId="4FB5FB07" w14:textId="77777777" w:rsidR="00B63017" w:rsidRPr="00040BEC" w:rsidRDefault="00B63017" w:rsidP="00E72FF9">
            <w:pPr>
              <w:overflowPunct w:val="0"/>
              <w:autoSpaceDE w:val="0"/>
              <w:autoSpaceDN w:val="0"/>
              <w:adjustRightInd w:val="0"/>
              <w:textAlignment w:val="baseline"/>
              <w:rPr>
                <w:rFonts w:cs="Arial"/>
                <w:szCs w:val="20"/>
                <w:lang w:val="en-GB" w:eastAsia="nl-NL"/>
              </w:rPr>
            </w:pPr>
            <w:proofErr w:type="spellStart"/>
            <w:r w:rsidRPr="00040BEC">
              <w:rPr>
                <w:rFonts w:cs="Arial"/>
                <w:szCs w:val="20"/>
                <w:lang w:val="en-GB" w:eastAsia="nl-NL"/>
              </w:rPr>
              <w:t>VIPnet</w:t>
            </w:r>
            <w:proofErr w:type="spellEnd"/>
          </w:p>
        </w:tc>
        <w:tc>
          <w:tcPr>
            <w:tcW w:w="1842" w:type="dxa"/>
          </w:tcPr>
          <w:p w14:paraId="136C0E31"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1910 - 1915 MHz</w:t>
            </w:r>
          </w:p>
        </w:tc>
        <w:tc>
          <w:tcPr>
            <w:tcW w:w="1985" w:type="dxa"/>
          </w:tcPr>
          <w:p w14:paraId="33692EB1"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TDD</w:t>
            </w:r>
          </w:p>
        </w:tc>
        <w:tc>
          <w:tcPr>
            <w:tcW w:w="3828" w:type="dxa"/>
          </w:tcPr>
          <w:p w14:paraId="6530FB50"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OCT 2004 – OCT 2024,not tradable</w:t>
            </w:r>
          </w:p>
        </w:tc>
      </w:tr>
    </w:tbl>
    <w:p w14:paraId="091B6E49" w14:textId="77777777" w:rsidR="00B63017" w:rsidRPr="00040BEC" w:rsidRDefault="00B63017" w:rsidP="00B63017">
      <w:pPr>
        <w:overflowPunct w:val="0"/>
        <w:autoSpaceDE w:val="0"/>
        <w:autoSpaceDN w:val="0"/>
        <w:adjustRightInd w:val="0"/>
        <w:textAlignment w:val="baseline"/>
        <w:rPr>
          <w:rFonts w:cs="Arial"/>
          <w:szCs w:val="20"/>
          <w:lang w:val="en-GB" w:eastAsia="nl-NL"/>
        </w:rPr>
      </w:pPr>
    </w:p>
    <w:p w14:paraId="7C62A1B6" w14:textId="77777777" w:rsidR="00B63017" w:rsidRPr="00040BEC" w:rsidRDefault="00B63017" w:rsidP="00B63017">
      <w:pPr>
        <w:numPr>
          <w:ilvl w:val="0"/>
          <w:numId w:val="17"/>
        </w:numPr>
        <w:suppressAutoHyphens/>
        <w:overflowPunct w:val="0"/>
        <w:autoSpaceDE w:val="0"/>
        <w:autoSpaceDN w:val="0"/>
        <w:adjustRightInd w:val="0"/>
        <w:ind w:left="567" w:hanging="567"/>
        <w:textAlignment w:val="baseline"/>
        <w:rPr>
          <w:rFonts w:cs="Arial"/>
          <w:b/>
          <w:bCs/>
          <w:szCs w:val="20"/>
          <w:lang w:val="en-GB" w:eastAsia="en-IE"/>
        </w:rPr>
      </w:pPr>
      <w:r w:rsidRPr="00040BEC">
        <w:rPr>
          <w:rFonts w:cs="Arial"/>
          <w:b/>
          <w:bCs/>
          <w:szCs w:val="20"/>
          <w:lang w:val="en-GB" w:eastAsia="en-IE"/>
        </w:rPr>
        <w:t>Cyprus (</w:t>
      </w:r>
      <w:r w:rsidR="00E41ACA" w:rsidRPr="00040BEC">
        <w:rPr>
          <w:rFonts w:cs="Arial"/>
          <w:b/>
          <w:bCs/>
          <w:szCs w:val="20"/>
          <w:lang w:val="en-GB" w:eastAsia="en-IE"/>
        </w:rPr>
        <w:t>February 2014</w:t>
      </w:r>
      <w:r w:rsidRPr="00040BEC">
        <w:rPr>
          <w:rFonts w:cs="Arial"/>
          <w:b/>
          <w:bCs/>
          <w:szCs w:val="20"/>
          <w:lang w:val="en-GB" w:eastAsia="en-IE"/>
        </w:rPr>
        <w:t>)</w:t>
      </w:r>
    </w:p>
    <w:p w14:paraId="6EE2AFFC" w14:textId="77777777" w:rsidR="00E41ACA" w:rsidRDefault="00E41ACA" w:rsidP="00E41ACA">
      <w:pPr>
        <w:overflowPunct w:val="0"/>
        <w:autoSpaceDE w:val="0"/>
        <w:autoSpaceDN w:val="0"/>
        <w:adjustRightInd w:val="0"/>
        <w:textAlignment w:val="baseline"/>
        <w:rPr>
          <w:rFonts w:cs="Arial"/>
          <w:b/>
          <w:szCs w:val="20"/>
          <w:lang w:val="en-GB" w:eastAsia="nl-NL"/>
        </w:rPr>
      </w:pPr>
      <w:r w:rsidRPr="00040BEC">
        <w:rPr>
          <w:rFonts w:cs="Arial"/>
          <w:b/>
          <w:szCs w:val="20"/>
          <w:lang w:val="en-GB" w:eastAsia="nl-NL"/>
        </w:rPr>
        <w:t>1900-1920 MHz and 2010-2025 MHz (unpaired frequency arrangement)</w:t>
      </w:r>
    </w:p>
    <w:tbl>
      <w:tblPr>
        <w:tblW w:w="98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84"/>
        <w:gridCol w:w="2319"/>
        <w:gridCol w:w="2127"/>
        <w:gridCol w:w="3260"/>
      </w:tblGrid>
      <w:tr w:rsidR="00F828D7" w:rsidRPr="00040BEC" w14:paraId="3B09E8B5" w14:textId="77777777" w:rsidTr="00F828D7">
        <w:trPr>
          <w:trHeight w:val="435"/>
        </w:trPr>
        <w:tc>
          <w:tcPr>
            <w:tcW w:w="2184" w:type="dxa"/>
            <w:vAlign w:val="center"/>
          </w:tcPr>
          <w:p w14:paraId="1D019769" w14:textId="77777777" w:rsidR="00F828D7" w:rsidRPr="00040BEC" w:rsidRDefault="00F828D7" w:rsidP="004C6A33">
            <w:pPr>
              <w:jc w:val="center"/>
              <w:rPr>
                <w:rFonts w:cs="Arial"/>
                <w:b/>
                <w:szCs w:val="20"/>
                <w:lang w:val="en-GB"/>
              </w:rPr>
            </w:pPr>
            <w:r w:rsidRPr="00040BEC">
              <w:rPr>
                <w:rFonts w:cs="Arial"/>
                <w:b/>
                <w:szCs w:val="20"/>
                <w:lang w:val="en-GB"/>
              </w:rPr>
              <w:t>Operator</w:t>
            </w:r>
          </w:p>
        </w:tc>
        <w:tc>
          <w:tcPr>
            <w:tcW w:w="2319" w:type="dxa"/>
            <w:vAlign w:val="center"/>
          </w:tcPr>
          <w:p w14:paraId="611A4A9E" w14:textId="77777777" w:rsidR="00F828D7" w:rsidRPr="00040BEC" w:rsidRDefault="00F828D7" w:rsidP="004C6A33">
            <w:pPr>
              <w:jc w:val="center"/>
              <w:rPr>
                <w:rFonts w:cs="Arial"/>
                <w:b/>
                <w:szCs w:val="20"/>
                <w:lang w:val="en-GB"/>
              </w:rPr>
            </w:pPr>
            <w:r w:rsidRPr="00040BEC">
              <w:rPr>
                <w:rFonts w:cs="Arial"/>
                <w:b/>
                <w:szCs w:val="20"/>
                <w:lang w:val="en-GB"/>
              </w:rPr>
              <w:t>Frequency band licensed</w:t>
            </w:r>
          </w:p>
        </w:tc>
        <w:tc>
          <w:tcPr>
            <w:tcW w:w="2127" w:type="dxa"/>
            <w:vAlign w:val="center"/>
          </w:tcPr>
          <w:p w14:paraId="48AD876F" w14:textId="77777777" w:rsidR="00F828D7" w:rsidRPr="00040BEC" w:rsidRDefault="00F828D7" w:rsidP="004C6A33">
            <w:pPr>
              <w:jc w:val="center"/>
              <w:rPr>
                <w:rFonts w:cs="Arial"/>
                <w:b/>
                <w:szCs w:val="20"/>
                <w:lang w:val="en-GB"/>
              </w:rPr>
            </w:pPr>
            <w:r w:rsidRPr="00040BEC">
              <w:rPr>
                <w:rFonts w:cs="Arial"/>
                <w:b/>
                <w:szCs w:val="20"/>
                <w:lang w:val="en-GB"/>
              </w:rPr>
              <w:t>Technology in use (optional)</w:t>
            </w:r>
          </w:p>
        </w:tc>
        <w:tc>
          <w:tcPr>
            <w:tcW w:w="3260" w:type="dxa"/>
            <w:vAlign w:val="center"/>
          </w:tcPr>
          <w:p w14:paraId="443186B7" w14:textId="670FAD60" w:rsidR="00F828D7" w:rsidRPr="00040BEC" w:rsidRDefault="00F828D7" w:rsidP="00F828D7">
            <w:pPr>
              <w:jc w:val="center"/>
              <w:rPr>
                <w:rFonts w:cs="Arial"/>
                <w:b/>
                <w:szCs w:val="20"/>
                <w:lang w:val="en-GB"/>
              </w:rPr>
            </w:pPr>
            <w:r w:rsidRPr="00040BEC">
              <w:rPr>
                <w:rFonts w:cs="Arial"/>
                <w:b/>
                <w:szCs w:val="20"/>
                <w:lang w:val="en-GB"/>
              </w:rPr>
              <w:t>Licence duration, tradability</w:t>
            </w:r>
          </w:p>
        </w:tc>
      </w:tr>
      <w:tr w:rsidR="00F828D7" w:rsidRPr="00040BEC" w14:paraId="60D0DA6B" w14:textId="77777777" w:rsidTr="00F828D7">
        <w:trPr>
          <w:trHeight w:val="628"/>
        </w:trPr>
        <w:tc>
          <w:tcPr>
            <w:tcW w:w="2184" w:type="dxa"/>
            <w:vAlign w:val="center"/>
          </w:tcPr>
          <w:p w14:paraId="06313383" w14:textId="13B57956" w:rsidR="00F828D7" w:rsidRPr="00040BEC" w:rsidRDefault="00F828D7" w:rsidP="00F828D7">
            <w:pPr>
              <w:rPr>
                <w:rFonts w:cs="Arial"/>
                <w:szCs w:val="20"/>
                <w:lang w:val="en-GB"/>
              </w:rPr>
            </w:pPr>
          </w:p>
        </w:tc>
        <w:tc>
          <w:tcPr>
            <w:tcW w:w="4446" w:type="dxa"/>
            <w:gridSpan w:val="2"/>
            <w:vAlign w:val="center"/>
          </w:tcPr>
          <w:p w14:paraId="7CA081C5" w14:textId="793BB2DE" w:rsidR="00F828D7" w:rsidRPr="00040BEC" w:rsidRDefault="00F828D7" w:rsidP="004C6A33">
            <w:pPr>
              <w:rPr>
                <w:rFonts w:cs="Arial"/>
                <w:szCs w:val="20"/>
                <w:lang w:val="en-GB"/>
              </w:rPr>
            </w:pPr>
            <w:r w:rsidRPr="00040BEC">
              <w:rPr>
                <w:iCs/>
                <w:noProof/>
                <w:color w:val="000000"/>
                <w:lang w:val="en-GB"/>
              </w:rPr>
              <w:t>No Assignments</w:t>
            </w:r>
          </w:p>
        </w:tc>
        <w:tc>
          <w:tcPr>
            <w:tcW w:w="3260" w:type="dxa"/>
            <w:vAlign w:val="center"/>
          </w:tcPr>
          <w:p w14:paraId="349F5D73" w14:textId="55DEA1E2" w:rsidR="00F828D7" w:rsidRPr="00040BEC" w:rsidRDefault="00F828D7" w:rsidP="004C6A33">
            <w:pPr>
              <w:rPr>
                <w:rFonts w:cs="Arial"/>
                <w:szCs w:val="20"/>
                <w:lang w:val="en-GB"/>
              </w:rPr>
            </w:pPr>
          </w:p>
        </w:tc>
      </w:tr>
    </w:tbl>
    <w:p w14:paraId="54D9A5ED" w14:textId="77777777" w:rsidR="00E41ACA" w:rsidRPr="00040BEC" w:rsidRDefault="00E41ACA" w:rsidP="00E41ACA">
      <w:pPr>
        <w:suppressAutoHyphens/>
        <w:overflowPunct w:val="0"/>
        <w:autoSpaceDE w:val="0"/>
        <w:autoSpaceDN w:val="0"/>
        <w:adjustRightInd w:val="0"/>
        <w:textAlignment w:val="baseline"/>
        <w:rPr>
          <w:rFonts w:cs="Arial"/>
          <w:b/>
          <w:bCs/>
          <w:szCs w:val="20"/>
          <w:lang w:val="en-GB" w:eastAsia="en-IE"/>
        </w:rPr>
      </w:pPr>
    </w:p>
    <w:p w14:paraId="3CBF58C1" w14:textId="77777777" w:rsidR="00B63017" w:rsidRPr="00040BEC" w:rsidRDefault="00B63017" w:rsidP="00B63017">
      <w:pPr>
        <w:numPr>
          <w:ilvl w:val="0"/>
          <w:numId w:val="17"/>
        </w:numPr>
        <w:suppressAutoHyphens/>
        <w:overflowPunct w:val="0"/>
        <w:autoSpaceDE w:val="0"/>
        <w:autoSpaceDN w:val="0"/>
        <w:adjustRightInd w:val="0"/>
        <w:ind w:left="567" w:hanging="567"/>
        <w:textAlignment w:val="baseline"/>
        <w:rPr>
          <w:rFonts w:cs="Arial"/>
          <w:b/>
          <w:bCs/>
          <w:szCs w:val="20"/>
          <w:lang w:val="en-GB" w:eastAsia="en-IE"/>
        </w:rPr>
      </w:pPr>
      <w:r w:rsidRPr="00040BEC">
        <w:rPr>
          <w:rFonts w:cs="Arial"/>
          <w:b/>
          <w:bCs/>
          <w:szCs w:val="20"/>
          <w:lang w:val="en-GB" w:eastAsia="en-IE"/>
        </w:rPr>
        <w:t>Czech Republic (</w:t>
      </w:r>
      <w:r w:rsidR="00E41ACA" w:rsidRPr="00040BEC">
        <w:rPr>
          <w:rFonts w:cs="Arial"/>
          <w:b/>
          <w:bCs/>
          <w:szCs w:val="20"/>
          <w:lang w:val="en-GB" w:eastAsia="en-IE"/>
        </w:rPr>
        <w:t>February 2014</w:t>
      </w:r>
      <w:r w:rsidRPr="00040BEC">
        <w:rPr>
          <w:rFonts w:cs="Arial"/>
          <w:b/>
          <w:bCs/>
          <w:szCs w:val="20"/>
          <w:lang w:val="en-GB" w:eastAsia="en-IE"/>
        </w:rPr>
        <w:t>)</w:t>
      </w:r>
    </w:p>
    <w:p w14:paraId="13BCADEC" w14:textId="77777777" w:rsidR="00B63017" w:rsidRPr="00040BEC" w:rsidRDefault="00B63017" w:rsidP="00B63017">
      <w:pPr>
        <w:suppressAutoHyphens/>
        <w:rPr>
          <w:rFonts w:cs="Arial"/>
          <w:szCs w:val="20"/>
          <w:lang w:val="en-GB" w:eastAsia="en-IE"/>
        </w:rPr>
      </w:pPr>
    </w:p>
    <w:p w14:paraId="4868E6FD" w14:textId="77777777" w:rsidR="00B63017" w:rsidRPr="00040BEC" w:rsidRDefault="00B63017" w:rsidP="00B63017">
      <w:pPr>
        <w:rPr>
          <w:rFonts w:cs="Arial"/>
          <w:b/>
          <w:szCs w:val="20"/>
          <w:lang w:val="en-GB"/>
        </w:rPr>
      </w:pPr>
      <w:r w:rsidRPr="00040BEC">
        <w:rPr>
          <w:rFonts w:cs="Arial"/>
          <w:b/>
          <w:szCs w:val="20"/>
          <w:lang w:val="en-GB"/>
        </w:rPr>
        <w:t>1900-1920 MHz and 2010-2025 MHz (unpaired frequency arrangement)</w:t>
      </w:r>
    </w:p>
    <w:tbl>
      <w:tblPr>
        <w:tblW w:w="98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84"/>
        <w:gridCol w:w="2319"/>
        <w:gridCol w:w="2127"/>
        <w:gridCol w:w="3260"/>
      </w:tblGrid>
      <w:tr w:rsidR="00B63017" w:rsidRPr="00040BEC" w14:paraId="0C92E7AD" w14:textId="77777777" w:rsidTr="00F828D7">
        <w:trPr>
          <w:trHeight w:val="435"/>
        </w:trPr>
        <w:tc>
          <w:tcPr>
            <w:tcW w:w="2184" w:type="dxa"/>
            <w:vAlign w:val="center"/>
          </w:tcPr>
          <w:p w14:paraId="7B7250D9" w14:textId="77777777" w:rsidR="00B63017" w:rsidRPr="00040BEC" w:rsidRDefault="00B63017" w:rsidP="00E72FF9">
            <w:pPr>
              <w:jc w:val="center"/>
              <w:rPr>
                <w:rFonts w:cs="Arial"/>
                <w:b/>
                <w:szCs w:val="20"/>
                <w:lang w:val="en-GB"/>
              </w:rPr>
            </w:pPr>
            <w:r w:rsidRPr="00040BEC">
              <w:rPr>
                <w:rFonts w:cs="Arial"/>
                <w:b/>
                <w:szCs w:val="20"/>
                <w:lang w:val="en-GB"/>
              </w:rPr>
              <w:t>Operator</w:t>
            </w:r>
          </w:p>
        </w:tc>
        <w:tc>
          <w:tcPr>
            <w:tcW w:w="2319" w:type="dxa"/>
            <w:vAlign w:val="center"/>
          </w:tcPr>
          <w:p w14:paraId="6B9485F9" w14:textId="77777777" w:rsidR="00B63017" w:rsidRPr="00040BEC" w:rsidRDefault="00B63017" w:rsidP="00E72FF9">
            <w:pPr>
              <w:jc w:val="center"/>
              <w:rPr>
                <w:rFonts w:cs="Arial"/>
                <w:b/>
                <w:szCs w:val="20"/>
                <w:lang w:val="en-GB"/>
              </w:rPr>
            </w:pPr>
            <w:r w:rsidRPr="00040BEC">
              <w:rPr>
                <w:rFonts w:cs="Arial"/>
                <w:b/>
                <w:szCs w:val="20"/>
                <w:lang w:val="en-GB"/>
              </w:rPr>
              <w:t>Frequency band licensed</w:t>
            </w:r>
          </w:p>
        </w:tc>
        <w:tc>
          <w:tcPr>
            <w:tcW w:w="2127" w:type="dxa"/>
            <w:vAlign w:val="center"/>
          </w:tcPr>
          <w:p w14:paraId="3BE48616" w14:textId="77777777" w:rsidR="00B63017" w:rsidRPr="00040BEC" w:rsidRDefault="00B63017" w:rsidP="00E72FF9">
            <w:pPr>
              <w:jc w:val="center"/>
              <w:rPr>
                <w:rFonts w:cs="Arial"/>
                <w:b/>
                <w:szCs w:val="20"/>
                <w:lang w:val="en-GB"/>
              </w:rPr>
            </w:pPr>
            <w:r w:rsidRPr="00040BEC">
              <w:rPr>
                <w:rFonts w:cs="Arial"/>
                <w:b/>
                <w:szCs w:val="20"/>
                <w:lang w:val="en-GB"/>
              </w:rPr>
              <w:t>Technology in use (optional)</w:t>
            </w:r>
          </w:p>
        </w:tc>
        <w:tc>
          <w:tcPr>
            <w:tcW w:w="3260" w:type="dxa"/>
            <w:vAlign w:val="center"/>
          </w:tcPr>
          <w:p w14:paraId="48F8D1BC" w14:textId="77777777" w:rsidR="00B63017" w:rsidRPr="00040BEC" w:rsidRDefault="00B63017" w:rsidP="00E72FF9">
            <w:pPr>
              <w:jc w:val="center"/>
              <w:rPr>
                <w:rFonts w:cs="Arial"/>
                <w:b/>
                <w:szCs w:val="20"/>
                <w:lang w:val="en-GB"/>
              </w:rPr>
            </w:pPr>
            <w:r w:rsidRPr="00040BEC">
              <w:rPr>
                <w:rFonts w:cs="Arial"/>
                <w:b/>
                <w:szCs w:val="20"/>
                <w:lang w:val="en-GB"/>
              </w:rPr>
              <w:t xml:space="preserve">Licence duration, </w:t>
            </w:r>
            <w:proofErr w:type="spellStart"/>
            <w:r w:rsidRPr="00040BEC">
              <w:rPr>
                <w:rFonts w:cs="Arial"/>
                <w:b/>
                <w:szCs w:val="20"/>
                <w:lang w:val="en-GB"/>
              </w:rPr>
              <w:t>tradability</w:t>
            </w:r>
            <w:r w:rsidRPr="00040BEC">
              <w:rPr>
                <w:rFonts w:cs="Arial"/>
                <w:b/>
                <w:szCs w:val="20"/>
                <w:vertAlign w:val="superscript"/>
                <w:lang w:val="en-GB"/>
              </w:rPr>
              <w:t>x</w:t>
            </w:r>
            <w:proofErr w:type="spellEnd"/>
            <w:r w:rsidRPr="00040BEC">
              <w:rPr>
                <w:rFonts w:cs="Arial"/>
                <w:b/>
                <w:szCs w:val="20"/>
                <w:lang w:val="en-GB"/>
              </w:rPr>
              <w:t>)</w:t>
            </w:r>
          </w:p>
        </w:tc>
      </w:tr>
      <w:tr w:rsidR="00B63017" w:rsidRPr="00040BEC" w14:paraId="4BA0C3DF" w14:textId="77777777" w:rsidTr="00F828D7">
        <w:trPr>
          <w:trHeight w:val="628"/>
        </w:trPr>
        <w:tc>
          <w:tcPr>
            <w:tcW w:w="2184" w:type="dxa"/>
            <w:vAlign w:val="center"/>
          </w:tcPr>
          <w:p w14:paraId="7ACE8B2C" w14:textId="77777777" w:rsidR="00B63017" w:rsidRPr="00040BEC" w:rsidRDefault="00B63017" w:rsidP="00E72FF9">
            <w:pPr>
              <w:rPr>
                <w:rFonts w:cs="Arial"/>
                <w:szCs w:val="20"/>
                <w:lang w:val="en-GB"/>
              </w:rPr>
            </w:pPr>
            <w:r w:rsidRPr="00040BEC">
              <w:rPr>
                <w:rFonts w:cs="Arial"/>
                <w:szCs w:val="20"/>
                <w:lang w:val="en-GB"/>
              </w:rPr>
              <w:t xml:space="preserve">T–Mobile Czech Republic, </w:t>
            </w:r>
            <w:proofErr w:type="spellStart"/>
            <w:r w:rsidRPr="00040BEC">
              <w:rPr>
                <w:rFonts w:cs="Arial"/>
                <w:szCs w:val="20"/>
                <w:lang w:val="en-GB"/>
              </w:rPr>
              <w:t>a.s</w:t>
            </w:r>
            <w:proofErr w:type="spellEnd"/>
            <w:r w:rsidRPr="00040BEC">
              <w:rPr>
                <w:rFonts w:cs="Arial"/>
                <w:szCs w:val="20"/>
                <w:lang w:val="en-GB"/>
              </w:rPr>
              <w:t>.</w:t>
            </w:r>
          </w:p>
        </w:tc>
        <w:tc>
          <w:tcPr>
            <w:tcW w:w="2319" w:type="dxa"/>
            <w:vAlign w:val="center"/>
          </w:tcPr>
          <w:p w14:paraId="60BE0115" w14:textId="77777777" w:rsidR="00B63017" w:rsidRPr="00040BEC" w:rsidRDefault="00B63017" w:rsidP="00E72FF9">
            <w:pPr>
              <w:rPr>
                <w:rFonts w:cs="Arial"/>
                <w:szCs w:val="20"/>
                <w:lang w:val="en-GB"/>
              </w:rPr>
            </w:pPr>
            <w:r w:rsidRPr="00040BEC">
              <w:rPr>
                <w:rFonts w:cs="Arial"/>
                <w:szCs w:val="20"/>
                <w:lang w:val="en-GB"/>
              </w:rPr>
              <w:t>1910.1-1915.1 MHz</w:t>
            </w:r>
          </w:p>
        </w:tc>
        <w:tc>
          <w:tcPr>
            <w:tcW w:w="2127" w:type="dxa"/>
            <w:vAlign w:val="center"/>
          </w:tcPr>
          <w:p w14:paraId="743C6442" w14:textId="77777777" w:rsidR="00B63017" w:rsidRPr="00040BEC" w:rsidRDefault="00B63017" w:rsidP="00E72FF9">
            <w:pPr>
              <w:rPr>
                <w:rFonts w:cs="Arial"/>
                <w:szCs w:val="20"/>
                <w:lang w:val="en-GB"/>
              </w:rPr>
            </w:pPr>
            <w:r w:rsidRPr="00040BEC">
              <w:rPr>
                <w:rFonts w:cs="Arial"/>
                <w:szCs w:val="20"/>
                <w:lang w:val="en-GB"/>
              </w:rPr>
              <w:t>IMT/UMTS, TDD</w:t>
            </w:r>
          </w:p>
        </w:tc>
        <w:tc>
          <w:tcPr>
            <w:tcW w:w="3260" w:type="dxa"/>
            <w:vAlign w:val="center"/>
          </w:tcPr>
          <w:p w14:paraId="4BDF2BD1" w14:textId="5A4B949C" w:rsidR="00B63017" w:rsidRPr="00040BEC" w:rsidRDefault="00B63017" w:rsidP="00E72FF9">
            <w:pPr>
              <w:rPr>
                <w:rFonts w:cs="Arial"/>
                <w:szCs w:val="20"/>
                <w:lang w:val="en-GB"/>
              </w:rPr>
            </w:pPr>
            <w:proofErr w:type="gramStart"/>
            <w:r w:rsidRPr="00040BEC">
              <w:rPr>
                <w:rFonts w:cs="Arial"/>
                <w:szCs w:val="20"/>
                <w:lang w:val="en-GB"/>
              </w:rPr>
              <w:t>22. 10.</w:t>
            </w:r>
            <w:proofErr w:type="gramEnd"/>
            <w:r w:rsidRPr="00040BEC">
              <w:rPr>
                <w:rFonts w:cs="Arial"/>
                <w:szCs w:val="20"/>
                <w:lang w:val="en-GB"/>
              </w:rPr>
              <w:t xml:space="preserve"> 2024</w:t>
            </w:r>
            <w:r w:rsidR="001243CA" w:rsidRPr="00040BEC">
              <w:rPr>
                <w:rFonts w:cs="Arial"/>
                <w:szCs w:val="20"/>
                <w:lang w:val="en-GB"/>
              </w:rPr>
              <w:t>, tradable</w:t>
            </w:r>
          </w:p>
        </w:tc>
      </w:tr>
    </w:tbl>
    <w:p w14:paraId="71871EC5" w14:textId="77777777" w:rsidR="00B63017" w:rsidRPr="00040BEC" w:rsidRDefault="00B63017" w:rsidP="00B63017">
      <w:pPr>
        <w:jc w:val="both"/>
        <w:rPr>
          <w:rFonts w:cs="Arial"/>
          <w:szCs w:val="20"/>
          <w:u w:val="single"/>
          <w:lang w:val="en-GB"/>
        </w:rPr>
      </w:pPr>
    </w:p>
    <w:p w14:paraId="67B466D2" w14:textId="77777777" w:rsidR="00B63017" w:rsidRPr="00040BEC" w:rsidRDefault="00B63017" w:rsidP="00B63017">
      <w:pPr>
        <w:numPr>
          <w:ilvl w:val="0"/>
          <w:numId w:val="17"/>
        </w:numPr>
        <w:suppressAutoHyphens/>
        <w:overflowPunct w:val="0"/>
        <w:autoSpaceDE w:val="0"/>
        <w:autoSpaceDN w:val="0"/>
        <w:adjustRightInd w:val="0"/>
        <w:ind w:left="567" w:hanging="567"/>
        <w:textAlignment w:val="baseline"/>
        <w:rPr>
          <w:rFonts w:cs="Arial"/>
          <w:b/>
          <w:bCs/>
          <w:szCs w:val="20"/>
          <w:lang w:val="en-GB" w:eastAsia="en-IE"/>
        </w:rPr>
      </w:pPr>
      <w:r w:rsidRPr="00040BEC">
        <w:rPr>
          <w:rFonts w:cs="Arial"/>
          <w:b/>
          <w:bCs/>
          <w:szCs w:val="20"/>
          <w:lang w:val="en-GB" w:eastAsia="en-IE"/>
        </w:rPr>
        <w:t>Denmark (March 2013)</w:t>
      </w:r>
    </w:p>
    <w:p w14:paraId="0ED97EDA" w14:textId="77777777" w:rsidR="00B63017" w:rsidRPr="00040BEC" w:rsidRDefault="00B63017" w:rsidP="00B63017">
      <w:pPr>
        <w:overflowPunct w:val="0"/>
        <w:autoSpaceDE w:val="0"/>
        <w:autoSpaceDN w:val="0"/>
        <w:adjustRightInd w:val="0"/>
        <w:textAlignment w:val="baseline"/>
        <w:rPr>
          <w:rFonts w:cs="Arial"/>
          <w:b/>
          <w:szCs w:val="20"/>
          <w:lang w:val="en-GB" w:eastAsia="nl-NL"/>
        </w:rPr>
      </w:pPr>
    </w:p>
    <w:p w14:paraId="48E42EA3" w14:textId="77777777" w:rsidR="00B63017" w:rsidRPr="00040BEC" w:rsidRDefault="00B63017" w:rsidP="00B63017">
      <w:pPr>
        <w:overflowPunct w:val="0"/>
        <w:autoSpaceDE w:val="0"/>
        <w:autoSpaceDN w:val="0"/>
        <w:adjustRightInd w:val="0"/>
        <w:textAlignment w:val="baseline"/>
        <w:rPr>
          <w:rFonts w:cs="Arial"/>
          <w:b/>
          <w:szCs w:val="20"/>
          <w:lang w:val="en-GB" w:eastAsia="nl-NL"/>
        </w:rPr>
      </w:pPr>
      <w:r w:rsidRPr="00040BEC">
        <w:rPr>
          <w:rFonts w:cs="Arial"/>
          <w:b/>
          <w:szCs w:val="20"/>
          <w:lang w:val="en-GB" w:eastAsia="nl-NL"/>
        </w:rPr>
        <w:t>1900-1920 MHz and 2010-2025 MHz (unpaired frequency arrangement)</w:t>
      </w:r>
    </w:p>
    <w:tbl>
      <w:tblPr>
        <w:tblW w:w="98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84"/>
        <w:gridCol w:w="2319"/>
        <w:gridCol w:w="2126"/>
        <w:gridCol w:w="3261"/>
      </w:tblGrid>
      <w:tr w:rsidR="00B63017" w:rsidRPr="00040BEC" w14:paraId="7615E5A7" w14:textId="77777777" w:rsidTr="00F828D7">
        <w:trPr>
          <w:trHeight w:val="435"/>
        </w:trPr>
        <w:tc>
          <w:tcPr>
            <w:tcW w:w="2184" w:type="dxa"/>
            <w:vAlign w:val="center"/>
          </w:tcPr>
          <w:p w14:paraId="74DDFAF4"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Operator</w:t>
            </w:r>
          </w:p>
        </w:tc>
        <w:tc>
          <w:tcPr>
            <w:tcW w:w="2319" w:type="dxa"/>
            <w:vAlign w:val="center"/>
          </w:tcPr>
          <w:p w14:paraId="02F15762"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Frequency band licensed</w:t>
            </w:r>
          </w:p>
        </w:tc>
        <w:tc>
          <w:tcPr>
            <w:tcW w:w="2126" w:type="dxa"/>
            <w:vAlign w:val="center"/>
          </w:tcPr>
          <w:p w14:paraId="7FB1FE13"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Technology in use (optional)</w:t>
            </w:r>
          </w:p>
        </w:tc>
        <w:tc>
          <w:tcPr>
            <w:tcW w:w="3261" w:type="dxa"/>
            <w:vAlign w:val="center"/>
          </w:tcPr>
          <w:p w14:paraId="6A6D16F0"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Licence duration, tradability</w:t>
            </w:r>
          </w:p>
        </w:tc>
      </w:tr>
      <w:tr w:rsidR="00B63017" w:rsidRPr="00040BEC" w14:paraId="19FAB03C" w14:textId="77777777" w:rsidTr="00F828D7">
        <w:trPr>
          <w:trHeight w:val="448"/>
        </w:trPr>
        <w:tc>
          <w:tcPr>
            <w:tcW w:w="2184" w:type="dxa"/>
            <w:vAlign w:val="center"/>
          </w:tcPr>
          <w:p w14:paraId="41182A29" w14:textId="77777777" w:rsidR="00B63017" w:rsidRPr="00040BEC" w:rsidRDefault="00B63017" w:rsidP="00E72FF9">
            <w:pPr>
              <w:overflowPunct w:val="0"/>
              <w:autoSpaceDE w:val="0"/>
              <w:autoSpaceDN w:val="0"/>
              <w:adjustRightInd w:val="0"/>
              <w:textAlignment w:val="baseline"/>
              <w:rPr>
                <w:rFonts w:cs="Arial"/>
                <w:bCs/>
                <w:szCs w:val="20"/>
                <w:lang w:val="en-GB" w:eastAsia="nl-NL"/>
              </w:rPr>
            </w:pPr>
            <w:r w:rsidRPr="00040BEC">
              <w:rPr>
                <w:rFonts w:cs="Arial"/>
                <w:bCs/>
                <w:szCs w:val="20"/>
                <w:lang w:val="en-GB" w:eastAsia="nl-NL"/>
              </w:rPr>
              <w:t xml:space="preserve">TDC A/S </w:t>
            </w:r>
          </w:p>
        </w:tc>
        <w:tc>
          <w:tcPr>
            <w:tcW w:w="2319" w:type="dxa"/>
            <w:vAlign w:val="center"/>
          </w:tcPr>
          <w:p w14:paraId="57162F59" w14:textId="77777777" w:rsidR="00B63017" w:rsidRPr="00040BEC" w:rsidRDefault="00B63017" w:rsidP="00E72FF9">
            <w:pPr>
              <w:overflowPunct w:val="0"/>
              <w:autoSpaceDE w:val="0"/>
              <w:autoSpaceDN w:val="0"/>
              <w:adjustRightInd w:val="0"/>
              <w:textAlignment w:val="baseline"/>
              <w:rPr>
                <w:rFonts w:cs="Arial"/>
                <w:bCs/>
                <w:szCs w:val="20"/>
                <w:lang w:val="en-GB" w:eastAsia="nl-NL"/>
              </w:rPr>
            </w:pPr>
            <w:r w:rsidRPr="00040BEC">
              <w:rPr>
                <w:rFonts w:cs="Arial"/>
                <w:szCs w:val="20"/>
                <w:lang w:val="en-GB" w:eastAsia="nl-NL"/>
              </w:rPr>
              <w:t>1900-1905 MHz</w:t>
            </w:r>
          </w:p>
        </w:tc>
        <w:tc>
          <w:tcPr>
            <w:tcW w:w="2126" w:type="dxa"/>
            <w:vAlign w:val="center"/>
          </w:tcPr>
          <w:p w14:paraId="09235BFA" w14:textId="77777777" w:rsidR="00B63017" w:rsidRPr="00040BEC" w:rsidRDefault="00B63017" w:rsidP="00E72FF9">
            <w:pPr>
              <w:overflowPunct w:val="0"/>
              <w:autoSpaceDE w:val="0"/>
              <w:autoSpaceDN w:val="0"/>
              <w:adjustRightInd w:val="0"/>
              <w:textAlignment w:val="baseline"/>
              <w:rPr>
                <w:rFonts w:cs="Arial"/>
                <w:bCs/>
                <w:szCs w:val="20"/>
                <w:lang w:val="en-GB" w:eastAsia="nl-NL"/>
              </w:rPr>
            </w:pPr>
            <w:r w:rsidRPr="00040BEC">
              <w:rPr>
                <w:rFonts w:cs="Arial"/>
                <w:szCs w:val="20"/>
                <w:lang w:val="en-GB" w:eastAsia="nl-NL"/>
              </w:rPr>
              <w:t>TD SCDMA</w:t>
            </w:r>
          </w:p>
        </w:tc>
        <w:tc>
          <w:tcPr>
            <w:tcW w:w="3261" w:type="dxa"/>
            <w:vAlign w:val="center"/>
          </w:tcPr>
          <w:p w14:paraId="2C8C35DA" w14:textId="77777777" w:rsidR="00B63017" w:rsidRPr="00040BEC" w:rsidRDefault="00B63017" w:rsidP="00E72FF9">
            <w:pPr>
              <w:overflowPunct w:val="0"/>
              <w:autoSpaceDE w:val="0"/>
              <w:autoSpaceDN w:val="0"/>
              <w:adjustRightInd w:val="0"/>
              <w:textAlignment w:val="baseline"/>
              <w:rPr>
                <w:rFonts w:cs="Arial"/>
                <w:bCs/>
                <w:szCs w:val="20"/>
                <w:lang w:val="en-GB" w:eastAsia="nl-NL"/>
              </w:rPr>
            </w:pPr>
            <w:r w:rsidRPr="00040BEC">
              <w:rPr>
                <w:rFonts w:cs="Arial"/>
                <w:bCs/>
                <w:szCs w:val="20"/>
                <w:lang w:val="en-GB" w:eastAsia="nl-NL"/>
              </w:rPr>
              <w:t>Oct 2001 – Oct 2021, tradable</w:t>
            </w:r>
          </w:p>
        </w:tc>
      </w:tr>
      <w:tr w:rsidR="00B63017" w:rsidRPr="00040BEC" w14:paraId="2AD6B96F" w14:textId="77777777" w:rsidTr="00F828D7">
        <w:trPr>
          <w:trHeight w:val="448"/>
        </w:trPr>
        <w:tc>
          <w:tcPr>
            <w:tcW w:w="2184" w:type="dxa"/>
            <w:vAlign w:val="center"/>
          </w:tcPr>
          <w:p w14:paraId="41479E93" w14:textId="77777777" w:rsidR="00B63017" w:rsidRPr="00040BEC" w:rsidRDefault="00B63017" w:rsidP="00E72FF9">
            <w:pPr>
              <w:overflowPunct w:val="0"/>
              <w:autoSpaceDE w:val="0"/>
              <w:autoSpaceDN w:val="0"/>
              <w:adjustRightInd w:val="0"/>
              <w:textAlignment w:val="baseline"/>
              <w:rPr>
                <w:rFonts w:cs="Arial"/>
                <w:bCs/>
                <w:szCs w:val="20"/>
                <w:lang w:val="en-GB" w:eastAsia="nl-NL"/>
              </w:rPr>
            </w:pPr>
            <w:proofErr w:type="spellStart"/>
            <w:r w:rsidRPr="00040BEC">
              <w:rPr>
                <w:rFonts w:cs="Arial"/>
                <w:bCs/>
                <w:szCs w:val="20"/>
                <w:lang w:val="en-GB" w:eastAsia="nl-NL"/>
              </w:rPr>
              <w:t>Telia</w:t>
            </w:r>
            <w:proofErr w:type="spellEnd"/>
            <w:r w:rsidRPr="00040BEC">
              <w:rPr>
                <w:rFonts w:cs="Arial"/>
                <w:bCs/>
                <w:szCs w:val="20"/>
                <w:lang w:val="en-GB" w:eastAsia="nl-NL"/>
              </w:rPr>
              <w:t xml:space="preserve"> </w:t>
            </w:r>
            <w:proofErr w:type="spellStart"/>
            <w:r w:rsidRPr="00040BEC">
              <w:rPr>
                <w:rFonts w:cs="Arial"/>
                <w:bCs/>
                <w:szCs w:val="20"/>
                <w:lang w:val="en-GB" w:eastAsia="nl-NL"/>
              </w:rPr>
              <w:t>Nättjanester</w:t>
            </w:r>
            <w:proofErr w:type="spellEnd"/>
            <w:r w:rsidRPr="00040BEC">
              <w:rPr>
                <w:rFonts w:cs="Arial"/>
                <w:bCs/>
                <w:szCs w:val="20"/>
                <w:lang w:val="en-GB" w:eastAsia="nl-NL"/>
              </w:rPr>
              <w:t xml:space="preserve"> </w:t>
            </w:r>
            <w:proofErr w:type="spellStart"/>
            <w:r w:rsidRPr="00040BEC">
              <w:rPr>
                <w:rFonts w:cs="Arial"/>
                <w:bCs/>
                <w:szCs w:val="20"/>
                <w:lang w:val="en-GB" w:eastAsia="nl-NL"/>
              </w:rPr>
              <w:t>Norden</w:t>
            </w:r>
            <w:proofErr w:type="spellEnd"/>
            <w:r w:rsidRPr="00040BEC">
              <w:rPr>
                <w:rFonts w:cs="Arial"/>
                <w:bCs/>
                <w:szCs w:val="20"/>
                <w:lang w:val="en-GB" w:eastAsia="nl-NL"/>
              </w:rPr>
              <w:t xml:space="preserve"> AB</w:t>
            </w:r>
          </w:p>
        </w:tc>
        <w:tc>
          <w:tcPr>
            <w:tcW w:w="2319" w:type="dxa"/>
            <w:vAlign w:val="center"/>
          </w:tcPr>
          <w:p w14:paraId="739B50C1"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1905-1910 MHz</w:t>
            </w:r>
          </w:p>
        </w:tc>
        <w:tc>
          <w:tcPr>
            <w:tcW w:w="2126" w:type="dxa"/>
            <w:vAlign w:val="center"/>
          </w:tcPr>
          <w:p w14:paraId="2875F6C6"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TD SCDMA</w:t>
            </w:r>
          </w:p>
        </w:tc>
        <w:tc>
          <w:tcPr>
            <w:tcW w:w="3261" w:type="dxa"/>
            <w:vAlign w:val="center"/>
          </w:tcPr>
          <w:p w14:paraId="5088CABE" w14:textId="77777777" w:rsidR="00B63017" w:rsidRPr="00040BEC" w:rsidRDefault="00B63017" w:rsidP="00E72FF9">
            <w:pPr>
              <w:overflowPunct w:val="0"/>
              <w:autoSpaceDE w:val="0"/>
              <w:autoSpaceDN w:val="0"/>
              <w:adjustRightInd w:val="0"/>
              <w:textAlignment w:val="baseline"/>
              <w:rPr>
                <w:rFonts w:cs="Arial"/>
                <w:bCs/>
                <w:szCs w:val="20"/>
                <w:lang w:val="en-GB" w:eastAsia="nl-NL"/>
              </w:rPr>
            </w:pPr>
            <w:r w:rsidRPr="00040BEC">
              <w:rPr>
                <w:rFonts w:cs="Arial"/>
                <w:bCs/>
                <w:szCs w:val="20"/>
                <w:lang w:val="en-GB" w:eastAsia="nl-NL"/>
              </w:rPr>
              <w:t>Oct 2001 – Oct 2021, tradable</w:t>
            </w:r>
          </w:p>
        </w:tc>
      </w:tr>
      <w:tr w:rsidR="00B63017" w:rsidRPr="00040BEC" w14:paraId="7E87A2E4" w14:textId="77777777" w:rsidTr="00F828D7">
        <w:trPr>
          <w:trHeight w:val="448"/>
        </w:trPr>
        <w:tc>
          <w:tcPr>
            <w:tcW w:w="2184" w:type="dxa"/>
            <w:vAlign w:val="center"/>
          </w:tcPr>
          <w:p w14:paraId="0A94AC12" w14:textId="77777777" w:rsidR="00B63017" w:rsidRPr="00040BEC" w:rsidRDefault="00B63017" w:rsidP="00E72FF9">
            <w:pPr>
              <w:overflowPunct w:val="0"/>
              <w:autoSpaceDE w:val="0"/>
              <w:autoSpaceDN w:val="0"/>
              <w:adjustRightInd w:val="0"/>
              <w:textAlignment w:val="baseline"/>
              <w:rPr>
                <w:rFonts w:cs="Arial"/>
                <w:bCs/>
                <w:szCs w:val="20"/>
                <w:lang w:val="en-GB" w:eastAsia="nl-NL"/>
              </w:rPr>
            </w:pPr>
            <w:r w:rsidRPr="00040BEC">
              <w:rPr>
                <w:rFonts w:cs="Arial"/>
                <w:bCs/>
                <w:szCs w:val="20"/>
                <w:lang w:val="en-GB" w:eastAsia="nl-NL"/>
              </w:rPr>
              <w:t>Telenor A/S</w:t>
            </w:r>
          </w:p>
        </w:tc>
        <w:tc>
          <w:tcPr>
            <w:tcW w:w="2319" w:type="dxa"/>
            <w:vAlign w:val="center"/>
          </w:tcPr>
          <w:p w14:paraId="0499F2BA"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1910-1915 MHz</w:t>
            </w:r>
          </w:p>
        </w:tc>
        <w:tc>
          <w:tcPr>
            <w:tcW w:w="2126" w:type="dxa"/>
            <w:vAlign w:val="center"/>
          </w:tcPr>
          <w:p w14:paraId="2101884A"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TD SCDMA</w:t>
            </w:r>
          </w:p>
        </w:tc>
        <w:tc>
          <w:tcPr>
            <w:tcW w:w="3261" w:type="dxa"/>
            <w:vAlign w:val="center"/>
          </w:tcPr>
          <w:p w14:paraId="52D633A2" w14:textId="77777777" w:rsidR="00B63017" w:rsidRPr="00040BEC" w:rsidRDefault="00B63017" w:rsidP="00E72FF9">
            <w:pPr>
              <w:overflowPunct w:val="0"/>
              <w:autoSpaceDE w:val="0"/>
              <w:autoSpaceDN w:val="0"/>
              <w:adjustRightInd w:val="0"/>
              <w:textAlignment w:val="baseline"/>
              <w:rPr>
                <w:rFonts w:cs="Arial"/>
                <w:bCs/>
                <w:szCs w:val="20"/>
                <w:lang w:val="en-GB" w:eastAsia="nl-NL"/>
              </w:rPr>
            </w:pPr>
            <w:r w:rsidRPr="00040BEC">
              <w:rPr>
                <w:rFonts w:cs="Arial"/>
                <w:bCs/>
                <w:szCs w:val="20"/>
                <w:lang w:val="en-GB" w:eastAsia="nl-NL"/>
              </w:rPr>
              <w:t>Dec 2005 – Oct 2021, tradable</w:t>
            </w:r>
          </w:p>
        </w:tc>
      </w:tr>
      <w:tr w:rsidR="00B63017" w:rsidRPr="00040BEC" w14:paraId="786E1655" w14:textId="77777777" w:rsidTr="00F828D7">
        <w:trPr>
          <w:trHeight w:val="448"/>
        </w:trPr>
        <w:tc>
          <w:tcPr>
            <w:tcW w:w="2184" w:type="dxa"/>
            <w:vAlign w:val="center"/>
          </w:tcPr>
          <w:p w14:paraId="34810B40" w14:textId="77777777" w:rsidR="00B63017" w:rsidRPr="00040BEC" w:rsidRDefault="00B63017" w:rsidP="00E72FF9">
            <w:pPr>
              <w:overflowPunct w:val="0"/>
              <w:autoSpaceDE w:val="0"/>
              <w:autoSpaceDN w:val="0"/>
              <w:adjustRightInd w:val="0"/>
              <w:textAlignment w:val="baseline"/>
              <w:rPr>
                <w:rFonts w:cs="Arial"/>
                <w:bCs/>
                <w:szCs w:val="20"/>
                <w:lang w:val="en-GB" w:eastAsia="nl-NL"/>
              </w:rPr>
            </w:pPr>
            <w:r w:rsidRPr="00040BEC">
              <w:rPr>
                <w:rFonts w:cs="Arial"/>
                <w:bCs/>
                <w:szCs w:val="20"/>
                <w:lang w:val="en-GB" w:eastAsia="nl-NL"/>
              </w:rPr>
              <w:t xml:space="preserve">HI3G Denmark </w:t>
            </w:r>
            <w:proofErr w:type="spellStart"/>
            <w:r w:rsidRPr="00040BEC">
              <w:rPr>
                <w:rFonts w:cs="Arial"/>
                <w:bCs/>
                <w:szCs w:val="20"/>
                <w:lang w:val="en-GB" w:eastAsia="nl-NL"/>
              </w:rPr>
              <w:t>ApS</w:t>
            </w:r>
            <w:proofErr w:type="spellEnd"/>
          </w:p>
        </w:tc>
        <w:tc>
          <w:tcPr>
            <w:tcW w:w="2319" w:type="dxa"/>
            <w:vAlign w:val="center"/>
          </w:tcPr>
          <w:p w14:paraId="55996AFE"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bCs/>
                <w:szCs w:val="20"/>
                <w:lang w:val="en-GB" w:eastAsia="nl-NL"/>
              </w:rPr>
              <w:t>1915-1920 MHz</w:t>
            </w:r>
          </w:p>
        </w:tc>
        <w:tc>
          <w:tcPr>
            <w:tcW w:w="2126" w:type="dxa"/>
            <w:vAlign w:val="center"/>
          </w:tcPr>
          <w:p w14:paraId="79AA7CD1"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TD SCDMA</w:t>
            </w:r>
          </w:p>
        </w:tc>
        <w:tc>
          <w:tcPr>
            <w:tcW w:w="3261" w:type="dxa"/>
            <w:vAlign w:val="center"/>
          </w:tcPr>
          <w:p w14:paraId="1C83695F" w14:textId="77777777" w:rsidR="00B63017" w:rsidRPr="00040BEC" w:rsidRDefault="00B63017" w:rsidP="00E72FF9">
            <w:pPr>
              <w:overflowPunct w:val="0"/>
              <w:autoSpaceDE w:val="0"/>
              <w:autoSpaceDN w:val="0"/>
              <w:adjustRightInd w:val="0"/>
              <w:textAlignment w:val="baseline"/>
              <w:rPr>
                <w:rFonts w:cs="Arial"/>
                <w:bCs/>
                <w:szCs w:val="20"/>
                <w:lang w:val="en-GB" w:eastAsia="nl-NL"/>
              </w:rPr>
            </w:pPr>
            <w:r w:rsidRPr="00040BEC">
              <w:rPr>
                <w:rFonts w:cs="Arial"/>
                <w:bCs/>
                <w:szCs w:val="20"/>
                <w:lang w:val="en-GB" w:eastAsia="nl-NL"/>
              </w:rPr>
              <w:t>Oct 2001 – Oct 2021, tradable</w:t>
            </w:r>
          </w:p>
        </w:tc>
      </w:tr>
    </w:tbl>
    <w:p w14:paraId="325BBD41" w14:textId="77777777" w:rsidR="000C6788" w:rsidRPr="00040BEC" w:rsidRDefault="000C6788" w:rsidP="00B63017">
      <w:pPr>
        <w:suppressAutoHyphens/>
        <w:rPr>
          <w:rFonts w:cs="Arial"/>
          <w:b/>
          <w:bCs/>
          <w:szCs w:val="20"/>
          <w:lang w:val="en-GB" w:eastAsia="en-IE"/>
        </w:rPr>
      </w:pPr>
    </w:p>
    <w:p w14:paraId="0478428E" w14:textId="77777777" w:rsidR="00B63017" w:rsidRPr="00040BEC" w:rsidRDefault="00B63017" w:rsidP="00B63017">
      <w:pPr>
        <w:keepNext/>
        <w:numPr>
          <w:ilvl w:val="0"/>
          <w:numId w:val="17"/>
        </w:numPr>
        <w:suppressAutoHyphens/>
        <w:overflowPunct w:val="0"/>
        <w:autoSpaceDE w:val="0"/>
        <w:autoSpaceDN w:val="0"/>
        <w:adjustRightInd w:val="0"/>
        <w:ind w:left="567" w:hanging="567"/>
        <w:textAlignment w:val="baseline"/>
        <w:rPr>
          <w:rFonts w:cs="Arial"/>
          <w:b/>
          <w:bCs/>
          <w:szCs w:val="20"/>
          <w:lang w:val="en-GB" w:eastAsia="en-IE"/>
        </w:rPr>
      </w:pPr>
      <w:r w:rsidRPr="00040BEC">
        <w:rPr>
          <w:rFonts w:cs="Arial"/>
          <w:b/>
          <w:bCs/>
          <w:szCs w:val="20"/>
          <w:lang w:val="en-GB" w:eastAsia="en-IE"/>
        </w:rPr>
        <w:lastRenderedPageBreak/>
        <w:t>Estonia (March 201</w:t>
      </w:r>
      <w:r w:rsidR="00E41ACA" w:rsidRPr="00040BEC">
        <w:rPr>
          <w:rFonts w:cs="Arial"/>
          <w:b/>
          <w:bCs/>
          <w:szCs w:val="20"/>
          <w:lang w:val="en-GB" w:eastAsia="en-IE"/>
        </w:rPr>
        <w:t>4</w:t>
      </w:r>
      <w:r w:rsidRPr="00040BEC">
        <w:rPr>
          <w:rFonts w:cs="Arial"/>
          <w:b/>
          <w:bCs/>
          <w:szCs w:val="20"/>
          <w:lang w:val="en-GB" w:eastAsia="en-IE"/>
        </w:rPr>
        <w:t xml:space="preserve">) </w:t>
      </w:r>
    </w:p>
    <w:p w14:paraId="149DF032" w14:textId="77777777" w:rsidR="00B63017" w:rsidRPr="00040BEC" w:rsidRDefault="00B63017" w:rsidP="00B63017">
      <w:pPr>
        <w:keepNext/>
        <w:overflowPunct w:val="0"/>
        <w:autoSpaceDE w:val="0"/>
        <w:autoSpaceDN w:val="0"/>
        <w:adjustRightInd w:val="0"/>
        <w:textAlignment w:val="baseline"/>
        <w:rPr>
          <w:rFonts w:cs="Arial"/>
          <w:b/>
          <w:szCs w:val="20"/>
          <w:lang w:val="en-GB" w:eastAsia="nl-NL"/>
        </w:rPr>
      </w:pPr>
    </w:p>
    <w:p w14:paraId="0A1460E5" w14:textId="77777777" w:rsidR="00B63017" w:rsidRPr="00040BEC" w:rsidRDefault="00B63017" w:rsidP="00B63017">
      <w:pPr>
        <w:keepNext/>
        <w:overflowPunct w:val="0"/>
        <w:autoSpaceDE w:val="0"/>
        <w:autoSpaceDN w:val="0"/>
        <w:adjustRightInd w:val="0"/>
        <w:textAlignment w:val="baseline"/>
        <w:rPr>
          <w:rFonts w:cs="Arial"/>
          <w:b/>
          <w:szCs w:val="20"/>
          <w:lang w:val="en-GB" w:eastAsia="nl-NL"/>
        </w:rPr>
      </w:pPr>
      <w:r w:rsidRPr="00040BEC">
        <w:rPr>
          <w:rFonts w:cs="Arial"/>
          <w:b/>
          <w:szCs w:val="20"/>
          <w:lang w:val="en-GB" w:eastAsia="nl-NL"/>
        </w:rPr>
        <w:t>1900-1920 MHz / 2010-2025 MHz (unpaired frequency arrangement)</w:t>
      </w:r>
    </w:p>
    <w:tbl>
      <w:tblPr>
        <w:tblW w:w="9889" w:type="dxa"/>
        <w:tblLayout w:type="fixed"/>
        <w:tblLook w:val="0000" w:firstRow="0" w:lastRow="0" w:firstColumn="0" w:lastColumn="0" w:noHBand="0" w:noVBand="0"/>
      </w:tblPr>
      <w:tblGrid>
        <w:gridCol w:w="2376"/>
        <w:gridCol w:w="2268"/>
        <w:gridCol w:w="1985"/>
        <w:gridCol w:w="3260"/>
      </w:tblGrid>
      <w:tr w:rsidR="00B63017" w:rsidRPr="00040BEC" w14:paraId="57682CD8" w14:textId="77777777" w:rsidTr="00E72FF9">
        <w:trPr>
          <w:trHeight w:val="435"/>
        </w:trPr>
        <w:tc>
          <w:tcPr>
            <w:tcW w:w="2376" w:type="dxa"/>
            <w:tcBorders>
              <w:top w:val="single" w:sz="4" w:space="0" w:color="000000"/>
              <w:left w:val="single" w:sz="4" w:space="0" w:color="000000"/>
              <w:bottom w:val="single" w:sz="4" w:space="0" w:color="000000"/>
            </w:tcBorders>
            <w:vAlign w:val="center"/>
          </w:tcPr>
          <w:p w14:paraId="4AD5E38B" w14:textId="77777777" w:rsidR="00B63017" w:rsidRPr="00040BEC" w:rsidRDefault="00B63017" w:rsidP="00E72FF9">
            <w:pPr>
              <w:keepNext/>
              <w:overflowPunct w:val="0"/>
              <w:autoSpaceDE w:val="0"/>
              <w:autoSpaceDN w:val="0"/>
              <w:adjustRightInd w:val="0"/>
              <w:snapToGrid w:val="0"/>
              <w:jc w:val="center"/>
              <w:textAlignment w:val="baseline"/>
              <w:rPr>
                <w:rFonts w:cs="Arial"/>
                <w:b/>
                <w:szCs w:val="20"/>
                <w:lang w:val="en-GB" w:eastAsia="nl-NL"/>
              </w:rPr>
            </w:pPr>
            <w:r w:rsidRPr="00040BEC">
              <w:rPr>
                <w:rFonts w:cs="Arial"/>
                <w:b/>
                <w:szCs w:val="20"/>
                <w:lang w:val="en-GB" w:eastAsia="nl-NL"/>
              </w:rPr>
              <w:t>Operator</w:t>
            </w:r>
          </w:p>
        </w:tc>
        <w:tc>
          <w:tcPr>
            <w:tcW w:w="2268" w:type="dxa"/>
            <w:tcBorders>
              <w:top w:val="single" w:sz="4" w:space="0" w:color="000000"/>
              <w:left w:val="single" w:sz="4" w:space="0" w:color="000000"/>
              <w:bottom w:val="single" w:sz="4" w:space="0" w:color="000000"/>
            </w:tcBorders>
            <w:vAlign w:val="center"/>
          </w:tcPr>
          <w:p w14:paraId="0A8727BD" w14:textId="77777777" w:rsidR="00B63017" w:rsidRPr="00040BEC" w:rsidRDefault="00B63017" w:rsidP="00E72FF9">
            <w:pPr>
              <w:keepNext/>
              <w:overflowPunct w:val="0"/>
              <w:autoSpaceDE w:val="0"/>
              <w:autoSpaceDN w:val="0"/>
              <w:adjustRightInd w:val="0"/>
              <w:snapToGrid w:val="0"/>
              <w:jc w:val="center"/>
              <w:textAlignment w:val="baseline"/>
              <w:rPr>
                <w:rFonts w:cs="Arial"/>
                <w:b/>
                <w:szCs w:val="20"/>
                <w:lang w:val="en-GB" w:eastAsia="nl-NL"/>
              </w:rPr>
            </w:pPr>
            <w:r w:rsidRPr="00040BEC">
              <w:rPr>
                <w:rFonts w:cs="Arial"/>
                <w:b/>
                <w:szCs w:val="20"/>
                <w:lang w:val="en-GB" w:eastAsia="nl-NL"/>
              </w:rPr>
              <w:t>Frequencies</w:t>
            </w:r>
          </w:p>
        </w:tc>
        <w:tc>
          <w:tcPr>
            <w:tcW w:w="1985" w:type="dxa"/>
            <w:tcBorders>
              <w:top w:val="single" w:sz="4" w:space="0" w:color="000000"/>
              <w:left w:val="single" w:sz="4" w:space="0" w:color="000000"/>
              <w:bottom w:val="single" w:sz="4" w:space="0" w:color="000000"/>
            </w:tcBorders>
            <w:vAlign w:val="center"/>
          </w:tcPr>
          <w:p w14:paraId="7E0C21C6" w14:textId="77777777" w:rsidR="00B63017" w:rsidRPr="00040BEC" w:rsidRDefault="00B63017" w:rsidP="00E72FF9">
            <w:pPr>
              <w:keepNext/>
              <w:overflowPunct w:val="0"/>
              <w:autoSpaceDE w:val="0"/>
              <w:autoSpaceDN w:val="0"/>
              <w:adjustRightInd w:val="0"/>
              <w:snapToGrid w:val="0"/>
              <w:jc w:val="center"/>
              <w:textAlignment w:val="baseline"/>
              <w:rPr>
                <w:rFonts w:cs="Arial"/>
                <w:b/>
                <w:szCs w:val="20"/>
                <w:lang w:val="en-GB" w:eastAsia="nl-NL"/>
              </w:rPr>
            </w:pPr>
            <w:r w:rsidRPr="00040BEC">
              <w:rPr>
                <w:rFonts w:cs="Arial"/>
                <w:b/>
                <w:szCs w:val="20"/>
                <w:lang w:val="en-GB" w:eastAsia="nl-NL"/>
              </w:rPr>
              <w:t>Technology in use (optional)</w:t>
            </w:r>
          </w:p>
        </w:tc>
        <w:tc>
          <w:tcPr>
            <w:tcW w:w="3260" w:type="dxa"/>
            <w:tcBorders>
              <w:top w:val="single" w:sz="4" w:space="0" w:color="000000"/>
              <w:left w:val="single" w:sz="4" w:space="0" w:color="000000"/>
              <w:bottom w:val="single" w:sz="4" w:space="0" w:color="000000"/>
              <w:right w:val="single" w:sz="4" w:space="0" w:color="000000"/>
            </w:tcBorders>
            <w:vAlign w:val="center"/>
          </w:tcPr>
          <w:p w14:paraId="327897E6" w14:textId="77777777" w:rsidR="00B63017" w:rsidRPr="00040BEC" w:rsidRDefault="00B63017" w:rsidP="00E72FF9">
            <w:pPr>
              <w:keepNext/>
              <w:overflowPunct w:val="0"/>
              <w:autoSpaceDE w:val="0"/>
              <w:autoSpaceDN w:val="0"/>
              <w:adjustRightInd w:val="0"/>
              <w:snapToGrid w:val="0"/>
              <w:jc w:val="center"/>
              <w:textAlignment w:val="baseline"/>
              <w:rPr>
                <w:rFonts w:cs="Arial"/>
                <w:b/>
                <w:szCs w:val="20"/>
                <w:lang w:val="en-GB" w:eastAsia="nl-NL"/>
              </w:rPr>
            </w:pPr>
            <w:r w:rsidRPr="00040BEC">
              <w:rPr>
                <w:rFonts w:cs="Arial"/>
                <w:b/>
                <w:szCs w:val="20"/>
                <w:lang w:val="en-GB" w:eastAsia="nl-NL"/>
              </w:rPr>
              <w:t>Licence duration, tradability</w:t>
            </w:r>
          </w:p>
        </w:tc>
      </w:tr>
      <w:tr w:rsidR="00B63017" w:rsidRPr="00040BEC" w14:paraId="4D72CBF2" w14:textId="77777777" w:rsidTr="00E72FF9">
        <w:trPr>
          <w:trHeight w:val="390"/>
        </w:trPr>
        <w:tc>
          <w:tcPr>
            <w:tcW w:w="2376" w:type="dxa"/>
            <w:tcBorders>
              <w:left w:val="single" w:sz="4" w:space="0" w:color="000000"/>
              <w:bottom w:val="single" w:sz="4" w:space="0" w:color="000000"/>
            </w:tcBorders>
          </w:tcPr>
          <w:p w14:paraId="528D2F96" w14:textId="77777777" w:rsidR="00B63017" w:rsidRPr="00040BEC" w:rsidRDefault="00B63017" w:rsidP="00E72FF9">
            <w:pPr>
              <w:overflowPunct w:val="0"/>
              <w:autoSpaceDE w:val="0"/>
              <w:autoSpaceDN w:val="0"/>
              <w:adjustRightInd w:val="0"/>
              <w:snapToGrid w:val="0"/>
              <w:textAlignment w:val="baseline"/>
              <w:rPr>
                <w:rFonts w:cs="Arial"/>
                <w:szCs w:val="20"/>
                <w:lang w:val="en-GB" w:eastAsia="nl-NL"/>
              </w:rPr>
            </w:pPr>
            <w:r w:rsidRPr="00040BEC">
              <w:rPr>
                <w:rFonts w:cs="Arial"/>
                <w:szCs w:val="20"/>
                <w:lang w:val="en-GB" w:eastAsia="nl-NL"/>
              </w:rPr>
              <w:t>EMT AS</w:t>
            </w:r>
          </w:p>
        </w:tc>
        <w:tc>
          <w:tcPr>
            <w:tcW w:w="2268" w:type="dxa"/>
            <w:tcBorders>
              <w:left w:val="single" w:sz="4" w:space="0" w:color="000000"/>
              <w:bottom w:val="single" w:sz="4" w:space="0" w:color="000000"/>
            </w:tcBorders>
          </w:tcPr>
          <w:p w14:paraId="0D677486" w14:textId="77777777" w:rsidR="00B63017" w:rsidRPr="00040BEC" w:rsidRDefault="00B63017" w:rsidP="00E72FF9">
            <w:pPr>
              <w:overflowPunct w:val="0"/>
              <w:autoSpaceDE w:val="0"/>
              <w:autoSpaceDN w:val="0"/>
              <w:adjustRightInd w:val="0"/>
              <w:snapToGrid w:val="0"/>
              <w:textAlignment w:val="baseline"/>
              <w:rPr>
                <w:rFonts w:cs="Arial"/>
                <w:szCs w:val="20"/>
                <w:lang w:val="en-GB" w:eastAsia="nl-NL"/>
              </w:rPr>
            </w:pPr>
            <w:r w:rsidRPr="00040BEC">
              <w:rPr>
                <w:rFonts w:cs="Arial"/>
                <w:szCs w:val="20"/>
                <w:lang w:val="en-GB" w:eastAsia="nl-NL"/>
              </w:rPr>
              <w:t>1905.2-1910.0 MHz</w:t>
            </w:r>
          </w:p>
        </w:tc>
        <w:tc>
          <w:tcPr>
            <w:tcW w:w="1985" w:type="dxa"/>
            <w:tcBorders>
              <w:left w:val="single" w:sz="4" w:space="0" w:color="000000"/>
              <w:bottom w:val="single" w:sz="4" w:space="0" w:color="000000"/>
            </w:tcBorders>
          </w:tcPr>
          <w:p w14:paraId="54EDE2CA" w14:textId="77777777" w:rsidR="00B63017" w:rsidRPr="00040BEC" w:rsidRDefault="00B63017" w:rsidP="00E72FF9">
            <w:pPr>
              <w:overflowPunct w:val="0"/>
              <w:autoSpaceDE w:val="0"/>
              <w:autoSpaceDN w:val="0"/>
              <w:adjustRightInd w:val="0"/>
              <w:snapToGrid w:val="0"/>
              <w:textAlignment w:val="baseline"/>
              <w:rPr>
                <w:rFonts w:cs="Arial"/>
                <w:szCs w:val="20"/>
                <w:lang w:val="en-GB" w:eastAsia="nl-NL"/>
              </w:rPr>
            </w:pPr>
            <w:r w:rsidRPr="00040BEC">
              <w:rPr>
                <w:rFonts w:cs="Arial"/>
                <w:szCs w:val="20"/>
                <w:lang w:val="en-GB" w:eastAsia="nl-NL"/>
              </w:rPr>
              <w:t>TDD</w:t>
            </w:r>
          </w:p>
        </w:tc>
        <w:tc>
          <w:tcPr>
            <w:tcW w:w="3260" w:type="dxa"/>
            <w:tcBorders>
              <w:left w:val="single" w:sz="4" w:space="0" w:color="000000"/>
              <w:bottom w:val="single" w:sz="4" w:space="0" w:color="000000"/>
              <w:right w:val="single" w:sz="4" w:space="0" w:color="000000"/>
            </w:tcBorders>
          </w:tcPr>
          <w:p w14:paraId="45223C5E" w14:textId="77777777" w:rsidR="00B63017" w:rsidRPr="00040BEC" w:rsidRDefault="00B63017" w:rsidP="00E72FF9">
            <w:pPr>
              <w:overflowPunct w:val="0"/>
              <w:autoSpaceDE w:val="0"/>
              <w:autoSpaceDN w:val="0"/>
              <w:adjustRightInd w:val="0"/>
              <w:snapToGrid w:val="0"/>
              <w:textAlignment w:val="baseline"/>
              <w:rPr>
                <w:rFonts w:cs="Arial"/>
                <w:szCs w:val="20"/>
                <w:lang w:val="en-GB" w:eastAsia="nl-NL"/>
              </w:rPr>
            </w:pPr>
            <w:r w:rsidRPr="00040BEC">
              <w:rPr>
                <w:rFonts w:cs="Arial"/>
                <w:szCs w:val="20"/>
                <w:lang w:val="en-GB" w:eastAsia="nl-NL"/>
              </w:rPr>
              <w:t>08.10.2012 (the validity of licence shall be extended once a year) Tradable</w:t>
            </w:r>
          </w:p>
        </w:tc>
      </w:tr>
      <w:tr w:rsidR="00B63017" w:rsidRPr="00040BEC" w14:paraId="12AD754D" w14:textId="77777777" w:rsidTr="00E72FF9">
        <w:trPr>
          <w:trHeight w:val="537"/>
        </w:trPr>
        <w:tc>
          <w:tcPr>
            <w:tcW w:w="2376" w:type="dxa"/>
            <w:tcBorders>
              <w:left w:val="single" w:sz="4" w:space="0" w:color="000000"/>
              <w:bottom w:val="single" w:sz="4" w:space="0" w:color="000000"/>
            </w:tcBorders>
          </w:tcPr>
          <w:p w14:paraId="4806EF09" w14:textId="77777777" w:rsidR="00B63017" w:rsidRPr="00040BEC" w:rsidRDefault="00B63017" w:rsidP="00E72FF9">
            <w:pPr>
              <w:overflowPunct w:val="0"/>
              <w:autoSpaceDE w:val="0"/>
              <w:autoSpaceDN w:val="0"/>
              <w:adjustRightInd w:val="0"/>
              <w:snapToGrid w:val="0"/>
              <w:textAlignment w:val="baseline"/>
              <w:rPr>
                <w:rFonts w:cs="Arial"/>
                <w:szCs w:val="20"/>
                <w:lang w:val="en-GB" w:eastAsia="nl-NL"/>
              </w:rPr>
            </w:pPr>
            <w:proofErr w:type="gramStart"/>
            <w:r w:rsidRPr="00040BEC">
              <w:rPr>
                <w:rFonts w:cs="Arial"/>
                <w:szCs w:val="20"/>
                <w:lang w:val="en-GB" w:eastAsia="nl-NL"/>
              </w:rPr>
              <w:t xml:space="preserve">Elisa </w:t>
            </w:r>
            <w:proofErr w:type="spellStart"/>
            <w:r w:rsidRPr="00040BEC">
              <w:rPr>
                <w:rFonts w:cs="Arial"/>
                <w:szCs w:val="20"/>
                <w:lang w:val="en-GB" w:eastAsia="nl-NL"/>
              </w:rPr>
              <w:t>Eesti</w:t>
            </w:r>
            <w:proofErr w:type="spellEnd"/>
            <w:r w:rsidRPr="00040BEC">
              <w:rPr>
                <w:rFonts w:cs="Arial"/>
                <w:szCs w:val="20"/>
                <w:lang w:val="en-GB" w:eastAsia="nl-NL"/>
              </w:rPr>
              <w:t xml:space="preserve"> AS...</w:t>
            </w:r>
            <w:proofErr w:type="gramEnd"/>
          </w:p>
        </w:tc>
        <w:tc>
          <w:tcPr>
            <w:tcW w:w="2268" w:type="dxa"/>
            <w:tcBorders>
              <w:left w:val="single" w:sz="4" w:space="0" w:color="000000"/>
              <w:bottom w:val="single" w:sz="4" w:space="0" w:color="000000"/>
            </w:tcBorders>
          </w:tcPr>
          <w:p w14:paraId="4D0D0A3B" w14:textId="77777777" w:rsidR="00B63017" w:rsidRPr="00040BEC" w:rsidRDefault="00B63017" w:rsidP="00E72FF9">
            <w:pPr>
              <w:overflowPunct w:val="0"/>
              <w:autoSpaceDE w:val="0"/>
              <w:autoSpaceDN w:val="0"/>
              <w:adjustRightInd w:val="0"/>
              <w:snapToGrid w:val="0"/>
              <w:textAlignment w:val="baseline"/>
              <w:rPr>
                <w:rFonts w:cs="Arial"/>
                <w:szCs w:val="20"/>
                <w:lang w:val="en-GB" w:eastAsia="nl-NL"/>
              </w:rPr>
            </w:pPr>
            <w:r w:rsidRPr="00040BEC">
              <w:rPr>
                <w:rFonts w:cs="Arial"/>
                <w:szCs w:val="20"/>
                <w:lang w:val="en-GB" w:eastAsia="nl-NL"/>
              </w:rPr>
              <w:t>1900.2-1905.0 MHz</w:t>
            </w:r>
          </w:p>
        </w:tc>
        <w:tc>
          <w:tcPr>
            <w:tcW w:w="1985" w:type="dxa"/>
            <w:tcBorders>
              <w:left w:val="single" w:sz="4" w:space="0" w:color="000000"/>
              <w:bottom w:val="single" w:sz="4" w:space="0" w:color="000000"/>
            </w:tcBorders>
          </w:tcPr>
          <w:p w14:paraId="084E4ABC"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TDD</w:t>
            </w:r>
          </w:p>
        </w:tc>
        <w:tc>
          <w:tcPr>
            <w:tcW w:w="3260" w:type="dxa"/>
            <w:tcBorders>
              <w:left w:val="single" w:sz="4" w:space="0" w:color="000000"/>
              <w:bottom w:val="single" w:sz="4" w:space="0" w:color="000000"/>
              <w:right w:val="single" w:sz="4" w:space="0" w:color="000000"/>
            </w:tcBorders>
          </w:tcPr>
          <w:p w14:paraId="3E95C4D8"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17.01.2013 (the validity of licence shall be extended once a year) Tradable</w:t>
            </w:r>
          </w:p>
        </w:tc>
      </w:tr>
      <w:tr w:rsidR="00B63017" w:rsidRPr="00040BEC" w14:paraId="20149AEB" w14:textId="77777777" w:rsidTr="00E72FF9">
        <w:trPr>
          <w:trHeight w:val="449"/>
        </w:trPr>
        <w:tc>
          <w:tcPr>
            <w:tcW w:w="2376" w:type="dxa"/>
            <w:tcBorders>
              <w:left w:val="single" w:sz="4" w:space="0" w:color="000000"/>
              <w:bottom w:val="single" w:sz="4" w:space="0" w:color="000000"/>
            </w:tcBorders>
          </w:tcPr>
          <w:p w14:paraId="2379D4DB" w14:textId="77777777" w:rsidR="00B63017" w:rsidRPr="00040BEC" w:rsidRDefault="00B63017" w:rsidP="00E72FF9">
            <w:pPr>
              <w:overflowPunct w:val="0"/>
              <w:autoSpaceDE w:val="0"/>
              <w:autoSpaceDN w:val="0"/>
              <w:adjustRightInd w:val="0"/>
              <w:snapToGrid w:val="0"/>
              <w:textAlignment w:val="baseline"/>
              <w:rPr>
                <w:rFonts w:cs="Arial"/>
                <w:szCs w:val="20"/>
                <w:lang w:val="en-GB" w:eastAsia="nl-NL"/>
              </w:rPr>
            </w:pPr>
            <w:r w:rsidRPr="00040BEC">
              <w:rPr>
                <w:rFonts w:cs="Arial"/>
                <w:szCs w:val="20"/>
                <w:lang w:val="en-GB" w:eastAsia="nl-NL"/>
              </w:rPr>
              <w:t xml:space="preserve">Tele2 </w:t>
            </w:r>
            <w:proofErr w:type="spellStart"/>
            <w:r w:rsidRPr="00040BEC">
              <w:rPr>
                <w:rFonts w:cs="Arial"/>
                <w:szCs w:val="20"/>
                <w:lang w:val="en-GB" w:eastAsia="nl-NL"/>
              </w:rPr>
              <w:t>Eesti</w:t>
            </w:r>
            <w:proofErr w:type="spellEnd"/>
            <w:r w:rsidRPr="00040BEC">
              <w:rPr>
                <w:rFonts w:cs="Arial"/>
                <w:szCs w:val="20"/>
                <w:lang w:val="en-GB" w:eastAsia="nl-NL"/>
              </w:rPr>
              <w:t xml:space="preserve"> AS</w:t>
            </w:r>
          </w:p>
        </w:tc>
        <w:tc>
          <w:tcPr>
            <w:tcW w:w="2268" w:type="dxa"/>
            <w:tcBorders>
              <w:left w:val="single" w:sz="4" w:space="0" w:color="000000"/>
              <w:bottom w:val="single" w:sz="4" w:space="0" w:color="000000"/>
            </w:tcBorders>
          </w:tcPr>
          <w:p w14:paraId="13E78CC9" w14:textId="77777777" w:rsidR="00B63017" w:rsidRPr="00040BEC" w:rsidRDefault="00B63017" w:rsidP="00E72FF9">
            <w:pPr>
              <w:overflowPunct w:val="0"/>
              <w:autoSpaceDE w:val="0"/>
              <w:autoSpaceDN w:val="0"/>
              <w:adjustRightInd w:val="0"/>
              <w:snapToGrid w:val="0"/>
              <w:textAlignment w:val="baseline"/>
              <w:rPr>
                <w:rFonts w:cs="Arial"/>
                <w:szCs w:val="20"/>
                <w:lang w:val="en-GB" w:eastAsia="nl-NL"/>
              </w:rPr>
            </w:pPr>
            <w:r w:rsidRPr="00040BEC">
              <w:rPr>
                <w:rFonts w:cs="Arial"/>
                <w:szCs w:val="20"/>
                <w:lang w:val="en-GB" w:eastAsia="nl-NL"/>
              </w:rPr>
              <w:t>1910.2-1915.0 MHz</w:t>
            </w:r>
          </w:p>
        </w:tc>
        <w:tc>
          <w:tcPr>
            <w:tcW w:w="1985" w:type="dxa"/>
            <w:tcBorders>
              <w:left w:val="single" w:sz="4" w:space="0" w:color="000000"/>
              <w:bottom w:val="single" w:sz="4" w:space="0" w:color="000000"/>
            </w:tcBorders>
          </w:tcPr>
          <w:p w14:paraId="3510A97A" w14:textId="77777777" w:rsidR="00B63017" w:rsidRPr="00040BEC" w:rsidRDefault="00B63017" w:rsidP="00E72FF9">
            <w:pPr>
              <w:overflowPunct w:val="0"/>
              <w:autoSpaceDE w:val="0"/>
              <w:autoSpaceDN w:val="0"/>
              <w:adjustRightInd w:val="0"/>
              <w:snapToGrid w:val="0"/>
              <w:textAlignment w:val="baseline"/>
              <w:rPr>
                <w:rFonts w:cs="Arial"/>
                <w:szCs w:val="20"/>
                <w:lang w:val="en-GB" w:eastAsia="nl-NL"/>
              </w:rPr>
            </w:pPr>
            <w:r w:rsidRPr="00040BEC">
              <w:rPr>
                <w:rFonts w:cs="Arial"/>
                <w:szCs w:val="20"/>
                <w:lang w:val="en-GB" w:eastAsia="nl-NL"/>
              </w:rPr>
              <w:t>TDD</w:t>
            </w:r>
          </w:p>
        </w:tc>
        <w:tc>
          <w:tcPr>
            <w:tcW w:w="3260" w:type="dxa"/>
            <w:tcBorders>
              <w:left w:val="single" w:sz="4" w:space="0" w:color="000000"/>
              <w:bottom w:val="single" w:sz="4" w:space="0" w:color="000000"/>
              <w:right w:val="single" w:sz="4" w:space="0" w:color="000000"/>
            </w:tcBorders>
          </w:tcPr>
          <w:p w14:paraId="5B427879"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27.01.2013 (the validity of licence shall be extended once a year) Tradable</w:t>
            </w:r>
          </w:p>
        </w:tc>
      </w:tr>
      <w:tr w:rsidR="00B63017" w:rsidRPr="00040BEC" w14:paraId="0B9A85D8" w14:textId="77777777" w:rsidTr="00E72FF9">
        <w:trPr>
          <w:trHeight w:val="263"/>
        </w:trPr>
        <w:tc>
          <w:tcPr>
            <w:tcW w:w="2376" w:type="dxa"/>
            <w:tcBorders>
              <w:left w:val="single" w:sz="4" w:space="0" w:color="000000"/>
              <w:bottom w:val="single" w:sz="4" w:space="0" w:color="000000"/>
            </w:tcBorders>
          </w:tcPr>
          <w:p w14:paraId="5187DE7F" w14:textId="77777777" w:rsidR="00B63017" w:rsidRPr="00040BEC" w:rsidRDefault="00B63017" w:rsidP="00E72FF9">
            <w:pPr>
              <w:overflowPunct w:val="0"/>
              <w:autoSpaceDE w:val="0"/>
              <w:autoSpaceDN w:val="0"/>
              <w:adjustRightInd w:val="0"/>
              <w:snapToGrid w:val="0"/>
              <w:textAlignment w:val="baseline"/>
              <w:rPr>
                <w:rFonts w:cs="Arial"/>
                <w:szCs w:val="20"/>
                <w:lang w:val="en-GB" w:eastAsia="nl-NL"/>
              </w:rPr>
            </w:pPr>
            <w:proofErr w:type="spellStart"/>
            <w:r w:rsidRPr="00040BEC">
              <w:rPr>
                <w:rFonts w:cs="Arial"/>
                <w:szCs w:val="20"/>
                <w:lang w:val="en-GB" w:eastAsia="nl-NL"/>
              </w:rPr>
              <w:t>ProGroup</w:t>
            </w:r>
            <w:proofErr w:type="spellEnd"/>
            <w:r w:rsidRPr="00040BEC">
              <w:rPr>
                <w:rFonts w:cs="Arial"/>
                <w:szCs w:val="20"/>
                <w:lang w:val="en-GB" w:eastAsia="nl-NL"/>
              </w:rPr>
              <w:t xml:space="preserve"> Holding OÜ</w:t>
            </w:r>
          </w:p>
        </w:tc>
        <w:tc>
          <w:tcPr>
            <w:tcW w:w="2268" w:type="dxa"/>
            <w:tcBorders>
              <w:left w:val="single" w:sz="4" w:space="0" w:color="000000"/>
              <w:bottom w:val="single" w:sz="4" w:space="0" w:color="000000"/>
            </w:tcBorders>
          </w:tcPr>
          <w:p w14:paraId="646F7FA8" w14:textId="77777777" w:rsidR="00B63017" w:rsidRPr="00040BEC" w:rsidRDefault="00B63017" w:rsidP="00E72FF9">
            <w:pPr>
              <w:overflowPunct w:val="0"/>
              <w:autoSpaceDE w:val="0"/>
              <w:autoSpaceDN w:val="0"/>
              <w:adjustRightInd w:val="0"/>
              <w:snapToGrid w:val="0"/>
              <w:textAlignment w:val="baseline"/>
              <w:rPr>
                <w:rFonts w:cs="Arial"/>
                <w:szCs w:val="20"/>
                <w:lang w:val="en-GB" w:eastAsia="nl-NL"/>
              </w:rPr>
            </w:pPr>
            <w:r w:rsidRPr="00040BEC">
              <w:rPr>
                <w:rFonts w:cs="Arial"/>
                <w:szCs w:val="20"/>
                <w:lang w:val="en-GB" w:eastAsia="nl-NL"/>
              </w:rPr>
              <w:t>1915.2-1920.0 MHz</w:t>
            </w:r>
          </w:p>
        </w:tc>
        <w:tc>
          <w:tcPr>
            <w:tcW w:w="1985" w:type="dxa"/>
            <w:tcBorders>
              <w:left w:val="single" w:sz="4" w:space="0" w:color="000000"/>
              <w:bottom w:val="single" w:sz="4" w:space="0" w:color="000000"/>
            </w:tcBorders>
          </w:tcPr>
          <w:p w14:paraId="248141D9" w14:textId="77777777" w:rsidR="00B63017" w:rsidRPr="00040BEC" w:rsidRDefault="00B63017" w:rsidP="00E72FF9">
            <w:pPr>
              <w:overflowPunct w:val="0"/>
              <w:autoSpaceDE w:val="0"/>
              <w:autoSpaceDN w:val="0"/>
              <w:adjustRightInd w:val="0"/>
              <w:snapToGrid w:val="0"/>
              <w:textAlignment w:val="baseline"/>
              <w:rPr>
                <w:rFonts w:cs="Arial"/>
                <w:szCs w:val="20"/>
                <w:lang w:val="en-GB" w:eastAsia="nl-NL"/>
              </w:rPr>
            </w:pPr>
            <w:r w:rsidRPr="00040BEC">
              <w:rPr>
                <w:rFonts w:cs="Arial"/>
                <w:szCs w:val="20"/>
                <w:lang w:val="en-GB" w:eastAsia="nl-NL"/>
              </w:rPr>
              <w:t>TDD</w:t>
            </w:r>
          </w:p>
        </w:tc>
        <w:tc>
          <w:tcPr>
            <w:tcW w:w="3260" w:type="dxa"/>
            <w:tcBorders>
              <w:left w:val="single" w:sz="4" w:space="0" w:color="000000"/>
              <w:bottom w:val="single" w:sz="4" w:space="0" w:color="000000"/>
              <w:right w:val="single" w:sz="4" w:space="0" w:color="000000"/>
            </w:tcBorders>
          </w:tcPr>
          <w:p w14:paraId="0DC7F84D" w14:textId="77777777" w:rsidR="00B63017" w:rsidRPr="00040BEC" w:rsidRDefault="00B63017" w:rsidP="00E72FF9">
            <w:pPr>
              <w:overflowPunct w:val="0"/>
              <w:autoSpaceDE w:val="0"/>
              <w:autoSpaceDN w:val="0"/>
              <w:adjustRightInd w:val="0"/>
              <w:snapToGrid w:val="0"/>
              <w:textAlignment w:val="baseline"/>
              <w:rPr>
                <w:rFonts w:cs="Arial"/>
                <w:szCs w:val="20"/>
                <w:lang w:val="en-GB" w:eastAsia="nl-NL"/>
              </w:rPr>
            </w:pPr>
            <w:r w:rsidRPr="00040BEC">
              <w:rPr>
                <w:rFonts w:cs="Arial"/>
                <w:szCs w:val="20"/>
                <w:lang w:val="en-GB" w:eastAsia="nl-NL"/>
              </w:rPr>
              <w:t>30.01.2017</w:t>
            </w:r>
          </w:p>
          <w:p w14:paraId="4B8D6CFA"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Tradable</w:t>
            </w:r>
          </w:p>
        </w:tc>
      </w:tr>
    </w:tbl>
    <w:p w14:paraId="420D6CD6" w14:textId="77777777" w:rsidR="00B63017" w:rsidRPr="00040BEC" w:rsidRDefault="00B63017" w:rsidP="00B63017">
      <w:pPr>
        <w:overflowPunct w:val="0"/>
        <w:autoSpaceDE w:val="0"/>
        <w:autoSpaceDN w:val="0"/>
        <w:adjustRightInd w:val="0"/>
        <w:textAlignment w:val="baseline"/>
        <w:rPr>
          <w:rFonts w:cs="Arial"/>
          <w:b/>
          <w:szCs w:val="20"/>
          <w:lang w:val="en-GB" w:eastAsia="nl-NL"/>
        </w:rPr>
      </w:pPr>
    </w:p>
    <w:p w14:paraId="18151E85" w14:textId="77777777" w:rsidR="00B63017" w:rsidRPr="00040BEC" w:rsidRDefault="00B63017" w:rsidP="00B63017">
      <w:pPr>
        <w:numPr>
          <w:ilvl w:val="0"/>
          <w:numId w:val="17"/>
        </w:numPr>
        <w:suppressAutoHyphens/>
        <w:overflowPunct w:val="0"/>
        <w:autoSpaceDE w:val="0"/>
        <w:autoSpaceDN w:val="0"/>
        <w:adjustRightInd w:val="0"/>
        <w:ind w:left="567" w:hanging="567"/>
        <w:textAlignment w:val="baseline"/>
        <w:rPr>
          <w:rFonts w:cs="Arial"/>
          <w:b/>
          <w:bCs/>
          <w:szCs w:val="20"/>
          <w:lang w:val="en-GB" w:eastAsia="nl-NL"/>
        </w:rPr>
      </w:pPr>
      <w:r w:rsidRPr="00040BEC">
        <w:rPr>
          <w:rFonts w:cs="Arial"/>
          <w:b/>
          <w:bCs/>
          <w:szCs w:val="20"/>
          <w:lang w:val="en-GB" w:eastAsia="nl-NL"/>
        </w:rPr>
        <w:t>Finland (March 201</w:t>
      </w:r>
      <w:r w:rsidR="00E41ACA" w:rsidRPr="00040BEC">
        <w:rPr>
          <w:rFonts w:cs="Arial"/>
          <w:b/>
          <w:bCs/>
          <w:szCs w:val="20"/>
          <w:lang w:val="en-GB" w:eastAsia="nl-NL"/>
        </w:rPr>
        <w:t>4</w:t>
      </w:r>
      <w:r w:rsidRPr="00040BEC">
        <w:rPr>
          <w:rFonts w:cs="Arial"/>
          <w:b/>
          <w:bCs/>
          <w:szCs w:val="20"/>
          <w:lang w:val="en-GB" w:eastAsia="nl-NL"/>
        </w:rPr>
        <w:t>)</w:t>
      </w:r>
    </w:p>
    <w:p w14:paraId="7D408072" w14:textId="77777777" w:rsidR="00B63017" w:rsidRPr="00040BEC" w:rsidRDefault="00B63017" w:rsidP="00B63017">
      <w:pPr>
        <w:overflowPunct w:val="0"/>
        <w:autoSpaceDE w:val="0"/>
        <w:autoSpaceDN w:val="0"/>
        <w:adjustRightInd w:val="0"/>
        <w:textAlignment w:val="baseline"/>
        <w:rPr>
          <w:rFonts w:cs="Arial"/>
          <w:szCs w:val="20"/>
          <w:u w:val="single"/>
          <w:lang w:val="en-GB" w:eastAsia="nl-NL"/>
        </w:rPr>
      </w:pPr>
    </w:p>
    <w:p w14:paraId="2E8C9518" w14:textId="77777777" w:rsidR="00B63017" w:rsidRPr="00040BEC" w:rsidRDefault="00B63017" w:rsidP="00B63017">
      <w:pPr>
        <w:overflowPunct w:val="0"/>
        <w:autoSpaceDE w:val="0"/>
        <w:autoSpaceDN w:val="0"/>
        <w:adjustRightInd w:val="0"/>
        <w:textAlignment w:val="baseline"/>
        <w:rPr>
          <w:rFonts w:cs="Arial"/>
          <w:b/>
          <w:szCs w:val="20"/>
          <w:lang w:val="en-GB" w:eastAsia="nl-NL"/>
        </w:rPr>
      </w:pPr>
      <w:r w:rsidRPr="00040BEC">
        <w:rPr>
          <w:rFonts w:cs="Arial"/>
          <w:b/>
          <w:szCs w:val="20"/>
          <w:lang w:val="en-GB" w:eastAsia="nl-NL"/>
        </w:rPr>
        <w:t>1900-1920 MHz / 2010-2025 MHz (unpaired frequency arrangement)</w:t>
      </w:r>
    </w:p>
    <w:tbl>
      <w:tblPr>
        <w:tblW w:w="52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76"/>
        <w:gridCol w:w="2552"/>
        <w:gridCol w:w="2126"/>
        <w:gridCol w:w="2834"/>
      </w:tblGrid>
      <w:tr w:rsidR="00B63017" w:rsidRPr="00040BEC" w14:paraId="07FAABF0" w14:textId="77777777" w:rsidTr="00F828D7">
        <w:trPr>
          <w:trHeight w:val="435"/>
        </w:trPr>
        <w:tc>
          <w:tcPr>
            <w:tcW w:w="1201" w:type="pct"/>
            <w:vAlign w:val="center"/>
          </w:tcPr>
          <w:p w14:paraId="624080F9"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Operator</w:t>
            </w:r>
          </w:p>
        </w:tc>
        <w:tc>
          <w:tcPr>
            <w:tcW w:w="1290" w:type="pct"/>
            <w:vAlign w:val="center"/>
          </w:tcPr>
          <w:p w14:paraId="5FA0C6B1"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Frequencies</w:t>
            </w:r>
          </w:p>
        </w:tc>
        <w:tc>
          <w:tcPr>
            <w:tcW w:w="1075" w:type="pct"/>
            <w:vAlign w:val="center"/>
          </w:tcPr>
          <w:p w14:paraId="35F36645"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Technology in use (optional)</w:t>
            </w:r>
          </w:p>
        </w:tc>
        <w:tc>
          <w:tcPr>
            <w:tcW w:w="1433" w:type="pct"/>
            <w:vAlign w:val="center"/>
          </w:tcPr>
          <w:p w14:paraId="55A7231B"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Licence duration, tradability</w:t>
            </w:r>
          </w:p>
        </w:tc>
      </w:tr>
      <w:tr w:rsidR="00B63017" w:rsidRPr="00040BEC" w14:paraId="1BBA339A" w14:textId="77777777" w:rsidTr="00F828D7">
        <w:trPr>
          <w:trHeight w:val="390"/>
        </w:trPr>
        <w:tc>
          <w:tcPr>
            <w:tcW w:w="1201" w:type="pct"/>
          </w:tcPr>
          <w:p w14:paraId="36A2C398"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TeliaSonera Finland Corp.</w:t>
            </w:r>
          </w:p>
        </w:tc>
        <w:tc>
          <w:tcPr>
            <w:tcW w:w="1290" w:type="pct"/>
          </w:tcPr>
          <w:p w14:paraId="1D367AE8"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1900.000 - 1904.800 MHz (Nationwide)</w:t>
            </w:r>
          </w:p>
        </w:tc>
        <w:tc>
          <w:tcPr>
            <w:tcW w:w="1075" w:type="pct"/>
          </w:tcPr>
          <w:p w14:paraId="4E15E435" w14:textId="77777777" w:rsidR="00B63017" w:rsidRPr="00040BEC" w:rsidRDefault="00B63017" w:rsidP="00116E9A">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 xml:space="preserve">UTRA </w:t>
            </w:r>
            <w:r w:rsidR="00116E9A" w:rsidRPr="00040BEC">
              <w:rPr>
                <w:rFonts w:cs="Arial"/>
                <w:szCs w:val="20"/>
                <w:lang w:val="en-GB" w:eastAsia="nl-NL"/>
              </w:rPr>
              <w:t>TDD</w:t>
            </w:r>
          </w:p>
        </w:tc>
        <w:tc>
          <w:tcPr>
            <w:tcW w:w="1433" w:type="pct"/>
          </w:tcPr>
          <w:p w14:paraId="38E09B7F"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- 18.3.2019</w:t>
            </w:r>
          </w:p>
        </w:tc>
      </w:tr>
      <w:tr w:rsidR="00B63017" w:rsidRPr="00040BEC" w14:paraId="26853611" w14:textId="77777777" w:rsidTr="00F828D7">
        <w:trPr>
          <w:trHeight w:val="472"/>
        </w:trPr>
        <w:tc>
          <w:tcPr>
            <w:tcW w:w="1201" w:type="pct"/>
          </w:tcPr>
          <w:p w14:paraId="515A53F7"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DNA Ltd.</w:t>
            </w:r>
          </w:p>
        </w:tc>
        <w:tc>
          <w:tcPr>
            <w:tcW w:w="1290" w:type="pct"/>
          </w:tcPr>
          <w:p w14:paraId="11540D57"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1905.000 - 1909.800 MHz</w:t>
            </w:r>
          </w:p>
          <w:p w14:paraId="60907794"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 xml:space="preserve">(Nationwide except Provence of </w:t>
            </w:r>
            <w:proofErr w:type="spellStart"/>
            <w:r w:rsidRPr="00040BEC">
              <w:rPr>
                <w:rFonts w:cs="Arial"/>
                <w:szCs w:val="20"/>
                <w:lang w:val="en-GB" w:eastAsia="nl-NL"/>
              </w:rPr>
              <w:t>Åland</w:t>
            </w:r>
            <w:proofErr w:type="spellEnd"/>
            <w:r w:rsidRPr="00040BEC">
              <w:rPr>
                <w:rFonts w:cs="Arial"/>
                <w:szCs w:val="20"/>
                <w:lang w:val="en-GB" w:eastAsia="nl-NL"/>
              </w:rPr>
              <w:t>)</w:t>
            </w:r>
          </w:p>
        </w:tc>
        <w:tc>
          <w:tcPr>
            <w:tcW w:w="1075" w:type="pct"/>
          </w:tcPr>
          <w:p w14:paraId="214852B7"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UTRA TDD</w:t>
            </w:r>
          </w:p>
        </w:tc>
        <w:tc>
          <w:tcPr>
            <w:tcW w:w="1433" w:type="pct"/>
          </w:tcPr>
          <w:p w14:paraId="6E9A0A2C"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- 18.3.2019</w:t>
            </w:r>
          </w:p>
        </w:tc>
      </w:tr>
      <w:tr w:rsidR="00B63017" w:rsidRPr="00040BEC" w14:paraId="0FFB9931" w14:textId="77777777" w:rsidTr="00F828D7">
        <w:trPr>
          <w:trHeight w:val="449"/>
        </w:trPr>
        <w:tc>
          <w:tcPr>
            <w:tcW w:w="1201" w:type="pct"/>
          </w:tcPr>
          <w:p w14:paraId="5F77FC38"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Elisa Corp.</w:t>
            </w:r>
          </w:p>
        </w:tc>
        <w:tc>
          <w:tcPr>
            <w:tcW w:w="1290" w:type="pct"/>
          </w:tcPr>
          <w:p w14:paraId="1913EC94"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 xml:space="preserve">1910.000 - 1914.800 MHz </w:t>
            </w:r>
          </w:p>
          <w:p w14:paraId="2C67A363"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 xml:space="preserve">(Provence of </w:t>
            </w:r>
            <w:proofErr w:type="spellStart"/>
            <w:r w:rsidRPr="00040BEC">
              <w:rPr>
                <w:rFonts w:cs="Arial"/>
                <w:szCs w:val="20"/>
                <w:lang w:val="en-GB" w:eastAsia="nl-NL"/>
              </w:rPr>
              <w:t>Åland</w:t>
            </w:r>
            <w:proofErr w:type="spellEnd"/>
            <w:r w:rsidRPr="00040BEC">
              <w:rPr>
                <w:rFonts w:cs="Arial"/>
                <w:szCs w:val="20"/>
                <w:lang w:val="en-GB" w:eastAsia="nl-NL"/>
              </w:rPr>
              <w:t>)</w:t>
            </w:r>
          </w:p>
          <w:p w14:paraId="1EF3DA98"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 xml:space="preserve">1915.000 - 1919.800 MHz </w:t>
            </w:r>
          </w:p>
          <w:p w14:paraId="0C15B397"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 xml:space="preserve">(Nationwide except Provence of </w:t>
            </w:r>
            <w:proofErr w:type="spellStart"/>
            <w:r w:rsidRPr="00040BEC">
              <w:rPr>
                <w:rFonts w:cs="Arial"/>
                <w:szCs w:val="20"/>
                <w:lang w:val="en-GB" w:eastAsia="nl-NL"/>
              </w:rPr>
              <w:t>Åland</w:t>
            </w:r>
            <w:proofErr w:type="spellEnd"/>
            <w:r w:rsidRPr="00040BEC">
              <w:rPr>
                <w:rFonts w:cs="Arial"/>
                <w:szCs w:val="20"/>
                <w:lang w:val="en-GB" w:eastAsia="nl-NL"/>
              </w:rPr>
              <w:t xml:space="preserve">) </w:t>
            </w:r>
          </w:p>
        </w:tc>
        <w:tc>
          <w:tcPr>
            <w:tcW w:w="1075" w:type="pct"/>
          </w:tcPr>
          <w:p w14:paraId="37976E70"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UTRA TDD</w:t>
            </w:r>
          </w:p>
        </w:tc>
        <w:tc>
          <w:tcPr>
            <w:tcW w:w="1433" w:type="pct"/>
          </w:tcPr>
          <w:p w14:paraId="47749C93"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- 18.3.2019</w:t>
            </w:r>
          </w:p>
          <w:p w14:paraId="5FA77DBB" w14:textId="77777777" w:rsidR="00B63017" w:rsidRPr="00040BEC" w:rsidRDefault="00B63017" w:rsidP="00E72FF9">
            <w:pPr>
              <w:overflowPunct w:val="0"/>
              <w:autoSpaceDE w:val="0"/>
              <w:autoSpaceDN w:val="0"/>
              <w:adjustRightInd w:val="0"/>
              <w:textAlignment w:val="baseline"/>
              <w:rPr>
                <w:rFonts w:cs="Arial"/>
                <w:szCs w:val="20"/>
                <w:lang w:val="en-GB" w:eastAsia="nl-NL"/>
              </w:rPr>
            </w:pPr>
          </w:p>
          <w:p w14:paraId="378F4FF7"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- 18.3.2019</w:t>
            </w:r>
          </w:p>
        </w:tc>
      </w:tr>
      <w:tr w:rsidR="00B63017" w:rsidRPr="00040BEC" w14:paraId="5F071844" w14:textId="77777777" w:rsidTr="00F828D7">
        <w:trPr>
          <w:trHeight w:val="449"/>
        </w:trPr>
        <w:tc>
          <w:tcPr>
            <w:tcW w:w="1201" w:type="pct"/>
          </w:tcPr>
          <w:p w14:paraId="423093D7" w14:textId="77777777" w:rsidR="00B63017" w:rsidRPr="00040BEC" w:rsidRDefault="00B63017" w:rsidP="00E72FF9">
            <w:pPr>
              <w:overflowPunct w:val="0"/>
              <w:autoSpaceDE w:val="0"/>
              <w:autoSpaceDN w:val="0"/>
              <w:adjustRightInd w:val="0"/>
              <w:textAlignment w:val="baseline"/>
              <w:rPr>
                <w:rFonts w:cs="Arial"/>
                <w:szCs w:val="20"/>
                <w:lang w:val="en-GB" w:eastAsia="nl-NL"/>
              </w:rPr>
            </w:pPr>
            <w:proofErr w:type="spellStart"/>
            <w:r w:rsidRPr="00040BEC">
              <w:rPr>
                <w:rFonts w:cs="Arial"/>
                <w:szCs w:val="20"/>
                <w:lang w:val="en-GB" w:eastAsia="nl-NL"/>
              </w:rPr>
              <w:t>Ålands</w:t>
            </w:r>
            <w:proofErr w:type="spellEnd"/>
            <w:r w:rsidRPr="00040BEC">
              <w:rPr>
                <w:rFonts w:cs="Arial"/>
                <w:szCs w:val="20"/>
                <w:lang w:val="en-GB" w:eastAsia="nl-NL"/>
              </w:rPr>
              <w:t xml:space="preserve"> </w:t>
            </w:r>
            <w:proofErr w:type="spellStart"/>
            <w:r w:rsidRPr="00040BEC">
              <w:rPr>
                <w:rFonts w:cs="Arial"/>
                <w:szCs w:val="20"/>
                <w:lang w:val="en-GB" w:eastAsia="nl-NL"/>
              </w:rPr>
              <w:t>Telekommunikation</w:t>
            </w:r>
            <w:proofErr w:type="spellEnd"/>
            <w:r w:rsidRPr="00040BEC">
              <w:rPr>
                <w:rFonts w:cs="Arial"/>
                <w:szCs w:val="20"/>
                <w:lang w:val="en-GB" w:eastAsia="nl-NL"/>
              </w:rPr>
              <w:t xml:space="preserve"> Ab</w:t>
            </w:r>
          </w:p>
        </w:tc>
        <w:tc>
          <w:tcPr>
            <w:tcW w:w="1290" w:type="pct"/>
          </w:tcPr>
          <w:p w14:paraId="5CA46AEE"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 xml:space="preserve">1915.000 - 1919.800 MHz </w:t>
            </w:r>
          </w:p>
          <w:p w14:paraId="2AA725C5"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 xml:space="preserve">(Provence of </w:t>
            </w:r>
            <w:proofErr w:type="spellStart"/>
            <w:r w:rsidRPr="00040BEC">
              <w:rPr>
                <w:rFonts w:cs="Arial"/>
                <w:szCs w:val="20"/>
                <w:lang w:val="en-GB" w:eastAsia="nl-NL"/>
              </w:rPr>
              <w:t>Åland</w:t>
            </w:r>
            <w:proofErr w:type="spellEnd"/>
            <w:r w:rsidRPr="00040BEC">
              <w:rPr>
                <w:rFonts w:cs="Arial"/>
                <w:szCs w:val="20"/>
                <w:lang w:val="en-GB" w:eastAsia="nl-NL"/>
              </w:rPr>
              <w:t>)</w:t>
            </w:r>
          </w:p>
        </w:tc>
        <w:tc>
          <w:tcPr>
            <w:tcW w:w="1075" w:type="pct"/>
          </w:tcPr>
          <w:p w14:paraId="6960D353"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UTRA TDD</w:t>
            </w:r>
          </w:p>
        </w:tc>
        <w:tc>
          <w:tcPr>
            <w:tcW w:w="1433" w:type="pct"/>
          </w:tcPr>
          <w:p w14:paraId="42981269"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- 18.3.2019</w:t>
            </w:r>
          </w:p>
        </w:tc>
      </w:tr>
    </w:tbl>
    <w:p w14:paraId="2E3AC58A" w14:textId="77777777" w:rsidR="00B63017" w:rsidRPr="00040BEC" w:rsidRDefault="00B63017" w:rsidP="00B63017">
      <w:pPr>
        <w:overflowPunct w:val="0"/>
        <w:autoSpaceDE w:val="0"/>
        <w:autoSpaceDN w:val="0"/>
        <w:adjustRightInd w:val="0"/>
        <w:jc w:val="both"/>
        <w:textAlignment w:val="baseline"/>
        <w:rPr>
          <w:rFonts w:cs="Arial"/>
          <w:szCs w:val="20"/>
          <w:lang w:val="en-GB" w:eastAsia="nl-NL"/>
        </w:rPr>
      </w:pPr>
      <w:r w:rsidRPr="00040BEC">
        <w:rPr>
          <w:rFonts w:cs="Arial"/>
          <w:szCs w:val="20"/>
          <w:lang w:val="en-GB" w:eastAsia="nl-NL"/>
        </w:rPr>
        <w:t xml:space="preserve">Note: </w:t>
      </w:r>
      <w:proofErr w:type="gramStart"/>
      <w:r w:rsidRPr="00040BEC">
        <w:rPr>
          <w:rFonts w:cs="Arial"/>
          <w:szCs w:val="20"/>
          <w:lang w:val="en-GB" w:eastAsia="nl-NL"/>
        </w:rPr>
        <w:t>in this table</w:t>
      </w:r>
      <w:proofErr w:type="gramEnd"/>
      <w:r w:rsidRPr="00040BEC">
        <w:rPr>
          <w:rFonts w:cs="Arial"/>
          <w:szCs w:val="20"/>
          <w:lang w:val="en-GB" w:eastAsia="nl-NL"/>
        </w:rPr>
        <w:t xml:space="preserve"> the term licence means a radio licence.</w:t>
      </w:r>
    </w:p>
    <w:p w14:paraId="1FB91AFF" w14:textId="77777777" w:rsidR="00B63017" w:rsidRPr="00040BEC" w:rsidRDefault="00B63017" w:rsidP="00B63017">
      <w:pPr>
        <w:overflowPunct w:val="0"/>
        <w:autoSpaceDE w:val="0"/>
        <w:autoSpaceDN w:val="0"/>
        <w:adjustRightInd w:val="0"/>
        <w:ind w:left="-360"/>
        <w:jc w:val="both"/>
        <w:textAlignment w:val="baseline"/>
        <w:rPr>
          <w:rFonts w:cs="Arial"/>
          <w:szCs w:val="20"/>
          <w:lang w:val="en-GB" w:eastAsia="nl-NL"/>
        </w:rPr>
      </w:pPr>
    </w:p>
    <w:p w14:paraId="1B4D76A4" w14:textId="77777777" w:rsidR="00B63017" w:rsidRPr="00040BEC" w:rsidRDefault="00B63017" w:rsidP="00B63017">
      <w:pPr>
        <w:numPr>
          <w:ilvl w:val="0"/>
          <w:numId w:val="17"/>
        </w:numPr>
        <w:suppressAutoHyphens/>
        <w:overflowPunct w:val="0"/>
        <w:autoSpaceDE w:val="0"/>
        <w:autoSpaceDN w:val="0"/>
        <w:adjustRightInd w:val="0"/>
        <w:ind w:left="567" w:hanging="567"/>
        <w:textAlignment w:val="baseline"/>
        <w:rPr>
          <w:rFonts w:cs="Arial"/>
          <w:b/>
          <w:bCs/>
          <w:szCs w:val="20"/>
          <w:lang w:val="en-GB" w:eastAsia="en-IE"/>
        </w:rPr>
      </w:pPr>
      <w:r w:rsidRPr="00040BEC">
        <w:rPr>
          <w:rFonts w:cs="Arial"/>
          <w:b/>
          <w:bCs/>
          <w:szCs w:val="20"/>
          <w:lang w:val="en-GB" w:eastAsia="en-IE"/>
        </w:rPr>
        <w:t>France (March 2013)</w:t>
      </w:r>
    </w:p>
    <w:p w14:paraId="05CD286E" w14:textId="77777777" w:rsidR="00B63017" w:rsidRPr="00040BEC" w:rsidRDefault="00B63017" w:rsidP="00B63017">
      <w:pPr>
        <w:overflowPunct w:val="0"/>
        <w:autoSpaceDE w:val="0"/>
        <w:autoSpaceDN w:val="0"/>
        <w:adjustRightInd w:val="0"/>
        <w:textAlignment w:val="baseline"/>
        <w:rPr>
          <w:rFonts w:cs="Arial"/>
          <w:b/>
          <w:szCs w:val="20"/>
          <w:lang w:val="en-GB" w:eastAsia="nl-NL"/>
        </w:rPr>
      </w:pPr>
    </w:p>
    <w:p w14:paraId="2A94B5F1" w14:textId="77777777" w:rsidR="00B63017" w:rsidRPr="00040BEC" w:rsidRDefault="00B63017" w:rsidP="00B63017">
      <w:pPr>
        <w:overflowPunct w:val="0"/>
        <w:autoSpaceDE w:val="0"/>
        <w:autoSpaceDN w:val="0"/>
        <w:adjustRightInd w:val="0"/>
        <w:textAlignment w:val="baseline"/>
        <w:rPr>
          <w:rFonts w:cs="Arial"/>
          <w:b/>
          <w:szCs w:val="20"/>
          <w:lang w:val="en-GB" w:eastAsia="nl-NL"/>
        </w:rPr>
      </w:pPr>
      <w:r w:rsidRPr="00040BEC">
        <w:rPr>
          <w:rFonts w:cs="Arial"/>
          <w:b/>
          <w:szCs w:val="20"/>
          <w:lang w:val="en-GB" w:eastAsia="nl-NL"/>
        </w:rPr>
        <w:t>1900-1920 MHz / 2010-2025 MHz (unpaired frequency arrangement)</w:t>
      </w: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57"/>
        <w:gridCol w:w="1979"/>
        <w:gridCol w:w="1984"/>
        <w:gridCol w:w="3969"/>
      </w:tblGrid>
      <w:tr w:rsidR="00B63017" w:rsidRPr="00040BEC" w14:paraId="75E2CD8F" w14:textId="77777777" w:rsidTr="00E72FF9">
        <w:trPr>
          <w:trHeight w:val="435"/>
        </w:trPr>
        <w:tc>
          <w:tcPr>
            <w:tcW w:w="1957" w:type="dxa"/>
            <w:vAlign w:val="center"/>
          </w:tcPr>
          <w:p w14:paraId="261497F3"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Operator</w:t>
            </w:r>
          </w:p>
        </w:tc>
        <w:tc>
          <w:tcPr>
            <w:tcW w:w="1979" w:type="dxa"/>
            <w:vAlign w:val="center"/>
          </w:tcPr>
          <w:p w14:paraId="7F15FDFF"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Frequencies</w:t>
            </w:r>
          </w:p>
        </w:tc>
        <w:tc>
          <w:tcPr>
            <w:tcW w:w="1984" w:type="dxa"/>
            <w:vAlign w:val="center"/>
          </w:tcPr>
          <w:p w14:paraId="09BE0CBC"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Technology in use (optional)</w:t>
            </w:r>
          </w:p>
        </w:tc>
        <w:tc>
          <w:tcPr>
            <w:tcW w:w="3969" w:type="dxa"/>
            <w:vAlign w:val="center"/>
          </w:tcPr>
          <w:p w14:paraId="5AFB4DC1"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Licence duration, tradability</w:t>
            </w:r>
          </w:p>
        </w:tc>
      </w:tr>
      <w:tr w:rsidR="00B63017" w:rsidRPr="00040BEC" w14:paraId="56512390" w14:textId="77777777" w:rsidTr="00E72FF9">
        <w:trPr>
          <w:trHeight w:val="390"/>
        </w:trPr>
        <w:tc>
          <w:tcPr>
            <w:tcW w:w="1957" w:type="dxa"/>
          </w:tcPr>
          <w:p w14:paraId="18F4EF19"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Bouygues Telecom</w:t>
            </w:r>
          </w:p>
        </w:tc>
        <w:tc>
          <w:tcPr>
            <w:tcW w:w="1979" w:type="dxa"/>
          </w:tcPr>
          <w:p w14:paraId="07854736"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1900.1-1905.1 MHz</w:t>
            </w:r>
          </w:p>
        </w:tc>
        <w:tc>
          <w:tcPr>
            <w:tcW w:w="1984" w:type="dxa"/>
          </w:tcPr>
          <w:p w14:paraId="1F098DC7"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UMTS – TDD</w:t>
            </w:r>
          </w:p>
          <w:p w14:paraId="4C90D6BF"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(not deployed)</w:t>
            </w:r>
          </w:p>
        </w:tc>
        <w:tc>
          <w:tcPr>
            <w:tcW w:w="3969" w:type="dxa"/>
          </w:tcPr>
          <w:p w14:paraId="6B8B33DA"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12 December 2002 – 11 December 2022, SRU tradable</w:t>
            </w:r>
          </w:p>
        </w:tc>
      </w:tr>
      <w:tr w:rsidR="00B63017" w:rsidRPr="00040BEC" w14:paraId="5E7C74F6" w14:textId="77777777" w:rsidTr="00E72FF9">
        <w:trPr>
          <w:trHeight w:val="277"/>
        </w:trPr>
        <w:tc>
          <w:tcPr>
            <w:tcW w:w="1957" w:type="dxa"/>
          </w:tcPr>
          <w:p w14:paraId="01CE1E69"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Orange France</w:t>
            </w:r>
          </w:p>
        </w:tc>
        <w:tc>
          <w:tcPr>
            <w:tcW w:w="1979" w:type="dxa"/>
          </w:tcPr>
          <w:p w14:paraId="5B71667A"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1910.1-1915.1 MHz</w:t>
            </w:r>
          </w:p>
        </w:tc>
        <w:tc>
          <w:tcPr>
            <w:tcW w:w="1984" w:type="dxa"/>
          </w:tcPr>
          <w:p w14:paraId="28754957"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UMTS – TDD</w:t>
            </w:r>
          </w:p>
          <w:p w14:paraId="368B521E"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(not deployed)</w:t>
            </w:r>
          </w:p>
        </w:tc>
        <w:tc>
          <w:tcPr>
            <w:tcW w:w="3969" w:type="dxa"/>
          </w:tcPr>
          <w:p w14:paraId="19DA15A1"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 xml:space="preserve">21 August 2001 – 20 August 2021, </w:t>
            </w:r>
            <w:r w:rsidRPr="00040BEC">
              <w:rPr>
                <w:rFonts w:cs="Arial"/>
                <w:szCs w:val="20"/>
                <w:lang w:val="en-GB" w:eastAsia="nl-NL"/>
              </w:rPr>
              <w:br/>
              <w:t>SRU tradable</w:t>
            </w:r>
          </w:p>
        </w:tc>
      </w:tr>
      <w:tr w:rsidR="00B63017" w:rsidRPr="00040BEC" w14:paraId="1D56245E" w14:textId="77777777" w:rsidTr="00E72FF9">
        <w:trPr>
          <w:trHeight w:val="449"/>
        </w:trPr>
        <w:tc>
          <w:tcPr>
            <w:tcW w:w="1957" w:type="dxa"/>
          </w:tcPr>
          <w:p w14:paraId="679FF966" w14:textId="77777777" w:rsidR="00B63017" w:rsidRPr="00040BEC" w:rsidRDefault="00B63017" w:rsidP="00E72FF9">
            <w:pPr>
              <w:overflowPunct w:val="0"/>
              <w:autoSpaceDE w:val="0"/>
              <w:autoSpaceDN w:val="0"/>
              <w:adjustRightInd w:val="0"/>
              <w:textAlignment w:val="baseline"/>
              <w:rPr>
                <w:rFonts w:cs="Arial"/>
                <w:szCs w:val="20"/>
                <w:lang w:val="en-GB" w:eastAsia="nl-NL"/>
              </w:rPr>
            </w:pPr>
            <w:proofErr w:type="spellStart"/>
            <w:r w:rsidRPr="00040BEC">
              <w:rPr>
                <w:rFonts w:cs="Arial"/>
                <w:szCs w:val="20"/>
                <w:lang w:val="en-GB" w:eastAsia="nl-NL"/>
              </w:rPr>
              <w:t>Société</w:t>
            </w:r>
            <w:proofErr w:type="spellEnd"/>
            <w:r w:rsidRPr="00040BEC">
              <w:rPr>
                <w:rFonts w:cs="Arial"/>
                <w:szCs w:val="20"/>
                <w:lang w:val="en-GB" w:eastAsia="nl-NL"/>
              </w:rPr>
              <w:t xml:space="preserve"> </w:t>
            </w:r>
            <w:proofErr w:type="spellStart"/>
            <w:r w:rsidRPr="00040BEC">
              <w:rPr>
                <w:rFonts w:cs="Arial"/>
                <w:szCs w:val="20"/>
                <w:lang w:val="en-GB" w:eastAsia="nl-NL"/>
              </w:rPr>
              <w:t>Française</w:t>
            </w:r>
            <w:proofErr w:type="spellEnd"/>
            <w:r w:rsidRPr="00040BEC">
              <w:rPr>
                <w:rFonts w:cs="Arial"/>
                <w:szCs w:val="20"/>
                <w:lang w:val="en-GB" w:eastAsia="nl-NL"/>
              </w:rPr>
              <w:t xml:space="preserve"> du </w:t>
            </w:r>
            <w:proofErr w:type="spellStart"/>
            <w:r w:rsidRPr="00040BEC">
              <w:rPr>
                <w:rFonts w:cs="Arial"/>
                <w:szCs w:val="20"/>
                <w:lang w:val="en-GB" w:eastAsia="nl-NL"/>
              </w:rPr>
              <w:t>radiotéléphone</w:t>
            </w:r>
            <w:proofErr w:type="spellEnd"/>
          </w:p>
        </w:tc>
        <w:tc>
          <w:tcPr>
            <w:tcW w:w="1979" w:type="dxa"/>
          </w:tcPr>
          <w:p w14:paraId="7F2FBDCE"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1915.1-1920.1 MHz</w:t>
            </w:r>
          </w:p>
        </w:tc>
        <w:tc>
          <w:tcPr>
            <w:tcW w:w="1984" w:type="dxa"/>
          </w:tcPr>
          <w:p w14:paraId="65917C6C"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UMTS – TDD</w:t>
            </w:r>
          </w:p>
          <w:p w14:paraId="195F2D5A"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(not deployed)</w:t>
            </w:r>
          </w:p>
        </w:tc>
        <w:tc>
          <w:tcPr>
            <w:tcW w:w="3969" w:type="dxa"/>
          </w:tcPr>
          <w:p w14:paraId="735BA1AB"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 xml:space="preserve">21 August 2001 – 20 August 2021, </w:t>
            </w:r>
            <w:r w:rsidRPr="00040BEC">
              <w:rPr>
                <w:rFonts w:cs="Arial"/>
                <w:szCs w:val="20"/>
                <w:lang w:val="en-GB" w:eastAsia="nl-NL"/>
              </w:rPr>
              <w:br/>
              <w:t>SRU tradable</w:t>
            </w:r>
          </w:p>
        </w:tc>
      </w:tr>
    </w:tbl>
    <w:p w14:paraId="0CBDFEBF" w14:textId="77777777" w:rsidR="00B63017" w:rsidRPr="00040BEC" w:rsidRDefault="00B63017" w:rsidP="00B63017">
      <w:pPr>
        <w:overflowPunct w:val="0"/>
        <w:autoSpaceDE w:val="0"/>
        <w:autoSpaceDN w:val="0"/>
        <w:adjustRightInd w:val="0"/>
        <w:textAlignment w:val="baseline"/>
        <w:rPr>
          <w:rFonts w:cs="Arial"/>
          <w:b/>
          <w:szCs w:val="20"/>
          <w:lang w:val="en-GB" w:eastAsia="nl-NL"/>
        </w:rPr>
      </w:pPr>
    </w:p>
    <w:p w14:paraId="6FE29BA2" w14:textId="77777777" w:rsidR="00B63017" w:rsidRPr="00040BEC" w:rsidRDefault="00B63017" w:rsidP="00B63017">
      <w:pPr>
        <w:numPr>
          <w:ilvl w:val="0"/>
          <w:numId w:val="17"/>
        </w:numPr>
        <w:suppressAutoHyphens/>
        <w:overflowPunct w:val="0"/>
        <w:autoSpaceDE w:val="0"/>
        <w:autoSpaceDN w:val="0"/>
        <w:adjustRightInd w:val="0"/>
        <w:ind w:left="567" w:hanging="567"/>
        <w:textAlignment w:val="baseline"/>
        <w:rPr>
          <w:rFonts w:cs="Arial"/>
          <w:b/>
          <w:szCs w:val="20"/>
          <w:lang w:val="en-GB" w:eastAsia="en-IE"/>
        </w:rPr>
      </w:pPr>
      <w:r w:rsidRPr="00040BEC">
        <w:rPr>
          <w:rFonts w:cs="Arial"/>
          <w:b/>
          <w:bCs/>
          <w:szCs w:val="20"/>
          <w:lang w:val="en-GB" w:eastAsia="en-IE"/>
        </w:rPr>
        <w:t>Georgia</w:t>
      </w:r>
      <w:r w:rsidRPr="00040BEC">
        <w:rPr>
          <w:rFonts w:cs="Arial"/>
          <w:b/>
          <w:szCs w:val="20"/>
          <w:lang w:val="en-GB" w:eastAsia="en-IE"/>
        </w:rPr>
        <w:t xml:space="preserve"> (June, 2010) </w:t>
      </w:r>
    </w:p>
    <w:p w14:paraId="6379832C" w14:textId="77777777" w:rsidR="00B63017" w:rsidRPr="00040BEC" w:rsidRDefault="00B63017" w:rsidP="00B63017">
      <w:pPr>
        <w:suppressAutoHyphens/>
        <w:overflowPunct w:val="0"/>
        <w:autoSpaceDE w:val="0"/>
        <w:autoSpaceDN w:val="0"/>
        <w:adjustRightInd w:val="0"/>
        <w:textAlignment w:val="baseline"/>
        <w:rPr>
          <w:rFonts w:cs="Arial"/>
          <w:b/>
          <w:szCs w:val="20"/>
          <w:lang w:val="en-GB" w:eastAsia="en-IE"/>
        </w:rPr>
      </w:pPr>
    </w:p>
    <w:p w14:paraId="47AA096C" w14:textId="77777777" w:rsidR="00B63017" w:rsidRPr="00040BEC" w:rsidRDefault="00B63017" w:rsidP="00B63017">
      <w:pPr>
        <w:overflowPunct w:val="0"/>
        <w:autoSpaceDE w:val="0"/>
        <w:autoSpaceDN w:val="0"/>
        <w:adjustRightInd w:val="0"/>
        <w:textAlignment w:val="baseline"/>
        <w:rPr>
          <w:rFonts w:cs="Arial"/>
          <w:b/>
          <w:szCs w:val="20"/>
          <w:lang w:val="en-GB" w:eastAsia="nl-NL"/>
        </w:rPr>
      </w:pPr>
      <w:r w:rsidRPr="00040BEC">
        <w:rPr>
          <w:rFonts w:cs="Arial"/>
          <w:b/>
          <w:szCs w:val="20"/>
          <w:lang w:val="en-GB" w:eastAsia="nl-NL"/>
        </w:rPr>
        <w:t>1900-1920 MHz and 2010-2025 MHz (unpaired frequency arrangement)</w:t>
      </w: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2551"/>
        <w:gridCol w:w="2126"/>
        <w:gridCol w:w="3686"/>
      </w:tblGrid>
      <w:tr w:rsidR="00B63017" w:rsidRPr="00040BEC" w14:paraId="69DD2B98" w14:textId="77777777" w:rsidTr="00E72FF9">
        <w:trPr>
          <w:trHeight w:val="435"/>
        </w:trPr>
        <w:tc>
          <w:tcPr>
            <w:tcW w:w="1668" w:type="dxa"/>
            <w:vAlign w:val="center"/>
          </w:tcPr>
          <w:p w14:paraId="6138574A"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Operator</w:t>
            </w:r>
          </w:p>
        </w:tc>
        <w:tc>
          <w:tcPr>
            <w:tcW w:w="2551" w:type="dxa"/>
            <w:vAlign w:val="center"/>
          </w:tcPr>
          <w:p w14:paraId="497990AB"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Frequency band</w:t>
            </w:r>
          </w:p>
        </w:tc>
        <w:tc>
          <w:tcPr>
            <w:tcW w:w="2126" w:type="dxa"/>
            <w:vAlign w:val="center"/>
          </w:tcPr>
          <w:p w14:paraId="57AFC158"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Technology in use (optional)</w:t>
            </w:r>
          </w:p>
        </w:tc>
        <w:tc>
          <w:tcPr>
            <w:tcW w:w="3686" w:type="dxa"/>
            <w:vAlign w:val="center"/>
          </w:tcPr>
          <w:p w14:paraId="0C9922EA"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Licence duration, tradability</w:t>
            </w:r>
          </w:p>
        </w:tc>
      </w:tr>
      <w:tr w:rsidR="00B63017" w:rsidRPr="00040BEC" w14:paraId="74CB1D62" w14:textId="77777777" w:rsidTr="00E72FF9">
        <w:trPr>
          <w:trHeight w:val="390"/>
        </w:trPr>
        <w:tc>
          <w:tcPr>
            <w:tcW w:w="1668" w:type="dxa"/>
          </w:tcPr>
          <w:p w14:paraId="64DE5616"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w:t>
            </w:r>
            <w:proofErr w:type="spellStart"/>
            <w:r w:rsidRPr="00040BEC">
              <w:rPr>
                <w:rFonts w:cs="Arial"/>
                <w:szCs w:val="20"/>
                <w:lang w:val="en-GB" w:eastAsia="nl-NL"/>
              </w:rPr>
              <w:t>Magticom</w:t>
            </w:r>
            <w:proofErr w:type="spellEnd"/>
            <w:r w:rsidRPr="00040BEC">
              <w:rPr>
                <w:rFonts w:cs="Arial"/>
                <w:szCs w:val="20"/>
                <w:lang w:val="en-GB" w:eastAsia="nl-NL"/>
              </w:rPr>
              <w:t>” Ltd.</w:t>
            </w:r>
          </w:p>
        </w:tc>
        <w:tc>
          <w:tcPr>
            <w:tcW w:w="2551" w:type="dxa"/>
            <w:vAlign w:val="center"/>
          </w:tcPr>
          <w:p w14:paraId="40996B19" w14:textId="77777777" w:rsidR="00B63017" w:rsidRPr="00040BEC" w:rsidRDefault="00B63017" w:rsidP="008F7F7C">
            <w:pPr>
              <w:overflowPunct w:val="0"/>
              <w:autoSpaceDE w:val="0"/>
              <w:autoSpaceDN w:val="0"/>
              <w:adjustRightInd w:val="0"/>
              <w:textAlignment w:val="baseline"/>
              <w:rPr>
                <w:rFonts w:cs="Arial"/>
                <w:bCs/>
                <w:szCs w:val="20"/>
                <w:lang w:val="en-GB" w:eastAsia="nl-NL"/>
              </w:rPr>
            </w:pPr>
            <w:r w:rsidRPr="00040BEC">
              <w:rPr>
                <w:rFonts w:cs="Arial"/>
                <w:szCs w:val="20"/>
                <w:lang w:val="en-GB" w:eastAsia="nl-NL"/>
              </w:rPr>
              <w:t>1910.000-1915.000 MHz</w:t>
            </w:r>
            <w:r w:rsidRPr="00040BEC">
              <w:rPr>
                <w:rFonts w:cs="Arial"/>
                <w:bCs/>
                <w:szCs w:val="20"/>
                <w:lang w:val="en-GB" w:eastAsia="nl-NL"/>
              </w:rPr>
              <w:t xml:space="preserve"> </w:t>
            </w:r>
          </w:p>
        </w:tc>
        <w:tc>
          <w:tcPr>
            <w:tcW w:w="2126" w:type="dxa"/>
            <w:vAlign w:val="center"/>
          </w:tcPr>
          <w:p w14:paraId="58AE8781" w14:textId="77777777" w:rsidR="00B63017" w:rsidRPr="00040BEC" w:rsidRDefault="00B63017" w:rsidP="00E72FF9">
            <w:pPr>
              <w:overflowPunct w:val="0"/>
              <w:autoSpaceDE w:val="0"/>
              <w:autoSpaceDN w:val="0"/>
              <w:adjustRightInd w:val="0"/>
              <w:textAlignment w:val="baseline"/>
              <w:rPr>
                <w:rFonts w:cs="Arial"/>
                <w:bCs/>
                <w:szCs w:val="20"/>
                <w:lang w:val="en-GB" w:eastAsia="nl-NL"/>
              </w:rPr>
            </w:pPr>
            <w:r w:rsidRPr="00040BEC">
              <w:rPr>
                <w:rFonts w:cs="Arial"/>
                <w:bCs/>
                <w:szCs w:val="20"/>
                <w:lang w:val="en-GB" w:eastAsia="nl-NL"/>
              </w:rPr>
              <w:t>UMTS-TDD</w:t>
            </w:r>
          </w:p>
        </w:tc>
        <w:tc>
          <w:tcPr>
            <w:tcW w:w="3686" w:type="dxa"/>
            <w:vAlign w:val="center"/>
          </w:tcPr>
          <w:p w14:paraId="3A914F82" w14:textId="77777777" w:rsidR="00B63017" w:rsidRPr="00040BEC" w:rsidRDefault="00B63017" w:rsidP="00E72FF9">
            <w:pPr>
              <w:overflowPunct w:val="0"/>
              <w:autoSpaceDE w:val="0"/>
              <w:autoSpaceDN w:val="0"/>
              <w:adjustRightInd w:val="0"/>
              <w:textAlignment w:val="baseline"/>
              <w:rPr>
                <w:rFonts w:cs="Arial"/>
                <w:bCs/>
                <w:szCs w:val="20"/>
                <w:lang w:val="en-GB" w:eastAsia="nl-NL"/>
              </w:rPr>
            </w:pPr>
            <w:r w:rsidRPr="00040BEC">
              <w:rPr>
                <w:rFonts w:cs="Arial"/>
                <w:szCs w:val="20"/>
                <w:lang w:val="en-GB" w:eastAsia="nl-NL"/>
              </w:rPr>
              <w:t>November 2006 – November 2016</w:t>
            </w:r>
          </w:p>
          <w:p w14:paraId="73A3FA6D" w14:textId="77777777" w:rsidR="00B63017" w:rsidRPr="00040BEC" w:rsidRDefault="00B63017" w:rsidP="00E72FF9">
            <w:pPr>
              <w:overflowPunct w:val="0"/>
              <w:autoSpaceDE w:val="0"/>
              <w:autoSpaceDN w:val="0"/>
              <w:adjustRightInd w:val="0"/>
              <w:textAlignment w:val="baseline"/>
              <w:rPr>
                <w:rFonts w:cs="Arial"/>
                <w:bCs/>
                <w:szCs w:val="20"/>
                <w:lang w:val="en-GB" w:eastAsia="nl-NL"/>
              </w:rPr>
            </w:pPr>
            <w:r w:rsidRPr="00040BEC">
              <w:rPr>
                <w:rFonts w:cs="Arial"/>
                <w:bCs/>
                <w:szCs w:val="20"/>
                <w:lang w:val="en-GB" w:eastAsia="nl-NL"/>
              </w:rPr>
              <w:t xml:space="preserve">tradable </w:t>
            </w:r>
          </w:p>
        </w:tc>
      </w:tr>
      <w:tr w:rsidR="00B63017" w:rsidRPr="00040BEC" w14:paraId="5FE0DD09" w14:textId="77777777" w:rsidTr="00E72FF9">
        <w:trPr>
          <w:trHeight w:val="448"/>
        </w:trPr>
        <w:tc>
          <w:tcPr>
            <w:tcW w:w="1668" w:type="dxa"/>
          </w:tcPr>
          <w:p w14:paraId="2F33271F"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w:t>
            </w:r>
            <w:proofErr w:type="spellStart"/>
            <w:r w:rsidRPr="00040BEC">
              <w:rPr>
                <w:rFonts w:cs="Arial"/>
                <w:szCs w:val="20"/>
                <w:lang w:val="en-GB" w:eastAsia="nl-NL"/>
              </w:rPr>
              <w:t>Magticom</w:t>
            </w:r>
            <w:proofErr w:type="spellEnd"/>
            <w:r w:rsidRPr="00040BEC">
              <w:rPr>
                <w:rFonts w:cs="Arial"/>
                <w:szCs w:val="20"/>
                <w:lang w:val="en-GB" w:eastAsia="nl-NL"/>
              </w:rPr>
              <w:t>” Ltd.</w:t>
            </w:r>
          </w:p>
        </w:tc>
        <w:tc>
          <w:tcPr>
            <w:tcW w:w="2551" w:type="dxa"/>
            <w:vAlign w:val="center"/>
          </w:tcPr>
          <w:p w14:paraId="5870A71A" w14:textId="77777777" w:rsidR="00B63017" w:rsidRPr="00040BEC" w:rsidRDefault="00B63017" w:rsidP="008F7F7C">
            <w:pPr>
              <w:overflowPunct w:val="0"/>
              <w:autoSpaceDE w:val="0"/>
              <w:autoSpaceDN w:val="0"/>
              <w:adjustRightInd w:val="0"/>
              <w:textAlignment w:val="baseline"/>
              <w:rPr>
                <w:rFonts w:cs="Arial"/>
                <w:bCs/>
                <w:szCs w:val="20"/>
                <w:lang w:val="en-GB" w:eastAsia="nl-NL"/>
              </w:rPr>
            </w:pPr>
            <w:r w:rsidRPr="00040BEC">
              <w:rPr>
                <w:rFonts w:cs="Arial"/>
                <w:szCs w:val="20"/>
                <w:lang w:val="en-GB" w:eastAsia="nl-NL"/>
              </w:rPr>
              <w:t>1915.000-1920.000 MHz</w:t>
            </w:r>
            <w:r w:rsidRPr="00040BEC">
              <w:rPr>
                <w:rFonts w:cs="Arial"/>
                <w:bCs/>
                <w:szCs w:val="20"/>
                <w:lang w:val="en-GB" w:eastAsia="nl-NL"/>
              </w:rPr>
              <w:t xml:space="preserve"> </w:t>
            </w:r>
          </w:p>
        </w:tc>
        <w:tc>
          <w:tcPr>
            <w:tcW w:w="2126" w:type="dxa"/>
            <w:vAlign w:val="center"/>
          </w:tcPr>
          <w:p w14:paraId="74C77E4A" w14:textId="77777777" w:rsidR="00B63017" w:rsidRPr="00040BEC" w:rsidRDefault="00B63017" w:rsidP="00E72FF9">
            <w:pPr>
              <w:overflowPunct w:val="0"/>
              <w:autoSpaceDE w:val="0"/>
              <w:autoSpaceDN w:val="0"/>
              <w:adjustRightInd w:val="0"/>
              <w:textAlignment w:val="baseline"/>
              <w:rPr>
                <w:rFonts w:cs="Arial"/>
                <w:bCs/>
                <w:szCs w:val="20"/>
                <w:lang w:val="en-GB" w:eastAsia="nl-NL"/>
              </w:rPr>
            </w:pPr>
            <w:r w:rsidRPr="00040BEC">
              <w:rPr>
                <w:rFonts w:cs="Arial"/>
                <w:bCs/>
                <w:szCs w:val="20"/>
                <w:lang w:val="en-GB" w:eastAsia="nl-NL"/>
              </w:rPr>
              <w:t xml:space="preserve">UMTS-TDD </w:t>
            </w:r>
          </w:p>
        </w:tc>
        <w:tc>
          <w:tcPr>
            <w:tcW w:w="3686" w:type="dxa"/>
            <w:vAlign w:val="center"/>
          </w:tcPr>
          <w:p w14:paraId="2444C1AA" w14:textId="77777777" w:rsidR="00B63017" w:rsidRPr="00040BEC" w:rsidRDefault="00B63017" w:rsidP="00E72FF9">
            <w:pPr>
              <w:overflowPunct w:val="0"/>
              <w:autoSpaceDE w:val="0"/>
              <w:autoSpaceDN w:val="0"/>
              <w:adjustRightInd w:val="0"/>
              <w:textAlignment w:val="baseline"/>
              <w:rPr>
                <w:rFonts w:cs="Arial"/>
                <w:bCs/>
                <w:szCs w:val="20"/>
                <w:lang w:val="en-GB" w:eastAsia="nl-NL"/>
              </w:rPr>
            </w:pPr>
            <w:r w:rsidRPr="00040BEC">
              <w:rPr>
                <w:rFonts w:cs="Arial"/>
                <w:szCs w:val="20"/>
                <w:lang w:val="en-GB" w:eastAsia="nl-NL"/>
              </w:rPr>
              <w:t>September 2005 – September 2015,</w:t>
            </w:r>
          </w:p>
          <w:p w14:paraId="7CC65612" w14:textId="77777777" w:rsidR="00B63017" w:rsidRPr="00040BEC" w:rsidRDefault="00B63017" w:rsidP="00E72FF9">
            <w:pPr>
              <w:overflowPunct w:val="0"/>
              <w:autoSpaceDE w:val="0"/>
              <w:autoSpaceDN w:val="0"/>
              <w:adjustRightInd w:val="0"/>
              <w:textAlignment w:val="baseline"/>
              <w:rPr>
                <w:rFonts w:cs="Arial"/>
                <w:bCs/>
                <w:szCs w:val="20"/>
                <w:lang w:val="en-GB" w:eastAsia="nl-NL"/>
              </w:rPr>
            </w:pPr>
            <w:r w:rsidRPr="00040BEC">
              <w:rPr>
                <w:rFonts w:cs="Arial"/>
                <w:bCs/>
                <w:szCs w:val="20"/>
                <w:lang w:val="en-GB" w:eastAsia="nl-NL"/>
              </w:rPr>
              <w:t>tradable</w:t>
            </w:r>
          </w:p>
        </w:tc>
      </w:tr>
      <w:tr w:rsidR="00B63017" w:rsidRPr="00040BEC" w14:paraId="54C9822D" w14:textId="77777777" w:rsidTr="00E72FF9">
        <w:trPr>
          <w:trHeight w:val="448"/>
        </w:trPr>
        <w:tc>
          <w:tcPr>
            <w:tcW w:w="1668" w:type="dxa"/>
          </w:tcPr>
          <w:p w14:paraId="508C7CB5"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w:t>
            </w:r>
            <w:proofErr w:type="spellStart"/>
            <w:r w:rsidRPr="00040BEC">
              <w:rPr>
                <w:rFonts w:cs="Arial"/>
                <w:szCs w:val="20"/>
                <w:lang w:val="en-GB" w:eastAsia="nl-NL"/>
              </w:rPr>
              <w:t>Geocell</w:t>
            </w:r>
            <w:proofErr w:type="spellEnd"/>
            <w:r w:rsidRPr="00040BEC">
              <w:rPr>
                <w:rFonts w:cs="Arial"/>
                <w:szCs w:val="20"/>
                <w:lang w:val="en-GB" w:eastAsia="nl-NL"/>
              </w:rPr>
              <w:t>” Ltd.</w:t>
            </w:r>
          </w:p>
        </w:tc>
        <w:tc>
          <w:tcPr>
            <w:tcW w:w="2551" w:type="dxa"/>
            <w:vAlign w:val="center"/>
          </w:tcPr>
          <w:p w14:paraId="38990ECF" w14:textId="77777777" w:rsidR="00B63017" w:rsidRPr="00040BEC" w:rsidRDefault="00B63017" w:rsidP="008F7F7C">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2010.000-2015.000 MHz</w:t>
            </w:r>
          </w:p>
        </w:tc>
        <w:tc>
          <w:tcPr>
            <w:tcW w:w="2126" w:type="dxa"/>
            <w:vAlign w:val="center"/>
          </w:tcPr>
          <w:p w14:paraId="62D9F9FB" w14:textId="77777777" w:rsidR="00B63017" w:rsidRPr="00040BEC" w:rsidRDefault="00B63017" w:rsidP="00E72FF9">
            <w:pPr>
              <w:overflowPunct w:val="0"/>
              <w:autoSpaceDE w:val="0"/>
              <w:autoSpaceDN w:val="0"/>
              <w:adjustRightInd w:val="0"/>
              <w:textAlignment w:val="baseline"/>
              <w:rPr>
                <w:rFonts w:cs="Arial"/>
                <w:bCs/>
                <w:szCs w:val="20"/>
                <w:lang w:val="en-GB" w:eastAsia="nl-NL"/>
              </w:rPr>
            </w:pPr>
            <w:r w:rsidRPr="00040BEC">
              <w:rPr>
                <w:rFonts w:cs="Arial"/>
                <w:bCs/>
                <w:szCs w:val="20"/>
                <w:lang w:val="en-GB" w:eastAsia="nl-NL"/>
              </w:rPr>
              <w:t>UMTS-TDD</w:t>
            </w:r>
          </w:p>
        </w:tc>
        <w:tc>
          <w:tcPr>
            <w:tcW w:w="3686" w:type="dxa"/>
            <w:vAlign w:val="center"/>
          </w:tcPr>
          <w:p w14:paraId="5F5809C4" w14:textId="77777777" w:rsidR="00B63017" w:rsidRPr="00040BEC" w:rsidRDefault="00B63017" w:rsidP="00E72FF9">
            <w:pPr>
              <w:overflowPunct w:val="0"/>
              <w:autoSpaceDE w:val="0"/>
              <w:autoSpaceDN w:val="0"/>
              <w:adjustRightInd w:val="0"/>
              <w:textAlignment w:val="baseline"/>
              <w:rPr>
                <w:rFonts w:cs="Arial"/>
                <w:bCs/>
                <w:szCs w:val="20"/>
                <w:lang w:val="en-GB" w:eastAsia="nl-NL"/>
              </w:rPr>
            </w:pPr>
            <w:r w:rsidRPr="00040BEC">
              <w:rPr>
                <w:rFonts w:cs="Arial"/>
                <w:szCs w:val="20"/>
                <w:lang w:val="en-GB" w:eastAsia="nl-NL"/>
              </w:rPr>
              <w:t>June 2006 – June 2016</w:t>
            </w:r>
          </w:p>
          <w:p w14:paraId="4F7BA082" w14:textId="77777777" w:rsidR="00B63017" w:rsidRPr="00040BEC" w:rsidRDefault="00B63017" w:rsidP="00E72FF9">
            <w:pPr>
              <w:overflowPunct w:val="0"/>
              <w:autoSpaceDE w:val="0"/>
              <w:autoSpaceDN w:val="0"/>
              <w:adjustRightInd w:val="0"/>
              <w:textAlignment w:val="baseline"/>
              <w:rPr>
                <w:rFonts w:cs="Arial"/>
                <w:bCs/>
                <w:szCs w:val="20"/>
                <w:lang w:val="en-GB" w:eastAsia="nl-NL"/>
              </w:rPr>
            </w:pPr>
            <w:r w:rsidRPr="00040BEC">
              <w:rPr>
                <w:rFonts w:cs="Arial"/>
                <w:bCs/>
                <w:szCs w:val="20"/>
                <w:lang w:val="en-GB" w:eastAsia="nl-NL"/>
              </w:rPr>
              <w:t>tradable</w:t>
            </w:r>
          </w:p>
        </w:tc>
      </w:tr>
    </w:tbl>
    <w:p w14:paraId="5193E837" w14:textId="77777777" w:rsidR="000C6788" w:rsidRPr="00040BEC" w:rsidRDefault="000C6788" w:rsidP="00B63017">
      <w:pPr>
        <w:overflowPunct w:val="0"/>
        <w:autoSpaceDE w:val="0"/>
        <w:autoSpaceDN w:val="0"/>
        <w:adjustRightInd w:val="0"/>
        <w:ind w:left="180"/>
        <w:textAlignment w:val="baseline"/>
        <w:rPr>
          <w:rFonts w:cs="Arial"/>
          <w:szCs w:val="20"/>
          <w:lang w:val="en-GB" w:eastAsia="nl-NL"/>
        </w:rPr>
      </w:pPr>
    </w:p>
    <w:p w14:paraId="32406717" w14:textId="77777777" w:rsidR="00B63017" w:rsidRPr="00040BEC" w:rsidRDefault="00B63017" w:rsidP="00B63017">
      <w:pPr>
        <w:keepNext/>
        <w:numPr>
          <w:ilvl w:val="0"/>
          <w:numId w:val="17"/>
        </w:numPr>
        <w:suppressAutoHyphens/>
        <w:overflowPunct w:val="0"/>
        <w:autoSpaceDE w:val="0"/>
        <w:autoSpaceDN w:val="0"/>
        <w:adjustRightInd w:val="0"/>
        <w:ind w:left="567" w:hanging="567"/>
        <w:textAlignment w:val="baseline"/>
        <w:rPr>
          <w:rFonts w:cs="Arial"/>
          <w:b/>
          <w:bCs/>
          <w:szCs w:val="20"/>
          <w:lang w:val="en-GB" w:eastAsia="en-IE"/>
        </w:rPr>
      </w:pPr>
      <w:r w:rsidRPr="00040BEC">
        <w:rPr>
          <w:rFonts w:cs="Arial"/>
          <w:b/>
          <w:bCs/>
          <w:szCs w:val="20"/>
          <w:lang w:val="en-GB" w:eastAsia="en-IE"/>
        </w:rPr>
        <w:t>Germany (</w:t>
      </w:r>
      <w:r w:rsidR="00E41ACA" w:rsidRPr="00040BEC">
        <w:rPr>
          <w:rFonts w:cs="Arial"/>
          <w:b/>
          <w:bCs/>
          <w:szCs w:val="20"/>
          <w:lang w:val="en-GB" w:eastAsia="en-IE"/>
        </w:rPr>
        <w:t>February</w:t>
      </w:r>
      <w:r w:rsidRPr="00040BEC">
        <w:rPr>
          <w:rFonts w:cs="Arial"/>
          <w:b/>
          <w:bCs/>
          <w:szCs w:val="20"/>
          <w:lang w:val="en-GB" w:eastAsia="en-IE"/>
        </w:rPr>
        <w:t xml:space="preserve"> 201</w:t>
      </w:r>
      <w:r w:rsidR="00E41ACA" w:rsidRPr="00040BEC">
        <w:rPr>
          <w:rFonts w:cs="Arial"/>
          <w:b/>
          <w:bCs/>
          <w:szCs w:val="20"/>
          <w:lang w:val="en-GB" w:eastAsia="en-IE"/>
        </w:rPr>
        <w:t>4</w:t>
      </w:r>
      <w:r w:rsidRPr="00040BEC">
        <w:rPr>
          <w:rFonts w:cs="Arial"/>
          <w:b/>
          <w:bCs/>
          <w:szCs w:val="20"/>
          <w:lang w:val="en-GB" w:eastAsia="en-IE"/>
        </w:rPr>
        <w:t>)</w:t>
      </w:r>
    </w:p>
    <w:p w14:paraId="6BBFA06A" w14:textId="77777777" w:rsidR="00B63017" w:rsidRPr="00040BEC" w:rsidRDefault="00B63017" w:rsidP="00B63017">
      <w:pPr>
        <w:keepNext/>
        <w:overflowPunct w:val="0"/>
        <w:autoSpaceDE w:val="0"/>
        <w:autoSpaceDN w:val="0"/>
        <w:adjustRightInd w:val="0"/>
        <w:textAlignment w:val="baseline"/>
        <w:rPr>
          <w:rFonts w:cs="Arial"/>
          <w:b/>
          <w:szCs w:val="20"/>
          <w:lang w:val="en-GB" w:eastAsia="nl-NL"/>
        </w:rPr>
      </w:pPr>
    </w:p>
    <w:p w14:paraId="3179F227" w14:textId="77777777" w:rsidR="00B63017" w:rsidRPr="00040BEC" w:rsidRDefault="00B63017" w:rsidP="00B63017">
      <w:pPr>
        <w:overflowPunct w:val="0"/>
        <w:autoSpaceDE w:val="0"/>
        <w:autoSpaceDN w:val="0"/>
        <w:adjustRightInd w:val="0"/>
        <w:textAlignment w:val="baseline"/>
        <w:rPr>
          <w:rFonts w:cs="Arial"/>
          <w:b/>
          <w:szCs w:val="20"/>
          <w:lang w:val="en-GB" w:eastAsia="nl-NL"/>
        </w:rPr>
      </w:pPr>
      <w:r w:rsidRPr="00040BEC">
        <w:rPr>
          <w:rFonts w:cs="Arial"/>
          <w:b/>
          <w:szCs w:val="20"/>
          <w:lang w:val="en-GB" w:eastAsia="nl-NL"/>
        </w:rPr>
        <w:t>1900-1920 MHz and 2010-2025 MHz (unpaired frequency arrangement)</w:t>
      </w:r>
    </w:p>
    <w:tbl>
      <w:tblPr>
        <w:tblW w:w="965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35"/>
        <w:gridCol w:w="2835"/>
        <w:gridCol w:w="2126"/>
        <w:gridCol w:w="2457"/>
      </w:tblGrid>
      <w:tr w:rsidR="00B63017" w:rsidRPr="00040BEC" w14:paraId="5FFC0BE9" w14:textId="77777777" w:rsidTr="00E72FF9">
        <w:trPr>
          <w:trHeight w:val="435"/>
        </w:trPr>
        <w:tc>
          <w:tcPr>
            <w:tcW w:w="2235" w:type="dxa"/>
            <w:vAlign w:val="center"/>
          </w:tcPr>
          <w:p w14:paraId="2E4B8E85"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Operator</w:t>
            </w:r>
          </w:p>
        </w:tc>
        <w:tc>
          <w:tcPr>
            <w:tcW w:w="2835" w:type="dxa"/>
            <w:vAlign w:val="center"/>
          </w:tcPr>
          <w:p w14:paraId="23A761AE"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Frequency band licensed</w:t>
            </w:r>
          </w:p>
        </w:tc>
        <w:tc>
          <w:tcPr>
            <w:tcW w:w="2126" w:type="dxa"/>
            <w:vAlign w:val="center"/>
          </w:tcPr>
          <w:p w14:paraId="675B101F"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Technology in use (optional)</w:t>
            </w:r>
          </w:p>
        </w:tc>
        <w:tc>
          <w:tcPr>
            <w:tcW w:w="2457" w:type="dxa"/>
            <w:vAlign w:val="center"/>
          </w:tcPr>
          <w:p w14:paraId="2B867325"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Licence duration, tradability</w:t>
            </w:r>
          </w:p>
        </w:tc>
      </w:tr>
      <w:tr w:rsidR="00B63017" w:rsidRPr="00040BEC" w14:paraId="1EB4EC15" w14:textId="77777777" w:rsidTr="00E72FF9">
        <w:trPr>
          <w:trHeight w:val="448"/>
        </w:trPr>
        <w:tc>
          <w:tcPr>
            <w:tcW w:w="2235" w:type="dxa"/>
            <w:vAlign w:val="center"/>
          </w:tcPr>
          <w:p w14:paraId="6361CFB2" w14:textId="77777777" w:rsidR="00B63017" w:rsidRPr="00040BEC" w:rsidRDefault="00B63017" w:rsidP="00E72FF9">
            <w:pPr>
              <w:overflowPunct w:val="0"/>
              <w:autoSpaceDE w:val="0"/>
              <w:autoSpaceDN w:val="0"/>
              <w:adjustRightInd w:val="0"/>
              <w:textAlignment w:val="baseline"/>
              <w:rPr>
                <w:rFonts w:cs="Arial"/>
                <w:bCs/>
                <w:szCs w:val="20"/>
                <w:lang w:val="en-GB" w:eastAsia="nl-NL"/>
              </w:rPr>
            </w:pPr>
            <w:proofErr w:type="spellStart"/>
            <w:r w:rsidRPr="00040BEC">
              <w:rPr>
                <w:rFonts w:cs="Arial"/>
                <w:szCs w:val="20"/>
                <w:lang w:val="en-GB" w:eastAsia="nl-NL"/>
              </w:rPr>
              <w:t>Telefónica</w:t>
            </w:r>
            <w:proofErr w:type="spellEnd"/>
            <w:r w:rsidRPr="00040BEC">
              <w:rPr>
                <w:rFonts w:cs="Arial"/>
                <w:szCs w:val="20"/>
                <w:lang w:val="en-GB" w:eastAsia="nl-NL"/>
              </w:rPr>
              <w:t xml:space="preserve"> Germany</w:t>
            </w:r>
          </w:p>
        </w:tc>
        <w:tc>
          <w:tcPr>
            <w:tcW w:w="2835" w:type="dxa"/>
            <w:vAlign w:val="center"/>
          </w:tcPr>
          <w:p w14:paraId="3A69C8A4"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1900.1 – 1905.1 MHz</w:t>
            </w:r>
          </w:p>
        </w:tc>
        <w:tc>
          <w:tcPr>
            <w:tcW w:w="2126" w:type="dxa"/>
            <w:vAlign w:val="center"/>
          </w:tcPr>
          <w:p w14:paraId="0743016A" w14:textId="77777777" w:rsidR="00B63017" w:rsidRPr="00040BEC" w:rsidRDefault="00B63017" w:rsidP="00E72FF9">
            <w:pPr>
              <w:overflowPunct w:val="0"/>
              <w:autoSpaceDE w:val="0"/>
              <w:autoSpaceDN w:val="0"/>
              <w:adjustRightInd w:val="0"/>
              <w:textAlignment w:val="baseline"/>
              <w:rPr>
                <w:rFonts w:cs="Arial"/>
                <w:bCs/>
                <w:szCs w:val="20"/>
                <w:lang w:val="en-GB" w:eastAsia="nl-NL"/>
              </w:rPr>
            </w:pPr>
          </w:p>
        </w:tc>
        <w:tc>
          <w:tcPr>
            <w:tcW w:w="2457" w:type="dxa"/>
            <w:vAlign w:val="center"/>
          </w:tcPr>
          <w:p w14:paraId="3099FE13" w14:textId="20911AB0"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31 December 2025</w:t>
            </w:r>
            <w:r w:rsidR="001243CA" w:rsidRPr="00040BEC">
              <w:rPr>
                <w:rFonts w:cs="Arial"/>
                <w:szCs w:val="20"/>
                <w:lang w:val="en-GB" w:eastAsia="nl-NL"/>
              </w:rPr>
              <w:t>, not tradable</w:t>
            </w:r>
          </w:p>
        </w:tc>
      </w:tr>
      <w:tr w:rsidR="00B63017" w:rsidRPr="00040BEC" w14:paraId="353399B7" w14:textId="77777777" w:rsidTr="00E72FF9">
        <w:trPr>
          <w:trHeight w:val="448"/>
        </w:trPr>
        <w:tc>
          <w:tcPr>
            <w:tcW w:w="2235" w:type="dxa"/>
            <w:vAlign w:val="center"/>
          </w:tcPr>
          <w:p w14:paraId="1DD1988E"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E-Plus</w:t>
            </w:r>
          </w:p>
        </w:tc>
        <w:tc>
          <w:tcPr>
            <w:tcW w:w="2835" w:type="dxa"/>
            <w:vAlign w:val="center"/>
          </w:tcPr>
          <w:p w14:paraId="0CD63889"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1905.1 – 1910.1 MHz</w:t>
            </w:r>
          </w:p>
        </w:tc>
        <w:tc>
          <w:tcPr>
            <w:tcW w:w="2126" w:type="dxa"/>
            <w:vAlign w:val="center"/>
          </w:tcPr>
          <w:p w14:paraId="1143950C" w14:textId="77777777" w:rsidR="00B63017" w:rsidRPr="00040BEC" w:rsidRDefault="00B63017" w:rsidP="00E72FF9">
            <w:pPr>
              <w:overflowPunct w:val="0"/>
              <w:autoSpaceDE w:val="0"/>
              <w:autoSpaceDN w:val="0"/>
              <w:adjustRightInd w:val="0"/>
              <w:textAlignment w:val="baseline"/>
              <w:rPr>
                <w:rFonts w:cs="Arial"/>
                <w:bCs/>
                <w:szCs w:val="20"/>
                <w:lang w:val="en-GB" w:eastAsia="nl-NL"/>
              </w:rPr>
            </w:pPr>
          </w:p>
        </w:tc>
        <w:tc>
          <w:tcPr>
            <w:tcW w:w="2457" w:type="dxa"/>
            <w:vAlign w:val="center"/>
          </w:tcPr>
          <w:p w14:paraId="68B9A674" w14:textId="5571E4E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31 December 2020</w:t>
            </w:r>
            <w:r w:rsidR="001243CA" w:rsidRPr="00040BEC">
              <w:rPr>
                <w:rFonts w:cs="Arial"/>
                <w:szCs w:val="20"/>
                <w:lang w:val="en-GB" w:eastAsia="nl-NL"/>
              </w:rPr>
              <w:t>,</w:t>
            </w:r>
            <w:r w:rsidR="001243CA" w:rsidRPr="00040BEC">
              <w:rPr>
                <w:lang w:val="en-GB"/>
              </w:rPr>
              <w:t xml:space="preserve"> </w:t>
            </w:r>
            <w:r w:rsidR="001243CA" w:rsidRPr="00040BEC">
              <w:rPr>
                <w:rFonts w:cs="Arial"/>
                <w:szCs w:val="20"/>
                <w:lang w:val="en-GB" w:eastAsia="nl-NL"/>
              </w:rPr>
              <w:t xml:space="preserve">not tradable </w:t>
            </w:r>
          </w:p>
        </w:tc>
      </w:tr>
      <w:tr w:rsidR="00B63017" w:rsidRPr="00040BEC" w14:paraId="5EE9A878" w14:textId="77777777" w:rsidTr="00E72FF9">
        <w:trPr>
          <w:trHeight w:val="448"/>
        </w:trPr>
        <w:tc>
          <w:tcPr>
            <w:tcW w:w="2235" w:type="dxa"/>
            <w:vAlign w:val="center"/>
          </w:tcPr>
          <w:p w14:paraId="179CD8B3"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Telekom Deutschland</w:t>
            </w:r>
          </w:p>
        </w:tc>
        <w:tc>
          <w:tcPr>
            <w:tcW w:w="2835" w:type="dxa"/>
            <w:vAlign w:val="center"/>
          </w:tcPr>
          <w:p w14:paraId="77320EFC"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1910.1 – 1915.1 MHz</w:t>
            </w:r>
          </w:p>
        </w:tc>
        <w:tc>
          <w:tcPr>
            <w:tcW w:w="2126" w:type="dxa"/>
            <w:vAlign w:val="center"/>
          </w:tcPr>
          <w:p w14:paraId="5675D015" w14:textId="77777777" w:rsidR="00B63017" w:rsidRPr="00040BEC" w:rsidRDefault="00B63017" w:rsidP="00E72FF9">
            <w:pPr>
              <w:overflowPunct w:val="0"/>
              <w:autoSpaceDE w:val="0"/>
              <w:autoSpaceDN w:val="0"/>
              <w:adjustRightInd w:val="0"/>
              <w:textAlignment w:val="baseline"/>
              <w:rPr>
                <w:rFonts w:cs="Arial"/>
                <w:bCs/>
                <w:szCs w:val="20"/>
                <w:lang w:val="en-GB" w:eastAsia="nl-NL"/>
              </w:rPr>
            </w:pPr>
          </w:p>
        </w:tc>
        <w:tc>
          <w:tcPr>
            <w:tcW w:w="2457" w:type="dxa"/>
            <w:vAlign w:val="center"/>
          </w:tcPr>
          <w:p w14:paraId="00BC9D42" w14:textId="1D2C070C"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31 December 2020</w:t>
            </w:r>
            <w:r w:rsidR="001243CA" w:rsidRPr="00040BEC">
              <w:rPr>
                <w:rFonts w:cs="Arial"/>
                <w:szCs w:val="20"/>
                <w:lang w:val="en-GB" w:eastAsia="nl-NL"/>
              </w:rPr>
              <w:t>, not tradable</w:t>
            </w:r>
          </w:p>
        </w:tc>
      </w:tr>
      <w:tr w:rsidR="00B63017" w:rsidRPr="00040BEC" w14:paraId="0BAC9669" w14:textId="77777777" w:rsidTr="00E72FF9">
        <w:trPr>
          <w:trHeight w:val="448"/>
        </w:trPr>
        <w:tc>
          <w:tcPr>
            <w:tcW w:w="2235" w:type="dxa"/>
            <w:vAlign w:val="center"/>
          </w:tcPr>
          <w:p w14:paraId="44F0E5FA"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Vodafone D2</w:t>
            </w:r>
          </w:p>
        </w:tc>
        <w:tc>
          <w:tcPr>
            <w:tcW w:w="2835" w:type="dxa"/>
            <w:vAlign w:val="center"/>
          </w:tcPr>
          <w:p w14:paraId="68B379B7"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1915.1 – 1920.1 MHz</w:t>
            </w:r>
          </w:p>
        </w:tc>
        <w:tc>
          <w:tcPr>
            <w:tcW w:w="2126" w:type="dxa"/>
            <w:vAlign w:val="center"/>
          </w:tcPr>
          <w:p w14:paraId="48514FC6" w14:textId="77777777" w:rsidR="00B63017" w:rsidRPr="00040BEC" w:rsidRDefault="00B63017" w:rsidP="00E72FF9">
            <w:pPr>
              <w:overflowPunct w:val="0"/>
              <w:autoSpaceDE w:val="0"/>
              <w:autoSpaceDN w:val="0"/>
              <w:adjustRightInd w:val="0"/>
              <w:textAlignment w:val="baseline"/>
              <w:rPr>
                <w:rFonts w:cs="Arial"/>
                <w:bCs/>
                <w:szCs w:val="20"/>
                <w:lang w:val="en-GB" w:eastAsia="nl-NL"/>
              </w:rPr>
            </w:pPr>
          </w:p>
        </w:tc>
        <w:tc>
          <w:tcPr>
            <w:tcW w:w="2457" w:type="dxa"/>
            <w:vAlign w:val="center"/>
          </w:tcPr>
          <w:p w14:paraId="726E4727" w14:textId="3D17084A"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31 December 2020</w:t>
            </w:r>
            <w:r w:rsidR="001243CA" w:rsidRPr="00040BEC">
              <w:rPr>
                <w:rFonts w:cs="Arial"/>
                <w:szCs w:val="20"/>
                <w:lang w:val="en-GB" w:eastAsia="nl-NL"/>
              </w:rPr>
              <w:t>, not tradable</w:t>
            </w:r>
          </w:p>
        </w:tc>
      </w:tr>
      <w:tr w:rsidR="00B63017" w:rsidRPr="00040BEC" w14:paraId="1A6E43A9" w14:textId="77777777" w:rsidTr="00E72FF9">
        <w:trPr>
          <w:trHeight w:val="448"/>
        </w:trPr>
        <w:tc>
          <w:tcPr>
            <w:tcW w:w="2235" w:type="dxa"/>
            <w:vAlign w:val="center"/>
          </w:tcPr>
          <w:p w14:paraId="7712FBB4" w14:textId="77777777" w:rsidR="00B63017" w:rsidRPr="00040BEC" w:rsidRDefault="00B63017" w:rsidP="00E72FF9">
            <w:pPr>
              <w:overflowPunct w:val="0"/>
              <w:autoSpaceDE w:val="0"/>
              <w:autoSpaceDN w:val="0"/>
              <w:adjustRightInd w:val="0"/>
              <w:textAlignment w:val="baseline"/>
              <w:rPr>
                <w:rFonts w:cs="Arial"/>
                <w:szCs w:val="20"/>
                <w:lang w:val="en-GB" w:eastAsia="nl-NL"/>
              </w:rPr>
            </w:pPr>
            <w:proofErr w:type="spellStart"/>
            <w:r w:rsidRPr="00040BEC">
              <w:rPr>
                <w:rFonts w:cs="Arial"/>
                <w:szCs w:val="20"/>
                <w:lang w:val="en-GB" w:eastAsia="nl-NL"/>
              </w:rPr>
              <w:t>Telefónica</w:t>
            </w:r>
            <w:proofErr w:type="spellEnd"/>
            <w:r w:rsidRPr="00040BEC">
              <w:rPr>
                <w:rFonts w:cs="Arial"/>
                <w:szCs w:val="20"/>
                <w:lang w:val="en-GB" w:eastAsia="nl-NL"/>
              </w:rPr>
              <w:t xml:space="preserve"> Germany</w:t>
            </w:r>
          </w:p>
        </w:tc>
        <w:tc>
          <w:tcPr>
            <w:tcW w:w="2835" w:type="dxa"/>
            <w:vAlign w:val="center"/>
          </w:tcPr>
          <w:p w14:paraId="2E4F261F"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2010.5 – 2024.7 MHz</w:t>
            </w:r>
          </w:p>
        </w:tc>
        <w:tc>
          <w:tcPr>
            <w:tcW w:w="2126" w:type="dxa"/>
            <w:vAlign w:val="center"/>
          </w:tcPr>
          <w:p w14:paraId="2D76454F" w14:textId="77777777" w:rsidR="00B63017" w:rsidRPr="00040BEC" w:rsidRDefault="00B63017" w:rsidP="00E72FF9">
            <w:pPr>
              <w:overflowPunct w:val="0"/>
              <w:autoSpaceDE w:val="0"/>
              <w:autoSpaceDN w:val="0"/>
              <w:adjustRightInd w:val="0"/>
              <w:textAlignment w:val="baseline"/>
              <w:rPr>
                <w:rFonts w:cs="Arial"/>
                <w:bCs/>
                <w:szCs w:val="20"/>
                <w:lang w:val="en-GB" w:eastAsia="nl-NL"/>
              </w:rPr>
            </w:pPr>
          </w:p>
        </w:tc>
        <w:tc>
          <w:tcPr>
            <w:tcW w:w="2457" w:type="dxa"/>
            <w:vAlign w:val="center"/>
          </w:tcPr>
          <w:p w14:paraId="2D4DBD92" w14:textId="19EDE5A4" w:rsidR="00B63017" w:rsidRPr="00040BEC" w:rsidRDefault="00B63017" w:rsidP="00E72FF9">
            <w:pPr>
              <w:overflowPunct w:val="0"/>
              <w:autoSpaceDE w:val="0"/>
              <w:autoSpaceDN w:val="0"/>
              <w:adjustRightInd w:val="0"/>
              <w:textAlignment w:val="baseline"/>
              <w:rPr>
                <w:rFonts w:cs="Arial"/>
                <w:bCs/>
                <w:szCs w:val="20"/>
                <w:lang w:val="en-GB" w:eastAsia="nl-NL"/>
              </w:rPr>
            </w:pPr>
            <w:r w:rsidRPr="00040BEC">
              <w:rPr>
                <w:rFonts w:cs="Arial"/>
                <w:szCs w:val="20"/>
                <w:lang w:val="en-GB" w:eastAsia="nl-NL"/>
              </w:rPr>
              <w:t>31 December 2025</w:t>
            </w:r>
            <w:r w:rsidR="001243CA" w:rsidRPr="00040BEC">
              <w:rPr>
                <w:rFonts w:cs="Arial"/>
                <w:szCs w:val="20"/>
                <w:lang w:val="en-GB" w:eastAsia="nl-NL"/>
              </w:rPr>
              <w:t>, not tradable</w:t>
            </w:r>
          </w:p>
        </w:tc>
      </w:tr>
    </w:tbl>
    <w:p w14:paraId="13267806" w14:textId="77777777" w:rsidR="00B63017" w:rsidRPr="00040BEC" w:rsidRDefault="00B63017" w:rsidP="00B63017">
      <w:pPr>
        <w:suppressAutoHyphens/>
        <w:rPr>
          <w:rFonts w:cs="Arial"/>
          <w:b/>
          <w:bCs/>
          <w:szCs w:val="20"/>
          <w:lang w:val="en-GB" w:eastAsia="en-IE"/>
        </w:rPr>
      </w:pPr>
    </w:p>
    <w:p w14:paraId="45D7388C" w14:textId="77777777" w:rsidR="00B63017" w:rsidRPr="00040BEC" w:rsidRDefault="00B63017" w:rsidP="00B63017">
      <w:pPr>
        <w:numPr>
          <w:ilvl w:val="0"/>
          <w:numId w:val="17"/>
        </w:numPr>
        <w:suppressAutoHyphens/>
        <w:overflowPunct w:val="0"/>
        <w:autoSpaceDE w:val="0"/>
        <w:autoSpaceDN w:val="0"/>
        <w:adjustRightInd w:val="0"/>
        <w:ind w:left="567" w:hanging="567"/>
        <w:textAlignment w:val="baseline"/>
        <w:rPr>
          <w:rFonts w:cs="Arial"/>
          <w:b/>
          <w:bCs/>
          <w:szCs w:val="20"/>
          <w:lang w:val="en-GB" w:eastAsia="en-IE"/>
        </w:rPr>
      </w:pPr>
      <w:r w:rsidRPr="00040BEC">
        <w:rPr>
          <w:rFonts w:cs="Arial"/>
          <w:b/>
          <w:bCs/>
          <w:szCs w:val="20"/>
          <w:lang w:val="en-GB" w:eastAsia="en-IE"/>
        </w:rPr>
        <w:t xml:space="preserve">Greece (January 2012) </w:t>
      </w:r>
    </w:p>
    <w:p w14:paraId="6CA13FCD" w14:textId="77777777" w:rsidR="00B63017" w:rsidRPr="00040BEC" w:rsidRDefault="00B63017" w:rsidP="00B63017">
      <w:pPr>
        <w:rPr>
          <w:rFonts w:cs="Arial"/>
          <w:b/>
          <w:szCs w:val="20"/>
          <w:lang w:val="en-GB" w:eastAsia="ja-JP"/>
        </w:rPr>
      </w:pPr>
    </w:p>
    <w:p w14:paraId="01199FBA" w14:textId="77777777" w:rsidR="00B63017" w:rsidRPr="00040BEC" w:rsidRDefault="00B63017" w:rsidP="00B63017">
      <w:pPr>
        <w:rPr>
          <w:rFonts w:cs="Arial"/>
          <w:b/>
          <w:szCs w:val="20"/>
          <w:lang w:val="en-GB" w:eastAsia="ja-JP"/>
        </w:rPr>
      </w:pPr>
      <w:r w:rsidRPr="00040BEC">
        <w:rPr>
          <w:rFonts w:cs="Arial"/>
          <w:b/>
          <w:szCs w:val="20"/>
          <w:lang w:val="en-GB" w:eastAsia="ja-JP"/>
        </w:rPr>
        <w:t>1900-1920 MHz and 2010-2025 MHz (unpaired frequency arrangement)</w:t>
      </w:r>
    </w:p>
    <w:tbl>
      <w:tblPr>
        <w:tblW w:w="965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35"/>
        <w:gridCol w:w="2835"/>
        <w:gridCol w:w="2126"/>
        <w:gridCol w:w="2457"/>
      </w:tblGrid>
      <w:tr w:rsidR="00B63017" w:rsidRPr="00040BEC" w14:paraId="21425DC1" w14:textId="77777777" w:rsidTr="00E72FF9">
        <w:trPr>
          <w:trHeight w:val="435"/>
        </w:trPr>
        <w:tc>
          <w:tcPr>
            <w:tcW w:w="2235" w:type="dxa"/>
            <w:vAlign w:val="center"/>
          </w:tcPr>
          <w:p w14:paraId="4F11469C" w14:textId="77777777" w:rsidR="00B63017" w:rsidRPr="00040BEC" w:rsidRDefault="00B63017" w:rsidP="00E72FF9">
            <w:pPr>
              <w:jc w:val="center"/>
              <w:rPr>
                <w:rFonts w:cs="Arial"/>
                <w:b/>
                <w:szCs w:val="20"/>
                <w:lang w:val="en-GB" w:eastAsia="ja-JP"/>
              </w:rPr>
            </w:pPr>
            <w:r w:rsidRPr="00040BEC">
              <w:rPr>
                <w:rFonts w:cs="Arial"/>
                <w:b/>
                <w:szCs w:val="20"/>
                <w:lang w:val="en-GB" w:eastAsia="ja-JP"/>
              </w:rPr>
              <w:t>Operator</w:t>
            </w:r>
          </w:p>
        </w:tc>
        <w:tc>
          <w:tcPr>
            <w:tcW w:w="2835" w:type="dxa"/>
            <w:vAlign w:val="center"/>
          </w:tcPr>
          <w:p w14:paraId="64CEB6AC" w14:textId="77777777" w:rsidR="00B63017" w:rsidRPr="00040BEC" w:rsidRDefault="00B63017" w:rsidP="00E72FF9">
            <w:pPr>
              <w:jc w:val="center"/>
              <w:rPr>
                <w:rFonts w:cs="Arial"/>
                <w:b/>
                <w:szCs w:val="20"/>
                <w:lang w:val="en-GB" w:eastAsia="ja-JP"/>
              </w:rPr>
            </w:pPr>
            <w:r w:rsidRPr="00040BEC">
              <w:rPr>
                <w:rFonts w:cs="Arial"/>
                <w:b/>
                <w:szCs w:val="20"/>
                <w:lang w:val="en-GB" w:eastAsia="ja-JP"/>
              </w:rPr>
              <w:t>Frequency band licensed</w:t>
            </w:r>
          </w:p>
        </w:tc>
        <w:tc>
          <w:tcPr>
            <w:tcW w:w="2126" w:type="dxa"/>
            <w:vAlign w:val="center"/>
          </w:tcPr>
          <w:p w14:paraId="6942CE48" w14:textId="77777777" w:rsidR="00B63017" w:rsidRPr="00040BEC" w:rsidRDefault="00B63017" w:rsidP="00E72FF9">
            <w:pPr>
              <w:jc w:val="center"/>
              <w:rPr>
                <w:rFonts w:cs="Arial"/>
                <w:b/>
                <w:szCs w:val="20"/>
                <w:lang w:val="en-GB" w:eastAsia="ja-JP"/>
              </w:rPr>
            </w:pPr>
            <w:r w:rsidRPr="00040BEC">
              <w:rPr>
                <w:rFonts w:cs="Arial"/>
                <w:b/>
                <w:szCs w:val="20"/>
                <w:lang w:val="en-GB" w:eastAsia="ja-JP"/>
              </w:rPr>
              <w:t>Technology in use (optional)</w:t>
            </w:r>
          </w:p>
        </w:tc>
        <w:tc>
          <w:tcPr>
            <w:tcW w:w="2457" w:type="dxa"/>
            <w:vAlign w:val="center"/>
          </w:tcPr>
          <w:p w14:paraId="42F08C47" w14:textId="77777777" w:rsidR="00B63017" w:rsidRPr="00040BEC" w:rsidRDefault="00B63017" w:rsidP="00E72FF9">
            <w:pPr>
              <w:jc w:val="center"/>
              <w:rPr>
                <w:rFonts w:cs="Arial"/>
                <w:b/>
                <w:szCs w:val="20"/>
                <w:lang w:val="en-GB" w:eastAsia="ja-JP"/>
              </w:rPr>
            </w:pPr>
            <w:r w:rsidRPr="00040BEC">
              <w:rPr>
                <w:rFonts w:cs="Arial"/>
                <w:b/>
                <w:szCs w:val="20"/>
                <w:lang w:val="en-GB" w:eastAsia="ja-JP"/>
              </w:rPr>
              <w:t xml:space="preserve">Licence duration, </w:t>
            </w:r>
          </w:p>
        </w:tc>
      </w:tr>
      <w:tr w:rsidR="00B63017" w:rsidRPr="00040BEC" w14:paraId="7DB047D5" w14:textId="77777777" w:rsidTr="00E72FF9">
        <w:trPr>
          <w:trHeight w:val="448"/>
        </w:trPr>
        <w:tc>
          <w:tcPr>
            <w:tcW w:w="2235" w:type="dxa"/>
            <w:vAlign w:val="center"/>
          </w:tcPr>
          <w:p w14:paraId="0A13866A" w14:textId="77777777" w:rsidR="00B63017" w:rsidRPr="00040BEC" w:rsidRDefault="00B63017" w:rsidP="00E72FF9">
            <w:pPr>
              <w:rPr>
                <w:rFonts w:cs="Arial"/>
                <w:bCs/>
                <w:szCs w:val="20"/>
                <w:lang w:val="en-GB" w:eastAsia="ja-JP"/>
              </w:rPr>
            </w:pPr>
            <w:proofErr w:type="spellStart"/>
            <w:r w:rsidRPr="00040BEC">
              <w:rPr>
                <w:rFonts w:cs="Arial"/>
                <w:bCs/>
                <w:szCs w:val="20"/>
                <w:lang w:val="en-GB" w:eastAsia="ja-JP"/>
              </w:rPr>
              <w:t>Cosmote</w:t>
            </w:r>
            <w:proofErr w:type="spellEnd"/>
          </w:p>
        </w:tc>
        <w:tc>
          <w:tcPr>
            <w:tcW w:w="2835" w:type="dxa"/>
            <w:vAlign w:val="center"/>
          </w:tcPr>
          <w:p w14:paraId="2A18470F" w14:textId="77777777" w:rsidR="00B63017" w:rsidRPr="00040BEC" w:rsidRDefault="00B63017" w:rsidP="00E72FF9">
            <w:pPr>
              <w:rPr>
                <w:rFonts w:cs="Arial"/>
                <w:szCs w:val="20"/>
                <w:lang w:val="en-GB" w:eastAsia="ja-JP"/>
              </w:rPr>
            </w:pPr>
            <w:r w:rsidRPr="00040BEC">
              <w:rPr>
                <w:rFonts w:cs="Arial"/>
                <w:szCs w:val="20"/>
                <w:lang w:val="en-GB" w:eastAsia="ja-JP"/>
              </w:rPr>
              <w:t>1905.1 – 1910.1 MHz</w:t>
            </w:r>
          </w:p>
        </w:tc>
        <w:tc>
          <w:tcPr>
            <w:tcW w:w="2126" w:type="dxa"/>
            <w:vAlign w:val="center"/>
          </w:tcPr>
          <w:p w14:paraId="006AC6EC" w14:textId="77777777" w:rsidR="00B63017" w:rsidRPr="00040BEC" w:rsidRDefault="00B63017" w:rsidP="00E72FF9">
            <w:pPr>
              <w:rPr>
                <w:rFonts w:cs="Arial"/>
                <w:bCs/>
                <w:szCs w:val="20"/>
                <w:lang w:val="en-GB" w:eastAsia="ja-JP"/>
              </w:rPr>
            </w:pPr>
            <w:r w:rsidRPr="00040BEC">
              <w:rPr>
                <w:rFonts w:cs="Arial"/>
                <w:bCs/>
                <w:szCs w:val="20"/>
                <w:lang w:val="en-GB" w:eastAsia="ja-JP"/>
              </w:rPr>
              <w:t>UMTS</w:t>
            </w:r>
          </w:p>
        </w:tc>
        <w:tc>
          <w:tcPr>
            <w:tcW w:w="2457" w:type="dxa"/>
            <w:vAlign w:val="center"/>
          </w:tcPr>
          <w:p w14:paraId="1B5DEF41" w14:textId="568F931A" w:rsidR="00B63017" w:rsidRPr="00040BEC" w:rsidRDefault="00B63017" w:rsidP="00E72FF9">
            <w:pPr>
              <w:rPr>
                <w:rFonts w:cs="Arial"/>
                <w:szCs w:val="20"/>
                <w:lang w:val="en-GB" w:eastAsia="ja-JP"/>
              </w:rPr>
            </w:pPr>
            <w:r w:rsidRPr="00040BEC">
              <w:rPr>
                <w:rFonts w:cs="Arial"/>
                <w:szCs w:val="20"/>
                <w:lang w:val="en-GB" w:eastAsia="ja-JP"/>
              </w:rPr>
              <w:t>05/08/2021</w:t>
            </w:r>
            <w:r w:rsidR="001243CA" w:rsidRPr="00040BEC">
              <w:rPr>
                <w:rFonts w:cs="Arial"/>
                <w:szCs w:val="20"/>
                <w:lang w:val="en-GB" w:eastAsia="ja-JP"/>
              </w:rPr>
              <w:t>, tradable</w:t>
            </w:r>
          </w:p>
        </w:tc>
      </w:tr>
      <w:tr w:rsidR="00B63017" w:rsidRPr="00040BEC" w14:paraId="178788B3" w14:textId="77777777" w:rsidTr="00E72FF9">
        <w:trPr>
          <w:trHeight w:val="448"/>
        </w:trPr>
        <w:tc>
          <w:tcPr>
            <w:tcW w:w="2235" w:type="dxa"/>
            <w:vAlign w:val="center"/>
          </w:tcPr>
          <w:p w14:paraId="6EC0BD0F" w14:textId="77777777" w:rsidR="00B63017" w:rsidRPr="00040BEC" w:rsidRDefault="00B63017" w:rsidP="00E72FF9">
            <w:pPr>
              <w:rPr>
                <w:rFonts w:cs="Arial"/>
                <w:bCs/>
                <w:szCs w:val="20"/>
                <w:lang w:val="en-GB" w:eastAsia="ja-JP"/>
              </w:rPr>
            </w:pPr>
            <w:r w:rsidRPr="00040BEC">
              <w:rPr>
                <w:rFonts w:cs="Arial"/>
                <w:bCs/>
                <w:szCs w:val="20"/>
                <w:lang w:val="en-GB" w:eastAsia="ja-JP"/>
              </w:rPr>
              <w:t>Wind</w:t>
            </w:r>
          </w:p>
        </w:tc>
        <w:tc>
          <w:tcPr>
            <w:tcW w:w="2835" w:type="dxa"/>
            <w:vAlign w:val="center"/>
          </w:tcPr>
          <w:p w14:paraId="7321E8A6" w14:textId="77777777" w:rsidR="00B63017" w:rsidRPr="00040BEC" w:rsidRDefault="00B63017" w:rsidP="00E72FF9">
            <w:pPr>
              <w:rPr>
                <w:rFonts w:cs="Arial"/>
                <w:szCs w:val="20"/>
                <w:lang w:val="en-GB" w:eastAsia="ja-JP"/>
              </w:rPr>
            </w:pPr>
            <w:r w:rsidRPr="00040BEC">
              <w:rPr>
                <w:rFonts w:cs="Arial"/>
                <w:szCs w:val="20"/>
                <w:lang w:val="en-GB" w:eastAsia="ja-JP"/>
              </w:rPr>
              <w:t>1910.1 – 1915.1 MHz</w:t>
            </w:r>
          </w:p>
        </w:tc>
        <w:tc>
          <w:tcPr>
            <w:tcW w:w="2126" w:type="dxa"/>
            <w:vAlign w:val="center"/>
          </w:tcPr>
          <w:p w14:paraId="76E72069" w14:textId="77777777" w:rsidR="00B63017" w:rsidRPr="00040BEC" w:rsidRDefault="00B63017" w:rsidP="00E72FF9">
            <w:pPr>
              <w:rPr>
                <w:rFonts w:cs="Arial"/>
                <w:bCs/>
                <w:szCs w:val="20"/>
                <w:lang w:val="en-GB" w:eastAsia="ja-JP"/>
              </w:rPr>
            </w:pPr>
            <w:r w:rsidRPr="00040BEC">
              <w:rPr>
                <w:rFonts w:cs="Arial"/>
                <w:bCs/>
                <w:szCs w:val="20"/>
                <w:lang w:val="en-GB" w:eastAsia="ja-JP"/>
              </w:rPr>
              <w:t>UMTS</w:t>
            </w:r>
          </w:p>
        </w:tc>
        <w:tc>
          <w:tcPr>
            <w:tcW w:w="2457" w:type="dxa"/>
            <w:vAlign w:val="center"/>
          </w:tcPr>
          <w:p w14:paraId="1BD362F1" w14:textId="11D97866" w:rsidR="00B63017" w:rsidRPr="00040BEC" w:rsidRDefault="00B63017" w:rsidP="00E72FF9">
            <w:pPr>
              <w:rPr>
                <w:rFonts w:cs="Arial"/>
                <w:szCs w:val="20"/>
                <w:lang w:val="en-GB" w:eastAsia="ja-JP"/>
              </w:rPr>
            </w:pPr>
            <w:r w:rsidRPr="00040BEC">
              <w:rPr>
                <w:rFonts w:cs="Arial"/>
                <w:szCs w:val="20"/>
                <w:lang w:val="en-GB" w:eastAsia="ja-JP"/>
              </w:rPr>
              <w:t>05/08/2021</w:t>
            </w:r>
            <w:r w:rsidR="001243CA" w:rsidRPr="00040BEC">
              <w:rPr>
                <w:rFonts w:cs="Arial"/>
                <w:szCs w:val="20"/>
                <w:lang w:val="en-GB" w:eastAsia="ja-JP"/>
              </w:rPr>
              <w:t>, tradable</w:t>
            </w:r>
          </w:p>
        </w:tc>
      </w:tr>
      <w:tr w:rsidR="00B63017" w:rsidRPr="00040BEC" w14:paraId="1C44AD70" w14:textId="77777777" w:rsidTr="00E72FF9">
        <w:trPr>
          <w:trHeight w:val="448"/>
        </w:trPr>
        <w:tc>
          <w:tcPr>
            <w:tcW w:w="2235" w:type="dxa"/>
            <w:vAlign w:val="center"/>
          </w:tcPr>
          <w:p w14:paraId="45940A00" w14:textId="77777777" w:rsidR="00B63017" w:rsidRPr="00040BEC" w:rsidRDefault="00B63017" w:rsidP="00E72FF9">
            <w:pPr>
              <w:rPr>
                <w:rFonts w:cs="Arial"/>
                <w:szCs w:val="20"/>
                <w:lang w:val="en-GB" w:eastAsia="ja-JP"/>
              </w:rPr>
            </w:pPr>
            <w:r w:rsidRPr="00040BEC">
              <w:rPr>
                <w:rFonts w:cs="Arial"/>
                <w:szCs w:val="20"/>
                <w:lang w:val="en-GB" w:eastAsia="ja-JP"/>
              </w:rPr>
              <w:t>Vodafone</w:t>
            </w:r>
          </w:p>
        </w:tc>
        <w:tc>
          <w:tcPr>
            <w:tcW w:w="2835" w:type="dxa"/>
            <w:vAlign w:val="center"/>
          </w:tcPr>
          <w:p w14:paraId="5B508D12" w14:textId="77777777" w:rsidR="00B63017" w:rsidRPr="00040BEC" w:rsidRDefault="00B63017" w:rsidP="00E72FF9">
            <w:pPr>
              <w:rPr>
                <w:rFonts w:cs="Arial"/>
                <w:szCs w:val="20"/>
                <w:lang w:val="en-GB" w:eastAsia="ja-JP"/>
              </w:rPr>
            </w:pPr>
            <w:r w:rsidRPr="00040BEC">
              <w:rPr>
                <w:rFonts w:cs="Arial"/>
                <w:szCs w:val="20"/>
                <w:lang w:val="en-GB" w:eastAsia="ja-JP"/>
              </w:rPr>
              <w:t>1915.1 – 1920.1 MHz</w:t>
            </w:r>
          </w:p>
        </w:tc>
        <w:tc>
          <w:tcPr>
            <w:tcW w:w="2126" w:type="dxa"/>
            <w:vAlign w:val="center"/>
          </w:tcPr>
          <w:p w14:paraId="3C40DB08" w14:textId="77777777" w:rsidR="00B63017" w:rsidRPr="00040BEC" w:rsidRDefault="00B63017" w:rsidP="00E72FF9">
            <w:pPr>
              <w:rPr>
                <w:rFonts w:cs="Arial"/>
                <w:bCs/>
                <w:szCs w:val="20"/>
                <w:lang w:val="en-GB" w:eastAsia="ja-JP"/>
              </w:rPr>
            </w:pPr>
            <w:r w:rsidRPr="00040BEC">
              <w:rPr>
                <w:rFonts w:cs="Arial"/>
                <w:bCs/>
                <w:szCs w:val="20"/>
                <w:lang w:val="en-GB" w:eastAsia="ja-JP"/>
              </w:rPr>
              <w:t>UMTS</w:t>
            </w:r>
          </w:p>
        </w:tc>
        <w:tc>
          <w:tcPr>
            <w:tcW w:w="2457" w:type="dxa"/>
            <w:vAlign w:val="center"/>
          </w:tcPr>
          <w:p w14:paraId="1F1FA68A" w14:textId="5EEC9D12" w:rsidR="00B63017" w:rsidRPr="00040BEC" w:rsidRDefault="00B63017" w:rsidP="00E72FF9">
            <w:pPr>
              <w:rPr>
                <w:rFonts w:cs="Arial"/>
                <w:szCs w:val="20"/>
                <w:lang w:val="en-GB" w:eastAsia="ja-JP"/>
              </w:rPr>
            </w:pPr>
            <w:r w:rsidRPr="00040BEC">
              <w:rPr>
                <w:rFonts w:cs="Arial"/>
                <w:szCs w:val="20"/>
                <w:lang w:val="en-GB" w:eastAsia="ja-JP"/>
              </w:rPr>
              <w:t>05/08/2021</w:t>
            </w:r>
            <w:r w:rsidR="001243CA" w:rsidRPr="00040BEC">
              <w:rPr>
                <w:rFonts w:cs="Arial"/>
                <w:szCs w:val="20"/>
                <w:lang w:val="en-GB" w:eastAsia="ja-JP"/>
              </w:rPr>
              <w:t>, tradable</w:t>
            </w:r>
          </w:p>
        </w:tc>
      </w:tr>
    </w:tbl>
    <w:p w14:paraId="11BE6919" w14:textId="77777777" w:rsidR="00B63017" w:rsidRPr="00040BEC" w:rsidRDefault="00B63017" w:rsidP="00B63017">
      <w:pPr>
        <w:jc w:val="both"/>
        <w:rPr>
          <w:rFonts w:cs="Arial"/>
          <w:szCs w:val="20"/>
          <w:u w:val="single"/>
          <w:lang w:val="en-GB" w:eastAsia="ja-JP"/>
        </w:rPr>
      </w:pPr>
    </w:p>
    <w:p w14:paraId="50D29B87" w14:textId="77777777" w:rsidR="00B63017" w:rsidRPr="00040BEC" w:rsidRDefault="00B63017" w:rsidP="00B63017">
      <w:pPr>
        <w:numPr>
          <w:ilvl w:val="0"/>
          <w:numId w:val="17"/>
        </w:numPr>
        <w:suppressAutoHyphens/>
        <w:overflowPunct w:val="0"/>
        <w:autoSpaceDE w:val="0"/>
        <w:autoSpaceDN w:val="0"/>
        <w:adjustRightInd w:val="0"/>
        <w:ind w:left="567" w:hanging="567"/>
        <w:textAlignment w:val="baseline"/>
        <w:rPr>
          <w:rFonts w:cs="Arial"/>
          <w:b/>
          <w:bCs/>
          <w:szCs w:val="20"/>
          <w:lang w:val="en-GB" w:eastAsia="en-IE"/>
        </w:rPr>
      </w:pPr>
      <w:r w:rsidRPr="00040BEC">
        <w:rPr>
          <w:rFonts w:cs="Arial"/>
          <w:b/>
          <w:bCs/>
          <w:szCs w:val="20"/>
          <w:lang w:val="en-GB" w:eastAsia="en-IE"/>
        </w:rPr>
        <w:t>Hungary (August 2012)</w:t>
      </w:r>
    </w:p>
    <w:p w14:paraId="3AA573C4" w14:textId="77777777" w:rsidR="00B63017" w:rsidRPr="00040BEC" w:rsidRDefault="00B63017" w:rsidP="00B63017">
      <w:pPr>
        <w:overflowPunct w:val="0"/>
        <w:autoSpaceDE w:val="0"/>
        <w:autoSpaceDN w:val="0"/>
        <w:adjustRightInd w:val="0"/>
        <w:spacing w:after="120"/>
        <w:jc w:val="both"/>
        <w:textAlignment w:val="baseline"/>
        <w:rPr>
          <w:rFonts w:cs="Arial"/>
          <w:b/>
          <w:szCs w:val="20"/>
          <w:lang w:val="en-GB" w:eastAsia="nl-NL"/>
        </w:rPr>
      </w:pPr>
    </w:p>
    <w:p w14:paraId="78570B5A" w14:textId="77777777" w:rsidR="00B63017" w:rsidRPr="00040BEC" w:rsidRDefault="00B63017" w:rsidP="00B63017">
      <w:pPr>
        <w:overflowPunct w:val="0"/>
        <w:autoSpaceDE w:val="0"/>
        <w:autoSpaceDN w:val="0"/>
        <w:adjustRightInd w:val="0"/>
        <w:textAlignment w:val="baseline"/>
        <w:rPr>
          <w:rFonts w:cs="Arial"/>
          <w:b/>
          <w:szCs w:val="20"/>
          <w:lang w:val="en-GB" w:eastAsia="nl-NL"/>
        </w:rPr>
      </w:pPr>
      <w:r w:rsidRPr="00040BEC">
        <w:rPr>
          <w:rFonts w:cs="Arial"/>
          <w:b/>
          <w:szCs w:val="20"/>
          <w:lang w:val="en-GB" w:eastAsia="nl-NL"/>
        </w:rPr>
        <w:t>1900</w:t>
      </w:r>
      <w:r w:rsidRPr="00040BEC">
        <w:rPr>
          <w:rFonts w:cs="Arial"/>
          <w:szCs w:val="20"/>
          <w:lang w:val="en-GB" w:eastAsia="nl-NL"/>
        </w:rPr>
        <w:t>-</w:t>
      </w:r>
      <w:r w:rsidRPr="00040BEC">
        <w:rPr>
          <w:rFonts w:cs="Arial"/>
          <w:b/>
          <w:szCs w:val="20"/>
          <w:lang w:val="en-GB" w:eastAsia="nl-NL"/>
        </w:rPr>
        <w:t>1920 MHz / 2010</w:t>
      </w:r>
      <w:r w:rsidRPr="00040BEC">
        <w:rPr>
          <w:rFonts w:cs="Arial"/>
          <w:szCs w:val="20"/>
          <w:lang w:val="en-GB" w:eastAsia="nl-NL"/>
        </w:rPr>
        <w:t>-</w:t>
      </w:r>
      <w:r w:rsidRPr="00040BEC">
        <w:rPr>
          <w:rFonts w:cs="Arial"/>
          <w:b/>
          <w:szCs w:val="20"/>
          <w:lang w:val="en-GB" w:eastAsia="nl-NL"/>
        </w:rPr>
        <w:t>2025 MHz (unpaired frequency arrangement)</w:t>
      </w:r>
    </w:p>
    <w:tbl>
      <w:tblPr>
        <w:tblW w:w="965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35"/>
        <w:gridCol w:w="1842"/>
        <w:gridCol w:w="1985"/>
        <w:gridCol w:w="3591"/>
      </w:tblGrid>
      <w:tr w:rsidR="00B63017" w:rsidRPr="00040BEC" w14:paraId="3406DA44" w14:textId="77777777" w:rsidTr="00E72FF9">
        <w:trPr>
          <w:trHeight w:val="435"/>
        </w:trPr>
        <w:tc>
          <w:tcPr>
            <w:tcW w:w="2235" w:type="dxa"/>
            <w:vAlign w:val="center"/>
          </w:tcPr>
          <w:p w14:paraId="3E5B8424"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Operator</w:t>
            </w:r>
          </w:p>
        </w:tc>
        <w:tc>
          <w:tcPr>
            <w:tcW w:w="1842" w:type="dxa"/>
            <w:vAlign w:val="center"/>
          </w:tcPr>
          <w:p w14:paraId="57E92A13"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Frequencies</w:t>
            </w:r>
          </w:p>
        </w:tc>
        <w:tc>
          <w:tcPr>
            <w:tcW w:w="1985" w:type="dxa"/>
            <w:vAlign w:val="center"/>
          </w:tcPr>
          <w:p w14:paraId="2700024E"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Technology in use (optional)</w:t>
            </w:r>
          </w:p>
        </w:tc>
        <w:tc>
          <w:tcPr>
            <w:tcW w:w="3591" w:type="dxa"/>
            <w:vAlign w:val="center"/>
          </w:tcPr>
          <w:p w14:paraId="4665374A"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Licence duration, tradability</w:t>
            </w:r>
          </w:p>
        </w:tc>
      </w:tr>
      <w:tr w:rsidR="00B63017" w:rsidRPr="00040BEC" w14:paraId="6D7B377F" w14:textId="77777777" w:rsidTr="00E72FF9">
        <w:trPr>
          <w:trHeight w:val="622"/>
        </w:trPr>
        <w:tc>
          <w:tcPr>
            <w:tcW w:w="2235" w:type="dxa"/>
            <w:vAlign w:val="center"/>
          </w:tcPr>
          <w:p w14:paraId="05F02804"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Telenor</w:t>
            </w:r>
          </w:p>
        </w:tc>
        <w:tc>
          <w:tcPr>
            <w:tcW w:w="1842" w:type="dxa"/>
            <w:vAlign w:val="center"/>
          </w:tcPr>
          <w:p w14:paraId="693BD59A"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1905-1910 MHz</w:t>
            </w:r>
          </w:p>
        </w:tc>
        <w:tc>
          <w:tcPr>
            <w:tcW w:w="1985" w:type="dxa"/>
            <w:vAlign w:val="center"/>
          </w:tcPr>
          <w:p w14:paraId="377E5EF8"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UTRA TDD</w:t>
            </w:r>
          </w:p>
        </w:tc>
        <w:tc>
          <w:tcPr>
            <w:tcW w:w="3591" w:type="dxa"/>
            <w:vAlign w:val="center"/>
          </w:tcPr>
          <w:p w14:paraId="060E2AC3"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31 12 2019</w:t>
            </w:r>
          </w:p>
          <w:p w14:paraId="688B2612"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Extendable 7.5 years</w:t>
            </w:r>
          </w:p>
          <w:p w14:paraId="3D407953"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Tradable with GSM1800 and UTRA FDD frequencies</w:t>
            </w:r>
          </w:p>
        </w:tc>
      </w:tr>
      <w:tr w:rsidR="00B63017" w:rsidRPr="00040BEC" w14:paraId="4929B3BE" w14:textId="77777777" w:rsidTr="00E72FF9">
        <w:trPr>
          <w:trHeight w:val="642"/>
        </w:trPr>
        <w:tc>
          <w:tcPr>
            <w:tcW w:w="2235" w:type="dxa"/>
            <w:vAlign w:val="center"/>
          </w:tcPr>
          <w:p w14:paraId="2B0CF4E1"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bCs/>
                <w:szCs w:val="20"/>
                <w:lang w:val="en-GB" w:eastAsia="nl-NL"/>
              </w:rPr>
              <w:t>Vodafone</w:t>
            </w:r>
          </w:p>
        </w:tc>
        <w:tc>
          <w:tcPr>
            <w:tcW w:w="1842" w:type="dxa"/>
            <w:vAlign w:val="center"/>
          </w:tcPr>
          <w:p w14:paraId="2B1B2B63"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1910-1915 MHz</w:t>
            </w:r>
          </w:p>
        </w:tc>
        <w:tc>
          <w:tcPr>
            <w:tcW w:w="1985" w:type="dxa"/>
            <w:vAlign w:val="center"/>
          </w:tcPr>
          <w:p w14:paraId="4C5C5206"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UTRA TDD</w:t>
            </w:r>
          </w:p>
        </w:tc>
        <w:tc>
          <w:tcPr>
            <w:tcW w:w="3591" w:type="dxa"/>
            <w:vAlign w:val="center"/>
          </w:tcPr>
          <w:p w14:paraId="0CC3A0F3"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 xml:space="preserve">31 12 2019 </w:t>
            </w:r>
          </w:p>
          <w:p w14:paraId="48024BEA"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Extendable 7.5 years</w:t>
            </w:r>
          </w:p>
          <w:p w14:paraId="1B272E58"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Tradable with UTRA FDD frequencies</w:t>
            </w:r>
          </w:p>
        </w:tc>
      </w:tr>
      <w:tr w:rsidR="00B63017" w:rsidRPr="00040BEC" w14:paraId="163209C5" w14:textId="77777777" w:rsidTr="00E72FF9">
        <w:trPr>
          <w:trHeight w:val="449"/>
        </w:trPr>
        <w:tc>
          <w:tcPr>
            <w:tcW w:w="2235" w:type="dxa"/>
            <w:vAlign w:val="center"/>
          </w:tcPr>
          <w:p w14:paraId="5FE16EB1" w14:textId="77777777" w:rsidR="00B63017" w:rsidRPr="00040BEC" w:rsidRDefault="00B63017" w:rsidP="00E72FF9">
            <w:pPr>
              <w:overflowPunct w:val="0"/>
              <w:autoSpaceDE w:val="0"/>
              <w:autoSpaceDN w:val="0"/>
              <w:adjustRightInd w:val="0"/>
              <w:textAlignment w:val="baseline"/>
              <w:rPr>
                <w:rFonts w:cs="Arial"/>
                <w:szCs w:val="20"/>
                <w:lang w:val="en-GB" w:eastAsia="nl-NL"/>
              </w:rPr>
            </w:pPr>
            <w:proofErr w:type="gramStart"/>
            <w:r w:rsidRPr="00040BEC">
              <w:rPr>
                <w:rFonts w:cs="Arial"/>
                <w:szCs w:val="20"/>
                <w:lang w:val="en-GB" w:eastAsia="nl-NL"/>
              </w:rPr>
              <w:t xml:space="preserve">Magyar Telekom </w:t>
            </w:r>
            <w:proofErr w:type="spellStart"/>
            <w:r w:rsidRPr="00040BEC">
              <w:rPr>
                <w:rFonts w:cs="Arial"/>
                <w:szCs w:val="20"/>
                <w:lang w:val="en-GB" w:eastAsia="nl-NL"/>
              </w:rPr>
              <w:t>Nyrt</w:t>
            </w:r>
            <w:proofErr w:type="spellEnd"/>
            <w:r w:rsidRPr="00040BEC">
              <w:rPr>
                <w:rFonts w:cs="Arial"/>
                <w:szCs w:val="20"/>
                <w:lang w:val="en-GB" w:eastAsia="nl-NL"/>
              </w:rPr>
              <w:t>.</w:t>
            </w:r>
            <w:proofErr w:type="gramEnd"/>
          </w:p>
        </w:tc>
        <w:tc>
          <w:tcPr>
            <w:tcW w:w="1842" w:type="dxa"/>
            <w:vAlign w:val="center"/>
          </w:tcPr>
          <w:p w14:paraId="66606101"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1915-1920 MHz</w:t>
            </w:r>
          </w:p>
        </w:tc>
        <w:tc>
          <w:tcPr>
            <w:tcW w:w="1985" w:type="dxa"/>
            <w:vAlign w:val="center"/>
          </w:tcPr>
          <w:p w14:paraId="1A764200"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UTRA TDD</w:t>
            </w:r>
          </w:p>
        </w:tc>
        <w:tc>
          <w:tcPr>
            <w:tcW w:w="3591" w:type="dxa"/>
            <w:vAlign w:val="center"/>
          </w:tcPr>
          <w:p w14:paraId="45CEBD49"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 xml:space="preserve">31 12 2019 </w:t>
            </w:r>
          </w:p>
          <w:p w14:paraId="274077B5"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Extendable 7.5 years</w:t>
            </w:r>
          </w:p>
          <w:p w14:paraId="6F3D1A97"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Tradable with UTRA FDD frequencies</w:t>
            </w:r>
          </w:p>
        </w:tc>
      </w:tr>
    </w:tbl>
    <w:p w14:paraId="18AD883C" w14:textId="77777777" w:rsidR="00B63017" w:rsidRPr="00040BEC" w:rsidRDefault="00B63017" w:rsidP="00B63017">
      <w:pPr>
        <w:suppressAutoHyphens/>
        <w:rPr>
          <w:rFonts w:cs="Arial"/>
          <w:b/>
          <w:bCs/>
          <w:szCs w:val="20"/>
          <w:lang w:val="en-GB" w:eastAsia="en-IE"/>
        </w:rPr>
      </w:pPr>
    </w:p>
    <w:p w14:paraId="54502C14" w14:textId="77777777" w:rsidR="00B63017" w:rsidRPr="00040BEC" w:rsidRDefault="00B63017" w:rsidP="00B63017">
      <w:pPr>
        <w:numPr>
          <w:ilvl w:val="0"/>
          <w:numId w:val="17"/>
        </w:numPr>
        <w:suppressAutoHyphens/>
        <w:overflowPunct w:val="0"/>
        <w:autoSpaceDE w:val="0"/>
        <w:autoSpaceDN w:val="0"/>
        <w:adjustRightInd w:val="0"/>
        <w:ind w:left="567" w:hanging="567"/>
        <w:textAlignment w:val="baseline"/>
        <w:rPr>
          <w:rFonts w:cs="Arial"/>
          <w:b/>
          <w:bCs/>
          <w:szCs w:val="20"/>
          <w:lang w:val="en-GB" w:eastAsia="en-IE"/>
        </w:rPr>
      </w:pPr>
      <w:r w:rsidRPr="00040BEC">
        <w:rPr>
          <w:rFonts w:cs="Arial"/>
          <w:b/>
          <w:bCs/>
          <w:szCs w:val="20"/>
          <w:lang w:val="en-GB" w:eastAsia="en-IE"/>
        </w:rPr>
        <w:t>Iceland (</w:t>
      </w:r>
      <w:r w:rsidR="00E41ACA" w:rsidRPr="00040BEC">
        <w:rPr>
          <w:rFonts w:cs="Arial"/>
          <w:b/>
          <w:bCs/>
          <w:szCs w:val="20"/>
          <w:lang w:val="en-GB" w:eastAsia="en-IE"/>
        </w:rPr>
        <w:t>January 2014</w:t>
      </w:r>
      <w:r w:rsidRPr="00040BEC">
        <w:rPr>
          <w:rFonts w:cs="Arial"/>
          <w:b/>
          <w:bCs/>
          <w:szCs w:val="20"/>
          <w:lang w:val="en-GB" w:eastAsia="en-IE"/>
        </w:rPr>
        <w:t>)</w:t>
      </w:r>
    </w:p>
    <w:p w14:paraId="22B7E3A5" w14:textId="77777777" w:rsidR="00B63017" w:rsidRPr="00040BEC" w:rsidRDefault="00B63017" w:rsidP="00B63017">
      <w:pPr>
        <w:overflowPunct w:val="0"/>
        <w:autoSpaceDE w:val="0"/>
        <w:autoSpaceDN w:val="0"/>
        <w:adjustRightInd w:val="0"/>
        <w:textAlignment w:val="baseline"/>
        <w:rPr>
          <w:rFonts w:cs="Arial"/>
          <w:szCs w:val="20"/>
          <w:u w:val="single"/>
          <w:lang w:val="en-GB" w:eastAsia="nl-NL"/>
        </w:rPr>
      </w:pPr>
    </w:p>
    <w:p w14:paraId="03A4E565" w14:textId="77777777" w:rsidR="00B63017" w:rsidRPr="00040BEC" w:rsidRDefault="00B63017" w:rsidP="00B63017">
      <w:pPr>
        <w:overflowPunct w:val="0"/>
        <w:autoSpaceDE w:val="0"/>
        <w:autoSpaceDN w:val="0"/>
        <w:adjustRightInd w:val="0"/>
        <w:textAlignment w:val="baseline"/>
        <w:rPr>
          <w:rFonts w:cs="Arial"/>
          <w:b/>
          <w:szCs w:val="20"/>
          <w:lang w:val="en-GB" w:eastAsia="nl-NL"/>
        </w:rPr>
      </w:pPr>
      <w:r w:rsidRPr="00040BEC">
        <w:rPr>
          <w:rFonts w:cs="Arial"/>
          <w:b/>
          <w:szCs w:val="20"/>
          <w:lang w:val="en-GB" w:eastAsia="nl-NL"/>
        </w:rPr>
        <w:t>1900-1920 MHz / 2010-2025 MHz (unpaired frequency arrangement)</w:t>
      </w:r>
    </w:p>
    <w:tbl>
      <w:tblPr>
        <w:tblW w:w="95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35"/>
        <w:gridCol w:w="1842"/>
        <w:gridCol w:w="1985"/>
        <w:gridCol w:w="3519"/>
      </w:tblGrid>
      <w:tr w:rsidR="00B63017" w:rsidRPr="00040BEC" w14:paraId="6DAD65D8" w14:textId="77777777" w:rsidTr="00E72FF9">
        <w:trPr>
          <w:trHeight w:val="435"/>
        </w:trPr>
        <w:tc>
          <w:tcPr>
            <w:tcW w:w="2235" w:type="dxa"/>
            <w:vAlign w:val="center"/>
          </w:tcPr>
          <w:p w14:paraId="68010CDC"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Operator</w:t>
            </w:r>
          </w:p>
        </w:tc>
        <w:tc>
          <w:tcPr>
            <w:tcW w:w="1842" w:type="dxa"/>
            <w:vAlign w:val="center"/>
          </w:tcPr>
          <w:p w14:paraId="0B574478"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Frequencies</w:t>
            </w:r>
          </w:p>
        </w:tc>
        <w:tc>
          <w:tcPr>
            <w:tcW w:w="1985" w:type="dxa"/>
            <w:vAlign w:val="center"/>
          </w:tcPr>
          <w:p w14:paraId="2DEA5C54"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Technology in use (optional)</w:t>
            </w:r>
          </w:p>
        </w:tc>
        <w:tc>
          <w:tcPr>
            <w:tcW w:w="3519" w:type="dxa"/>
            <w:vAlign w:val="center"/>
          </w:tcPr>
          <w:p w14:paraId="12E4C6DA"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Licence duration, tradability</w:t>
            </w:r>
          </w:p>
        </w:tc>
      </w:tr>
      <w:tr w:rsidR="00B63017" w:rsidRPr="00040BEC" w14:paraId="2DE807A0" w14:textId="77777777" w:rsidTr="00E72FF9">
        <w:trPr>
          <w:trHeight w:val="390"/>
        </w:trPr>
        <w:tc>
          <w:tcPr>
            <w:tcW w:w="2235" w:type="dxa"/>
          </w:tcPr>
          <w:p w14:paraId="302908B4"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 xml:space="preserve">Nova </w:t>
            </w:r>
            <w:proofErr w:type="spellStart"/>
            <w:r w:rsidRPr="00040BEC">
              <w:rPr>
                <w:rFonts w:cs="Arial"/>
                <w:szCs w:val="20"/>
                <w:lang w:val="en-GB" w:eastAsia="nl-NL"/>
              </w:rPr>
              <w:t>ehf</w:t>
            </w:r>
            <w:proofErr w:type="spellEnd"/>
          </w:p>
        </w:tc>
        <w:tc>
          <w:tcPr>
            <w:tcW w:w="1842" w:type="dxa"/>
          </w:tcPr>
          <w:p w14:paraId="313FB756"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1900-1905 MHz</w:t>
            </w:r>
          </w:p>
        </w:tc>
        <w:tc>
          <w:tcPr>
            <w:tcW w:w="1985" w:type="dxa"/>
          </w:tcPr>
          <w:p w14:paraId="74691ED4"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TDD</w:t>
            </w:r>
          </w:p>
        </w:tc>
        <w:tc>
          <w:tcPr>
            <w:tcW w:w="3519" w:type="dxa"/>
          </w:tcPr>
          <w:p w14:paraId="7FD09AE1" w14:textId="32CD42E9"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30.3.2007-30.3.2022</w:t>
            </w:r>
            <w:r w:rsidR="001243CA" w:rsidRPr="00040BEC">
              <w:rPr>
                <w:rFonts w:cs="Arial"/>
                <w:szCs w:val="20"/>
                <w:lang w:val="en-GB" w:eastAsia="nl-NL"/>
              </w:rPr>
              <w:t>, not tradable</w:t>
            </w:r>
          </w:p>
          <w:p w14:paraId="00D2B14A" w14:textId="77777777" w:rsidR="00B63017" w:rsidRPr="00040BEC" w:rsidRDefault="00B63017" w:rsidP="00E72FF9">
            <w:pPr>
              <w:overflowPunct w:val="0"/>
              <w:autoSpaceDE w:val="0"/>
              <w:autoSpaceDN w:val="0"/>
              <w:adjustRightInd w:val="0"/>
              <w:textAlignment w:val="baseline"/>
              <w:rPr>
                <w:rFonts w:cs="Arial"/>
                <w:szCs w:val="20"/>
                <w:lang w:val="en-GB" w:eastAsia="nl-NL"/>
              </w:rPr>
            </w:pPr>
          </w:p>
        </w:tc>
      </w:tr>
      <w:tr w:rsidR="00B63017" w:rsidRPr="00040BEC" w14:paraId="18714EB7" w14:textId="77777777" w:rsidTr="00E72FF9">
        <w:trPr>
          <w:trHeight w:val="390"/>
        </w:trPr>
        <w:tc>
          <w:tcPr>
            <w:tcW w:w="2235" w:type="dxa"/>
          </w:tcPr>
          <w:p w14:paraId="39795141" w14:textId="77777777" w:rsidR="00B63017" w:rsidRPr="00040BEC" w:rsidRDefault="00B63017" w:rsidP="00E72FF9">
            <w:pPr>
              <w:overflowPunct w:val="0"/>
              <w:autoSpaceDE w:val="0"/>
              <w:autoSpaceDN w:val="0"/>
              <w:adjustRightInd w:val="0"/>
              <w:textAlignment w:val="baseline"/>
              <w:rPr>
                <w:rFonts w:cs="Arial"/>
                <w:szCs w:val="20"/>
                <w:lang w:val="en-GB" w:eastAsia="nl-NL"/>
              </w:rPr>
            </w:pPr>
            <w:proofErr w:type="spellStart"/>
            <w:r w:rsidRPr="00040BEC">
              <w:rPr>
                <w:rFonts w:cs="Arial"/>
                <w:szCs w:val="20"/>
                <w:lang w:val="en-GB" w:eastAsia="nl-NL"/>
              </w:rPr>
              <w:t>Síminn</w:t>
            </w:r>
            <w:proofErr w:type="spellEnd"/>
            <w:r w:rsidRPr="00040BEC">
              <w:rPr>
                <w:rFonts w:cs="Arial"/>
                <w:szCs w:val="20"/>
                <w:lang w:val="en-GB" w:eastAsia="nl-NL"/>
              </w:rPr>
              <w:t xml:space="preserve"> </w:t>
            </w:r>
            <w:proofErr w:type="spellStart"/>
            <w:r w:rsidRPr="00040BEC">
              <w:rPr>
                <w:rFonts w:cs="Arial"/>
                <w:szCs w:val="20"/>
                <w:lang w:val="en-GB" w:eastAsia="nl-NL"/>
              </w:rPr>
              <w:t>hf</w:t>
            </w:r>
            <w:proofErr w:type="spellEnd"/>
          </w:p>
        </w:tc>
        <w:tc>
          <w:tcPr>
            <w:tcW w:w="1842" w:type="dxa"/>
          </w:tcPr>
          <w:p w14:paraId="7E2EFE91"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1915-1920 MHz</w:t>
            </w:r>
          </w:p>
        </w:tc>
        <w:tc>
          <w:tcPr>
            <w:tcW w:w="1985" w:type="dxa"/>
          </w:tcPr>
          <w:p w14:paraId="6BE90200"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TDD</w:t>
            </w:r>
          </w:p>
        </w:tc>
        <w:tc>
          <w:tcPr>
            <w:tcW w:w="3519" w:type="dxa"/>
          </w:tcPr>
          <w:p w14:paraId="64FEA79E" w14:textId="06EFE858"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30.3.2007-30.3.2022</w:t>
            </w:r>
            <w:r w:rsidR="001243CA" w:rsidRPr="00040BEC">
              <w:rPr>
                <w:rFonts w:cs="Arial"/>
                <w:szCs w:val="20"/>
                <w:lang w:val="en-GB" w:eastAsia="nl-NL"/>
              </w:rPr>
              <w:t>, not tradable</w:t>
            </w:r>
          </w:p>
        </w:tc>
      </w:tr>
      <w:tr w:rsidR="00B63017" w:rsidRPr="00040BEC" w14:paraId="394D93ED" w14:textId="77777777" w:rsidTr="00E72FF9">
        <w:trPr>
          <w:trHeight w:val="203"/>
        </w:trPr>
        <w:tc>
          <w:tcPr>
            <w:tcW w:w="2235" w:type="dxa"/>
          </w:tcPr>
          <w:p w14:paraId="4DE56EB0"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 xml:space="preserve">Og </w:t>
            </w:r>
            <w:proofErr w:type="spellStart"/>
            <w:r w:rsidRPr="00040BEC">
              <w:rPr>
                <w:rFonts w:cs="Arial"/>
                <w:szCs w:val="20"/>
                <w:lang w:val="en-GB" w:eastAsia="nl-NL"/>
              </w:rPr>
              <w:t>fjarskipti</w:t>
            </w:r>
            <w:proofErr w:type="spellEnd"/>
            <w:r w:rsidRPr="00040BEC">
              <w:rPr>
                <w:rFonts w:cs="Arial"/>
                <w:szCs w:val="20"/>
                <w:lang w:val="en-GB" w:eastAsia="nl-NL"/>
              </w:rPr>
              <w:t xml:space="preserve"> </w:t>
            </w:r>
            <w:proofErr w:type="spellStart"/>
            <w:r w:rsidRPr="00040BEC">
              <w:rPr>
                <w:rFonts w:cs="Arial"/>
                <w:szCs w:val="20"/>
                <w:lang w:val="en-GB" w:eastAsia="nl-NL"/>
              </w:rPr>
              <w:t>ehf</w:t>
            </w:r>
            <w:proofErr w:type="spellEnd"/>
          </w:p>
        </w:tc>
        <w:tc>
          <w:tcPr>
            <w:tcW w:w="1842" w:type="dxa"/>
          </w:tcPr>
          <w:p w14:paraId="75D43638"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1910-1915 MHz</w:t>
            </w:r>
          </w:p>
        </w:tc>
        <w:tc>
          <w:tcPr>
            <w:tcW w:w="1985" w:type="dxa"/>
          </w:tcPr>
          <w:p w14:paraId="6930EBD7"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TDD</w:t>
            </w:r>
          </w:p>
        </w:tc>
        <w:tc>
          <w:tcPr>
            <w:tcW w:w="3519" w:type="dxa"/>
          </w:tcPr>
          <w:p w14:paraId="14D48DB8" w14:textId="59720882"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3.4.2007-3.4.2022</w:t>
            </w:r>
            <w:r w:rsidR="001243CA" w:rsidRPr="00040BEC">
              <w:rPr>
                <w:rFonts w:cs="Arial"/>
                <w:szCs w:val="20"/>
                <w:lang w:val="en-GB" w:eastAsia="nl-NL"/>
              </w:rPr>
              <w:t>, not tradable</w:t>
            </w:r>
          </w:p>
        </w:tc>
      </w:tr>
    </w:tbl>
    <w:p w14:paraId="7030BAE5" w14:textId="77777777" w:rsidR="000C6788" w:rsidRPr="00040BEC" w:rsidRDefault="000C6788" w:rsidP="000C6788">
      <w:pPr>
        <w:pStyle w:val="ECCParagraph"/>
        <w:rPr>
          <w:lang w:eastAsia="en-IE"/>
        </w:rPr>
      </w:pPr>
    </w:p>
    <w:p w14:paraId="187ECE31" w14:textId="77777777" w:rsidR="00B63017" w:rsidRPr="00040BEC" w:rsidRDefault="00B63017" w:rsidP="00B63017">
      <w:pPr>
        <w:keepNext/>
        <w:numPr>
          <w:ilvl w:val="0"/>
          <w:numId w:val="17"/>
        </w:numPr>
        <w:suppressAutoHyphens/>
        <w:overflowPunct w:val="0"/>
        <w:autoSpaceDE w:val="0"/>
        <w:autoSpaceDN w:val="0"/>
        <w:adjustRightInd w:val="0"/>
        <w:ind w:left="567" w:hanging="567"/>
        <w:textAlignment w:val="baseline"/>
        <w:rPr>
          <w:rFonts w:cs="Arial"/>
          <w:b/>
          <w:bCs/>
          <w:szCs w:val="20"/>
          <w:lang w:val="en-GB" w:eastAsia="en-IE"/>
        </w:rPr>
      </w:pPr>
      <w:r w:rsidRPr="00040BEC">
        <w:rPr>
          <w:rFonts w:cs="Arial"/>
          <w:b/>
          <w:bCs/>
          <w:szCs w:val="20"/>
          <w:lang w:val="en-GB" w:eastAsia="en-IE"/>
        </w:rPr>
        <w:lastRenderedPageBreak/>
        <w:t>Ireland (</w:t>
      </w:r>
      <w:r w:rsidR="00E41ACA" w:rsidRPr="00040BEC">
        <w:rPr>
          <w:rFonts w:cs="Arial"/>
          <w:b/>
          <w:bCs/>
          <w:szCs w:val="20"/>
          <w:lang w:val="en-GB" w:eastAsia="en-IE"/>
        </w:rPr>
        <w:t>March 2014</w:t>
      </w:r>
      <w:r w:rsidRPr="00040BEC">
        <w:rPr>
          <w:rFonts w:cs="Arial"/>
          <w:b/>
          <w:bCs/>
          <w:szCs w:val="20"/>
          <w:lang w:val="en-GB" w:eastAsia="en-IE"/>
        </w:rPr>
        <w:t>)</w:t>
      </w:r>
    </w:p>
    <w:p w14:paraId="53B8EFF6" w14:textId="77777777" w:rsidR="00B63017" w:rsidRPr="00040BEC" w:rsidRDefault="00B63017" w:rsidP="00B63017">
      <w:pPr>
        <w:keepNext/>
        <w:suppressAutoHyphens/>
        <w:overflowPunct w:val="0"/>
        <w:autoSpaceDE w:val="0"/>
        <w:autoSpaceDN w:val="0"/>
        <w:adjustRightInd w:val="0"/>
        <w:textAlignment w:val="baseline"/>
        <w:rPr>
          <w:rFonts w:cs="Arial"/>
          <w:b/>
          <w:bCs/>
          <w:szCs w:val="20"/>
          <w:lang w:val="en-GB" w:eastAsia="en-IE"/>
        </w:rPr>
      </w:pPr>
    </w:p>
    <w:p w14:paraId="78DA991D" w14:textId="77777777" w:rsidR="00B63017" w:rsidRPr="00040BEC" w:rsidRDefault="00B63017" w:rsidP="00B63017">
      <w:pPr>
        <w:keepNext/>
        <w:overflowPunct w:val="0"/>
        <w:autoSpaceDE w:val="0"/>
        <w:autoSpaceDN w:val="0"/>
        <w:adjustRightInd w:val="0"/>
        <w:textAlignment w:val="baseline"/>
        <w:rPr>
          <w:rFonts w:cs="Arial"/>
          <w:b/>
          <w:szCs w:val="20"/>
          <w:lang w:val="en-GB" w:eastAsia="nl-NL"/>
        </w:rPr>
      </w:pPr>
      <w:r w:rsidRPr="00040BEC">
        <w:rPr>
          <w:rFonts w:cs="Arial"/>
          <w:b/>
          <w:szCs w:val="20"/>
          <w:lang w:val="en-GB" w:eastAsia="nl-NL"/>
        </w:rPr>
        <w:t>1900-1920 MHz / 2010-2025 MHz (unpaired frequency arrangement)</w:t>
      </w:r>
    </w:p>
    <w:tbl>
      <w:tblPr>
        <w:tblW w:w="509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714"/>
        <w:gridCol w:w="1931"/>
        <w:gridCol w:w="1982"/>
        <w:gridCol w:w="2978"/>
      </w:tblGrid>
      <w:tr w:rsidR="00B63017" w:rsidRPr="00040BEC" w14:paraId="3853879F" w14:textId="77777777" w:rsidTr="00F828D7">
        <w:trPr>
          <w:trHeight w:val="435"/>
        </w:trPr>
        <w:tc>
          <w:tcPr>
            <w:tcW w:w="1413" w:type="pct"/>
            <w:vAlign w:val="center"/>
          </w:tcPr>
          <w:p w14:paraId="7530EB30" w14:textId="77777777" w:rsidR="00B63017" w:rsidRPr="00040BEC" w:rsidRDefault="00B63017" w:rsidP="00E72FF9">
            <w:pPr>
              <w:keepNext/>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Operator</w:t>
            </w:r>
          </w:p>
          <w:p w14:paraId="70BB81CD" w14:textId="77777777" w:rsidR="00B63017" w:rsidRPr="00040BEC" w:rsidRDefault="00B63017" w:rsidP="00E72FF9">
            <w:pPr>
              <w:keepNext/>
              <w:overflowPunct w:val="0"/>
              <w:autoSpaceDE w:val="0"/>
              <w:autoSpaceDN w:val="0"/>
              <w:adjustRightInd w:val="0"/>
              <w:jc w:val="center"/>
              <w:textAlignment w:val="baseline"/>
              <w:rPr>
                <w:rFonts w:cs="Arial"/>
                <w:b/>
                <w:szCs w:val="20"/>
                <w:lang w:val="en-GB" w:eastAsia="nl-NL"/>
              </w:rPr>
            </w:pPr>
          </w:p>
        </w:tc>
        <w:tc>
          <w:tcPr>
            <w:tcW w:w="1005" w:type="pct"/>
            <w:vAlign w:val="center"/>
          </w:tcPr>
          <w:p w14:paraId="646F8EEE" w14:textId="77777777" w:rsidR="00B63017" w:rsidRPr="00040BEC" w:rsidRDefault="00B63017" w:rsidP="00E72FF9">
            <w:pPr>
              <w:keepNext/>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Frequencies</w:t>
            </w:r>
          </w:p>
        </w:tc>
        <w:tc>
          <w:tcPr>
            <w:tcW w:w="1032" w:type="pct"/>
            <w:vAlign w:val="center"/>
          </w:tcPr>
          <w:p w14:paraId="26CB2B3C" w14:textId="77777777" w:rsidR="00B63017" w:rsidRPr="00040BEC" w:rsidRDefault="00B63017" w:rsidP="00E72FF9">
            <w:pPr>
              <w:keepNext/>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Technology in use (optional)</w:t>
            </w:r>
          </w:p>
        </w:tc>
        <w:tc>
          <w:tcPr>
            <w:tcW w:w="1550" w:type="pct"/>
            <w:vAlign w:val="center"/>
          </w:tcPr>
          <w:p w14:paraId="5B46706A" w14:textId="77777777" w:rsidR="00B63017" w:rsidRPr="00040BEC" w:rsidRDefault="00B63017" w:rsidP="00E72FF9">
            <w:pPr>
              <w:keepNext/>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Licence duration, tradability</w:t>
            </w:r>
          </w:p>
        </w:tc>
      </w:tr>
      <w:tr w:rsidR="00B63017" w:rsidRPr="00040BEC" w14:paraId="65A23F15" w14:textId="77777777" w:rsidTr="00F828D7">
        <w:trPr>
          <w:trHeight w:val="639"/>
        </w:trPr>
        <w:tc>
          <w:tcPr>
            <w:tcW w:w="1413" w:type="pct"/>
          </w:tcPr>
          <w:p w14:paraId="7786B4ED" w14:textId="77777777" w:rsidR="00B63017" w:rsidRPr="00040BEC" w:rsidRDefault="00B63017" w:rsidP="00E72FF9">
            <w:pPr>
              <w:rPr>
                <w:rFonts w:eastAsia="Times" w:cs="Arial"/>
                <w:szCs w:val="20"/>
                <w:vertAlign w:val="subscript"/>
                <w:lang w:val="en-GB"/>
              </w:rPr>
            </w:pPr>
            <w:proofErr w:type="spellStart"/>
            <w:r w:rsidRPr="00040BEC">
              <w:rPr>
                <w:rFonts w:eastAsia="Times" w:cs="Arial"/>
                <w:szCs w:val="20"/>
                <w:lang w:val="en-GB"/>
              </w:rPr>
              <w:t>Telefónica</w:t>
            </w:r>
            <w:proofErr w:type="spellEnd"/>
            <w:r w:rsidRPr="00040BEC">
              <w:rPr>
                <w:rFonts w:eastAsia="Times" w:cs="Arial"/>
                <w:szCs w:val="20"/>
                <w:lang w:val="en-GB"/>
              </w:rPr>
              <w:t xml:space="preserve"> O</w:t>
            </w:r>
            <w:r w:rsidRPr="00040BEC">
              <w:rPr>
                <w:rFonts w:eastAsia="Times" w:cs="Arial"/>
                <w:szCs w:val="20"/>
                <w:vertAlign w:val="subscript"/>
                <w:lang w:val="en-GB"/>
              </w:rPr>
              <w:t xml:space="preserve">2 </w:t>
            </w:r>
            <w:r w:rsidRPr="00040BEC">
              <w:rPr>
                <w:rFonts w:eastAsia="Times" w:cs="Arial"/>
                <w:szCs w:val="20"/>
                <w:lang w:val="en-GB"/>
              </w:rPr>
              <w:t>Communications (Ireland) Limited</w:t>
            </w:r>
          </w:p>
        </w:tc>
        <w:tc>
          <w:tcPr>
            <w:tcW w:w="1005" w:type="pct"/>
            <w:vAlign w:val="center"/>
          </w:tcPr>
          <w:p w14:paraId="05D7E3F5" w14:textId="777097F5"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1910</w:t>
            </w:r>
            <w:r w:rsidR="00DC16AE">
              <w:rPr>
                <w:rFonts w:cs="Arial"/>
                <w:szCs w:val="20"/>
                <w:lang w:val="en-GB" w:eastAsia="nl-NL"/>
              </w:rPr>
              <w:t xml:space="preserve"> </w:t>
            </w:r>
            <w:r w:rsidRPr="00040BEC">
              <w:rPr>
                <w:rFonts w:cs="Arial"/>
                <w:szCs w:val="20"/>
                <w:lang w:val="en-GB" w:eastAsia="nl-NL"/>
              </w:rPr>
              <w:t>-</w:t>
            </w:r>
            <w:r w:rsidR="00DC16AE">
              <w:rPr>
                <w:rFonts w:cs="Arial"/>
                <w:szCs w:val="20"/>
                <w:lang w:val="en-GB" w:eastAsia="nl-NL"/>
              </w:rPr>
              <w:t xml:space="preserve"> </w:t>
            </w:r>
            <w:r w:rsidRPr="00040BEC">
              <w:rPr>
                <w:rFonts w:cs="Arial"/>
                <w:szCs w:val="20"/>
                <w:lang w:val="en-GB" w:eastAsia="nl-NL"/>
              </w:rPr>
              <w:t xml:space="preserve">1915 </w:t>
            </w:r>
            <w:proofErr w:type="spellStart"/>
            <w:r w:rsidRPr="00040BEC">
              <w:rPr>
                <w:rFonts w:cs="Arial"/>
                <w:szCs w:val="20"/>
                <w:lang w:val="en-GB" w:eastAsia="nl-NL"/>
              </w:rPr>
              <w:t>MHx</w:t>
            </w:r>
            <w:proofErr w:type="spellEnd"/>
          </w:p>
        </w:tc>
        <w:tc>
          <w:tcPr>
            <w:tcW w:w="1032" w:type="pct"/>
            <w:vAlign w:val="center"/>
          </w:tcPr>
          <w:p w14:paraId="4650EB38"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UTRA TDD</w:t>
            </w:r>
          </w:p>
          <w:p w14:paraId="295CAC8B" w14:textId="77777777" w:rsidR="00B63017" w:rsidRPr="00040BEC" w:rsidRDefault="00B63017" w:rsidP="00E72FF9">
            <w:pPr>
              <w:overflowPunct w:val="0"/>
              <w:autoSpaceDE w:val="0"/>
              <w:autoSpaceDN w:val="0"/>
              <w:adjustRightInd w:val="0"/>
              <w:textAlignment w:val="baseline"/>
              <w:rPr>
                <w:rFonts w:cs="Arial"/>
                <w:szCs w:val="20"/>
                <w:lang w:val="en-GB" w:eastAsia="nl-NL"/>
              </w:rPr>
            </w:pPr>
          </w:p>
        </w:tc>
        <w:tc>
          <w:tcPr>
            <w:tcW w:w="1550" w:type="pct"/>
            <w:vAlign w:val="center"/>
          </w:tcPr>
          <w:p w14:paraId="63542B3C"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October 2002 – October 2022</w:t>
            </w:r>
          </w:p>
          <w:p w14:paraId="2F0B755D" w14:textId="40C15AB6" w:rsidR="00B63017" w:rsidRPr="00040BEC" w:rsidRDefault="00405F5E" w:rsidP="001243CA">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T</w:t>
            </w:r>
            <w:r w:rsidR="00B63017" w:rsidRPr="00040BEC">
              <w:rPr>
                <w:rFonts w:cs="Arial"/>
                <w:szCs w:val="20"/>
                <w:lang w:val="en-GB" w:eastAsia="nl-NL"/>
              </w:rPr>
              <w:t>radable</w:t>
            </w:r>
          </w:p>
        </w:tc>
      </w:tr>
    </w:tbl>
    <w:p w14:paraId="1C5B01B7" w14:textId="77777777" w:rsidR="00B63017" w:rsidRPr="00040BEC" w:rsidRDefault="00B63017" w:rsidP="00B63017">
      <w:pPr>
        <w:overflowPunct w:val="0"/>
        <w:autoSpaceDE w:val="0"/>
        <w:autoSpaceDN w:val="0"/>
        <w:adjustRightInd w:val="0"/>
        <w:jc w:val="both"/>
        <w:textAlignment w:val="baseline"/>
        <w:rPr>
          <w:rFonts w:cs="Arial"/>
          <w:b/>
          <w:szCs w:val="20"/>
          <w:lang w:val="en-GB" w:eastAsia="nl-NL"/>
        </w:rPr>
      </w:pPr>
    </w:p>
    <w:p w14:paraId="6A5D9156" w14:textId="77777777" w:rsidR="00B63017" w:rsidRPr="00040BEC" w:rsidRDefault="00B63017" w:rsidP="00B63017">
      <w:pPr>
        <w:numPr>
          <w:ilvl w:val="0"/>
          <w:numId w:val="17"/>
        </w:numPr>
        <w:overflowPunct w:val="0"/>
        <w:autoSpaceDE w:val="0"/>
        <w:autoSpaceDN w:val="0"/>
        <w:adjustRightInd w:val="0"/>
        <w:ind w:left="567" w:hanging="567"/>
        <w:jc w:val="both"/>
        <w:textAlignment w:val="baseline"/>
        <w:rPr>
          <w:rFonts w:cs="Arial"/>
          <w:b/>
          <w:szCs w:val="20"/>
          <w:lang w:val="en-GB" w:eastAsia="nl-NL"/>
        </w:rPr>
      </w:pPr>
      <w:r w:rsidRPr="00040BEC">
        <w:rPr>
          <w:rFonts w:cs="Arial"/>
          <w:b/>
          <w:szCs w:val="20"/>
          <w:lang w:val="en-GB" w:eastAsia="nl-NL"/>
        </w:rPr>
        <w:t>Italy (March 2012)</w:t>
      </w:r>
    </w:p>
    <w:p w14:paraId="229D7180" w14:textId="77777777" w:rsidR="00B63017" w:rsidRPr="00040BEC" w:rsidRDefault="00B63017" w:rsidP="00B63017">
      <w:pPr>
        <w:overflowPunct w:val="0"/>
        <w:autoSpaceDE w:val="0"/>
        <w:autoSpaceDN w:val="0"/>
        <w:adjustRightInd w:val="0"/>
        <w:textAlignment w:val="baseline"/>
        <w:rPr>
          <w:rFonts w:cs="Arial"/>
          <w:b/>
          <w:szCs w:val="20"/>
          <w:u w:val="single"/>
          <w:lang w:val="en-GB" w:eastAsia="nl-NL"/>
        </w:rPr>
      </w:pPr>
    </w:p>
    <w:p w14:paraId="0D180C80" w14:textId="77777777" w:rsidR="00B63017" w:rsidRPr="00040BEC" w:rsidRDefault="00B63017" w:rsidP="00B63017">
      <w:pPr>
        <w:overflowPunct w:val="0"/>
        <w:autoSpaceDE w:val="0"/>
        <w:autoSpaceDN w:val="0"/>
        <w:adjustRightInd w:val="0"/>
        <w:textAlignment w:val="baseline"/>
        <w:rPr>
          <w:rFonts w:cs="Arial"/>
          <w:b/>
          <w:szCs w:val="20"/>
          <w:lang w:val="en-GB" w:eastAsia="nl-NL"/>
        </w:rPr>
      </w:pPr>
      <w:r w:rsidRPr="00040BEC">
        <w:rPr>
          <w:rFonts w:cs="Arial"/>
          <w:b/>
          <w:szCs w:val="20"/>
          <w:lang w:val="en-GB" w:eastAsia="nl-NL"/>
        </w:rPr>
        <w:t>1900-1920 MHz / 2010-2025 MHz (unpaired frequency arrangement)</w:t>
      </w:r>
    </w:p>
    <w:tbl>
      <w:tblPr>
        <w:tblW w:w="95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08"/>
        <w:gridCol w:w="2736"/>
        <w:gridCol w:w="1985"/>
        <w:gridCol w:w="2952"/>
      </w:tblGrid>
      <w:tr w:rsidR="00B63017" w:rsidRPr="00040BEC" w14:paraId="53992D7A" w14:textId="77777777" w:rsidTr="00E72FF9">
        <w:trPr>
          <w:trHeight w:val="435"/>
        </w:trPr>
        <w:tc>
          <w:tcPr>
            <w:tcW w:w="1908" w:type="dxa"/>
            <w:vAlign w:val="center"/>
          </w:tcPr>
          <w:p w14:paraId="6EA44B89"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Operator</w:t>
            </w:r>
          </w:p>
        </w:tc>
        <w:tc>
          <w:tcPr>
            <w:tcW w:w="2736" w:type="dxa"/>
            <w:vAlign w:val="center"/>
          </w:tcPr>
          <w:p w14:paraId="2FF2BA16"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Frequency band licensed</w:t>
            </w:r>
          </w:p>
        </w:tc>
        <w:tc>
          <w:tcPr>
            <w:tcW w:w="1985" w:type="dxa"/>
            <w:vAlign w:val="center"/>
          </w:tcPr>
          <w:p w14:paraId="0DD9A674"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Technology in use (optional)</w:t>
            </w:r>
          </w:p>
        </w:tc>
        <w:tc>
          <w:tcPr>
            <w:tcW w:w="2952" w:type="dxa"/>
            <w:vAlign w:val="center"/>
          </w:tcPr>
          <w:p w14:paraId="71D3560D"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Licence duration, tradability</w:t>
            </w:r>
          </w:p>
        </w:tc>
      </w:tr>
      <w:tr w:rsidR="00B63017" w:rsidRPr="00040BEC" w14:paraId="34731E3D" w14:textId="77777777" w:rsidTr="00DC16AE">
        <w:trPr>
          <w:trHeight w:val="413"/>
        </w:trPr>
        <w:tc>
          <w:tcPr>
            <w:tcW w:w="1908" w:type="dxa"/>
          </w:tcPr>
          <w:p w14:paraId="36728BCB" w14:textId="77777777" w:rsidR="00B63017" w:rsidRPr="00040BEC" w:rsidRDefault="00B63017" w:rsidP="00E72FF9">
            <w:pPr>
              <w:overflowPunct w:val="0"/>
              <w:autoSpaceDE w:val="0"/>
              <w:autoSpaceDN w:val="0"/>
              <w:adjustRightInd w:val="0"/>
              <w:spacing w:before="60"/>
              <w:textAlignment w:val="baseline"/>
              <w:rPr>
                <w:rFonts w:cs="Arial"/>
                <w:szCs w:val="20"/>
                <w:lang w:val="en-GB" w:eastAsia="nl-NL"/>
              </w:rPr>
            </w:pPr>
            <w:r w:rsidRPr="00040BEC">
              <w:rPr>
                <w:rFonts w:cs="Arial"/>
                <w:szCs w:val="20"/>
                <w:lang w:val="en-GB" w:eastAsia="nl-NL"/>
              </w:rPr>
              <w:t>H3G</w:t>
            </w:r>
          </w:p>
        </w:tc>
        <w:tc>
          <w:tcPr>
            <w:tcW w:w="2736" w:type="dxa"/>
          </w:tcPr>
          <w:p w14:paraId="6369C8DB" w14:textId="697B37AD" w:rsidR="00B63017" w:rsidRPr="00040BEC" w:rsidRDefault="00B63017" w:rsidP="00DC16AE">
            <w:pPr>
              <w:overflowPunct w:val="0"/>
              <w:autoSpaceDE w:val="0"/>
              <w:autoSpaceDN w:val="0"/>
              <w:adjustRightInd w:val="0"/>
              <w:spacing w:before="60"/>
              <w:textAlignment w:val="baseline"/>
              <w:rPr>
                <w:rFonts w:cs="Arial"/>
                <w:szCs w:val="20"/>
                <w:lang w:val="en-GB" w:eastAsia="nl-NL"/>
              </w:rPr>
            </w:pPr>
            <w:r w:rsidRPr="00040BEC">
              <w:rPr>
                <w:rFonts w:cs="Arial"/>
                <w:szCs w:val="20"/>
                <w:lang w:val="en-GB" w:eastAsia="nl-NL"/>
              </w:rPr>
              <w:t xml:space="preserve">1900 </w:t>
            </w:r>
            <w:r w:rsidR="00DC16AE">
              <w:rPr>
                <w:rFonts w:cs="Arial"/>
                <w:szCs w:val="20"/>
                <w:lang w:val="en-GB" w:eastAsia="nl-NL"/>
              </w:rPr>
              <w:t>-</w:t>
            </w:r>
            <w:r w:rsidRPr="00040BEC">
              <w:rPr>
                <w:rFonts w:cs="Arial"/>
                <w:szCs w:val="20"/>
                <w:lang w:val="en-GB" w:eastAsia="nl-NL"/>
              </w:rPr>
              <w:t xml:space="preserve"> 1905 MHz</w:t>
            </w:r>
          </w:p>
        </w:tc>
        <w:tc>
          <w:tcPr>
            <w:tcW w:w="1985" w:type="dxa"/>
          </w:tcPr>
          <w:p w14:paraId="6C4B58CA" w14:textId="77777777" w:rsidR="00B63017" w:rsidRPr="00040BEC" w:rsidRDefault="00B63017" w:rsidP="00E72FF9">
            <w:pPr>
              <w:overflowPunct w:val="0"/>
              <w:autoSpaceDE w:val="0"/>
              <w:autoSpaceDN w:val="0"/>
              <w:adjustRightInd w:val="0"/>
              <w:spacing w:before="60"/>
              <w:textAlignment w:val="baseline"/>
              <w:rPr>
                <w:rFonts w:cs="Arial"/>
                <w:szCs w:val="20"/>
                <w:lang w:val="en-GB" w:eastAsia="nl-NL"/>
              </w:rPr>
            </w:pPr>
            <w:r w:rsidRPr="00040BEC">
              <w:rPr>
                <w:rFonts w:cs="Arial"/>
                <w:szCs w:val="20"/>
                <w:lang w:val="en-GB" w:eastAsia="nl-NL"/>
              </w:rPr>
              <w:t>UMTS TDD</w:t>
            </w:r>
          </w:p>
        </w:tc>
        <w:tc>
          <w:tcPr>
            <w:tcW w:w="2952" w:type="dxa"/>
          </w:tcPr>
          <w:p w14:paraId="219A386B" w14:textId="06BD544C" w:rsidR="00B63017" w:rsidRPr="00040BEC" w:rsidRDefault="00B63017" w:rsidP="00E72FF9">
            <w:pPr>
              <w:overflowPunct w:val="0"/>
              <w:autoSpaceDE w:val="0"/>
              <w:autoSpaceDN w:val="0"/>
              <w:adjustRightInd w:val="0"/>
              <w:spacing w:before="60"/>
              <w:textAlignment w:val="baseline"/>
              <w:rPr>
                <w:rFonts w:cs="Arial"/>
                <w:szCs w:val="20"/>
                <w:lang w:val="en-GB" w:eastAsia="nl-NL"/>
              </w:rPr>
            </w:pPr>
            <w:r w:rsidRPr="00040BEC">
              <w:rPr>
                <w:rFonts w:cs="Arial"/>
                <w:szCs w:val="20"/>
                <w:lang w:val="en-GB" w:eastAsia="nl-NL"/>
              </w:rPr>
              <w:t xml:space="preserve">31 </w:t>
            </w:r>
            <w:proofErr w:type="spellStart"/>
            <w:r w:rsidRPr="00040BEC">
              <w:rPr>
                <w:rFonts w:cs="Arial"/>
                <w:szCs w:val="20"/>
                <w:lang w:val="en-GB" w:eastAsia="nl-NL"/>
              </w:rPr>
              <w:t>december</w:t>
            </w:r>
            <w:proofErr w:type="spellEnd"/>
            <w:r w:rsidRPr="00040BEC">
              <w:rPr>
                <w:rFonts w:cs="Arial"/>
                <w:szCs w:val="20"/>
                <w:lang w:val="en-GB" w:eastAsia="nl-NL"/>
              </w:rPr>
              <w:t xml:space="preserve"> 2021</w:t>
            </w:r>
            <w:r w:rsidR="001243CA" w:rsidRPr="00040BEC">
              <w:rPr>
                <w:rFonts w:cs="Arial"/>
                <w:szCs w:val="20"/>
                <w:lang w:val="en-GB" w:eastAsia="nl-NL"/>
              </w:rPr>
              <w:t>, tradable</w:t>
            </w:r>
          </w:p>
        </w:tc>
      </w:tr>
      <w:tr w:rsidR="00B63017" w:rsidRPr="00040BEC" w14:paraId="310FA70D" w14:textId="77777777" w:rsidTr="00DC16AE">
        <w:trPr>
          <w:trHeight w:val="418"/>
        </w:trPr>
        <w:tc>
          <w:tcPr>
            <w:tcW w:w="1908" w:type="dxa"/>
          </w:tcPr>
          <w:p w14:paraId="3F5BDAEF" w14:textId="77777777" w:rsidR="00B63017" w:rsidRPr="00040BEC" w:rsidRDefault="00B63017" w:rsidP="00E72FF9">
            <w:pPr>
              <w:overflowPunct w:val="0"/>
              <w:autoSpaceDE w:val="0"/>
              <w:autoSpaceDN w:val="0"/>
              <w:adjustRightInd w:val="0"/>
              <w:spacing w:before="60"/>
              <w:textAlignment w:val="baseline"/>
              <w:rPr>
                <w:rFonts w:cs="Arial"/>
                <w:szCs w:val="20"/>
                <w:lang w:val="en-GB" w:eastAsia="nl-NL"/>
              </w:rPr>
            </w:pPr>
            <w:r w:rsidRPr="00040BEC">
              <w:rPr>
                <w:rFonts w:cs="Arial"/>
                <w:szCs w:val="20"/>
                <w:lang w:val="en-GB" w:eastAsia="nl-NL"/>
              </w:rPr>
              <w:t>VODAFONE</w:t>
            </w:r>
          </w:p>
        </w:tc>
        <w:tc>
          <w:tcPr>
            <w:tcW w:w="2736" w:type="dxa"/>
          </w:tcPr>
          <w:p w14:paraId="41EAD552" w14:textId="29D7AF67" w:rsidR="00B63017" w:rsidRPr="00040BEC" w:rsidRDefault="00DC16AE" w:rsidP="00E72FF9">
            <w:pPr>
              <w:overflowPunct w:val="0"/>
              <w:autoSpaceDE w:val="0"/>
              <w:autoSpaceDN w:val="0"/>
              <w:adjustRightInd w:val="0"/>
              <w:spacing w:before="60"/>
              <w:textAlignment w:val="baseline"/>
              <w:rPr>
                <w:rFonts w:cs="Arial"/>
                <w:szCs w:val="20"/>
                <w:lang w:val="en-GB" w:eastAsia="nl-NL"/>
              </w:rPr>
            </w:pPr>
            <w:r>
              <w:rPr>
                <w:rFonts w:cs="Arial"/>
                <w:szCs w:val="20"/>
                <w:lang w:val="en-GB" w:eastAsia="nl-NL"/>
              </w:rPr>
              <w:t>1905 -</w:t>
            </w:r>
            <w:r w:rsidR="00B63017" w:rsidRPr="00040BEC">
              <w:rPr>
                <w:rFonts w:cs="Arial"/>
                <w:szCs w:val="20"/>
                <w:lang w:val="en-GB" w:eastAsia="nl-NL"/>
              </w:rPr>
              <w:t xml:space="preserve"> 1910 MHz</w:t>
            </w:r>
          </w:p>
        </w:tc>
        <w:tc>
          <w:tcPr>
            <w:tcW w:w="1985" w:type="dxa"/>
          </w:tcPr>
          <w:p w14:paraId="6906841A" w14:textId="77777777" w:rsidR="00B63017" w:rsidRPr="00040BEC" w:rsidRDefault="00B63017" w:rsidP="00E72FF9">
            <w:pPr>
              <w:overflowPunct w:val="0"/>
              <w:autoSpaceDE w:val="0"/>
              <w:autoSpaceDN w:val="0"/>
              <w:adjustRightInd w:val="0"/>
              <w:spacing w:before="60"/>
              <w:textAlignment w:val="baseline"/>
              <w:rPr>
                <w:rFonts w:cs="Arial"/>
                <w:szCs w:val="20"/>
                <w:lang w:val="en-GB" w:eastAsia="nl-NL"/>
              </w:rPr>
            </w:pPr>
            <w:r w:rsidRPr="00040BEC">
              <w:rPr>
                <w:rFonts w:cs="Arial"/>
                <w:szCs w:val="20"/>
                <w:lang w:val="en-GB" w:eastAsia="nl-NL"/>
              </w:rPr>
              <w:t>UMTS TDD</w:t>
            </w:r>
          </w:p>
        </w:tc>
        <w:tc>
          <w:tcPr>
            <w:tcW w:w="2952" w:type="dxa"/>
          </w:tcPr>
          <w:p w14:paraId="3A06C711" w14:textId="28579EC2" w:rsidR="00B63017" w:rsidRPr="00040BEC" w:rsidRDefault="00B63017" w:rsidP="00E72FF9">
            <w:pPr>
              <w:overflowPunct w:val="0"/>
              <w:autoSpaceDE w:val="0"/>
              <w:autoSpaceDN w:val="0"/>
              <w:adjustRightInd w:val="0"/>
              <w:spacing w:before="60"/>
              <w:textAlignment w:val="baseline"/>
              <w:rPr>
                <w:rFonts w:cs="Arial"/>
                <w:szCs w:val="20"/>
                <w:lang w:val="en-GB" w:eastAsia="nl-NL"/>
              </w:rPr>
            </w:pPr>
            <w:r w:rsidRPr="00040BEC">
              <w:rPr>
                <w:rFonts w:cs="Arial"/>
                <w:szCs w:val="20"/>
                <w:lang w:val="en-GB" w:eastAsia="nl-NL"/>
              </w:rPr>
              <w:t xml:space="preserve">31 </w:t>
            </w:r>
            <w:proofErr w:type="spellStart"/>
            <w:r w:rsidRPr="00040BEC">
              <w:rPr>
                <w:rFonts w:cs="Arial"/>
                <w:szCs w:val="20"/>
                <w:lang w:val="en-GB" w:eastAsia="nl-NL"/>
              </w:rPr>
              <w:t>december</w:t>
            </w:r>
            <w:proofErr w:type="spellEnd"/>
            <w:r w:rsidRPr="00040BEC">
              <w:rPr>
                <w:rFonts w:cs="Arial"/>
                <w:szCs w:val="20"/>
                <w:lang w:val="en-GB" w:eastAsia="nl-NL"/>
              </w:rPr>
              <w:t xml:space="preserve"> 2021</w:t>
            </w:r>
            <w:r w:rsidR="001243CA" w:rsidRPr="00040BEC">
              <w:rPr>
                <w:rFonts w:cs="Arial"/>
                <w:szCs w:val="20"/>
                <w:lang w:val="en-GB" w:eastAsia="nl-NL"/>
              </w:rPr>
              <w:t>, tradable</w:t>
            </w:r>
          </w:p>
        </w:tc>
      </w:tr>
      <w:tr w:rsidR="00B63017" w:rsidRPr="00040BEC" w14:paraId="0679034E" w14:textId="77777777" w:rsidTr="00DC16AE">
        <w:trPr>
          <w:trHeight w:val="283"/>
        </w:trPr>
        <w:tc>
          <w:tcPr>
            <w:tcW w:w="1908" w:type="dxa"/>
          </w:tcPr>
          <w:p w14:paraId="40886953"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TELECOM ITALIA</w:t>
            </w:r>
          </w:p>
        </w:tc>
        <w:tc>
          <w:tcPr>
            <w:tcW w:w="2736" w:type="dxa"/>
          </w:tcPr>
          <w:p w14:paraId="4C3D798E" w14:textId="4D8DEF5B" w:rsidR="00B63017" w:rsidRPr="00040BEC" w:rsidRDefault="00B63017" w:rsidP="00DC16AE">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 xml:space="preserve">1910 </w:t>
            </w:r>
            <w:r w:rsidR="00DC16AE">
              <w:rPr>
                <w:rFonts w:cs="Arial"/>
                <w:szCs w:val="20"/>
                <w:lang w:val="en-GB" w:eastAsia="nl-NL"/>
              </w:rPr>
              <w:t>-</w:t>
            </w:r>
            <w:r w:rsidRPr="00040BEC">
              <w:rPr>
                <w:rFonts w:cs="Arial"/>
                <w:szCs w:val="20"/>
                <w:lang w:val="en-GB" w:eastAsia="nl-NL"/>
              </w:rPr>
              <w:t xml:space="preserve"> 1915 MHz</w:t>
            </w:r>
          </w:p>
        </w:tc>
        <w:tc>
          <w:tcPr>
            <w:tcW w:w="1985" w:type="dxa"/>
          </w:tcPr>
          <w:p w14:paraId="6D6D25B5"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UMTS TDD</w:t>
            </w:r>
          </w:p>
        </w:tc>
        <w:tc>
          <w:tcPr>
            <w:tcW w:w="2952" w:type="dxa"/>
          </w:tcPr>
          <w:p w14:paraId="0F4C8AE4" w14:textId="44724654"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 xml:space="preserve">31 </w:t>
            </w:r>
            <w:proofErr w:type="spellStart"/>
            <w:r w:rsidRPr="00040BEC">
              <w:rPr>
                <w:rFonts w:cs="Arial"/>
                <w:szCs w:val="20"/>
                <w:lang w:val="en-GB" w:eastAsia="nl-NL"/>
              </w:rPr>
              <w:t>december</w:t>
            </w:r>
            <w:proofErr w:type="spellEnd"/>
            <w:r w:rsidRPr="00040BEC">
              <w:rPr>
                <w:rFonts w:cs="Arial"/>
                <w:szCs w:val="20"/>
                <w:lang w:val="en-GB" w:eastAsia="nl-NL"/>
              </w:rPr>
              <w:t xml:space="preserve"> 2021</w:t>
            </w:r>
            <w:r w:rsidR="001243CA" w:rsidRPr="00040BEC">
              <w:rPr>
                <w:rFonts w:cs="Arial"/>
                <w:szCs w:val="20"/>
                <w:lang w:val="en-GB" w:eastAsia="nl-NL"/>
              </w:rPr>
              <w:t>, tradable</w:t>
            </w:r>
          </w:p>
        </w:tc>
      </w:tr>
      <w:tr w:rsidR="00B63017" w:rsidRPr="00040BEC" w14:paraId="78DF635C" w14:textId="77777777" w:rsidTr="00DC16AE">
        <w:trPr>
          <w:trHeight w:val="401"/>
        </w:trPr>
        <w:tc>
          <w:tcPr>
            <w:tcW w:w="1908" w:type="dxa"/>
          </w:tcPr>
          <w:p w14:paraId="6B807CD5" w14:textId="77777777" w:rsidR="00B63017" w:rsidRPr="00040BEC" w:rsidRDefault="00B63017" w:rsidP="00E72FF9">
            <w:pPr>
              <w:overflowPunct w:val="0"/>
              <w:autoSpaceDE w:val="0"/>
              <w:autoSpaceDN w:val="0"/>
              <w:adjustRightInd w:val="0"/>
              <w:spacing w:before="60"/>
              <w:textAlignment w:val="baseline"/>
              <w:rPr>
                <w:rFonts w:cs="Arial"/>
                <w:szCs w:val="20"/>
                <w:lang w:val="en-GB" w:eastAsia="nl-NL"/>
              </w:rPr>
            </w:pPr>
            <w:r w:rsidRPr="00040BEC">
              <w:rPr>
                <w:rFonts w:cs="Arial"/>
                <w:szCs w:val="20"/>
                <w:lang w:val="en-GB" w:eastAsia="nl-NL"/>
              </w:rPr>
              <w:t>WIND</w:t>
            </w:r>
          </w:p>
        </w:tc>
        <w:tc>
          <w:tcPr>
            <w:tcW w:w="2736" w:type="dxa"/>
          </w:tcPr>
          <w:p w14:paraId="3B41EBBE" w14:textId="71BD8177" w:rsidR="00B63017" w:rsidRPr="00040BEC" w:rsidRDefault="00DC16AE" w:rsidP="00E72FF9">
            <w:pPr>
              <w:overflowPunct w:val="0"/>
              <w:autoSpaceDE w:val="0"/>
              <w:autoSpaceDN w:val="0"/>
              <w:adjustRightInd w:val="0"/>
              <w:spacing w:before="60"/>
              <w:textAlignment w:val="baseline"/>
              <w:rPr>
                <w:rFonts w:cs="Arial"/>
                <w:szCs w:val="20"/>
                <w:lang w:val="en-GB" w:eastAsia="nl-NL"/>
              </w:rPr>
            </w:pPr>
            <w:r>
              <w:rPr>
                <w:rFonts w:cs="Arial"/>
                <w:szCs w:val="20"/>
                <w:lang w:val="en-GB" w:eastAsia="nl-NL"/>
              </w:rPr>
              <w:t>1915 -</w:t>
            </w:r>
            <w:r w:rsidR="00B63017" w:rsidRPr="00040BEC">
              <w:rPr>
                <w:rFonts w:cs="Arial"/>
                <w:szCs w:val="20"/>
                <w:lang w:val="en-GB" w:eastAsia="nl-NL"/>
              </w:rPr>
              <w:t xml:space="preserve"> 1920 MHz</w:t>
            </w:r>
          </w:p>
        </w:tc>
        <w:tc>
          <w:tcPr>
            <w:tcW w:w="1985" w:type="dxa"/>
          </w:tcPr>
          <w:p w14:paraId="6AFDB54F" w14:textId="77777777" w:rsidR="00B63017" w:rsidRPr="00040BEC" w:rsidRDefault="00B63017" w:rsidP="00E72FF9">
            <w:pPr>
              <w:overflowPunct w:val="0"/>
              <w:autoSpaceDE w:val="0"/>
              <w:autoSpaceDN w:val="0"/>
              <w:adjustRightInd w:val="0"/>
              <w:spacing w:before="60"/>
              <w:textAlignment w:val="baseline"/>
              <w:rPr>
                <w:rFonts w:cs="Arial"/>
                <w:szCs w:val="20"/>
                <w:lang w:val="en-GB" w:eastAsia="nl-NL"/>
              </w:rPr>
            </w:pPr>
            <w:r w:rsidRPr="00040BEC">
              <w:rPr>
                <w:rFonts w:cs="Arial"/>
                <w:szCs w:val="20"/>
                <w:lang w:val="en-GB" w:eastAsia="nl-NL"/>
              </w:rPr>
              <w:t>UMTS TDD</w:t>
            </w:r>
          </w:p>
        </w:tc>
        <w:tc>
          <w:tcPr>
            <w:tcW w:w="2952" w:type="dxa"/>
          </w:tcPr>
          <w:p w14:paraId="22217703" w14:textId="6F00D3CA" w:rsidR="00B63017" w:rsidRPr="00040BEC" w:rsidRDefault="00B63017" w:rsidP="00E72FF9">
            <w:pPr>
              <w:overflowPunct w:val="0"/>
              <w:autoSpaceDE w:val="0"/>
              <w:autoSpaceDN w:val="0"/>
              <w:adjustRightInd w:val="0"/>
              <w:spacing w:before="60"/>
              <w:textAlignment w:val="baseline"/>
              <w:rPr>
                <w:rFonts w:cs="Arial"/>
                <w:szCs w:val="20"/>
                <w:lang w:val="en-GB" w:eastAsia="nl-NL"/>
              </w:rPr>
            </w:pPr>
            <w:r w:rsidRPr="00040BEC">
              <w:rPr>
                <w:rFonts w:cs="Arial"/>
                <w:szCs w:val="20"/>
                <w:lang w:val="en-GB" w:eastAsia="nl-NL"/>
              </w:rPr>
              <w:t xml:space="preserve">31 </w:t>
            </w:r>
            <w:proofErr w:type="spellStart"/>
            <w:r w:rsidRPr="00040BEC">
              <w:rPr>
                <w:rFonts w:cs="Arial"/>
                <w:szCs w:val="20"/>
                <w:lang w:val="en-GB" w:eastAsia="nl-NL"/>
              </w:rPr>
              <w:t>december</w:t>
            </w:r>
            <w:proofErr w:type="spellEnd"/>
            <w:r w:rsidRPr="00040BEC">
              <w:rPr>
                <w:rFonts w:cs="Arial"/>
                <w:szCs w:val="20"/>
                <w:lang w:val="en-GB" w:eastAsia="nl-NL"/>
              </w:rPr>
              <w:t xml:space="preserve"> 2021</w:t>
            </w:r>
            <w:r w:rsidR="001243CA" w:rsidRPr="00040BEC">
              <w:rPr>
                <w:rFonts w:cs="Arial"/>
                <w:szCs w:val="20"/>
                <w:lang w:val="en-GB" w:eastAsia="nl-NL"/>
              </w:rPr>
              <w:t>, tradable</w:t>
            </w:r>
          </w:p>
        </w:tc>
      </w:tr>
    </w:tbl>
    <w:p w14:paraId="2CF3C63F" w14:textId="77777777" w:rsidR="00B63017" w:rsidRPr="00040BEC" w:rsidRDefault="00B63017" w:rsidP="00B63017">
      <w:pPr>
        <w:rPr>
          <w:rFonts w:cs="Arial"/>
          <w:b/>
          <w:bCs/>
          <w:szCs w:val="20"/>
          <w:lang w:val="en-GB" w:eastAsia="en-IE"/>
        </w:rPr>
      </w:pPr>
    </w:p>
    <w:p w14:paraId="1F092240" w14:textId="77777777" w:rsidR="00B63017" w:rsidRPr="00040BEC" w:rsidRDefault="00B63017" w:rsidP="00B63017">
      <w:pPr>
        <w:numPr>
          <w:ilvl w:val="0"/>
          <w:numId w:val="17"/>
        </w:numPr>
        <w:suppressAutoHyphens/>
        <w:overflowPunct w:val="0"/>
        <w:autoSpaceDE w:val="0"/>
        <w:autoSpaceDN w:val="0"/>
        <w:adjustRightInd w:val="0"/>
        <w:ind w:left="567" w:hanging="567"/>
        <w:textAlignment w:val="baseline"/>
        <w:rPr>
          <w:rFonts w:cs="Arial"/>
          <w:b/>
          <w:bCs/>
          <w:szCs w:val="20"/>
          <w:lang w:val="en-GB" w:eastAsia="en-IE"/>
        </w:rPr>
      </w:pPr>
      <w:r w:rsidRPr="00040BEC">
        <w:rPr>
          <w:rFonts w:cs="Arial"/>
          <w:b/>
          <w:bCs/>
          <w:szCs w:val="20"/>
          <w:lang w:val="en-GB" w:eastAsia="en-IE"/>
        </w:rPr>
        <w:t>Latvia (March 2013)</w:t>
      </w:r>
    </w:p>
    <w:p w14:paraId="3C73B00A" w14:textId="77777777" w:rsidR="00B63017" w:rsidRPr="00040BEC" w:rsidRDefault="00B63017" w:rsidP="00B63017">
      <w:pPr>
        <w:overflowPunct w:val="0"/>
        <w:autoSpaceDE w:val="0"/>
        <w:autoSpaceDN w:val="0"/>
        <w:adjustRightInd w:val="0"/>
        <w:textAlignment w:val="baseline"/>
        <w:rPr>
          <w:rFonts w:cs="Arial"/>
          <w:szCs w:val="20"/>
          <w:lang w:val="en-GB" w:eastAsia="nl-NL"/>
        </w:rPr>
      </w:pPr>
    </w:p>
    <w:p w14:paraId="3D3551B7" w14:textId="77777777" w:rsidR="00B63017" w:rsidRPr="00040BEC" w:rsidRDefault="00B63017" w:rsidP="00B63017">
      <w:pPr>
        <w:overflowPunct w:val="0"/>
        <w:autoSpaceDE w:val="0"/>
        <w:autoSpaceDN w:val="0"/>
        <w:adjustRightInd w:val="0"/>
        <w:textAlignment w:val="baseline"/>
        <w:rPr>
          <w:rFonts w:cs="Arial"/>
          <w:b/>
          <w:szCs w:val="20"/>
          <w:lang w:val="en-GB" w:eastAsia="nl-NL"/>
        </w:rPr>
      </w:pPr>
      <w:r w:rsidRPr="00040BEC">
        <w:rPr>
          <w:rFonts w:cs="Arial"/>
          <w:b/>
          <w:szCs w:val="20"/>
          <w:lang w:val="en-GB" w:eastAsia="nl-NL"/>
        </w:rPr>
        <w:t>1900-1920 MHz (unpaired frequency arrangement)</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51"/>
        <w:gridCol w:w="2165"/>
        <w:gridCol w:w="2513"/>
        <w:gridCol w:w="2977"/>
      </w:tblGrid>
      <w:tr w:rsidR="00B63017" w:rsidRPr="00040BEC" w14:paraId="6ED495BB" w14:textId="77777777" w:rsidTr="00E72FF9">
        <w:trPr>
          <w:trHeight w:val="435"/>
        </w:trPr>
        <w:tc>
          <w:tcPr>
            <w:tcW w:w="1951" w:type="dxa"/>
            <w:tcBorders>
              <w:top w:val="single" w:sz="4" w:space="0" w:color="auto"/>
              <w:left w:val="single" w:sz="4" w:space="0" w:color="auto"/>
              <w:bottom w:val="single" w:sz="4" w:space="0" w:color="auto"/>
              <w:right w:val="single" w:sz="4" w:space="0" w:color="auto"/>
            </w:tcBorders>
            <w:vAlign w:val="center"/>
          </w:tcPr>
          <w:p w14:paraId="418CAA67"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Operator</w:t>
            </w:r>
          </w:p>
        </w:tc>
        <w:tc>
          <w:tcPr>
            <w:tcW w:w="2165" w:type="dxa"/>
            <w:tcBorders>
              <w:top w:val="single" w:sz="4" w:space="0" w:color="auto"/>
              <w:left w:val="single" w:sz="4" w:space="0" w:color="auto"/>
              <w:bottom w:val="single" w:sz="4" w:space="0" w:color="auto"/>
              <w:right w:val="single" w:sz="4" w:space="0" w:color="auto"/>
            </w:tcBorders>
            <w:vAlign w:val="center"/>
            <w:hideMark/>
          </w:tcPr>
          <w:p w14:paraId="4C7211DA"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Frequencies</w:t>
            </w:r>
          </w:p>
        </w:tc>
        <w:tc>
          <w:tcPr>
            <w:tcW w:w="2513" w:type="dxa"/>
            <w:tcBorders>
              <w:top w:val="single" w:sz="4" w:space="0" w:color="auto"/>
              <w:left w:val="single" w:sz="4" w:space="0" w:color="auto"/>
              <w:bottom w:val="single" w:sz="4" w:space="0" w:color="auto"/>
              <w:right w:val="single" w:sz="4" w:space="0" w:color="auto"/>
            </w:tcBorders>
            <w:vAlign w:val="center"/>
            <w:hideMark/>
          </w:tcPr>
          <w:p w14:paraId="4F23A944"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Technology in use (optional)</w:t>
            </w:r>
          </w:p>
        </w:tc>
        <w:tc>
          <w:tcPr>
            <w:tcW w:w="2977" w:type="dxa"/>
            <w:tcBorders>
              <w:top w:val="single" w:sz="4" w:space="0" w:color="auto"/>
              <w:left w:val="single" w:sz="4" w:space="0" w:color="auto"/>
              <w:bottom w:val="single" w:sz="4" w:space="0" w:color="auto"/>
              <w:right w:val="single" w:sz="4" w:space="0" w:color="auto"/>
            </w:tcBorders>
            <w:vAlign w:val="center"/>
            <w:hideMark/>
          </w:tcPr>
          <w:p w14:paraId="26218413"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Licence duration, tradability</w:t>
            </w:r>
          </w:p>
        </w:tc>
      </w:tr>
      <w:tr w:rsidR="00B63017" w:rsidRPr="00040BEC" w14:paraId="74B7413B" w14:textId="77777777" w:rsidTr="00E72FF9">
        <w:trPr>
          <w:trHeight w:val="390"/>
        </w:trPr>
        <w:tc>
          <w:tcPr>
            <w:tcW w:w="1951" w:type="dxa"/>
            <w:tcBorders>
              <w:top w:val="single" w:sz="4" w:space="0" w:color="auto"/>
              <w:left w:val="single" w:sz="4" w:space="0" w:color="auto"/>
              <w:bottom w:val="single" w:sz="4" w:space="0" w:color="auto"/>
              <w:right w:val="single" w:sz="4" w:space="0" w:color="auto"/>
            </w:tcBorders>
            <w:vAlign w:val="center"/>
            <w:hideMark/>
          </w:tcPr>
          <w:p w14:paraId="6C81160D"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 xml:space="preserve">Bite </w:t>
            </w:r>
            <w:proofErr w:type="spellStart"/>
            <w:r w:rsidRPr="00040BEC">
              <w:rPr>
                <w:rFonts w:cs="Arial"/>
                <w:szCs w:val="20"/>
                <w:lang w:val="en-GB" w:eastAsia="nl-NL"/>
              </w:rPr>
              <w:t>Latvija</w:t>
            </w:r>
            <w:proofErr w:type="spellEnd"/>
          </w:p>
        </w:tc>
        <w:tc>
          <w:tcPr>
            <w:tcW w:w="2165" w:type="dxa"/>
            <w:tcBorders>
              <w:top w:val="single" w:sz="4" w:space="0" w:color="auto"/>
              <w:left w:val="single" w:sz="4" w:space="0" w:color="auto"/>
              <w:bottom w:val="single" w:sz="4" w:space="0" w:color="auto"/>
              <w:right w:val="single" w:sz="4" w:space="0" w:color="auto"/>
            </w:tcBorders>
            <w:vAlign w:val="center"/>
            <w:hideMark/>
          </w:tcPr>
          <w:p w14:paraId="2F37D8F3" w14:textId="7B809A51" w:rsidR="00B63017" w:rsidRPr="00040BEC" w:rsidRDefault="00B63017" w:rsidP="00DC16AE">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 xml:space="preserve">1900 </w:t>
            </w:r>
            <w:r w:rsidR="00DC16AE">
              <w:rPr>
                <w:rFonts w:cs="Arial"/>
                <w:szCs w:val="20"/>
                <w:lang w:val="en-GB" w:eastAsia="nl-NL"/>
              </w:rPr>
              <w:t>-</w:t>
            </w:r>
            <w:r w:rsidRPr="00040BEC">
              <w:rPr>
                <w:rFonts w:cs="Arial"/>
                <w:szCs w:val="20"/>
                <w:lang w:val="en-GB" w:eastAsia="nl-NL"/>
              </w:rPr>
              <w:t xml:space="preserve"> 1905 MHz</w:t>
            </w:r>
          </w:p>
        </w:tc>
        <w:tc>
          <w:tcPr>
            <w:tcW w:w="2513" w:type="dxa"/>
            <w:tcBorders>
              <w:top w:val="single" w:sz="4" w:space="0" w:color="auto"/>
              <w:left w:val="single" w:sz="4" w:space="0" w:color="auto"/>
              <w:bottom w:val="single" w:sz="4" w:space="0" w:color="auto"/>
              <w:right w:val="single" w:sz="4" w:space="0" w:color="auto"/>
            </w:tcBorders>
            <w:vAlign w:val="center"/>
            <w:hideMark/>
          </w:tcPr>
          <w:p w14:paraId="0C8AAF3B"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UMTS/IMT-2000/ TDD</w:t>
            </w:r>
          </w:p>
        </w:tc>
        <w:tc>
          <w:tcPr>
            <w:tcW w:w="2977" w:type="dxa"/>
            <w:tcBorders>
              <w:top w:val="single" w:sz="4" w:space="0" w:color="auto"/>
              <w:left w:val="single" w:sz="4" w:space="0" w:color="auto"/>
              <w:bottom w:val="single" w:sz="4" w:space="0" w:color="auto"/>
              <w:right w:val="single" w:sz="4" w:space="0" w:color="auto"/>
            </w:tcBorders>
            <w:vAlign w:val="center"/>
            <w:hideMark/>
          </w:tcPr>
          <w:p w14:paraId="3F7132D1" w14:textId="723F2B8B" w:rsidR="00B63017" w:rsidRPr="00040BEC" w:rsidRDefault="00DC16AE" w:rsidP="00E72FF9">
            <w:pPr>
              <w:overflowPunct w:val="0"/>
              <w:autoSpaceDE w:val="0"/>
              <w:autoSpaceDN w:val="0"/>
              <w:adjustRightInd w:val="0"/>
              <w:textAlignment w:val="baseline"/>
              <w:rPr>
                <w:rFonts w:cs="Arial"/>
                <w:spacing w:val="-4"/>
                <w:szCs w:val="20"/>
                <w:lang w:val="en-GB" w:eastAsia="nl-NL"/>
              </w:rPr>
            </w:pPr>
            <w:r>
              <w:rPr>
                <w:rFonts w:cs="Arial"/>
                <w:spacing w:val="-4"/>
                <w:szCs w:val="20"/>
                <w:lang w:val="en-GB" w:eastAsia="nl-NL"/>
              </w:rPr>
              <w:t>June</w:t>
            </w:r>
            <w:r w:rsidR="00B63017" w:rsidRPr="00040BEC">
              <w:rPr>
                <w:rFonts w:cs="Arial"/>
                <w:spacing w:val="-4"/>
                <w:szCs w:val="20"/>
                <w:lang w:val="en-GB" w:eastAsia="nl-NL"/>
              </w:rPr>
              <w:t xml:space="preserve"> 2020</w:t>
            </w:r>
            <w:r w:rsidR="00B63017" w:rsidRPr="00040BEC">
              <w:rPr>
                <w:rFonts w:cs="Arial"/>
                <w:szCs w:val="20"/>
                <w:lang w:val="en-GB" w:eastAsia="nl-NL"/>
              </w:rPr>
              <w:t>. Not tradable</w:t>
            </w:r>
          </w:p>
        </w:tc>
      </w:tr>
      <w:tr w:rsidR="00B63017" w:rsidRPr="00040BEC" w14:paraId="1FD6AF18" w14:textId="77777777" w:rsidTr="00E72FF9">
        <w:trPr>
          <w:trHeight w:val="390"/>
        </w:trPr>
        <w:tc>
          <w:tcPr>
            <w:tcW w:w="1951" w:type="dxa"/>
            <w:tcBorders>
              <w:top w:val="single" w:sz="4" w:space="0" w:color="auto"/>
              <w:left w:val="single" w:sz="4" w:space="0" w:color="auto"/>
              <w:bottom w:val="single" w:sz="4" w:space="0" w:color="auto"/>
              <w:right w:val="single" w:sz="4" w:space="0" w:color="auto"/>
            </w:tcBorders>
            <w:vAlign w:val="center"/>
            <w:hideMark/>
          </w:tcPr>
          <w:p w14:paraId="354E7550"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Tele2</w:t>
            </w:r>
          </w:p>
        </w:tc>
        <w:tc>
          <w:tcPr>
            <w:tcW w:w="2165" w:type="dxa"/>
            <w:tcBorders>
              <w:top w:val="single" w:sz="4" w:space="0" w:color="auto"/>
              <w:left w:val="single" w:sz="4" w:space="0" w:color="auto"/>
              <w:bottom w:val="single" w:sz="4" w:space="0" w:color="auto"/>
              <w:right w:val="single" w:sz="4" w:space="0" w:color="auto"/>
            </w:tcBorders>
            <w:vAlign w:val="center"/>
            <w:hideMark/>
          </w:tcPr>
          <w:p w14:paraId="1DF741BA" w14:textId="73546682" w:rsidR="00B63017" w:rsidRPr="00040BEC" w:rsidRDefault="00DC16AE" w:rsidP="00E72FF9">
            <w:pPr>
              <w:overflowPunct w:val="0"/>
              <w:autoSpaceDE w:val="0"/>
              <w:autoSpaceDN w:val="0"/>
              <w:adjustRightInd w:val="0"/>
              <w:textAlignment w:val="baseline"/>
              <w:rPr>
                <w:rFonts w:cs="Arial"/>
                <w:szCs w:val="20"/>
                <w:lang w:val="en-GB" w:eastAsia="nl-NL"/>
              </w:rPr>
            </w:pPr>
            <w:r>
              <w:rPr>
                <w:rFonts w:cs="Arial"/>
                <w:szCs w:val="20"/>
                <w:lang w:val="en-GB" w:eastAsia="nl-NL"/>
              </w:rPr>
              <w:t>1905 -</w:t>
            </w:r>
            <w:r w:rsidR="00B63017" w:rsidRPr="00040BEC">
              <w:rPr>
                <w:rFonts w:cs="Arial"/>
                <w:szCs w:val="20"/>
                <w:lang w:val="en-GB" w:eastAsia="nl-NL"/>
              </w:rPr>
              <w:t xml:space="preserve"> 1910 MHz</w:t>
            </w:r>
          </w:p>
        </w:tc>
        <w:tc>
          <w:tcPr>
            <w:tcW w:w="2513" w:type="dxa"/>
            <w:tcBorders>
              <w:top w:val="single" w:sz="4" w:space="0" w:color="auto"/>
              <w:left w:val="single" w:sz="4" w:space="0" w:color="auto"/>
              <w:bottom w:val="single" w:sz="4" w:space="0" w:color="auto"/>
              <w:right w:val="single" w:sz="4" w:space="0" w:color="auto"/>
            </w:tcBorders>
            <w:vAlign w:val="center"/>
            <w:hideMark/>
          </w:tcPr>
          <w:p w14:paraId="31A130DF"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UMTS/IMT-2000/ TDD</w:t>
            </w:r>
          </w:p>
        </w:tc>
        <w:tc>
          <w:tcPr>
            <w:tcW w:w="2977" w:type="dxa"/>
            <w:tcBorders>
              <w:top w:val="single" w:sz="4" w:space="0" w:color="auto"/>
              <w:left w:val="single" w:sz="4" w:space="0" w:color="auto"/>
              <w:bottom w:val="single" w:sz="4" w:space="0" w:color="auto"/>
              <w:right w:val="single" w:sz="4" w:space="0" w:color="auto"/>
            </w:tcBorders>
            <w:vAlign w:val="center"/>
            <w:hideMark/>
          </w:tcPr>
          <w:p w14:paraId="0FDCAC9D" w14:textId="01C0DCD3" w:rsidR="00B63017" w:rsidRPr="00040BEC" w:rsidRDefault="00DC16AE" w:rsidP="00E72FF9">
            <w:pPr>
              <w:overflowPunct w:val="0"/>
              <w:autoSpaceDE w:val="0"/>
              <w:autoSpaceDN w:val="0"/>
              <w:adjustRightInd w:val="0"/>
              <w:textAlignment w:val="baseline"/>
              <w:rPr>
                <w:rFonts w:cs="Arial"/>
                <w:szCs w:val="20"/>
                <w:lang w:val="en-GB" w:eastAsia="nl-NL"/>
              </w:rPr>
            </w:pPr>
            <w:r>
              <w:rPr>
                <w:rFonts w:cs="Arial"/>
                <w:szCs w:val="20"/>
                <w:lang w:val="en-GB" w:eastAsia="nl-NL"/>
              </w:rPr>
              <w:t>December</w:t>
            </w:r>
            <w:r w:rsidR="00B63017" w:rsidRPr="00040BEC">
              <w:rPr>
                <w:rFonts w:cs="Arial"/>
                <w:szCs w:val="20"/>
                <w:lang w:val="en-GB" w:eastAsia="nl-NL"/>
              </w:rPr>
              <w:t xml:space="preserve"> 2017. Not tradable</w:t>
            </w:r>
          </w:p>
        </w:tc>
      </w:tr>
      <w:tr w:rsidR="00B63017" w:rsidRPr="00040BEC" w14:paraId="55AC207D" w14:textId="77777777" w:rsidTr="00E72FF9">
        <w:trPr>
          <w:trHeight w:val="546"/>
        </w:trPr>
        <w:tc>
          <w:tcPr>
            <w:tcW w:w="1951" w:type="dxa"/>
            <w:tcBorders>
              <w:top w:val="single" w:sz="4" w:space="0" w:color="auto"/>
              <w:left w:val="single" w:sz="4" w:space="0" w:color="auto"/>
              <w:bottom w:val="single" w:sz="4" w:space="0" w:color="auto"/>
              <w:right w:val="single" w:sz="4" w:space="0" w:color="auto"/>
            </w:tcBorders>
            <w:vAlign w:val="center"/>
            <w:hideMark/>
          </w:tcPr>
          <w:p w14:paraId="0A07FE12" w14:textId="77777777" w:rsidR="00B63017" w:rsidRPr="00040BEC" w:rsidRDefault="00B63017" w:rsidP="00E72FF9">
            <w:pPr>
              <w:overflowPunct w:val="0"/>
              <w:autoSpaceDE w:val="0"/>
              <w:autoSpaceDN w:val="0"/>
              <w:adjustRightInd w:val="0"/>
              <w:textAlignment w:val="baseline"/>
              <w:rPr>
                <w:rFonts w:cs="Arial"/>
                <w:szCs w:val="20"/>
                <w:lang w:val="en-GB" w:eastAsia="nl-NL"/>
              </w:rPr>
            </w:pPr>
            <w:proofErr w:type="spellStart"/>
            <w:r w:rsidRPr="00040BEC">
              <w:rPr>
                <w:rFonts w:cs="Arial"/>
                <w:szCs w:val="20"/>
                <w:lang w:val="en-GB" w:eastAsia="nl-NL"/>
              </w:rPr>
              <w:t>Latvijas</w:t>
            </w:r>
            <w:proofErr w:type="spellEnd"/>
            <w:r w:rsidRPr="00040BEC">
              <w:rPr>
                <w:rFonts w:cs="Arial"/>
                <w:szCs w:val="20"/>
                <w:lang w:val="en-GB" w:eastAsia="nl-NL"/>
              </w:rPr>
              <w:t xml:space="preserve"> </w:t>
            </w:r>
            <w:proofErr w:type="spellStart"/>
            <w:r w:rsidRPr="00040BEC">
              <w:rPr>
                <w:rFonts w:cs="Arial"/>
                <w:szCs w:val="20"/>
                <w:lang w:val="en-GB" w:eastAsia="nl-NL"/>
              </w:rPr>
              <w:t>Mobilais</w:t>
            </w:r>
            <w:proofErr w:type="spellEnd"/>
            <w:r w:rsidRPr="00040BEC">
              <w:rPr>
                <w:rFonts w:cs="Arial"/>
                <w:szCs w:val="20"/>
                <w:lang w:val="en-GB" w:eastAsia="nl-NL"/>
              </w:rPr>
              <w:t xml:space="preserve"> </w:t>
            </w:r>
            <w:proofErr w:type="spellStart"/>
            <w:r w:rsidRPr="00040BEC">
              <w:rPr>
                <w:rFonts w:cs="Arial"/>
                <w:szCs w:val="20"/>
                <w:lang w:val="en-GB" w:eastAsia="nl-NL"/>
              </w:rPr>
              <w:t>Telefons</w:t>
            </w:r>
            <w:proofErr w:type="spellEnd"/>
            <w:r w:rsidRPr="00040BEC">
              <w:rPr>
                <w:rFonts w:cs="Arial"/>
                <w:szCs w:val="20"/>
                <w:lang w:val="en-GB" w:eastAsia="nl-NL"/>
              </w:rPr>
              <w:t xml:space="preserve"> (LMT)</w:t>
            </w:r>
          </w:p>
        </w:tc>
        <w:tc>
          <w:tcPr>
            <w:tcW w:w="2165" w:type="dxa"/>
            <w:tcBorders>
              <w:top w:val="single" w:sz="4" w:space="0" w:color="auto"/>
              <w:left w:val="single" w:sz="4" w:space="0" w:color="auto"/>
              <w:bottom w:val="single" w:sz="4" w:space="0" w:color="auto"/>
              <w:right w:val="single" w:sz="4" w:space="0" w:color="auto"/>
            </w:tcBorders>
            <w:vAlign w:val="center"/>
            <w:hideMark/>
          </w:tcPr>
          <w:p w14:paraId="6FAA9D8D" w14:textId="25750339" w:rsidR="00B63017" w:rsidRPr="00040BEC" w:rsidRDefault="00DC16AE" w:rsidP="00E72FF9">
            <w:pPr>
              <w:overflowPunct w:val="0"/>
              <w:autoSpaceDE w:val="0"/>
              <w:autoSpaceDN w:val="0"/>
              <w:adjustRightInd w:val="0"/>
              <w:textAlignment w:val="baseline"/>
              <w:rPr>
                <w:rFonts w:cs="Arial"/>
                <w:szCs w:val="20"/>
                <w:lang w:val="en-GB" w:eastAsia="nl-NL"/>
              </w:rPr>
            </w:pPr>
            <w:r>
              <w:rPr>
                <w:rFonts w:cs="Arial"/>
                <w:szCs w:val="20"/>
                <w:lang w:val="en-GB" w:eastAsia="nl-NL"/>
              </w:rPr>
              <w:t>1915 -</w:t>
            </w:r>
            <w:r w:rsidR="00B63017" w:rsidRPr="00040BEC">
              <w:rPr>
                <w:rFonts w:cs="Arial"/>
                <w:szCs w:val="20"/>
                <w:lang w:val="en-GB" w:eastAsia="nl-NL"/>
              </w:rPr>
              <w:t xml:space="preserve"> 1920 MHz</w:t>
            </w:r>
          </w:p>
        </w:tc>
        <w:tc>
          <w:tcPr>
            <w:tcW w:w="2513" w:type="dxa"/>
            <w:tcBorders>
              <w:top w:val="single" w:sz="4" w:space="0" w:color="auto"/>
              <w:left w:val="single" w:sz="4" w:space="0" w:color="auto"/>
              <w:bottom w:val="single" w:sz="4" w:space="0" w:color="auto"/>
              <w:right w:val="single" w:sz="4" w:space="0" w:color="auto"/>
            </w:tcBorders>
            <w:vAlign w:val="center"/>
            <w:hideMark/>
          </w:tcPr>
          <w:p w14:paraId="7F6B2015"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UMTS/IMT-2000/ TDD</w:t>
            </w:r>
          </w:p>
        </w:tc>
        <w:tc>
          <w:tcPr>
            <w:tcW w:w="2977" w:type="dxa"/>
            <w:tcBorders>
              <w:top w:val="single" w:sz="4" w:space="0" w:color="auto"/>
              <w:left w:val="single" w:sz="4" w:space="0" w:color="auto"/>
              <w:bottom w:val="single" w:sz="4" w:space="0" w:color="auto"/>
              <w:right w:val="single" w:sz="4" w:space="0" w:color="auto"/>
            </w:tcBorders>
            <w:vAlign w:val="center"/>
            <w:hideMark/>
          </w:tcPr>
          <w:p w14:paraId="4BBABB31" w14:textId="275CC0F7" w:rsidR="00B63017" w:rsidRPr="00040BEC" w:rsidRDefault="00DC16AE" w:rsidP="00E72FF9">
            <w:pPr>
              <w:overflowPunct w:val="0"/>
              <w:autoSpaceDE w:val="0"/>
              <w:autoSpaceDN w:val="0"/>
              <w:adjustRightInd w:val="0"/>
              <w:textAlignment w:val="baseline"/>
              <w:rPr>
                <w:rFonts w:cs="Arial"/>
                <w:szCs w:val="20"/>
                <w:lang w:val="en-GB" w:eastAsia="nl-NL"/>
              </w:rPr>
            </w:pPr>
            <w:r>
              <w:rPr>
                <w:rFonts w:cs="Arial"/>
                <w:szCs w:val="20"/>
                <w:lang w:val="en-GB" w:eastAsia="nl-NL"/>
              </w:rPr>
              <w:t>December</w:t>
            </w:r>
            <w:r w:rsidR="00B63017" w:rsidRPr="00040BEC">
              <w:rPr>
                <w:rFonts w:cs="Arial"/>
                <w:szCs w:val="20"/>
                <w:lang w:val="en-GB" w:eastAsia="nl-NL"/>
              </w:rPr>
              <w:t xml:space="preserve"> 2017. Not tradable</w:t>
            </w:r>
          </w:p>
        </w:tc>
      </w:tr>
    </w:tbl>
    <w:p w14:paraId="47674582" w14:textId="77777777" w:rsidR="00B63017" w:rsidRPr="00040BEC" w:rsidRDefault="00B63017" w:rsidP="00B63017">
      <w:pPr>
        <w:suppressAutoHyphens/>
        <w:overflowPunct w:val="0"/>
        <w:autoSpaceDE w:val="0"/>
        <w:autoSpaceDN w:val="0"/>
        <w:adjustRightInd w:val="0"/>
        <w:textAlignment w:val="baseline"/>
        <w:rPr>
          <w:rFonts w:cs="Arial"/>
          <w:b/>
          <w:bCs/>
          <w:szCs w:val="20"/>
          <w:lang w:val="en-GB" w:eastAsia="en-IE"/>
        </w:rPr>
      </w:pPr>
    </w:p>
    <w:p w14:paraId="5FE26DDB" w14:textId="54C1C79D" w:rsidR="00B63017" w:rsidRPr="00040BEC" w:rsidRDefault="00B63017" w:rsidP="00B63017">
      <w:pPr>
        <w:numPr>
          <w:ilvl w:val="0"/>
          <w:numId w:val="17"/>
        </w:numPr>
        <w:suppressAutoHyphens/>
        <w:overflowPunct w:val="0"/>
        <w:autoSpaceDE w:val="0"/>
        <w:autoSpaceDN w:val="0"/>
        <w:adjustRightInd w:val="0"/>
        <w:ind w:left="567" w:hanging="567"/>
        <w:textAlignment w:val="baseline"/>
        <w:rPr>
          <w:rFonts w:cs="Arial"/>
          <w:b/>
          <w:bCs/>
          <w:szCs w:val="20"/>
          <w:lang w:val="en-GB" w:eastAsia="en-IE"/>
        </w:rPr>
      </w:pPr>
      <w:r w:rsidRPr="00040BEC">
        <w:rPr>
          <w:rFonts w:cs="Arial"/>
          <w:b/>
          <w:bCs/>
          <w:szCs w:val="20"/>
          <w:lang w:val="en-GB" w:eastAsia="en-IE"/>
        </w:rPr>
        <w:t>Liechtenstein (March 201</w:t>
      </w:r>
      <w:r w:rsidR="001243CA" w:rsidRPr="00040BEC">
        <w:rPr>
          <w:rFonts w:cs="Arial"/>
          <w:b/>
          <w:bCs/>
          <w:szCs w:val="20"/>
          <w:lang w:val="en-GB" w:eastAsia="en-IE"/>
        </w:rPr>
        <w:t>5</w:t>
      </w:r>
      <w:r w:rsidRPr="00040BEC">
        <w:rPr>
          <w:rFonts w:cs="Arial"/>
          <w:b/>
          <w:bCs/>
          <w:szCs w:val="20"/>
          <w:lang w:val="en-GB" w:eastAsia="en-IE"/>
        </w:rPr>
        <w:t>)</w:t>
      </w:r>
    </w:p>
    <w:p w14:paraId="0C9D5E67" w14:textId="77777777" w:rsidR="00B63017" w:rsidRPr="00040BEC" w:rsidRDefault="00B63017" w:rsidP="00B63017">
      <w:pPr>
        <w:overflowPunct w:val="0"/>
        <w:autoSpaceDE w:val="0"/>
        <w:autoSpaceDN w:val="0"/>
        <w:adjustRightInd w:val="0"/>
        <w:textAlignment w:val="baseline"/>
        <w:rPr>
          <w:rFonts w:cs="Arial"/>
          <w:szCs w:val="20"/>
          <w:lang w:val="en-GB" w:eastAsia="nl-NL"/>
        </w:rPr>
      </w:pPr>
    </w:p>
    <w:p w14:paraId="0C3B41DB" w14:textId="77777777" w:rsidR="00B63017" w:rsidRPr="00040BEC" w:rsidRDefault="00B63017" w:rsidP="00B63017">
      <w:pPr>
        <w:overflowPunct w:val="0"/>
        <w:autoSpaceDE w:val="0"/>
        <w:autoSpaceDN w:val="0"/>
        <w:adjustRightInd w:val="0"/>
        <w:textAlignment w:val="baseline"/>
        <w:rPr>
          <w:rFonts w:cs="Arial"/>
          <w:b/>
          <w:bCs/>
          <w:szCs w:val="20"/>
          <w:lang w:val="en-GB" w:eastAsia="nl-NL"/>
        </w:rPr>
      </w:pPr>
      <w:r w:rsidRPr="00040BEC">
        <w:rPr>
          <w:rFonts w:cs="Arial"/>
          <w:b/>
          <w:bCs/>
          <w:szCs w:val="20"/>
          <w:lang w:val="en-GB" w:eastAsia="nl-NL"/>
        </w:rPr>
        <w:t>1900-1920 MHz / 2010-2025 MHz (unpaired frequency arrangement)</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51"/>
        <w:gridCol w:w="2552"/>
        <w:gridCol w:w="2126"/>
        <w:gridCol w:w="2977"/>
      </w:tblGrid>
      <w:tr w:rsidR="00B63017" w:rsidRPr="00040BEC" w14:paraId="54E00BE1" w14:textId="77777777" w:rsidTr="00DC16AE">
        <w:trPr>
          <w:trHeight w:val="488"/>
        </w:trPr>
        <w:tc>
          <w:tcPr>
            <w:tcW w:w="1951" w:type="dxa"/>
            <w:tcBorders>
              <w:top w:val="single" w:sz="4" w:space="0" w:color="auto"/>
              <w:left w:val="single" w:sz="4" w:space="0" w:color="auto"/>
              <w:bottom w:val="single" w:sz="4" w:space="0" w:color="auto"/>
              <w:right w:val="single" w:sz="4" w:space="0" w:color="auto"/>
            </w:tcBorders>
          </w:tcPr>
          <w:p w14:paraId="585A1705" w14:textId="77777777" w:rsidR="00B63017" w:rsidRPr="00040BEC" w:rsidRDefault="00B63017" w:rsidP="00E72FF9">
            <w:pPr>
              <w:spacing w:before="60" w:after="60"/>
              <w:jc w:val="center"/>
              <w:rPr>
                <w:rFonts w:cs="Arial"/>
                <w:b/>
                <w:bCs/>
                <w:szCs w:val="20"/>
                <w:lang w:val="en-GB"/>
              </w:rPr>
            </w:pPr>
            <w:r w:rsidRPr="00040BEC">
              <w:rPr>
                <w:rFonts w:cs="Arial"/>
                <w:b/>
                <w:bCs/>
                <w:szCs w:val="20"/>
                <w:lang w:val="en-GB"/>
              </w:rPr>
              <w:t>Operator</w:t>
            </w:r>
          </w:p>
        </w:tc>
        <w:tc>
          <w:tcPr>
            <w:tcW w:w="2552" w:type="dxa"/>
            <w:tcBorders>
              <w:top w:val="single" w:sz="4" w:space="0" w:color="auto"/>
              <w:left w:val="single" w:sz="4" w:space="0" w:color="auto"/>
              <w:bottom w:val="single" w:sz="4" w:space="0" w:color="auto"/>
              <w:right w:val="single" w:sz="4" w:space="0" w:color="auto"/>
            </w:tcBorders>
          </w:tcPr>
          <w:p w14:paraId="1331F7F5" w14:textId="77777777" w:rsidR="00B63017" w:rsidRPr="00040BEC" w:rsidRDefault="00B63017" w:rsidP="00E72FF9">
            <w:pPr>
              <w:spacing w:before="60" w:after="60"/>
              <w:jc w:val="center"/>
              <w:rPr>
                <w:rFonts w:cs="Arial"/>
                <w:b/>
                <w:bCs/>
                <w:szCs w:val="20"/>
                <w:lang w:val="en-GB"/>
              </w:rPr>
            </w:pPr>
            <w:r w:rsidRPr="00040BEC">
              <w:rPr>
                <w:rFonts w:cs="Arial"/>
                <w:b/>
                <w:bCs/>
                <w:szCs w:val="20"/>
                <w:lang w:val="en-GB"/>
              </w:rPr>
              <w:t>Frequencies</w:t>
            </w:r>
          </w:p>
        </w:tc>
        <w:tc>
          <w:tcPr>
            <w:tcW w:w="2126" w:type="dxa"/>
            <w:tcBorders>
              <w:top w:val="single" w:sz="4" w:space="0" w:color="auto"/>
              <w:left w:val="single" w:sz="4" w:space="0" w:color="auto"/>
              <w:bottom w:val="single" w:sz="4" w:space="0" w:color="auto"/>
              <w:right w:val="single" w:sz="4" w:space="0" w:color="auto"/>
            </w:tcBorders>
          </w:tcPr>
          <w:p w14:paraId="7F021D02" w14:textId="77777777" w:rsidR="00B63017" w:rsidRPr="00040BEC" w:rsidRDefault="00B63017" w:rsidP="00E72FF9">
            <w:pPr>
              <w:spacing w:before="60" w:after="60"/>
              <w:jc w:val="center"/>
              <w:rPr>
                <w:rFonts w:cs="Arial"/>
                <w:b/>
                <w:bCs/>
                <w:szCs w:val="20"/>
                <w:lang w:val="en-GB"/>
              </w:rPr>
            </w:pPr>
            <w:r w:rsidRPr="00040BEC">
              <w:rPr>
                <w:rFonts w:cs="Arial"/>
                <w:b/>
                <w:bCs/>
                <w:szCs w:val="20"/>
                <w:lang w:val="en-GB"/>
              </w:rPr>
              <w:t>Technology in use (optional)</w:t>
            </w:r>
          </w:p>
        </w:tc>
        <w:tc>
          <w:tcPr>
            <w:tcW w:w="2977" w:type="dxa"/>
            <w:tcBorders>
              <w:top w:val="single" w:sz="4" w:space="0" w:color="auto"/>
              <w:left w:val="single" w:sz="4" w:space="0" w:color="auto"/>
              <w:bottom w:val="single" w:sz="4" w:space="0" w:color="auto"/>
              <w:right w:val="single" w:sz="4" w:space="0" w:color="auto"/>
            </w:tcBorders>
          </w:tcPr>
          <w:p w14:paraId="0F1FDFF9" w14:textId="77777777" w:rsidR="00B63017" w:rsidRPr="00040BEC" w:rsidRDefault="00B63017" w:rsidP="00E72FF9">
            <w:pPr>
              <w:spacing w:before="60" w:after="60"/>
              <w:jc w:val="center"/>
              <w:rPr>
                <w:rFonts w:cs="Arial"/>
                <w:b/>
                <w:bCs/>
                <w:szCs w:val="20"/>
                <w:lang w:val="en-GB"/>
              </w:rPr>
            </w:pPr>
            <w:r w:rsidRPr="00040BEC">
              <w:rPr>
                <w:rFonts w:cs="Arial"/>
                <w:b/>
                <w:bCs/>
                <w:szCs w:val="20"/>
                <w:lang w:val="en-GB"/>
              </w:rPr>
              <w:t>Licence duration, tradability</w:t>
            </w:r>
          </w:p>
        </w:tc>
      </w:tr>
      <w:tr w:rsidR="00B63017" w:rsidRPr="00040BEC" w14:paraId="44DA6FC8" w14:textId="77777777" w:rsidTr="00DC16AE">
        <w:trPr>
          <w:trHeight w:val="715"/>
        </w:trPr>
        <w:tc>
          <w:tcPr>
            <w:tcW w:w="1951" w:type="dxa"/>
            <w:tcBorders>
              <w:top w:val="single" w:sz="4" w:space="0" w:color="auto"/>
              <w:left w:val="single" w:sz="4" w:space="0" w:color="auto"/>
              <w:bottom w:val="single" w:sz="4" w:space="0" w:color="auto"/>
              <w:right w:val="single" w:sz="4" w:space="0" w:color="auto"/>
            </w:tcBorders>
          </w:tcPr>
          <w:p w14:paraId="323487F6" w14:textId="2913C786" w:rsidR="00B63017" w:rsidRPr="00040BEC" w:rsidRDefault="001243CA" w:rsidP="00E72FF9">
            <w:pPr>
              <w:suppressAutoHyphens/>
              <w:ind w:right="-54"/>
              <w:rPr>
                <w:rFonts w:cs="Arial"/>
                <w:szCs w:val="20"/>
                <w:lang w:val="en-GB" w:eastAsia="en-IE"/>
              </w:rPr>
            </w:pPr>
            <w:r w:rsidRPr="00040BEC">
              <w:rPr>
                <w:rFonts w:cs="Arial"/>
                <w:szCs w:val="20"/>
                <w:lang w:val="en-GB" w:eastAsia="en-IE"/>
              </w:rPr>
              <w:t>vacant</w:t>
            </w:r>
          </w:p>
        </w:tc>
        <w:tc>
          <w:tcPr>
            <w:tcW w:w="2552" w:type="dxa"/>
            <w:tcBorders>
              <w:top w:val="single" w:sz="4" w:space="0" w:color="auto"/>
              <w:left w:val="single" w:sz="4" w:space="0" w:color="auto"/>
              <w:bottom w:val="single" w:sz="4" w:space="0" w:color="auto"/>
              <w:right w:val="single" w:sz="4" w:space="0" w:color="auto"/>
            </w:tcBorders>
          </w:tcPr>
          <w:p w14:paraId="486BA039" w14:textId="5B8238ED" w:rsidR="001243CA" w:rsidRPr="00040BEC" w:rsidRDefault="001243CA" w:rsidP="00E72FF9">
            <w:pPr>
              <w:suppressAutoHyphens/>
              <w:rPr>
                <w:rFonts w:cs="Arial"/>
                <w:szCs w:val="20"/>
                <w:lang w:val="en-GB" w:eastAsia="en-IE"/>
              </w:rPr>
            </w:pPr>
            <w:r w:rsidRPr="00040BEC">
              <w:rPr>
                <w:rFonts w:cs="Arial"/>
                <w:szCs w:val="20"/>
                <w:lang w:val="en-GB" w:eastAsia="en-IE"/>
              </w:rPr>
              <w:t>1900</w:t>
            </w:r>
            <w:r w:rsidR="00DC16AE">
              <w:rPr>
                <w:rFonts w:cs="Arial"/>
                <w:szCs w:val="20"/>
                <w:lang w:val="en-GB" w:eastAsia="en-IE"/>
              </w:rPr>
              <w:t xml:space="preserve"> </w:t>
            </w:r>
            <w:r w:rsidRPr="00040BEC">
              <w:rPr>
                <w:rFonts w:cs="Arial"/>
                <w:szCs w:val="20"/>
                <w:lang w:val="en-GB" w:eastAsia="en-IE"/>
              </w:rPr>
              <w:t>-</w:t>
            </w:r>
            <w:r w:rsidR="00DC16AE">
              <w:rPr>
                <w:rFonts w:cs="Arial"/>
                <w:szCs w:val="20"/>
                <w:lang w:val="en-GB" w:eastAsia="en-IE"/>
              </w:rPr>
              <w:t xml:space="preserve"> </w:t>
            </w:r>
            <w:r w:rsidRPr="00040BEC">
              <w:rPr>
                <w:rFonts w:cs="Arial"/>
                <w:szCs w:val="20"/>
                <w:lang w:val="en-GB" w:eastAsia="en-IE"/>
              </w:rPr>
              <w:t>1920 MHz</w:t>
            </w:r>
          </w:p>
          <w:p w14:paraId="2450BE50" w14:textId="6EF8606A" w:rsidR="00B63017" w:rsidRPr="00040BEC" w:rsidRDefault="001243CA" w:rsidP="00E72FF9">
            <w:pPr>
              <w:suppressAutoHyphens/>
              <w:rPr>
                <w:rFonts w:cs="Arial"/>
                <w:szCs w:val="20"/>
                <w:lang w:val="en-GB" w:eastAsia="en-IE"/>
              </w:rPr>
            </w:pPr>
            <w:r w:rsidRPr="00040BEC">
              <w:rPr>
                <w:rFonts w:cs="Arial"/>
                <w:szCs w:val="20"/>
                <w:lang w:val="en-GB" w:eastAsia="en-IE"/>
              </w:rPr>
              <w:t>2010</w:t>
            </w:r>
            <w:r w:rsidR="00DC16AE">
              <w:rPr>
                <w:rFonts w:cs="Arial"/>
                <w:szCs w:val="20"/>
                <w:lang w:val="en-GB" w:eastAsia="en-IE"/>
              </w:rPr>
              <w:t xml:space="preserve"> </w:t>
            </w:r>
            <w:r w:rsidRPr="00040BEC">
              <w:rPr>
                <w:rFonts w:cs="Arial"/>
                <w:szCs w:val="20"/>
                <w:lang w:val="en-GB" w:eastAsia="en-IE"/>
              </w:rPr>
              <w:t>-</w:t>
            </w:r>
            <w:r w:rsidR="00DC16AE">
              <w:rPr>
                <w:rFonts w:cs="Arial"/>
                <w:szCs w:val="20"/>
                <w:lang w:val="en-GB" w:eastAsia="en-IE"/>
              </w:rPr>
              <w:t xml:space="preserve"> </w:t>
            </w:r>
            <w:r w:rsidRPr="00040BEC">
              <w:rPr>
                <w:rFonts w:cs="Arial"/>
                <w:szCs w:val="20"/>
                <w:lang w:val="en-GB" w:eastAsia="en-IE"/>
              </w:rPr>
              <w:t>2025 MHz</w:t>
            </w:r>
          </w:p>
        </w:tc>
        <w:tc>
          <w:tcPr>
            <w:tcW w:w="2126" w:type="dxa"/>
            <w:tcBorders>
              <w:top w:val="single" w:sz="4" w:space="0" w:color="auto"/>
              <w:left w:val="single" w:sz="4" w:space="0" w:color="auto"/>
              <w:bottom w:val="single" w:sz="4" w:space="0" w:color="auto"/>
              <w:right w:val="single" w:sz="4" w:space="0" w:color="auto"/>
            </w:tcBorders>
          </w:tcPr>
          <w:p w14:paraId="48A1C3A7" w14:textId="2BC98168" w:rsidR="00B63017" w:rsidRPr="00040BEC" w:rsidRDefault="00B63017" w:rsidP="00E72FF9">
            <w:pPr>
              <w:suppressAutoHyphens/>
              <w:rPr>
                <w:rFonts w:cs="Arial"/>
                <w:szCs w:val="20"/>
                <w:lang w:val="en-GB" w:eastAsia="en-IE"/>
              </w:rPr>
            </w:pPr>
          </w:p>
        </w:tc>
        <w:tc>
          <w:tcPr>
            <w:tcW w:w="2977" w:type="dxa"/>
            <w:tcBorders>
              <w:top w:val="single" w:sz="4" w:space="0" w:color="auto"/>
              <w:left w:val="single" w:sz="4" w:space="0" w:color="auto"/>
              <w:bottom w:val="single" w:sz="4" w:space="0" w:color="auto"/>
              <w:right w:val="single" w:sz="4" w:space="0" w:color="auto"/>
            </w:tcBorders>
          </w:tcPr>
          <w:p w14:paraId="05A92418" w14:textId="0D612FBC" w:rsidR="00B63017" w:rsidRPr="00040BEC" w:rsidRDefault="00B63017" w:rsidP="00E72FF9">
            <w:pPr>
              <w:spacing w:before="60" w:after="60"/>
              <w:rPr>
                <w:rFonts w:cs="Arial"/>
                <w:szCs w:val="20"/>
                <w:lang w:val="en-GB"/>
              </w:rPr>
            </w:pPr>
          </w:p>
        </w:tc>
      </w:tr>
    </w:tbl>
    <w:p w14:paraId="3CD10874" w14:textId="77777777" w:rsidR="00B63017" w:rsidRPr="00040BEC" w:rsidRDefault="00B63017" w:rsidP="00B63017">
      <w:pPr>
        <w:overflowPunct w:val="0"/>
        <w:autoSpaceDE w:val="0"/>
        <w:autoSpaceDN w:val="0"/>
        <w:adjustRightInd w:val="0"/>
        <w:textAlignment w:val="baseline"/>
        <w:rPr>
          <w:rFonts w:cs="Arial"/>
          <w:b/>
          <w:bCs/>
          <w:szCs w:val="20"/>
          <w:lang w:val="en-GB" w:eastAsia="nl-NL"/>
        </w:rPr>
      </w:pPr>
    </w:p>
    <w:p w14:paraId="3A3E1AD7" w14:textId="77777777" w:rsidR="00B63017" w:rsidRPr="00040BEC" w:rsidRDefault="00B63017" w:rsidP="00B63017">
      <w:pPr>
        <w:keepNext/>
        <w:numPr>
          <w:ilvl w:val="0"/>
          <w:numId w:val="17"/>
        </w:numPr>
        <w:suppressAutoHyphens/>
        <w:overflowPunct w:val="0"/>
        <w:autoSpaceDE w:val="0"/>
        <w:autoSpaceDN w:val="0"/>
        <w:adjustRightInd w:val="0"/>
        <w:ind w:left="567" w:hanging="567"/>
        <w:textAlignment w:val="baseline"/>
        <w:rPr>
          <w:rFonts w:cs="Arial"/>
          <w:b/>
          <w:bCs/>
          <w:szCs w:val="20"/>
          <w:lang w:val="en-GB" w:eastAsia="en-IE"/>
        </w:rPr>
      </w:pPr>
      <w:r w:rsidRPr="00040BEC">
        <w:rPr>
          <w:rFonts w:cs="Arial"/>
          <w:b/>
          <w:bCs/>
          <w:szCs w:val="20"/>
          <w:lang w:val="en-GB" w:eastAsia="en-IE"/>
        </w:rPr>
        <w:t>Lithuania (January 2013)</w:t>
      </w:r>
    </w:p>
    <w:p w14:paraId="7B9875A1" w14:textId="77777777" w:rsidR="00B63017" w:rsidRPr="00040BEC" w:rsidRDefault="00B63017" w:rsidP="00B63017">
      <w:pPr>
        <w:keepNext/>
        <w:suppressAutoHyphens/>
        <w:rPr>
          <w:rFonts w:cs="Arial"/>
          <w:szCs w:val="20"/>
          <w:lang w:val="en-GB" w:eastAsia="en-IE"/>
        </w:rPr>
      </w:pPr>
    </w:p>
    <w:p w14:paraId="22E5A54A" w14:textId="77777777" w:rsidR="00B63017" w:rsidRPr="00040BEC" w:rsidRDefault="00B63017" w:rsidP="00B63017">
      <w:pPr>
        <w:keepNext/>
        <w:overflowPunct w:val="0"/>
        <w:autoSpaceDE w:val="0"/>
        <w:autoSpaceDN w:val="0"/>
        <w:adjustRightInd w:val="0"/>
        <w:textAlignment w:val="baseline"/>
        <w:rPr>
          <w:rFonts w:cs="Arial"/>
          <w:b/>
          <w:szCs w:val="20"/>
          <w:lang w:val="en-GB" w:eastAsia="nl-NL"/>
        </w:rPr>
      </w:pPr>
      <w:r w:rsidRPr="00040BEC">
        <w:rPr>
          <w:rFonts w:cs="Arial"/>
          <w:b/>
          <w:szCs w:val="20"/>
          <w:lang w:val="en-GB" w:eastAsia="nl-NL"/>
        </w:rPr>
        <w:t>1900-1920 MHz / 2010-2025 MHz (unpaired frequency arrangement)</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60"/>
        <w:gridCol w:w="1843"/>
        <w:gridCol w:w="2126"/>
        <w:gridCol w:w="2977"/>
      </w:tblGrid>
      <w:tr w:rsidR="00B63017" w:rsidRPr="00040BEC" w14:paraId="3FCC04BF" w14:textId="77777777" w:rsidTr="00E72FF9">
        <w:trPr>
          <w:trHeight w:val="435"/>
        </w:trPr>
        <w:tc>
          <w:tcPr>
            <w:tcW w:w="2660" w:type="dxa"/>
            <w:vAlign w:val="center"/>
          </w:tcPr>
          <w:p w14:paraId="5F02CED7"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Operator</w:t>
            </w:r>
          </w:p>
        </w:tc>
        <w:tc>
          <w:tcPr>
            <w:tcW w:w="1843" w:type="dxa"/>
            <w:vAlign w:val="center"/>
          </w:tcPr>
          <w:p w14:paraId="09C5E879"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Frequencies</w:t>
            </w:r>
          </w:p>
        </w:tc>
        <w:tc>
          <w:tcPr>
            <w:tcW w:w="2126" w:type="dxa"/>
            <w:vAlign w:val="center"/>
          </w:tcPr>
          <w:p w14:paraId="08741FAF"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Technology in use (optional)</w:t>
            </w:r>
          </w:p>
        </w:tc>
        <w:tc>
          <w:tcPr>
            <w:tcW w:w="2977" w:type="dxa"/>
            <w:vAlign w:val="center"/>
          </w:tcPr>
          <w:p w14:paraId="69F0391D"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Licence duration, tradability</w:t>
            </w:r>
          </w:p>
        </w:tc>
      </w:tr>
      <w:tr w:rsidR="00B63017" w:rsidRPr="00040BEC" w14:paraId="53313C63" w14:textId="77777777" w:rsidTr="00E72FF9">
        <w:trPr>
          <w:trHeight w:val="390"/>
        </w:trPr>
        <w:tc>
          <w:tcPr>
            <w:tcW w:w="9606" w:type="dxa"/>
            <w:gridSpan w:val="4"/>
          </w:tcPr>
          <w:p w14:paraId="10DEECDB" w14:textId="77777777" w:rsidR="00B63017" w:rsidRPr="00040BEC" w:rsidRDefault="00B63017" w:rsidP="00E72FF9">
            <w:pPr>
              <w:overflowPunct w:val="0"/>
              <w:autoSpaceDE w:val="0"/>
              <w:autoSpaceDN w:val="0"/>
              <w:adjustRightInd w:val="0"/>
              <w:jc w:val="center"/>
              <w:textAlignment w:val="baseline"/>
              <w:rPr>
                <w:rFonts w:cs="Arial"/>
                <w:b/>
                <w:strike/>
                <w:szCs w:val="20"/>
                <w:lang w:val="en-GB" w:eastAsia="nl-NL"/>
              </w:rPr>
            </w:pPr>
            <w:r w:rsidRPr="00040BEC">
              <w:rPr>
                <w:rFonts w:cs="Arial"/>
                <w:b/>
                <w:szCs w:val="20"/>
                <w:lang w:val="en-GB" w:eastAsia="nl-NL"/>
              </w:rPr>
              <w:t xml:space="preserve">1900-1920 MHz / 2010-2025 MHz radio frequency bands are reserved. Permits </w:t>
            </w:r>
            <w:proofErr w:type="gramStart"/>
            <w:r w:rsidRPr="00040BEC">
              <w:rPr>
                <w:rFonts w:cs="Arial"/>
                <w:b/>
                <w:szCs w:val="20"/>
                <w:lang w:val="en-GB" w:eastAsia="nl-NL"/>
              </w:rPr>
              <w:t>are not issued</w:t>
            </w:r>
            <w:proofErr w:type="gramEnd"/>
            <w:r w:rsidRPr="00040BEC">
              <w:rPr>
                <w:rFonts w:cs="Arial"/>
                <w:b/>
                <w:szCs w:val="20"/>
                <w:lang w:val="en-GB" w:eastAsia="nl-NL"/>
              </w:rPr>
              <w:t>.</w:t>
            </w:r>
          </w:p>
        </w:tc>
      </w:tr>
    </w:tbl>
    <w:p w14:paraId="22E68FF6" w14:textId="77777777" w:rsidR="000C6788" w:rsidRPr="00040BEC" w:rsidRDefault="000C6788" w:rsidP="00B63017">
      <w:pPr>
        <w:overflowPunct w:val="0"/>
        <w:autoSpaceDE w:val="0"/>
        <w:autoSpaceDN w:val="0"/>
        <w:adjustRightInd w:val="0"/>
        <w:textAlignment w:val="baseline"/>
        <w:rPr>
          <w:rFonts w:cs="Arial"/>
          <w:b/>
          <w:szCs w:val="20"/>
          <w:lang w:val="en-GB" w:eastAsia="nl-NL"/>
        </w:rPr>
      </w:pPr>
    </w:p>
    <w:p w14:paraId="3F60DD2C" w14:textId="77777777" w:rsidR="00B63017" w:rsidRPr="00040BEC" w:rsidRDefault="00B63017" w:rsidP="00B63017">
      <w:pPr>
        <w:keepNext/>
        <w:numPr>
          <w:ilvl w:val="0"/>
          <w:numId w:val="17"/>
        </w:numPr>
        <w:suppressAutoHyphens/>
        <w:overflowPunct w:val="0"/>
        <w:autoSpaceDE w:val="0"/>
        <w:autoSpaceDN w:val="0"/>
        <w:adjustRightInd w:val="0"/>
        <w:ind w:left="567" w:hanging="567"/>
        <w:textAlignment w:val="baseline"/>
        <w:rPr>
          <w:rFonts w:cs="Arial"/>
          <w:b/>
          <w:bCs/>
          <w:szCs w:val="20"/>
          <w:lang w:val="en-GB" w:eastAsia="en-IE"/>
        </w:rPr>
      </w:pPr>
      <w:r w:rsidRPr="00040BEC">
        <w:rPr>
          <w:rFonts w:cs="Arial"/>
          <w:b/>
          <w:bCs/>
          <w:szCs w:val="20"/>
          <w:lang w:val="en-GB" w:eastAsia="en-IE"/>
        </w:rPr>
        <w:t>Luxembourg (March 2013)</w:t>
      </w:r>
    </w:p>
    <w:p w14:paraId="0211A925" w14:textId="77777777" w:rsidR="00B63017" w:rsidRPr="00040BEC" w:rsidRDefault="00B63017" w:rsidP="00B63017">
      <w:pPr>
        <w:keepNext/>
        <w:overflowPunct w:val="0"/>
        <w:autoSpaceDE w:val="0"/>
        <w:autoSpaceDN w:val="0"/>
        <w:adjustRightInd w:val="0"/>
        <w:textAlignment w:val="baseline"/>
        <w:rPr>
          <w:rFonts w:cs="Arial"/>
          <w:szCs w:val="20"/>
          <w:lang w:val="en-GB" w:eastAsia="nl-NL"/>
        </w:rPr>
      </w:pPr>
    </w:p>
    <w:p w14:paraId="7A92A0D8" w14:textId="77777777" w:rsidR="00B63017" w:rsidRPr="00040BEC" w:rsidRDefault="00B63017" w:rsidP="00B63017">
      <w:pPr>
        <w:keepNext/>
        <w:overflowPunct w:val="0"/>
        <w:autoSpaceDE w:val="0"/>
        <w:autoSpaceDN w:val="0"/>
        <w:adjustRightInd w:val="0"/>
        <w:textAlignment w:val="baseline"/>
        <w:rPr>
          <w:rFonts w:cs="Arial"/>
          <w:b/>
          <w:szCs w:val="20"/>
          <w:lang w:val="en-GB" w:eastAsia="nl-NL"/>
        </w:rPr>
      </w:pPr>
      <w:r w:rsidRPr="00040BEC">
        <w:rPr>
          <w:rFonts w:cs="Arial"/>
          <w:b/>
          <w:szCs w:val="20"/>
          <w:lang w:val="en-GB" w:eastAsia="nl-NL"/>
        </w:rPr>
        <w:t>1900-1920 MHz / 2010-2025 MHz (unpaired frequency arrangement)</w:t>
      </w:r>
    </w:p>
    <w:tbl>
      <w:tblPr>
        <w:tblW w:w="944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41"/>
        <w:gridCol w:w="2262"/>
        <w:gridCol w:w="2126"/>
        <w:gridCol w:w="2812"/>
      </w:tblGrid>
      <w:tr w:rsidR="00B63017" w:rsidRPr="00040BEC" w14:paraId="785BC0A5" w14:textId="77777777" w:rsidTr="00DC16AE">
        <w:trPr>
          <w:trHeight w:val="435"/>
        </w:trPr>
        <w:tc>
          <w:tcPr>
            <w:tcW w:w="2241" w:type="dxa"/>
            <w:vAlign w:val="center"/>
          </w:tcPr>
          <w:p w14:paraId="66316558" w14:textId="77777777" w:rsidR="00B63017" w:rsidRPr="00040BEC" w:rsidRDefault="00B63017" w:rsidP="00E72FF9">
            <w:pPr>
              <w:keepNext/>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Operator</w:t>
            </w:r>
          </w:p>
        </w:tc>
        <w:tc>
          <w:tcPr>
            <w:tcW w:w="2262" w:type="dxa"/>
            <w:vAlign w:val="center"/>
          </w:tcPr>
          <w:p w14:paraId="1009E0E0" w14:textId="77777777" w:rsidR="00B63017" w:rsidRPr="00040BEC" w:rsidRDefault="00B63017" w:rsidP="00E72FF9">
            <w:pPr>
              <w:keepNext/>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Frequencies</w:t>
            </w:r>
          </w:p>
        </w:tc>
        <w:tc>
          <w:tcPr>
            <w:tcW w:w="2126" w:type="dxa"/>
            <w:vAlign w:val="center"/>
          </w:tcPr>
          <w:p w14:paraId="6604A72C" w14:textId="77777777" w:rsidR="00B63017" w:rsidRPr="00040BEC" w:rsidRDefault="00B63017" w:rsidP="00E72FF9">
            <w:pPr>
              <w:keepNext/>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Technology in use (optional)</w:t>
            </w:r>
          </w:p>
        </w:tc>
        <w:tc>
          <w:tcPr>
            <w:tcW w:w="2812" w:type="dxa"/>
            <w:vAlign w:val="center"/>
          </w:tcPr>
          <w:p w14:paraId="5B8E2CDB" w14:textId="77777777" w:rsidR="00B63017" w:rsidRPr="00040BEC" w:rsidRDefault="00B63017" w:rsidP="00E72FF9">
            <w:pPr>
              <w:keepNext/>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Licence duration, tradability</w:t>
            </w:r>
          </w:p>
        </w:tc>
      </w:tr>
      <w:tr w:rsidR="00C94636" w:rsidRPr="00040BEC" w14:paraId="2772AE88" w14:textId="77777777" w:rsidTr="00DC16AE">
        <w:trPr>
          <w:trHeight w:val="331"/>
        </w:trPr>
        <w:tc>
          <w:tcPr>
            <w:tcW w:w="2241" w:type="dxa"/>
          </w:tcPr>
          <w:p w14:paraId="3E8D56CE" w14:textId="3A71F0C0" w:rsidR="00C94636" w:rsidRPr="00040BEC" w:rsidDel="00C94636" w:rsidRDefault="00C94636"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Not assigned</w:t>
            </w:r>
          </w:p>
        </w:tc>
        <w:tc>
          <w:tcPr>
            <w:tcW w:w="2262" w:type="dxa"/>
          </w:tcPr>
          <w:p w14:paraId="4F48001E" w14:textId="4B27D192" w:rsidR="00C94636" w:rsidRPr="00040BEC" w:rsidDel="00C94636" w:rsidRDefault="00DC16AE" w:rsidP="00C94636">
            <w:pPr>
              <w:overflowPunct w:val="0"/>
              <w:autoSpaceDE w:val="0"/>
              <w:autoSpaceDN w:val="0"/>
              <w:adjustRightInd w:val="0"/>
              <w:textAlignment w:val="baseline"/>
              <w:rPr>
                <w:rFonts w:cs="Arial"/>
                <w:bCs/>
                <w:color w:val="000000"/>
                <w:szCs w:val="20"/>
                <w:lang w:val="en-GB" w:eastAsia="nl-NL"/>
              </w:rPr>
            </w:pPr>
            <w:r>
              <w:rPr>
                <w:rFonts w:cs="Arial"/>
                <w:szCs w:val="20"/>
                <w:lang w:val="en-GB" w:eastAsia="nl-NL"/>
              </w:rPr>
              <w:t>1900 -</w:t>
            </w:r>
            <w:r w:rsidR="00C94636" w:rsidRPr="00040BEC">
              <w:rPr>
                <w:rFonts w:cs="Arial"/>
                <w:szCs w:val="20"/>
                <w:lang w:val="en-GB" w:eastAsia="nl-NL"/>
              </w:rPr>
              <w:t xml:space="preserve"> 1920 MHz</w:t>
            </w:r>
          </w:p>
        </w:tc>
        <w:tc>
          <w:tcPr>
            <w:tcW w:w="2126" w:type="dxa"/>
          </w:tcPr>
          <w:p w14:paraId="18394C3A" w14:textId="77777777" w:rsidR="00C94636" w:rsidRPr="00040BEC" w:rsidDel="00C94636" w:rsidRDefault="00C94636" w:rsidP="00E72FF9">
            <w:pPr>
              <w:overflowPunct w:val="0"/>
              <w:autoSpaceDE w:val="0"/>
              <w:autoSpaceDN w:val="0"/>
              <w:adjustRightInd w:val="0"/>
              <w:textAlignment w:val="baseline"/>
              <w:rPr>
                <w:rFonts w:cs="Arial"/>
                <w:szCs w:val="20"/>
                <w:lang w:val="en-GB" w:eastAsia="nl-NL"/>
              </w:rPr>
            </w:pPr>
          </w:p>
        </w:tc>
        <w:tc>
          <w:tcPr>
            <w:tcW w:w="2812" w:type="dxa"/>
          </w:tcPr>
          <w:p w14:paraId="692E11ED" w14:textId="4228D4B0" w:rsidR="00C94636" w:rsidRPr="00040BEC" w:rsidDel="00C94636" w:rsidRDefault="00C94636" w:rsidP="00C94636">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Former UTRA TDD licence recently returned in 2013</w:t>
            </w:r>
          </w:p>
        </w:tc>
      </w:tr>
    </w:tbl>
    <w:p w14:paraId="6FD9211B" w14:textId="501EE078" w:rsidR="00DC16AE" w:rsidRDefault="00DC16AE" w:rsidP="00B63017">
      <w:pPr>
        <w:overflowPunct w:val="0"/>
        <w:autoSpaceDE w:val="0"/>
        <w:autoSpaceDN w:val="0"/>
        <w:adjustRightInd w:val="0"/>
        <w:textAlignment w:val="baseline"/>
        <w:rPr>
          <w:rFonts w:cs="Arial"/>
          <w:b/>
          <w:szCs w:val="20"/>
          <w:lang w:val="en-GB" w:eastAsia="nl-NL"/>
        </w:rPr>
      </w:pPr>
    </w:p>
    <w:p w14:paraId="4B964A30" w14:textId="77777777" w:rsidR="00DC16AE" w:rsidRDefault="00DC16AE">
      <w:pPr>
        <w:rPr>
          <w:rFonts w:cs="Arial"/>
          <w:b/>
          <w:szCs w:val="20"/>
          <w:lang w:val="en-GB" w:eastAsia="nl-NL"/>
        </w:rPr>
      </w:pPr>
      <w:r>
        <w:rPr>
          <w:rFonts w:cs="Arial"/>
          <w:b/>
          <w:szCs w:val="20"/>
          <w:lang w:val="en-GB" w:eastAsia="nl-NL"/>
        </w:rPr>
        <w:br w:type="page"/>
      </w:r>
    </w:p>
    <w:p w14:paraId="77D7EC03" w14:textId="77777777" w:rsidR="00B63017" w:rsidRPr="00040BEC" w:rsidRDefault="00B63017" w:rsidP="00B63017">
      <w:pPr>
        <w:numPr>
          <w:ilvl w:val="0"/>
          <w:numId w:val="17"/>
        </w:numPr>
        <w:suppressAutoHyphens/>
        <w:overflowPunct w:val="0"/>
        <w:autoSpaceDE w:val="0"/>
        <w:autoSpaceDN w:val="0"/>
        <w:adjustRightInd w:val="0"/>
        <w:ind w:left="567" w:hanging="567"/>
        <w:textAlignment w:val="baseline"/>
        <w:rPr>
          <w:rFonts w:cs="Arial"/>
          <w:b/>
          <w:bCs/>
          <w:szCs w:val="20"/>
          <w:lang w:val="en-GB" w:eastAsia="en-IE"/>
        </w:rPr>
      </w:pPr>
      <w:r w:rsidRPr="00040BEC">
        <w:rPr>
          <w:rFonts w:cs="Arial"/>
          <w:b/>
          <w:bCs/>
          <w:szCs w:val="20"/>
          <w:lang w:val="en-GB" w:eastAsia="en-IE"/>
        </w:rPr>
        <w:lastRenderedPageBreak/>
        <w:t>Former Yugoslav Republic of Macedonia (</w:t>
      </w:r>
      <w:r w:rsidR="001D6DC5" w:rsidRPr="00040BEC">
        <w:rPr>
          <w:rFonts w:cs="Arial"/>
          <w:b/>
          <w:bCs/>
          <w:szCs w:val="20"/>
          <w:lang w:val="en-GB" w:eastAsia="en-IE"/>
        </w:rPr>
        <w:t>April 2014</w:t>
      </w:r>
      <w:r w:rsidRPr="00040BEC">
        <w:rPr>
          <w:rFonts w:cs="Arial"/>
          <w:b/>
          <w:bCs/>
          <w:szCs w:val="20"/>
          <w:lang w:val="en-GB" w:eastAsia="en-IE"/>
        </w:rPr>
        <w:t>)</w:t>
      </w:r>
    </w:p>
    <w:p w14:paraId="31861BD0" w14:textId="77777777" w:rsidR="00B63017" w:rsidRPr="00040BEC" w:rsidRDefault="00B63017" w:rsidP="00B63017">
      <w:pPr>
        <w:suppressAutoHyphens/>
        <w:rPr>
          <w:rFonts w:cs="Arial"/>
          <w:szCs w:val="20"/>
          <w:lang w:val="en-GB" w:eastAsia="en-IE"/>
        </w:rPr>
      </w:pPr>
    </w:p>
    <w:p w14:paraId="00E5C39F" w14:textId="77777777" w:rsidR="00B63017" w:rsidRPr="00040BEC" w:rsidRDefault="00B63017" w:rsidP="00B63017">
      <w:pPr>
        <w:overflowPunct w:val="0"/>
        <w:autoSpaceDE w:val="0"/>
        <w:autoSpaceDN w:val="0"/>
        <w:adjustRightInd w:val="0"/>
        <w:textAlignment w:val="baseline"/>
        <w:rPr>
          <w:rFonts w:cs="Arial"/>
          <w:b/>
          <w:szCs w:val="20"/>
          <w:lang w:val="en-GB" w:eastAsia="nl-NL"/>
        </w:rPr>
      </w:pPr>
      <w:r w:rsidRPr="00040BEC">
        <w:rPr>
          <w:rFonts w:cs="Arial"/>
          <w:b/>
          <w:szCs w:val="20"/>
          <w:lang w:val="en-GB" w:eastAsia="nl-NL"/>
        </w:rPr>
        <w:t>1900-1920 MHz / 2010-2025 MHz (unpaired frequency arrangement)</w:t>
      </w: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84"/>
        <w:gridCol w:w="1985"/>
        <w:gridCol w:w="3118"/>
        <w:gridCol w:w="2977"/>
      </w:tblGrid>
      <w:tr w:rsidR="00B63017" w:rsidRPr="00040BEC" w14:paraId="44DBBF99" w14:textId="77777777" w:rsidTr="00E72FF9">
        <w:trPr>
          <w:trHeight w:val="435"/>
        </w:trPr>
        <w:tc>
          <w:tcPr>
            <w:tcW w:w="1384" w:type="dxa"/>
            <w:vAlign w:val="center"/>
          </w:tcPr>
          <w:p w14:paraId="098E6210"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Operator</w:t>
            </w:r>
          </w:p>
        </w:tc>
        <w:tc>
          <w:tcPr>
            <w:tcW w:w="1985" w:type="dxa"/>
            <w:vAlign w:val="center"/>
          </w:tcPr>
          <w:p w14:paraId="3654B53D"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Frequencies</w:t>
            </w:r>
          </w:p>
        </w:tc>
        <w:tc>
          <w:tcPr>
            <w:tcW w:w="3118" w:type="dxa"/>
            <w:vAlign w:val="center"/>
          </w:tcPr>
          <w:p w14:paraId="6AB9B7B1"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Technology in use (optional)</w:t>
            </w:r>
          </w:p>
        </w:tc>
        <w:tc>
          <w:tcPr>
            <w:tcW w:w="2977" w:type="dxa"/>
            <w:vAlign w:val="center"/>
          </w:tcPr>
          <w:p w14:paraId="71C8F13E"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Licence duration, tradability</w:t>
            </w:r>
          </w:p>
        </w:tc>
      </w:tr>
      <w:tr w:rsidR="00B63017" w:rsidRPr="00040BEC" w14:paraId="5FBBF3B2" w14:textId="77777777" w:rsidTr="00E72FF9">
        <w:trPr>
          <w:trHeight w:val="390"/>
        </w:trPr>
        <w:tc>
          <w:tcPr>
            <w:tcW w:w="1384" w:type="dxa"/>
          </w:tcPr>
          <w:p w14:paraId="3D5235F6" w14:textId="77777777" w:rsidR="00B63017" w:rsidRPr="00040BEC" w:rsidRDefault="001D6DC5" w:rsidP="001D6DC5">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Not assigned</w:t>
            </w:r>
          </w:p>
        </w:tc>
        <w:tc>
          <w:tcPr>
            <w:tcW w:w="1985" w:type="dxa"/>
          </w:tcPr>
          <w:p w14:paraId="15ECEEFE" w14:textId="79EAC6EE" w:rsidR="00B63017" w:rsidRPr="00040BEC" w:rsidRDefault="00DC16AE" w:rsidP="00E72FF9">
            <w:pPr>
              <w:overflowPunct w:val="0"/>
              <w:autoSpaceDE w:val="0"/>
              <w:autoSpaceDN w:val="0"/>
              <w:adjustRightInd w:val="0"/>
              <w:textAlignment w:val="baseline"/>
              <w:rPr>
                <w:rFonts w:cs="Arial"/>
                <w:szCs w:val="20"/>
                <w:lang w:val="en-GB" w:eastAsia="nl-NL"/>
              </w:rPr>
            </w:pPr>
            <w:r>
              <w:rPr>
                <w:rFonts w:cs="Arial"/>
                <w:szCs w:val="20"/>
                <w:lang w:val="en-GB" w:eastAsia="nl-NL"/>
              </w:rPr>
              <w:t>1910 -</w:t>
            </w:r>
            <w:r w:rsidR="00B63017" w:rsidRPr="00040BEC">
              <w:rPr>
                <w:rFonts w:cs="Arial"/>
                <w:szCs w:val="20"/>
                <w:lang w:val="en-GB" w:eastAsia="nl-NL"/>
              </w:rPr>
              <w:t xml:space="preserve"> 1915 MHz</w:t>
            </w:r>
          </w:p>
        </w:tc>
        <w:tc>
          <w:tcPr>
            <w:tcW w:w="3118" w:type="dxa"/>
          </w:tcPr>
          <w:p w14:paraId="3D994AD5" w14:textId="77777777" w:rsidR="00B63017" w:rsidRPr="00040BEC" w:rsidRDefault="00B63017" w:rsidP="00E72FF9">
            <w:pPr>
              <w:overflowPunct w:val="0"/>
              <w:autoSpaceDE w:val="0"/>
              <w:autoSpaceDN w:val="0"/>
              <w:adjustRightInd w:val="0"/>
              <w:textAlignment w:val="baseline"/>
              <w:rPr>
                <w:rFonts w:cs="Arial"/>
                <w:szCs w:val="20"/>
                <w:lang w:val="en-GB" w:eastAsia="nl-NL"/>
              </w:rPr>
            </w:pPr>
          </w:p>
        </w:tc>
        <w:tc>
          <w:tcPr>
            <w:tcW w:w="2977" w:type="dxa"/>
          </w:tcPr>
          <w:p w14:paraId="3CD8AEF0" w14:textId="77777777" w:rsidR="00B63017" w:rsidRPr="00040BEC" w:rsidRDefault="001D6DC5" w:rsidP="001D6DC5">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Former UTRA TDD licence recently returned in 2014</w:t>
            </w:r>
          </w:p>
        </w:tc>
      </w:tr>
    </w:tbl>
    <w:p w14:paraId="4880CA95" w14:textId="77777777" w:rsidR="00B63017" w:rsidRPr="00040BEC" w:rsidRDefault="00B63017" w:rsidP="00B63017">
      <w:pPr>
        <w:overflowPunct w:val="0"/>
        <w:autoSpaceDE w:val="0"/>
        <w:autoSpaceDN w:val="0"/>
        <w:adjustRightInd w:val="0"/>
        <w:textAlignment w:val="baseline"/>
        <w:rPr>
          <w:rFonts w:cs="Arial"/>
          <w:b/>
          <w:szCs w:val="20"/>
          <w:lang w:val="en-GB" w:eastAsia="nl-NL"/>
        </w:rPr>
      </w:pPr>
    </w:p>
    <w:p w14:paraId="0FE88495" w14:textId="77777777" w:rsidR="00B63017" w:rsidRPr="00040BEC" w:rsidRDefault="00B63017" w:rsidP="00B63017">
      <w:pPr>
        <w:numPr>
          <w:ilvl w:val="0"/>
          <w:numId w:val="17"/>
        </w:numPr>
        <w:suppressAutoHyphens/>
        <w:overflowPunct w:val="0"/>
        <w:autoSpaceDE w:val="0"/>
        <w:autoSpaceDN w:val="0"/>
        <w:adjustRightInd w:val="0"/>
        <w:ind w:left="567" w:hanging="567"/>
        <w:textAlignment w:val="baseline"/>
        <w:rPr>
          <w:rFonts w:cs="Arial"/>
          <w:b/>
          <w:bCs/>
          <w:szCs w:val="20"/>
          <w:lang w:val="en-GB" w:eastAsia="en-IE"/>
        </w:rPr>
      </w:pPr>
      <w:r w:rsidRPr="00040BEC">
        <w:rPr>
          <w:rFonts w:cs="Arial"/>
          <w:b/>
          <w:bCs/>
          <w:szCs w:val="20"/>
          <w:lang w:val="en-GB" w:eastAsia="en-IE"/>
        </w:rPr>
        <w:t>Malta (March 201</w:t>
      </w:r>
      <w:r w:rsidR="00BA61C3" w:rsidRPr="00040BEC">
        <w:rPr>
          <w:rFonts w:cs="Arial"/>
          <w:b/>
          <w:bCs/>
          <w:szCs w:val="20"/>
          <w:lang w:val="en-GB" w:eastAsia="en-IE"/>
        </w:rPr>
        <w:t>4</w:t>
      </w:r>
      <w:r w:rsidRPr="00040BEC">
        <w:rPr>
          <w:rFonts w:cs="Arial"/>
          <w:b/>
          <w:bCs/>
          <w:szCs w:val="20"/>
          <w:lang w:val="en-GB" w:eastAsia="en-IE"/>
        </w:rPr>
        <w:t>)</w:t>
      </w:r>
    </w:p>
    <w:p w14:paraId="6633026C" w14:textId="77777777" w:rsidR="00B63017" w:rsidRPr="00040BEC" w:rsidRDefault="00B63017" w:rsidP="00B63017">
      <w:pPr>
        <w:overflowPunct w:val="0"/>
        <w:autoSpaceDE w:val="0"/>
        <w:autoSpaceDN w:val="0"/>
        <w:adjustRightInd w:val="0"/>
        <w:textAlignment w:val="baseline"/>
        <w:rPr>
          <w:rFonts w:cs="Arial"/>
          <w:szCs w:val="20"/>
          <w:lang w:val="en-GB" w:eastAsia="nl-NL"/>
        </w:rPr>
      </w:pPr>
    </w:p>
    <w:p w14:paraId="4DF0CF36" w14:textId="77777777" w:rsidR="00B63017" w:rsidRPr="00040BEC" w:rsidRDefault="00B63017" w:rsidP="00B63017">
      <w:pPr>
        <w:overflowPunct w:val="0"/>
        <w:autoSpaceDE w:val="0"/>
        <w:autoSpaceDN w:val="0"/>
        <w:adjustRightInd w:val="0"/>
        <w:textAlignment w:val="baseline"/>
        <w:rPr>
          <w:rFonts w:cs="Arial"/>
          <w:b/>
          <w:szCs w:val="20"/>
          <w:lang w:val="en-GB" w:eastAsia="nl-NL"/>
        </w:rPr>
      </w:pPr>
      <w:r w:rsidRPr="00040BEC">
        <w:rPr>
          <w:rFonts w:cs="Arial"/>
          <w:b/>
          <w:szCs w:val="20"/>
          <w:lang w:val="en-GB" w:eastAsia="nl-NL"/>
        </w:rPr>
        <w:t>1900-1920 MHz / 2010-2025 MHz (paired frequency arrangement)</w:t>
      </w: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18"/>
        <w:gridCol w:w="2126"/>
        <w:gridCol w:w="1843"/>
        <w:gridCol w:w="2977"/>
      </w:tblGrid>
      <w:tr w:rsidR="00B63017" w:rsidRPr="00040BEC" w14:paraId="0F28982F" w14:textId="77777777" w:rsidTr="00E72FF9">
        <w:trPr>
          <w:trHeight w:val="435"/>
        </w:trPr>
        <w:tc>
          <w:tcPr>
            <w:tcW w:w="2518" w:type="dxa"/>
            <w:vAlign w:val="center"/>
          </w:tcPr>
          <w:p w14:paraId="2A4A2CA0"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Operator</w:t>
            </w:r>
          </w:p>
        </w:tc>
        <w:tc>
          <w:tcPr>
            <w:tcW w:w="2126" w:type="dxa"/>
            <w:vAlign w:val="center"/>
          </w:tcPr>
          <w:p w14:paraId="7A9EC013"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Frequencies</w:t>
            </w:r>
          </w:p>
        </w:tc>
        <w:tc>
          <w:tcPr>
            <w:tcW w:w="1843" w:type="dxa"/>
            <w:vAlign w:val="center"/>
          </w:tcPr>
          <w:p w14:paraId="373BA3D2"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Technology in use (optional)</w:t>
            </w:r>
          </w:p>
        </w:tc>
        <w:tc>
          <w:tcPr>
            <w:tcW w:w="2977" w:type="dxa"/>
            <w:vAlign w:val="center"/>
          </w:tcPr>
          <w:p w14:paraId="06088024"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Licence duration, tradability</w:t>
            </w:r>
          </w:p>
        </w:tc>
      </w:tr>
      <w:tr w:rsidR="00B63017" w:rsidRPr="00040BEC" w14:paraId="251B8D58" w14:textId="77777777" w:rsidTr="00E72FF9">
        <w:trPr>
          <w:trHeight w:val="552"/>
        </w:trPr>
        <w:tc>
          <w:tcPr>
            <w:tcW w:w="2518" w:type="dxa"/>
          </w:tcPr>
          <w:p w14:paraId="2362F1E8"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Vodafone Malta Ltd.</w:t>
            </w:r>
          </w:p>
        </w:tc>
        <w:tc>
          <w:tcPr>
            <w:tcW w:w="2126" w:type="dxa"/>
          </w:tcPr>
          <w:p w14:paraId="25E718EA" w14:textId="7DC435CB"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1909.9</w:t>
            </w:r>
            <w:r w:rsidR="00DC16AE">
              <w:rPr>
                <w:rFonts w:cs="Arial"/>
                <w:szCs w:val="20"/>
                <w:lang w:val="en-GB" w:eastAsia="nl-NL"/>
              </w:rPr>
              <w:t xml:space="preserve"> </w:t>
            </w:r>
            <w:r w:rsidRPr="00040BEC">
              <w:rPr>
                <w:rFonts w:cs="Arial"/>
                <w:szCs w:val="20"/>
                <w:lang w:val="en-GB" w:eastAsia="nl-NL"/>
              </w:rPr>
              <w:t>-</w:t>
            </w:r>
            <w:r w:rsidR="00DC16AE">
              <w:rPr>
                <w:rFonts w:cs="Arial"/>
                <w:szCs w:val="20"/>
                <w:lang w:val="en-GB" w:eastAsia="nl-NL"/>
              </w:rPr>
              <w:t xml:space="preserve"> </w:t>
            </w:r>
            <w:r w:rsidRPr="00040BEC">
              <w:rPr>
                <w:rFonts w:cs="Arial"/>
                <w:szCs w:val="20"/>
                <w:lang w:val="en-GB" w:eastAsia="nl-NL"/>
              </w:rPr>
              <w:t>1914.9 MHz</w:t>
            </w:r>
          </w:p>
        </w:tc>
        <w:tc>
          <w:tcPr>
            <w:tcW w:w="1843" w:type="dxa"/>
          </w:tcPr>
          <w:p w14:paraId="2DB3955C"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UTRA TDD</w:t>
            </w:r>
          </w:p>
        </w:tc>
        <w:tc>
          <w:tcPr>
            <w:tcW w:w="2977" w:type="dxa"/>
          </w:tcPr>
          <w:p w14:paraId="5D75C7C8"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Aug. 05 – Aug. 20,</w:t>
            </w:r>
          </w:p>
          <w:p w14:paraId="0A7E29F0"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not tradable</w:t>
            </w:r>
          </w:p>
        </w:tc>
      </w:tr>
      <w:tr w:rsidR="00B63017" w:rsidRPr="00040BEC" w14:paraId="525354F3" w14:textId="77777777" w:rsidTr="00E72FF9">
        <w:trPr>
          <w:trHeight w:val="449"/>
        </w:trPr>
        <w:tc>
          <w:tcPr>
            <w:tcW w:w="2518" w:type="dxa"/>
          </w:tcPr>
          <w:p w14:paraId="2D0A2271" w14:textId="77777777" w:rsidR="00B63017" w:rsidRPr="00040BEC" w:rsidRDefault="00B63017" w:rsidP="00E72FF9">
            <w:pPr>
              <w:overflowPunct w:val="0"/>
              <w:autoSpaceDE w:val="0"/>
              <w:autoSpaceDN w:val="0"/>
              <w:adjustRightInd w:val="0"/>
              <w:textAlignment w:val="baseline"/>
              <w:rPr>
                <w:rFonts w:cs="Arial"/>
                <w:szCs w:val="20"/>
                <w:lang w:val="en-GB" w:eastAsia="nl-NL"/>
              </w:rPr>
            </w:pPr>
            <w:proofErr w:type="spellStart"/>
            <w:r w:rsidRPr="00040BEC">
              <w:rPr>
                <w:rFonts w:cs="Arial"/>
                <w:szCs w:val="20"/>
                <w:lang w:val="en-GB" w:eastAsia="nl-NL"/>
              </w:rPr>
              <w:t>Mobisle</w:t>
            </w:r>
            <w:proofErr w:type="spellEnd"/>
            <w:r w:rsidRPr="00040BEC">
              <w:rPr>
                <w:rFonts w:cs="Arial"/>
                <w:szCs w:val="20"/>
                <w:lang w:val="en-GB" w:eastAsia="nl-NL"/>
              </w:rPr>
              <w:t xml:space="preserve"> Communications Ltd.</w:t>
            </w:r>
          </w:p>
        </w:tc>
        <w:tc>
          <w:tcPr>
            <w:tcW w:w="2126" w:type="dxa"/>
          </w:tcPr>
          <w:p w14:paraId="78D808BD" w14:textId="0FC8A64F"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1914.9</w:t>
            </w:r>
            <w:r w:rsidR="00DC16AE">
              <w:rPr>
                <w:rFonts w:cs="Arial"/>
                <w:szCs w:val="20"/>
                <w:lang w:val="en-GB" w:eastAsia="nl-NL"/>
              </w:rPr>
              <w:t xml:space="preserve"> </w:t>
            </w:r>
            <w:r w:rsidRPr="00040BEC">
              <w:rPr>
                <w:rFonts w:cs="Arial"/>
                <w:szCs w:val="20"/>
                <w:lang w:val="en-GB" w:eastAsia="nl-NL"/>
              </w:rPr>
              <w:t>-</w:t>
            </w:r>
            <w:r w:rsidR="00DC16AE">
              <w:rPr>
                <w:rFonts w:cs="Arial"/>
                <w:szCs w:val="20"/>
                <w:lang w:val="en-GB" w:eastAsia="nl-NL"/>
              </w:rPr>
              <w:t xml:space="preserve"> </w:t>
            </w:r>
            <w:r w:rsidRPr="00040BEC">
              <w:rPr>
                <w:rFonts w:cs="Arial"/>
                <w:szCs w:val="20"/>
                <w:lang w:val="en-GB" w:eastAsia="nl-NL"/>
              </w:rPr>
              <w:t>1919.9 MHz</w:t>
            </w:r>
          </w:p>
        </w:tc>
        <w:tc>
          <w:tcPr>
            <w:tcW w:w="1843" w:type="dxa"/>
          </w:tcPr>
          <w:p w14:paraId="12D423A3"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UTRA TDD</w:t>
            </w:r>
          </w:p>
        </w:tc>
        <w:tc>
          <w:tcPr>
            <w:tcW w:w="2977" w:type="dxa"/>
          </w:tcPr>
          <w:p w14:paraId="6F67EA1F"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Aug. 05 – Aug. 20,</w:t>
            </w:r>
          </w:p>
          <w:p w14:paraId="008D932A"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not tradable</w:t>
            </w:r>
          </w:p>
        </w:tc>
      </w:tr>
      <w:tr w:rsidR="00B63017" w:rsidRPr="00040BEC" w14:paraId="67454C76" w14:textId="77777777" w:rsidTr="00E72FF9">
        <w:trPr>
          <w:trHeight w:val="449"/>
        </w:trPr>
        <w:tc>
          <w:tcPr>
            <w:tcW w:w="2518" w:type="dxa"/>
          </w:tcPr>
          <w:p w14:paraId="61EECBF0" w14:textId="77777777" w:rsidR="00B63017" w:rsidRPr="00040BEC" w:rsidRDefault="00B63017" w:rsidP="00E72FF9">
            <w:pPr>
              <w:overflowPunct w:val="0"/>
              <w:autoSpaceDE w:val="0"/>
              <w:autoSpaceDN w:val="0"/>
              <w:adjustRightInd w:val="0"/>
              <w:textAlignment w:val="baseline"/>
              <w:rPr>
                <w:rFonts w:cs="Arial"/>
                <w:szCs w:val="20"/>
                <w:lang w:val="en-GB" w:eastAsia="nl-NL"/>
              </w:rPr>
            </w:pPr>
            <w:proofErr w:type="spellStart"/>
            <w:r w:rsidRPr="00040BEC">
              <w:rPr>
                <w:rFonts w:cs="Arial"/>
                <w:szCs w:val="20"/>
                <w:lang w:val="en-GB" w:eastAsia="nl-NL"/>
              </w:rPr>
              <w:t>Melita</w:t>
            </w:r>
            <w:proofErr w:type="spellEnd"/>
            <w:r w:rsidRPr="00040BEC">
              <w:rPr>
                <w:rFonts w:cs="Arial"/>
                <w:szCs w:val="20"/>
                <w:lang w:val="en-GB" w:eastAsia="nl-NL"/>
              </w:rPr>
              <w:t xml:space="preserve"> Mobile Ltd.</w:t>
            </w:r>
          </w:p>
        </w:tc>
        <w:tc>
          <w:tcPr>
            <w:tcW w:w="2126" w:type="dxa"/>
          </w:tcPr>
          <w:p w14:paraId="21129D71" w14:textId="78138DB5"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1904.9</w:t>
            </w:r>
            <w:r w:rsidR="00DC16AE">
              <w:rPr>
                <w:rFonts w:cs="Arial"/>
                <w:szCs w:val="20"/>
                <w:lang w:val="en-GB" w:eastAsia="nl-NL"/>
              </w:rPr>
              <w:t xml:space="preserve"> </w:t>
            </w:r>
            <w:r w:rsidRPr="00040BEC">
              <w:rPr>
                <w:rFonts w:cs="Arial"/>
                <w:szCs w:val="20"/>
                <w:lang w:val="en-GB" w:eastAsia="nl-NL"/>
              </w:rPr>
              <w:t>-</w:t>
            </w:r>
            <w:r w:rsidR="00DC16AE">
              <w:rPr>
                <w:rFonts w:cs="Arial"/>
                <w:szCs w:val="20"/>
                <w:lang w:val="en-GB" w:eastAsia="nl-NL"/>
              </w:rPr>
              <w:t xml:space="preserve"> </w:t>
            </w:r>
            <w:r w:rsidRPr="00040BEC">
              <w:rPr>
                <w:rFonts w:cs="Arial"/>
                <w:szCs w:val="20"/>
                <w:lang w:val="en-GB" w:eastAsia="nl-NL"/>
              </w:rPr>
              <w:t>1909.9 MHz</w:t>
            </w:r>
          </w:p>
        </w:tc>
        <w:tc>
          <w:tcPr>
            <w:tcW w:w="1843" w:type="dxa"/>
          </w:tcPr>
          <w:p w14:paraId="622EB710"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UTRA TDD</w:t>
            </w:r>
          </w:p>
        </w:tc>
        <w:tc>
          <w:tcPr>
            <w:tcW w:w="2977" w:type="dxa"/>
          </w:tcPr>
          <w:p w14:paraId="3531D7CD"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Aug. 07 – Aug. 22,</w:t>
            </w:r>
          </w:p>
          <w:p w14:paraId="54309808"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not tradable</w:t>
            </w:r>
          </w:p>
        </w:tc>
      </w:tr>
    </w:tbl>
    <w:p w14:paraId="689337BC" w14:textId="77777777" w:rsidR="00B63017" w:rsidRPr="00040BEC" w:rsidRDefault="00B63017" w:rsidP="00B63017">
      <w:pPr>
        <w:overflowPunct w:val="0"/>
        <w:autoSpaceDE w:val="0"/>
        <w:autoSpaceDN w:val="0"/>
        <w:adjustRightInd w:val="0"/>
        <w:textAlignment w:val="baseline"/>
        <w:rPr>
          <w:rFonts w:cs="Arial"/>
          <w:b/>
          <w:szCs w:val="20"/>
          <w:lang w:val="en-GB" w:eastAsia="nl-NL"/>
        </w:rPr>
      </w:pPr>
    </w:p>
    <w:p w14:paraId="72CE2493" w14:textId="77777777" w:rsidR="00B63017" w:rsidRPr="00040BEC" w:rsidRDefault="00B63017" w:rsidP="00B63017">
      <w:pPr>
        <w:numPr>
          <w:ilvl w:val="0"/>
          <w:numId w:val="17"/>
        </w:numPr>
        <w:suppressAutoHyphens/>
        <w:overflowPunct w:val="0"/>
        <w:autoSpaceDE w:val="0"/>
        <w:autoSpaceDN w:val="0"/>
        <w:adjustRightInd w:val="0"/>
        <w:ind w:left="567" w:hanging="567"/>
        <w:textAlignment w:val="baseline"/>
        <w:rPr>
          <w:rFonts w:cs="Arial"/>
          <w:b/>
          <w:bCs/>
          <w:szCs w:val="20"/>
          <w:lang w:val="en-GB" w:eastAsia="en-IE"/>
        </w:rPr>
      </w:pPr>
      <w:r w:rsidRPr="00040BEC">
        <w:rPr>
          <w:rFonts w:cs="Arial"/>
          <w:b/>
          <w:bCs/>
          <w:szCs w:val="20"/>
          <w:lang w:val="en-GB" w:eastAsia="en-IE"/>
        </w:rPr>
        <w:t>Moldova (February 2011)</w:t>
      </w:r>
    </w:p>
    <w:p w14:paraId="695E1037" w14:textId="77777777" w:rsidR="00B63017" w:rsidRPr="00040BEC" w:rsidRDefault="00B63017" w:rsidP="00B63017">
      <w:pPr>
        <w:overflowPunct w:val="0"/>
        <w:autoSpaceDE w:val="0"/>
        <w:autoSpaceDN w:val="0"/>
        <w:adjustRightInd w:val="0"/>
        <w:textAlignment w:val="baseline"/>
        <w:rPr>
          <w:rFonts w:cs="Arial"/>
          <w:szCs w:val="20"/>
          <w:lang w:val="en-GB" w:eastAsia="nl-NL"/>
        </w:rPr>
      </w:pPr>
    </w:p>
    <w:p w14:paraId="58A0EEB6" w14:textId="77777777" w:rsidR="00B63017" w:rsidRPr="00040BEC" w:rsidRDefault="00B63017" w:rsidP="00B63017">
      <w:pPr>
        <w:overflowPunct w:val="0"/>
        <w:autoSpaceDE w:val="0"/>
        <w:autoSpaceDN w:val="0"/>
        <w:adjustRightInd w:val="0"/>
        <w:textAlignment w:val="baseline"/>
        <w:rPr>
          <w:rFonts w:cs="Arial"/>
          <w:b/>
          <w:szCs w:val="20"/>
          <w:lang w:val="en-GB" w:eastAsia="nl-NL"/>
        </w:rPr>
      </w:pPr>
      <w:r w:rsidRPr="00040BEC">
        <w:rPr>
          <w:rFonts w:cs="Arial"/>
          <w:b/>
          <w:szCs w:val="20"/>
          <w:lang w:val="en-GB" w:eastAsia="nl-NL"/>
        </w:rPr>
        <w:t>1900-1920 MHz and 2010-2025 MHz (unpaired frequency arrangement)</w:t>
      </w: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09"/>
        <w:gridCol w:w="2694"/>
        <w:gridCol w:w="1984"/>
        <w:gridCol w:w="2977"/>
      </w:tblGrid>
      <w:tr w:rsidR="00B63017" w:rsidRPr="00040BEC" w14:paraId="7C0CD5CF" w14:textId="77777777" w:rsidTr="00E72FF9">
        <w:trPr>
          <w:trHeight w:val="435"/>
        </w:trPr>
        <w:tc>
          <w:tcPr>
            <w:tcW w:w="1809" w:type="dxa"/>
            <w:vAlign w:val="center"/>
          </w:tcPr>
          <w:p w14:paraId="30F2A910"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Operator</w:t>
            </w:r>
          </w:p>
        </w:tc>
        <w:tc>
          <w:tcPr>
            <w:tcW w:w="2694" w:type="dxa"/>
            <w:vAlign w:val="center"/>
          </w:tcPr>
          <w:p w14:paraId="684CA8B2"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Frequency band licensed</w:t>
            </w:r>
          </w:p>
        </w:tc>
        <w:tc>
          <w:tcPr>
            <w:tcW w:w="1984" w:type="dxa"/>
            <w:vAlign w:val="center"/>
          </w:tcPr>
          <w:p w14:paraId="5FF0A55B"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Technology in use (optional)</w:t>
            </w:r>
          </w:p>
        </w:tc>
        <w:tc>
          <w:tcPr>
            <w:tcW w:w="2977" w:type="dxa"/>
            <w:vAlign w:val="center"/>
          </w:tcPr>
          <w:p w14:paraId="2E047518"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Licence duration, tradability</w:t>
            </w:r>
          </w:p>
        </w:tc>
      </w:tr>
      <w:tr w:rsidR="00B63017" w:rsidRPr="00040BEC" w14:paraId="73B8DB42" w14:textId="77777777" w:rsidTr="00E72FF9">
        <w:trPr>
          <w:trHeight w:val="448"/>
        </w:trPr>
        <w:tc>
          <w:tcPr>
            <w:tcW w:w="1809" w:type="dxa"/>
            <w:vAlign w:val="center"/>
          </w:tcPr>
          <w:p w14:paraId="137359F7" w14:textId="77777777" w:rsidR="00B63017" w:rsidRPr="00040BEC" w:rsidRDefault="00B63017" w:rsidP="00E72FF9">
            <w:pPr>
              <w:overflowPunct w:val="0"/>
              <w:autoSpaceDE w:val="0"/>
              <w:autoSpaceDN w:val="0"/>
              <w:adjustRightInd w:val="0"/>
              <w:textAlignment w:val="baseline"/>
              <w:rPr>
                <w:rFonts w:cs="Arial"/>
                <w:bCs/>
                <w:szCs w:val="20"/>
                <w:lang w:val="en-GB" w:eastAsia="nl-NL"/>
              </w:rPr>
            </w:pPr>
            <w:r w:rsidRPr="00040BEC">
              <w:rPr>
                <w:rFonts w:cs="Arial"/>
                <w:bCs/>
                <w:szCs w:val="20"/>
                <w:lang w:val="en-GB" w:eastAsia="nl-NL"/>
              </w:rPr>
              <w:t>Orange Moldova</w:t>
            </w:r>
          </w:p>
        </w:tc>
        <w:tc>
          <w:tcPr>
            <w:tcW w:w="2694" w:type="dxa"/>
            <w:vAlign w:val="center"/>
          </w:tcPr>
          <w:p w14:paraId="4B4F24A2" w14:textId="552DD3A2" w:rsidR="00B63017" w:rsidRPr="00040BEC" w:rsidRDefault="00B63017" w:rsidP="00E72FF9">
            <w:pPr>
              <w:overflowPunct w:val="0"/>
              <w:autoSpaceDE w:val="0"/>
              <w:autoSpaceDN w:val="0"/>
              <w:adjustRightInd w:val="0"/>
              <w:textAlignment w:val="baseline"/>
              <w:rPr>
                <w:rFonts w:cs="Arial"/>
                <w:bCs/>
                <w:szCs w:val="20"/>
                <w:lang w:val="en-GB" w:eastAsia="nl-NL"/>
              </w:rPr>
            </w:pPr>
            <w:r w:rsidRPr="00040BEC">
              <w:rPr>
                <w:rFonts w:cs="Arial"/>
                <w:szCs w:val="20"/>
                <w:lang w:val="en-GB" w:eastAsia="nl-NL"/>
              </w:rPr>
              <w:t>1899.9</w:t>
            </w:r>
            <w:r w:rsidR="00DC16AE">
              <w:rPr>
                <w:rFonts w:cs="Arial"/>
                <w:szCs w:val="20"/>
                <w:lang w:val="en-GB" w:eastAsia="nl-NL"/>
              </w:rPr>
              <w:t xml:space="preserve"> </w:t>
            </w:r>
            <w:r w:rsidRPr="00040BEC">
              <w:rPr>
                <w:rFonts w:cs="Arial"/>
                <w:szCs w:val="20"/>
                <w:lang w:val="en-GB" w:eastAsia="nl-NL"/>
              </w:rPr>
              <w:t>-</w:t>
            </w:r>
            <w:r w:rsidR="00DC16AE">
              <w:rPr>
                <w:rFonts w:cs="Arial"/>
                <w:szCs w:val="20"/>
                <w:lang w:val="en-GB" w:eastAsia="nl-NL"/>
              </w:rPr>
              <w:t xml:space="preserve"> </w:t>
            </w:r>
            <w:r w:rsidRPr="00040BEC">
              <w:rPr>
                <w:rFonts w:cs="Arial"/>
                <w:szCs w:val="20"/>
                <w:lang w:val="en-GB" w:eastAsia="nl-NL"/>
              </w:rPr>
              <w:t>1904.9  MHz</w:t>
            </w:r>
            <w:r w:rsidRPr="00040BEC">
              <w:rPr>
                <w:rFonts w:cs="Arial"/>
                <w:bCs/>
                <w:szCs w:val="20"/>
                <w:lang w:val="en-GB" w:eastAsia="nl-NL"/>
              </w:rPr>
              <w:t xml:space="preserve"> </w:t>
            </w:r>
          </w:p>
        </w:tc>
        <w:tc>
          <w:tcPr>
            <w:tcW w:w="1984" w:type="dxa"/>
            <w:vAlign w:val="center"/>
          </w:tcPr>
          <w:p w14:paraId="363D34C4" w14:textId="77777777" w:rsidR="00B63017" w:rsidRPr="00040BEC" w:rsidRDefault="00B63017" w:rsidP="00E72FF9">
            <w:pPr>
              <w:overflowPunct w:val="0"/>
              <w:autoSpaceDE w:val="0"/>
              <w:autoSpaceDN w:val="0"/>
              <w:adjustRightInd w:val="0"/>
              <w:textAlignment w:val="baseline"/>
              <w:rPr>
                <w:rFonts w:cs="Arial"/>
                <w:bCs/>
                <w:szCs w:val="20"/>
                <w:lang w:val="en-GB" w:eastAsia="nl-NL"/>
              </w:rPr>
            </w:pPr>
            <w:r w:rsidRPr="00040BEC">
              <w:rPr>
                <w:rFonts w:cs="Arial"/>
                <w:bCs/>
                <w:szCs w:val="20"/>
                <w:lang w:val="en-GB" w:eastAsia="nl-NL"/>
              </w:rPr>
              <w:t>UMTS TDD</w:t>
            </w:r>
          </w:p>
        </w:tc>
        <w:tc>
          <w:tcPr>
            <w:tcW w:w="2977" w:type="dxa"/>
            <w:vAlign w:val="center"/>
          </w:tcPr>
          <w:p w14:paraId="651E1BD7" w14:textId="77777777" w:rsidR="00B63017" w:rsidRPr="00040BEC" w:rsidRDefault="00B63017" w:rsidP="00E72FF9">
            <w:pPr>
              <w:overflowPunct w:val="0"/>
              <w:autoSpaceDE w:val="0"/>
              <w:autoSpaceDN w:val="0"/>
              <w:adjustRightInd w:val="0"/>
              <w:textAlignment w:val="baseline"/>
              <w:rPr>
                <w:rFonts w:cs="Arial"/>
                <w:bCs/>
                <w:szCs w:val="20"/>
                <w:lang w:val="en-GB" w:eastAsia="nl-NL"/>
              </w:rPr>
            </w:pPr>
            <w:r w:rsidRPr="00040BEC">
              <w:rPr>
                <w:rFonts w:cs="Arial"/>
                <w:szCs w:val="20"/>
                <w:lang w:val="en-GB" w:eastAsia="nl-NL"/>
              </w:rPr>
              <w:t>August-2008 – August-2023,</w:t>
            </w:r>
          </w:p>
          <w:p w14:paraId="4F1F02BD" w14:textId="77777777" w:rsidR="00B63017" w:rsidRPr="00040BEC" w:rsidRDefault="00B63017" w:rsidP="00E72FF9">
            <w:pPr>
              <w:overflowPunct w:val="0"/>
              <w:autoSpaceDE w:val="0"/>
              <w:autoSpaceDN w:val="0"/>
              <w:adjustRightInd w:val="0"/>
              <w:textAlignment w:val="baseline"/>
              <w:rPr>
                <w:rFonts w:cs="Arial"/>
                <w:bCs/>
                <w:szCs w:val="20"/>
                <w:lang w:val="en-GB" w:eastAsia="nl-NL"/>
              </w:rPr>
            </w:pPr>
            <w:r w:rsidRPr="00040BEC">
              <w:rPr>
                <w:rFonts w:cs="Arial"/>
                <w:bCs/>
                <w:szCs w:val="20"/>
                <w:lang w:val="en-GB" w:eastAsia="nl-NL"/>
              </w:rPr>
              <w:t xml:space="preserve">non-tradable </w:t>
            </w:r>
          </w:p>
        </w:tc>
      </w:tr>
      <w:tr w:rsidR="00B63017" w:rsidRPr="00040BEC" w14:paraId="5680F393" w14:textId="77777777" w:rsidTr="00E72FF9">
        <w:trPr>
          <w:trHeight w:val="448"/>
        </w:trPr>
        <w:tc>
          <w:tcPr>
            <w:tcW w:w="1809" w:type="dxa"/>
            <w:vAlign w:val="center"/>
          </w:tcPr>
          <w:p w14:paraId="15C06193" w14:textId="77777777" w:rsidR="00B63017" w:rsidRPr="00040BEC" w:rsidRDefault="00B63017" w:rsidP="00E72FF9">
            <w:pPr>
              <w:overflowPunct w:val="0"/>
              <w:autoSpaceDE w:val="0"/>
              <w:autoSpaceDN w:val="0"/>
              <w:adjustRightInd w:val="0"/>
              <w:textAlignment w:val="baseline"/>
              <w:rPr>
                <w:rFonts w:cs="Arial"/>
                <w:bCs/>
                <w:szCs w:val="20"/>
                <w:lang w:val="en-GB" w:eastAsia="nl-NL"/>
              </w:rPr>
            </w:pPr>
            <w:proofErr w:type="spellStart"/>
            <w:r w:rsidRPr="00040BEC">
              <w:rPr>
                <w:rFonts w:cs="Arial"/>
                <w:bCs/>
                <w:szCs w:val="20"/>
                <w:lang w:val="en-GB" w:eastAsia="nl-NL"/>
              </w:rPr>
              <w:t>Moldcell</w:t>
            </w:r>
            <w:proofErr w:type="spellEnd"/>
          </w:p>
        </w:tc>
        <w:tc>
          <w:tcPr>
            <w:tcW w:w="2694" w:type="dxa"/>
            <w:vAlign w:val="center"/>
          </w:tcPr>
          <w:p w14:paraId="106BFBC7" w14:textId="1C4E0CAD" w:rsidR="00B63017" w:rsidRPr="00040BEC" w:rsidRDefault="00B63017" w:rsidP="00E72FF9">
            <w:pPr>
              <w:overflowPunct w:val="0"/>
              <w:autoSpaceDE w:val="0"/>
              <w:autoSpaceDN w:val="0"/>
              <w:adjustRightInd w:val="0"/>
              <w:textAlignment w:val="baseline"/>
              <w:rPr>
                <w:rFonts w:cs="Arial"/>
                <w:bCs/>
                <w:szCs w:val="20"/>
                <w:lang w:val="en-GB" w:eastAsia="nl-NL"/>
              </w:rPr>
            </w:pPr>
            <w:r w:rsidRPr="00040BEC">
              <w:rPr>
                <w:rFonts w:cs="Arial"/>
                <w:szCs w:val="20"/>
                <w:lang w:val="en-GB" w:eastAsia="nl-NL"/>
              </w:rPr>
              <w:t>1914.9</w:t>
            </w:r>
            <w:r w:rsidR="00DC16AE">
              <w:rPr>
                <w:rFonts w:cs="Arial"/>
                <w:szCs w:val="20"/>
                <w:lang w:val="en-GB" w:eastAsia="nl-NL"/>
              </w:rPr>
              <w:t xml:space="preserve"> </w:t>
            </w:r>
            <w:r w:rsidRPr="00040BEC">
              <w:rPr>
                <w:rFonts w:cs="Arial"/>
                <w:szCs w:val="20"/>
                <w:lang w:val="en-GB" w:eastAsia="nl-NL"/>
              </w:rPr>
              <w:t>-</w:t>
            </w:r>
            <w:r w:rsidR="00DC16AE">
              <w:rPr>
                <w:rFonts w:cs="Arial"/>
                <w:szCs w:val="20"/>
                <w:lang w:val="en-GB" w:eastAsia="nl-NL"/>
              </w:rPr>
              <w:t xml:space="preserve"> </w:t>
            </w:r>
            <w:r w:rsidRPr="00040BEC">
              <w:rPr>
                <w:rFonts w:cs="Arial"/>
                <w:szCs w:val="20"/>
                <w:lang w:val="en-GB" w:eastAsia="nl-NL"/>
              </w:rPr>
              <w:t>1919.9  MHz</w:t>
            </w:r>
            <w:r w:rsidRPr="00040BEC">
              <w:rPr>
                <w:rFonts w:cs="Arial"/>
                <w:bCs/>
                <w:szCs w:val="20"/>
                <w:lang w:val="en-GB" w:eastAsia="nl-NL"/>
              </w:rPr>
              <w:t xml:space="preserve"> </w:t>
            </w:r>
          </w:p>
        </w:tc>
        <w:tc>
          <w:tcPr>
            <w:tcW w:w="1984" w:type="dxa"/>
            <w:vAlign w:val="center"/>
          </w:tcPr>
          <w:p w14:paraId="19A6BDB0" w14:textId="77777777" w:rsidR="00B63017" w:rsidRPr="00040BEC" w:rsidRDefault="00B63017" w:rsidP="00E72FF9">
            <w:pPr>
              <w:overflowPunct w:val="0"/>
              <w:autoSpaceDE w:val="0"/>
              <w:autoSpaceDN w:val="0"/>
              <w:adjustRightInd w:val="0"/>
              <w:textAlignment w:val="baseline"/>
              <w:rPr>
                <w:rFonts w:cs="Arial"/>
                <w:bCs/>
                <w:szCs w:val="20"/>
                <w:lang w:val="en-GB" w:eastAsia="nl-NL"/>
              </w:rPr>
            </w:pPr>
            <w:r w:rsidRPr="00040BEC">
              <w:rPr>
                <w:rFonts w:cs="Arial"/>
                <w:bCs/>
                <w:szCs w:val="20"/>
                <w:lang w:val="en-GB" w:eastAsia="nl-NL"/>
              </w:rPr>
              <w:t>UMTS TDD</w:t>
            </w:r>
          </w:p>
        </w:tc>
        <w:tc>
          <w:tcPr>
            <w:tcW w:w="2977" w:type="dxa"/>
            <w:vAlign w:val="center"/>
          </w:tcPr>
          <w:p w14:paraId="2CC7CBDA" w14:textId="77777777" w:rsidR="00B63017" w:rsidRPr="00040BEC" w:rsidRDefault="00B63017" w:rsidP="00E72FF9">
            <w:pPr>
              <w:overflowPunct w:val="0"/>
              <w:autoSpaceDE w:val="0"/>
              <w:autoSpaceDN w:val="0"/>
              <w:adjustRightInd w:val="0"/>
              <w:textAlignment w:val="baseline"/>
              <w:rPr>
                <w:rFonts w:cs="Arial"/>
                <w:bCs/>
                <w:szCs w:val="20"/>
                <w:lang w:val="en-GB" w:eastAsia="nl-NL"/>
              </w:rPr>
            </w:pPr>
            <w:r w:rsidRPr="00040BEC">
              <w:rPr>
                <w:rFonts w:cs="Arial"/>
                <w:szCs w:val="20"/>
                <w:lang w:val="en-GB" w:eastAsia="nl-NL"/>
              </w:rPr>
              <w:t>August-2008 – August-2023,</w:t>
            </w:r>
          </w:p>
          <w:p w14:paraId="07E4258B" w14:textId="77777777" w:rsidR="00B63017" w:rsidRPr="00040BEC" w:rsidRDefault="00B63017" w:rsidP="00E72FF9">
            <w:pPr>
              <w:overflowPunct w:val="0"/>
              <w:autoSpaceDE w:val="0"/>
              <w:autoSpaceDN w:val="0"/>
              <w:adjustRightInd w:val="0"/>
              <w:textAlignment w:val="baseline"/>
              <w:rPr>
                <w:rFonts w:cs="Arial"/>
                <w:bCs/>
                <w:szCs w:val="20"/>
                <w:lang w:val="en-GB" w:eastAsia="nl-NL"/>
              </w:rPr>
            </w:pPr>
            <w:r w:rsidRPr="00040BEC">
              <w:rPr>
                <w:rFonts w:cs="Arial"/>
                <w:bCs/>
                <w:szCs w:val="20"/>
                <w:lang w:val="en-GB" w:eastAsia="nl-NL"/>
              </w:rPr>
              <w:t xml:space="preserve">non-tradable </w:t>
            </w:r>
          </w:p>
        </w:tc>
      </w:tr>
      <w:tr w:rsidR="00B63017" w:rsidRPr="00040BEC" w14:paraId="103C9D72" w14:textId="77777777" w:rsidTr="00E72FF9">
        <w:trPr>
          <w:trHeight w:val="448"/>
        </w:trPr>
        <w:tc>
          <w:tcPr>
            <w:tcW w:w="1809" w:type="dxa"/>
            <w:vAlign w:val="center"/>
          </w:tcPr>
          <w:p w14:paraId="2C0D4371" w14:textId="77777777" w:rsidR="00B63017" w:rsidRPr="00040BEC" w:rsidRDefault="00B63017" w:rsidP="00E72FF9">
            <w:pPr>
              <w:overflowPunct w:val="0"/>
              <w:autoSpaceDE w:val="0"/>
              <w:autoSpaceDN w:val="0"/>
              <w:adjustRightInd w:val="0"/>
              <w:textAlignment w:val="baseline"/>
              <w:rPr>
                <w:rFonts w:cs="Arial"/>
                <w:bCs/>
                <w:szCs w:val="20"/>
                <w:lang w:val="en-GB" w:eastAsia="nl-NL"/>
              </w:rPr>
            </w:pPr>
            <w:proofErr w:type="spellStart"/>
            <w:r w:rsidRPr="00040BEC">
              <w:rPr>
                <w:rFonts w:cs="Arial"/>
                <w:bCs/>
                <w:szCs w:val="20"/>
                <w:lang w:val="en-GB" w:eastAsia="nl-NL"/>
              </w:rPr>
              <w:t>Moldtelecom</w:t>
            </w:r>
            <w:proofErr w:type="spellEnd"/>
          </w:p>
        </w:tc>
        <w:tc>
          <w:tcPr>
            <w:tcW w:w="2694" w:type="dxa"/>
            <w:vAlign w:val="center"/>
          </w:tcPr>
          <w:p w14:paraId="13E11541" w14:textId="0046EADB" w:rsidR="00B63017" w:rsidRPr="00040BEC" w:rsidRDefault="00B63017" w:rsidP="00E72FF9">
            <w:pPr>
              <w:overflowPunct w:val="0"/>
              <w:autoSpaceDE w:val="0"/>
              <w:autoSpaceDN w:val="0"/>
              <w:adjustRightInd w:val="0"/>
              <w:textAlignment w:val="baseline"/>
              <w:rPr>
                <w:rFonts w:cs="Arial"/>
                <w:bCs/>
                <w:szCs w:val="20"/>
                <w:lang w:val="en-GB" w:eastAsia="nl-NL"/>
              </w:rPr>
            </w:pPr>
            <w:r w:rsidRPr="00040BEC">
              <w:rPr>
                <w:rFonts w:cs="Arial"/>
                <w:szCs w:val="20"/>
                <w:lang w:val="en-GB" w:eastAsia="nl-NL"/>
              </w:rPr>
              <w:t>1904.9</w:t>
            </w:r>
            <w:r w:rsidR="00DC16AE">
              <w:rPr>
                <w:rFonts w:cs="Arial"/>
                <w:szCs w:val="20"/>
                <w:lang w:val="en-GB" w:eastAsia="nl-NL"/>
              </w:rPr>
              <w:t xml:space="preserve"> </w:t>
            </w:r>
            <w:r w:rsidRPr="00040BEC">
              <w:rPr>
                <w:rFonts w:cs="Arial"/>
                <w:szCs w:val="20"/>
                <w:lang w:val="en-GB" w:eastAsia="nl-NL"/>
              </w:rPr>
              <w:t>-</w:t>
            </w:r>
            <w:r w:rsidR="00DC16AE">
              <w:rPr>
                <w:rFonts w:cs="Arial"/>
                <w:szCs w:val="20"/>
                <w:lang w:val="en-GB" w:eastAsia="nl-NL"/>
              </w:rPr>
              <w:t xml:space="preserve"> </w:t>
            </w:r>
            <w:r w:rsidRPr="00040BEC">
              <w:rPr>
                <w:rFonts w:cs="Arial"/>
                <w:szCs w:val="20"/>
                <w:lang w:val="en-GB" w:eastAsia="nl-NL"/>
              </w:rPr>
              <w:t>1909.9  MHz</w:t>
            </w:r>
            <w:r w:rsidRPr="00040BEC">
              <w:rPr>
                <w:rFonts w:cs="Arial"/>
                <w:bCs/>
                <w:szCs w:val="20"/>
                <w:lang w:val="en-GB" w:eastAsia="nl-NL"/>
              </w:rPr>
              <w:t xml:space="preserve"> </w:t>
            </w:r>
          </w:p>
        </w:tc>
        <w:tc>
          <w:tcPr>
            <w:tcW w:w="1984" w:type="dxa"/>
            <w:vAlign w:val="center"/>
          </w:tcPr>
          <w:p w14:paraId="3CF911DD" w14:textId="77777777" w:rsidR="00B63017" w:rsidRPr="00040BEC" w:rsidRDefault="00B63017" w:rsidP="00E72FF9">
            <w:pPr>
              <w:overflowPunct w:val="0"/>
              <w:autoSpaceDE w:val="0"/>
              <w:autoSpaceDN w:val="0"/>
              <w:adjustRightInd w:val="0"/>
              <w:textAlignment w:val="baseline"/>
              <w:rPr>
                <w:rFonts w:cs="Arial"/>
                <w:bCs/>
                <w:szCs w:val="20"/>
                <w:lang w:val="en-GB" w:eastAsia="nl-NL"/>
              </w:rPr>
            </w:pPr>
            <w:r w:rsidRPr="00040BEC">
              <w:rPr>
                <w:rFonts w:cs="Arial"/>
                <w:bCs/>
                <w:szCs w:val="20"/>
                <w:lang w:val="en-GB" w:eastAsia="nl-NL"/>
              </w:rPr>
              <w:t>UMTS TDD</w:t>
            </w:r>
          </w:p>
        </w:tc>
        <w:tc>
          <w:tcPr>
            <w:tcW w:w="2977" w:type="dxa"/>
            <w:vAlign w:val="center"/>
          </w:tcPr>
          <w:p w14:paraId="3A2F2E6A" w14:textId="77777777" w:rsidR="00B63017" w:rsidRPr="00040BEC" w:rsidRDefault="00B63017" w:rsidP="00E72FF9">
            <w:pPr>
              <w:overflowPunct w:val="0"/>
              <w:autoSpaceDE w:val="0"/>
              <w:autoSpaceDN w:val="0"/>
              <w:adjustRightInd w:val="0"/>
              <w:textAlignment w:val="baseline"/>
              <w:rPr>
                <w:rFonts w:cs="Arial"/>
                <w:bCs/>
                <w:szCs w:val="20"/>
                <w:lang w:val="en-GB" w:eastAsia="nl-NL"/>
              </w:rPr>
            </w:pPr>
            <w:r w:rsidRPr="00040BEC">
              <w:rPr>
                <w:rFonts w:cs="Arial"/>
                <w:szCs w:val="20"/>
                <w:lang w:val="en-GB" w:eastAsia="nl-NL"/>
              </w:rPr>
              <w:t>December-2008 – December-2023,</w:t>
            </w:r>
          </w:p>
          <w:p w14:paraId="3F147E43" w14:textId="77777777" w:rsidR="00B63017" w:rsidRPr="00040BEC" w:rsidRDefault="00B63017" w:rsidP="00E72FF9">
            <w:pPr>
              <w:overflowPunct w:val="0"/>
              <w:autoSpaceDE w:val="0"/>
              <w:autoSpaceDN w:val="0"/>
              <w:adjustRightInd w:val="0"/>
              <w:textAlignment w:val="baseline"/>
              <w:rPr>
                <w:rFonts w:cs="Arial"/>
                <w:bCs/>
                <w:szCs w:val="20"/>
                <w:lang w:val="en-GB" w:eastAsia="nl-NL"/>
              </w:rPr>
            </w:pPr>
            <w:r w:rsidRPr="00040BEC">
              <w:rPr>
                <w:rFonts w:cs="Arial"/>
                <w:bCs/>
                <w:szCs w:val="20"/>
                <w:lang w:val="en-GB" w:eastAsia="nl-NL"/>
              </w:rPr>
              <w:t xml:space="preserve">non-tradable </w:t>
            </w:r>
          </w:p>
        </w:tc>
      </w:tr>
    </w:tbl>
    <w:p w14:paraId="0070CE5F" w14:textId="77777777" w:rsidR="00B63017" w:rsidRPr="00040BEC" w:rsidRDefault="00B63017" w:rsidP="00B63017">
      <w:pPr>
        <w:overflowPunct w:val="0"/>
        <w:autoSpaceDE w:val="0"/>
        <w:autoSpaceDN w:val="0"/>
        <w:adjustRightInd w:val="0"/>
        <w:textAlignment w:val="baseline"/>
        <w:rPr>
          <w:rFonts w:ascii="Times New Roman" w:hAnsi="Times New Roman"/>
          <w:szCs w:val="20"/>
          <w:lang w:val="en-GB" w:eastAsia="nl-NL"/>
        </w:rPr>
      </w:pPr>
    </w:p>
    <w:p w14:paraId="02A9CF95" w14:textId="77777777" w:rsidR="00B63017" w:rsidRPr="00040BEC" w:rsidRDefault="00B63017" w:rsidP="00B63017">
      <w:pPr>
        <w:numPr>
          <w:ilvl w:val="0"/>
          <w:numId w:val="17"/>
        </w:numPr>
        <w:suppressAutoHyphens/>
        <w:overflowPunct w:val="0"/>
        <w:autoSpaceDE w:val="0"/>
        <w:autoSpaceDN w:val="0"/>
        <w:adjustRightInd w:val="0"/>
        <w:ind w:left="567" w:hanging="567"/>
        <w:textAlignment w:val="baseline"/>
        <w:rPr>
          <w:rFonts w:cs="Arial"/>
          <w:b/>
          <w:bCs/>
          <w:szCs w:val="20"/>
          <w:lang w:val="en-GB" w:eastAsia="en-IE"/>
        </w:rPr>
      </w:pPr>
      <w:r w:rsidRPr="00040BEC">
        <w:rPr>
          <w:rFonts w:cs="Arial"/>
          <w:b/>
          <w:bCs/>
          <w:szCs w:val="20"/>
          <w:lang w:val="en-GB" w:eastAsia="en-IE"/>
        </w:rPr>
        <w:t>Montenegro (</w:t>
      </w:r>
      <w:r w:rsidR="00BA61C3" w:rsidRPr="00040BEC">
        <w:rPr>
          <w:rFonts w:cs="Arial"/>
          <w:b/>
          <w:bCs/>
          <w:szCs w:val="20"/>
          <w:lang w:val="en-GB" w:eastAsia="en-IE"/>
        </w:rPr>
        <w:t>February 2014</w:t>
      </w:r>
      <w:r w:rsidRPr="00040BEC">
        <w:rPr>
          <w:rFonts w:cs="Arial"/>
          <w:b/>
          <w:bCs/>
          <w:szCs w:val="20"/>
          <w:lang w:val="en-GB" w:eastAsia="en-IE"/>
        </w:rPr>
        <w:t>)</w:t>
      </w:r>
    </w:p>
    <w:p w14:paraId="478D3C08" w14:textId="77777777" w:rsidR="00B63017" w:rsidRPr="00040BEC" w:rsidRDefault="00B63017" w:rsidP="00B63017">
      <w:pPr>
        <w:suppressAutoHyphens/>
        <w:overflowPunct w:val="0"/>
        <w:autoSpaceDE w:val="0"/>
        <w:autoSpaceDN w:val="0"/>
        <w:adjustRightInd w:val="0"/>
        <w:textAlignment w:val="baseline"/>
        <w:rPr>
          <w:rFonts w:cs="Arial"/>
          <w:b/>
          <w:bCs/>
          <w:szCs w:val="20"/>
          <w:lang w:val="en-GB" w:eastAsia="en-IE"/>
        </w:rPr>
      </w:pPr>
    </w:p>
    <w:p w14:paraId="1044C707" w14:textId="77777777" w:rsidR="00B63017" w:rsidRPr="00040BEC" w:rsidRDefault="00B63017" w:rsidP="00B63017">
      <w:pPr>
        <w:overflowPunct w:val="0"/>
        <w:autoSpaceDE w:val="0"/>
        <w:autoSpaceDN w:val="0"/>
        <w:adjustRightInd w:val="0"/>
        <w:textAlignment w:val="baseline"/>
        <w:rPr>
          <w:rFonts w:cs="Arial"/>
          <w:b/>
          <w:szCs w:val="20"/>
          <w:lang w:val="en-GB" w:eastAsia="nl-NL"/>
        </w:rPr>
      </w:pPr>
      <w:r w:rsidRPr="00040BEC">
        <w:rPr>
          <w:rFonts w:cs="Arial"/>
          <w:b/>
          <w:szCs w:val="20"/>
          <w:lang w:val="en-GB" w:eastAsia="nl-NL"/>
        </w:rPr>
        <w:t>1900-1920 MHz / 2010-2025 MHz (unpaired frequency arrangement)</w:t>
      </w:r>
    </w:p>
    <w:tbl>
      <w:tblPr>
        <w:tblpPr w:leftFromText="141" w:rightFromText="141" w:vertAnchor="text" w:horzAnchor="margin" w:tblpY="45"/>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82"/>
        <w:gridCol w:w="2021"/>
        <w:gridCol w:w="1984"/>
        <w:gridCol w:w="2977"/>
      </w:tblGrid>
      <w:tr w:rsidR="00B63017" w:rsidRPr="00040BEC" w14:paraId="7B0F17BA" w14:textId="77777777" w:rsidTr="00E72FF9">
        <w:trPr>
          <w:trHeight w:val="435"/>
        </w:trPr>
        <w:tc>
          <w:tcPr>
            <w:tcW w:w="2482" w:type="dxa"/>
            <w:vAlign w:val="center"/>
          </w:tcPr>
          <w:p w14:paraId="399400AE"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Operator</w:t>
            </w:r>
          </w:p>
        </w:tc>
        <w:tc>
          <w:tcPr>
            <w:tcW w:w="2021" w:type="dxa"/>
            <w:vAlign w:val="center"/>
          </w:tcPr>
          <w:p w14:paraId="7DEAE255"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Frequencies</w:t>
            </w:r>
          </w:p>
        </w:tc>
        <w:tc>
          <w:tcPr>
            <w:tcW w:w="1984" w:type="dxa"/>
            <w:vAlign w:val="center"/>
          </w:tcPr>
          <w:p w14:paraId="36F9CFE4"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Technology in use (optional)</w:t>
            </w:r>
          </w:p>
        </w:tc>
        <w:tc>
          <w:tcPr>
            <w:tcW w:w="2977" w:type="dxa"/>
            <w:vAlign w:val="center"/>
          </w:tcPr>
          <w:p w14:paraId="28A91ECB"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Licence duration, tradability</w:t>
            </w:r>
          </w:p>
        </w:tc>
      </w:tr>
      <w:tr w:rsidR="00B63017" w:rsidRPr="00040BEC" w14:paraId="06CE4D00" w14:textId="77777777" w:rsidTr="00E72FF9">
        <w:trPr>
          <w:trHeight w:val="524"/>
        </w:trPr>
        <w:tc>
          <w:tcPr>
            <w:tcW w:w="2482" w:type="dxa"/>
            <w:vAlign w:val="center"/>
          </w:tcPr>
          <w:p w14:paraId="0D0E2D70"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Operator 1</w:t>
            </w:r>
          </w:p>
          <w:p w14:paraId="73F1E6B2"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w:t>
            </w:r>
            <w:proofErr w:type="spellStart"/>
            <w:r w:rsidRPr="00040BEC">
              <w:rPr>
                <w:rFonts w:cs="Arial"/>
                <w:szCs w:val="20"/>
                <w:lang w:val="en-GB" w:eastAsia="nl-NL"/>
              </w:rPr>
              <w:t>Promonte</w:t>
            </w:r>
            <w:proofErr w:type="spellEnd"/>
            <w:r w:rsidRPr="00040BEC">
              <w:rPr>
                <w:rFonts w:cs="Arial"/>
                <w:szCs w:val="20"/>
                <w:lang w:val="en-GB" w:eastAsia="nl-NL"/>
              </w:rPr>
              <w:t xml:space="preserve"> GSM)</w:t>
            </w:r>
          </w:p>
        </w:tc>
        <w:tc>
          <w:tcPr>
            <w:tcW w:w="2021" w:type="dxa"/>
            <w:vAlign w:val="center"/>
          </w:tcPr>
          <w:p w14:paraId="222C1FAB" w14:textId="620215C1"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color w:val="000000"/>
                <w:szCs w:val="20"/>
                <w:lang w:val="en-GB" w:eastAsia="nl-NL"/>
              </w:rPr>
              <w:t>1905</w:t>
            </w:r>
            <w:r w:rsidR="00DC16AE">
              <w:rPr>
                <w:rFonts w:cs="Arial"/>
                <w:color w:val="000000"/>
                <w:szCs w:val="20"/>
                <w:lang w:val="en-GB" w:eastAsia="nl-NL"/>
              </w:rPr>
              <w:t xml:space="preserve"> </w:t>
            </w:r>
            <w:r w:rsidRPr="00040BEC">
              <w:rPr>
                <w:rFonts w:cs="Arial"/>
                <w:color w:val="000000"/>
                <w:szCs w:val="20"/>
                <w:lang w:val="en-GB" w:eastAsia="nl-NL"/>
              </w:rPr>
              <w:t>-</w:t>
            </w:r>
            <w:r w:rsidR="00DC16AE">
              <w:rPr>
                <w:rFonts w:cs="Arial"/>
                <w:color w:val="000000"/>
                <w:szCs w:val="20"/>
                <w:lang w:val="en-GB" w:eastAsia="nl-NL"/>
              </w:rPr>
              <w:t xml:space="preserve"> </w:t>
            </w:r>
            <w:r w:rsidRPr="00040BEC">
              <w:rPr>
                <w:rFonts w:cs="Arial"/>
                <w:color w:val="000000"/>
                <w:szCs w:val="20"/>
                <w:lang w:val="en-GB" w:eastAsia="nl-NL"/>
              </w:rPr>
              <w:t>1910 MHz</w:t>
            </w:r>
          </w:p>
        </w:tc>
        <w:tc>
          <w:tcPr>
            <w:tcW w:w="1984" w:type="dxa"/>
            <w:vAlign w:val="center"/>
          </w:tcPr>
          <w:p w14:paraId="11C7B745"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UTRA TDD</w:t>
            </w:r>
          </w:p>
        </w:tc>
        <w:tc>
          <w:tcPr>
            <w:tcW w:w="2977" w:type="dxa"/>
            <w:vAlign w:val="center"/>
          </w:tcPr>
          <w:p w14:paraId="35CE84DE" w14:textId="77777777" w:rsidR="00B63017" w:rsidRPr="00040BEC" w:rsidRDefault="00B63017" w:rsidP="00E72FF9">
            <w:pPr>
              <w:overflowPunct w:val="0"/>
              <w:autoSpaceDE w:val="0"/>
              <w:autoSpaceDN w:val="0"/>
              <w:adjustRightInd w:val="0"/>
              <w:textAlignment w:val="baseline"/>
              <w:rPr>
                <w:rFonts w:cs="Arial"/>
                <w:szCs w:val="20"/>
                <w:lang w:val="en-GB" w:eastAsia="nl-NL"/>
              </w:rPr>
            </w:pPr>
            <w:proofErr w:type="gramStart"/>
            <w:r w:rsidRPr="00040BEC">
              <w:rPr>
                <w:rFonts w:cs="Arial"/>
                <w:szCs w:val="20"/>
                <w:lang w:val="en-GB" w:eastAsia="nl-NL"/>
              </w:rPr>
              <w:t>13.04.2007. – 13.04.2022.</w:t>
            </w:r>
            <w:proofErr w:type="gramEnd"/>
          </w:p>
          <w:p w14:paraId="4ECC1855"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 tradable if approved by the NRA</w:t>
            </w:r>
          </w:p>
        </w:tc>
      </w:tr>
      <w:tr w:rsidR="00B63017" w:rsidRPr="00040BEC" w14:paraId="28BEE145" w14:textId="77777777" w:rsidTr="00E72FF9">
        <w:trPr>
          <w:trHeight w:val="546"/>
        </w:trPr>
        <w:tc>
          <w:tcPr>
            <w:tcW w:w="2482" w:type="dxa"/>
            <w:vAlign w:val="center"/>
          </w:tcPr>
          <w:p w14:paraId="336C9D7E" w14:textId="77777777" w:rsidR="00B63017" w:rsidRPr="00040BEC" w:rsidRDefault="000A5980" w:rsidP="00E72FF9">
            <w:pPr>
              <w:overflowPunct w:val="0"/>
              <w:autoSpaceDE w:val="0"/>
              <w:autoSpaceDN w:val="0"/>
              <w:adjustRightInd w:val="0"/>
              <w:textAlignment w:val="baseline"/>
              <w:rPr>
                <w:lang w:val="en-GB"/>
              </w:rPr>
            </w:pPr>
            <w:r w:rsidRPr="00040BEC">
              <w:rPr>
                <w:lang w:val="en-GB"/>
              </w:rPr>
              <w:t>Operator 2</w:t>
            </w:r>
          </w:p>
          <w:p w14:paraId="68E2AFDB" w14:textId="77777777" w:rsidR="00B63017" w:rsidRPr="00040BEC" w:rsidRDefault="000A5980" w:rsidP="00E72FF9">
            <w:pPr>
              <w:overflowPunct w:val="0"/>
              <w:autoSpaceDE w:val="0"/>
              <w:autoSpaceDN w:val="0"/>
              <w:adjustRightInd w:val="0"/>
              <w:textAlignment w:val="baseline"/>
              <w:rPr>
                <w:lang w:val="en-GB"/>
              </w:rPr>
            </w:pPr>
            <w:r w:rsidRPr="00040BEC">
              <w:rPr>
                <w:lang w:val="en-GB"/>
              </w:rPr>
              <w:t xml:space="preserve">(T-Mobile </w:t>
            </w:r>
            <w:proofErr w:type="spellStart"/>
            <w:r w:rsidRPr="00040BEC">
              <w:rPr>
                <w:lang w:val="en-GB"/>
              </w:rPr>
              <w:t>Crna</w:t>
            </w:r>
            <w:proofErr w:type="spellEnd"/>
            <w:r w:rsidRPr="00040BEC">
              <w:rPr>
                <w:lang w:val="en-GB"/>
              </w:rPr>
              <w:t xml:space="preserve"> Gora)</w:t>
            </w:r>
          </w:p>
        </w:tc>
        <w:tc>
          <w:tcPr>
            <w:tcW w:w="2021" w:type="dxa"/>
            <w:vAlign w:val="center"/>
          </w:tcPr>
          <w:p w14:paraId="5B815087" w14:textId="5948BC10"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color w:val="000000"/>
                <w:szCs w:val="20"/>
                <w:lang w:val="en-GB" w:eastAsia="nl-NL"/>
              </w:rPr>
              <w:t>1910</w:t>
            </w:r>
            <w:r w:rsidR="00DC16AE">
              <w:rPr>
                <w:rFonts w:cs="Arial"/>
                <w:color w:val="000000"/>
                <w:szCs w:val="20"/>
                <w:lang w:val="en-GB" w:eastAsia="nl-NL"/>
              </w:rPr>
              <w:t xml:space="preserve"> </w:t>
            </w:r>
            <w:r w:rsidRPr="00040BEC">
              <w:rPr>
                <w:rFonts w:cs="Arial"/>
                <w:color w:val="000000"/>
                <w:szCs w:val="20"/>
                <w:lang w:val="en-GB" w:eastAsia="nl-NL"/>
              </w:rPr>
              <w:t>-</w:t>
            </w:r>
            <w:r w:rsidR="00DC16AE">
              <w:rPr>
                <w:rFonts w:cs="Arial"/>
                <w:color w:val="000000"/>
                <w:szCs w:val="20"/>
                <w:lang w:val="en-GB" w:eastAsia="nl-NL"/>
              </w:rPr>
              <w:t xml:space="preserve"> </w:t>
            </w:r>
            <w:r w:rsidRPr="00040BEC">
              <w:rPr>
                <w:rFonts w:cs="Arial"/>
                <w:color w:val="000000"/>
                <w:szCs w:val="20"/>
                <w:lang w:val="en-GB" w:eastAsia="nl-NL"/>
              </w:rPr>
              <w:t>1915 MHz</w:t>
            </w:r>
          </w:p>
        </w:tc>
        <w:tc>
          <w:tcPr>
            <w:tcW w:w="1984" w:type="dxa"/>
            <w:vAlign w:val="center"/>
          </w:tcPr>
          <w:p w14:paraId="0AFB416F"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UTRA TDD</w:t>
            </w:r>
          </w:p>
        </w:tc>
        <w:tc>
          <w:tcPr>
            <w:tcW w:w="2977" w:type="dxa"/>
            <w:vAlign w:val="center"/>
          </w:tcPr>
          <w:p w14:paraId="6409F280" w14:textId="77777777" w:rsidR="00B63017" w:rsidRPr="00040BEC" w:rsidRDefault="00B63017" w:rsidP="00E72FF9">
            <w:pPr>
              <w:overflowPunct w:val="0"/>
              <w:autoSpaceDE w:val="0"/>
              <w:autoSpaceDN w:val="0"/>
              <w:adjustRightInd w:val="0"/>
              <w:textAlignment w:val="baseline"/>
              <w:rPr>
                <w:rFonts w:cs="Arial"/>
                <w:szCs w:val="20"/>
                <w:lang w:val="en-GB" w:eastAsia="nl-NL"/>
              </w:rPr>
            </w:pPr>
            <w:proofErr w:type="gramStart"/>
            <w:r w:rsidRPr="00040BEC">
              <w:rPr>
                <w:rFonts w:cs="Arial"/>
                <w:szCs w:val="20"/>
                <w:lang w:val="en-GB" w:eastAsia="nl-NL"/>
              </w:rPr>
              <w:t>11.04.2007. – 11.04.2022.</w:t>
            </w:r>
            <w:proofErr w:type="gramEnd"/>
          </w:p>
          <w:p w14:paraId="6CA8F4A9"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 tradable if approved by the NRA</w:t>
            </w:r>
          </w:p>
        </w:tc>
      </w:tr>
      <w:tr w:rsidR="00B63017" w:rsidRPr="00040BEC" w14:paraId="08582908" w14:textId="77777777" w:rsidTr="00E72FF9">
        <w:trPr>
          <w:trHeight w:val="512"/>
        </w:trPr>
        <w:tc>
          <w:tcPr>
            <w:tcW w:w="2482" w:type="dxa"/>
            <w:vAlign w:val="center"/>
          </w:tcPr>
          <w:p w14:paraId="3DD4E0DE"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Operator 3</w:t>
            </w:r>
          </w:p>
          <w:p w14:paraId="2AC38575"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(MTEL)</w:t>
            </w:r>
          </w:p>
        </w:tc>
        <w:tc>
          <w:tcPr>
            <w:tcW w:w="2021" w:type="dxa"/>
            <w:vAlign w:val="center"/>
          </w:tcPr>
          <w:p w14:paraId="29E3A70E" w14:textId="47557049"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1915</w:t>
            </w:r>
            <w:r w:rsidR="00DC16AE">
              <w:rPr>
                <w:rFonts w:cs="Arial"/>
                <w:szCs w:val="20"/>
                <w:lang w:val="en-GB" w:eastAsia="nl-NL"/>
              </w:rPr>
              <w:t xml:space="preserve"> </w:t>
            </w:r>
            <w:r w:rsidRPr="00040BEC">
              <w:rPr>
                <w:rFonts w:cs="Arial"/>
                <w:szCs w:val="20"/>
                <w:lang w:val="en-GB" w:eastAsia="nl-NL"/>
              </w:rPr>
              <w:t>-</w:t>
            </w:r>
            <w:r w:rsidR="00DC16AE">
              <w:rPr>
                <w:rFonts w:cs="Arial"/>
                <w:szCs w:val="20"/>
                <w:lang w:val="en-GB" w:eastAsia="nl-NL"/>
              </w:rPr>
              <w:t xml:space="preserve"> </w:t>
            </w:r>
            <w:r w:rsidRPr="00040BEC">
              <w:rPr>
                <w:rFonts w:cs="Arial"/>
                <w:szCs w:val="20"/>
                <w:lang w:val="en-GB" w:eastAsia="nl-NL"/>
              </w:rPr>
              <w:t>1920 MHz</w:t>
            </w:r>
          </w:p>
        </w:tc>
        <w:tc>
          <w:tcPr>
            <w:tcW w:w="1984" w:type="dxa"/>
            <w:vAlign w:val="center"/>
          </w:tcPr>
          <w:p w14:paraId="1D8C9DDA"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UTRA TDD</w:t>
            </w:r>
          </w:p>
        </w:tc>
        <w:tc>
          <w:tcPr>
            <w:tcW w:w="2977" w:type="dxa"/>
            <w:vAlign w:val="center"/>
          </w:tcPr>
          <w:p w14:paraId="36907EE6" w14:textId="77777777" w:rsidR="00B63017" w:rsidRPr="00040BEC" w:rsidRDefault="00B63017" w:rsidP="00E72FF9">
            <w:pPr>
              <w:overflowPunct w:val="0"/>
              <w:autoSpaceDE w:val="0"/>
              <w:autoSpaceDN w:val="0"/>
              <w:adjustRightInd w:val="0"/>
              <w:textAlignment w:val="baseline"/>
              <w:rPr>
                <w:rFonts w:cs="Arial"/>
                <w:szCs w:val="20"/>
                <w:lang w:val="en-GB" w:eastAsia="nl-NL"/>
              </w:rPr>
            </w:pPr>
            <w:proofErr w:type="gramStart"/>
            <w:r w:rsidRPr="00040BEC">
              <w:rPr>
                <w:rFonts w:cs="Arial"/>
                <w:szCs w:val="20"/>
                <w:lang w:val="en-GB" w:eastAsia="nl-NL"/>
              </w:rPr>
              <w:t>21.04.2007. – 21.04.2022.</w:t>
            </w:r>
            <w:proofErr w:type="gramEnd"/>
          </w:p>
          <w:p w14:paraId="60611B10"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 tradable if approved by the NRA</w:t>
            </w:r>
          </w:p>
        </w:tc>
      </w:tr>
    </w:tbl>
    <w:p w14:paraId="392AC0D1" w14:textId="77777777" w:rsidR="00B63017" w:rsidRPr="00040BEC" w:rsidRDefault="00B63017" w:rsidP="00B63017">
      <w:pPr>
        <w:tabs>
          <w:tab w:val="left" w:pos="0"/>
        </w:tabs>
        <w:overflowPunct w:val="0"/>
        <w:autoSpaceDE w:val="0"/>
        <w:autoSpaceDN w:val="0"/>
        <w:adjustRightInd w:val="0"/>
        <w:ind w:left="360"/>
        <w:jc w:val="both"/>
        <w:textAlignment w:val="baseline"/>
        <w:rPr>
          <w:rFonts w:cs="Arial"/>
          <w:b/>
          <w:szCs w:val="20"/>
          <w:lang w:val="en-GB" w:eastAsia="nl-NL"/>
        </w:rPr>
      </w:pPr>
    </w:p>
    <w:p w14:paraId="3833F282" w14:textId="77777777" w:rsidR="00B63017" w:rsidRPr="00040BEC" w:rsidRDefault="00B63017" w:rsidP="00B63017">
      <w:pPr>
        <w:keepNext/>
        <w:numPr>
          <w:ilvl w:val="0"/>
          <w:numId w:val="17"/>
        </w:numPr>
        <w:tabs>
          <w:tab w:val="left" w:pos="0"/>
        </w:tabs>
        <w:overflowPunct w:val="0"/>
        <w:autoSpaceDE w:val="0"/>
        <w:autoSpaceDN w:val="0"/>
        <w:adjustRightInd w:val="0"/>
        <w:ind w:left="567" w:hanging="567"/>
        <w:jc w:val="both"/>
        <w:textAlignment w:val="baseline"/>
        <w:rPr>
          <w:rFonts w:cs="Arial"/>
          <w:b/>
          <w:szCs w:val="20"/>
          <w:lang w:val="en-GB" w:eastAsia="nl-NL"/>
        </w:rPr>
      </w:pPr>
      <w:r w:rsidRPr="00040BEC">
        <w:rPr>
          <w:rFonts w:cs="Arial"/>
          <w:b/>
          <w:szCs w:val="20"/>
          <w:lang w:val="en-GB" w:eastAsia="nl-NL"/>
        </w:rPr>
        <w:t>The Netherlands (March 201</w:t>
      </w:r>
      <w:r w:rsidR="00BA61C3" w:rsidRPr="00040BEC">
        <w:rPr>
          <w:rFonts w:cs="Arial"/>
          <w:b/>
          <w:szCs w:val="20"/>
          <w:lang w:val="en-GB" w:eastAsia="nl-NL"/>
        </w:rPr>
        <w:t>4</w:t>
      </w:r>
      <w:r w:rsidRPr="00040BEC">
        <w:rPr>
          <w:rFonts w:cs="Arial"/>
          <w:b/>
          <w:szCs w:val="20"/>
          <w:lang w:val="en-GB" w:eastAsia="nl-NL"/>
        </w:rPr>
        <w:t>)</w:t>
      </w:r>
    </w:p>
    <w:p w14:paraId="3BEB443C" w14:textId="77777777" w:rsidR="00B63017" w:rsidRPr="00040BEC" w:rsidRDefault="00B63017" w:rsidP="00B63017">
      <w:pPr>
        <w:keepNext/>
        <w:tabs>
          <w:tab w:val="left" w:pos="0"/>
        </w:tabs>
        <w:overflowPunct w:val="0"/>
        <w:autoSpaceDE w:val="0"/>
        <w:autoSpaceDN w:val="0"/>
        <w:adjustRightInd w:val="0"/>
        <w:jc w:val="both"/>
        <w:textAlignment w:val="baseline"/>
        <w:rPr>
          <w:rFonts w:cs="Arial"/>
          <w:b/>
          <w:szCs w:val="20"/>
          <w:lang w:val="en-GB" w:eastAsia="nl-NL"/>
        </w:rPr>
      </w:pPr>
    </w:p>
    <w:p w14:paraId="4BA597EC" w14:textId="77777777" w:rsidR="00B63017" w:rsidRPr="00040BEC" w:rsidRDefault="00B63017" w:rsidP="00B63017">
      <w:pPr>
        <w:keepNext/>
        <w:overflowPunct w:val="0"/>
        <w:autoSpaceDE w:val="0"/>
        <w:autoSpaceDN w:val="0"/>
        <w:adjustRightInd w:val="0"/>
        <w:textAlignment w:val="baseline"/>
        <w:rPr>
          <w:rFonts w:cs="Arial"/>
          <w:b/>
          <w:szCs w:val="20"/>
          <w:lang w:val="en-GB" w:eastAsia="nl-NL"/>
        </w:rPr>
      </w:pPr>
      <w:r w:rsidRPr="00040BEC">
        <w:rPr>
          <w:rFonts w:cs="Arial"/>
          <w:b/>
          <w:szCs w:val="20"/>
          <w:lang w:val="en-GB" w:eastAsia="nl-NL"/>
        </w:rPr>
        <w:t>1900-1920 MHz / 2010-2025 MHz (unpaired frequency arrangement)</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51"/>
        <w:gridCol w:w="2693"/>
        <w:gridCol w:w="2427"/>
        <w:gridCol w:w="2535"/>
      </w:tblGrid>
      <w:tr w:rsidR="00B63017" w:rsidRPr="00040BEC" w14:paraId="2576CBA4" w14:textId="77777777" w:rsidTr="00E72FF9">
        <w:trPr>
          <w:trHeight w:val="435"/>
        </w:trPr>
        <w:tc>
          <w:tcPr>
            <w:tcW w:w="1951" w:type="dxa"/>
            <w:vAlign w:val="center"/>
          </w:tcPr>
          <w:p w14:paraId="2AC228AE"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Operator</w:t>
            </w:r>
          </w:p>
        </w:tc>
        <w:tc>
          <w:tcPr>
            <w:tcW w:w="2693" w:type="dxa"/>
            <w:vAlign w:val="center"/>
          </w:tcPr>
          <w:p w14:paraId="759F5CEC"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Frequencies</w:t>
            </w:r>
          </w:p>
        </w:tc>
        <w:tc>
          <w:tcPr>
            <w:tcW w:w="2427" w:type="dxa"/>
            <w:vAlign w:val="center"/>
          </w:tcPr>
          <w:p w14:paraId="7DBCAF09"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Technology in use (optional)</w:t>
            </w:r>
          </w:p>
        </w:tc>
        <w:tc>
          <w:tcPr>
            <w:tcW w:w="2535" w:type="dxa"/>
            <w:vAlign w:val="center"/>
          </w:tcPr>
          <w:p w14:paraId="4A93DC49"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Licence duration, tradability</w:t>
            </w:r>
          </w:p>
        </w:tc>
      </w:tr>
      <w:tr w:rsidR="00B63017" w:rsidRPr="00040BEC" w14:paraId="5A28919B" w14:textId="77777777" w:rsidTr="00E72FF9">
        <w:trPr>
          <w:trHeight w:val="282"/>
        </w:trPr>
        <w:tc>
          <w:tcPr>
            <w:tcW w:w="1951" w:type="dxa"/>
          </w:tcPr>
          <w:p w14:paraId="596F145D" w14:textId="77777777" w:rsidR="00B63017" w:rsidRPr="00040BEC" w:rsidRDefault="00B63017" w:rsidP="00E72FF9">
            <w:pPr>
              <w:overflowPunct w:val="0"/>
              <w:autoSpaceDE w:val="0"/>
              <w:autoSpaceDN w:val="0"/>
              <w:adjustRightInd w:val="0"/>
              <w:jc w:val="center"/>
              <w:textAlignment w:val="baseline"/>
              <w:rPr>
                <w:rFonts w:cs="Arial"/>
                <w:szCs w:val="20"/>
                <w:lang w:val="en-GB" w:eastAsia="nl-NL"/>
              </w:rPr>
            </w:pPr>
            <w:r w:rsidRPr="00040BEC">
              <w:rPr>
                <w:rFonts w:cs="Arial"/>
                <w:szCs w:val="20"/>
                <w:lang w:val="en-GB" w:eastAsia="nl-NL"/>
              </w:rPr>
              <w:t>KPN</w:t>
            </w:r>
          </w:p>
        </w:tc>
        <w:tc>
          <w:tcPr>
            <w:tcW w:w="2693" w:type="dxa"/>
          </w:tcPr>
          <w:p w14:paraId="156D200F" w14:textId="77777777" w:rsidR="00B63017" w:rsidRPr="00040BEC" w:rsidRDefault="00B63017" w:rsidP="00E72FF9">
            <w:pPr>
              <w:overflowPunct w:val="0"/>
              <w:autoSpaceDE w:val="0"/>
              <w:autoSpaceDN w:val="0"/>
              <w:adjustRightInd w:val="0"/>
              <w:jc w:val="center"/>
              <w:textAlignment w:val="baseline"/>
              <w:rPr>
                <w:rFonts w:cs="Arial"/>
                <w:szCs w:val="20"/>
                <w:lang w:val="en-GB" w:eastAsia="nl-NL"/>
              </w:rPr>
            </w:pPr>
            <w:r w:rsidRPr="00040BEC">
              <w:rPr>
                <w:rFonts w:cs="Arial"/>
                <w:szCs w:val="20"/>
                <w:lang w:val="en-GB" w:eastAsia="nl-NL"/>
              </w:rPr>
              <w:t>1909.9 - 1914.9 MHz</w:t>
            </w:r>
          </w:p>
        </w:tc>
        <w:tc>
          <w:tcPr>
            <w:tcW w:w="2427" w:type="dxa"/>
          </w:tcPr>
          <w:p w14:paraId="1673A4FC" w14:textId="77777777" w:rsidR="00B63017" w:rsidRPr="00040BEC" w:rsidRDefault="00B63017" w:rsidP="00E72FF9">
            <w:pPr>
              <w:overflowPunct w:val="0"/>
              <w:autoSpaceDE w:val="0"/>
              <w:autoSpaceDN w:val="0"/>
              <w:adjustRightInd w:val="0"/>
              <w:jc w:val="center"/>
              <w:textAlignment w:val="baseline"/>
              <w:rPr>
                <w:rFonts w:cs="Arial"/>
                <w:szCs w:val="20"/>
                <w:lang w:val="en-GB" w:eastAsia="nl-NL"/>
              </w:rPr>
            </w:pPr>
          </w:p>
        </w:tc>
        <w:tc>
          <w:tcPr>
            <w:tcW w:w="2535" w:type="dxa"/>
          </w:tcPr>
          <w:p w14:paraId="6D8D2099" w14:textId="77777777" w:rsidR="00B63017" w:rsidRPr="00040BEC" w:rsidRDefault="00B63017" w:rsidP="00E72FF9">
            <w:pPr>
              <w:overflowPunct w:val="0"/>
              <w:autoSpaceDE w:val="0"/>
              <w:autoSpaceDN w:val="0"/>
              <w:adjustRightInd w:val="0"/>
              <w:jc w:val="center"/>
              <w:textAlignment w:val="baseline"/>
              <w:rPr>
                <w:rFonts w:cs="Arial"/>
                <w:szCs w:val="20"/>
                <w:lang w:val="en-GB" w:eastAsia="nl-NL"/>
              </w:rPr>
            </w:pPr>
            <w:r w:rsidRPr="00040BEC">
              <w:rPr>
                <w:rFonts w:cs="Arial"/>
                <w:szCs w:val="20"/>
                <w:lang w:val="en-GB" w:eastAsia="nl-NL"/>
              </w:rPr>
              <w:t>Until Dec. 2016, tradable</w:t>
            </w:r>
          </w:p>
        </w:tc>
      </w:tr>
      <w:tr w:rsidR="00B63017" w:rsidRPr="00040BEC" w14:paraId="5857FE90" w14:textId="77777777" w:rsidTr="00E72FF9">
        <w:trPr>
          <w:trHeight w:val="390"/>
        </w:trPr>
        <w:tc>
          <w:tcPr>
            <w:tcW w:w="1951" w:type="dxa"/>
          </w:tcPr>
          <w:p w14:paraId="6166C33E" w14:textId="77777777" w:rsidR="00B63017" w:rsidRPr="00040BEC" w:rsidRDefault="00B63017" w:rsidP="00E72FF9">
            <w:pPr>
              <w:overflowPunct w:val="0"/>
              <w:autoSpaceDE w:val="0"/>
              <w:autoSpaceDN w:val="0"/>
              <w:adjustRightInd w:val="0"/>
              <w:jc w:val="center"/>
              <w:textAlignment w:val="baseline"/>
              <w:rPr>
                <w:rFonts w:cs="Arial"/>
                <w:szCs w:val="20"/>
                <w:lang w:val="en-GB" w:eastAsia="nl-NL"/>
              </w:rPr>
            </w:pPr>
            <w:proofErr w:type="spellStart"/>
            <w:r w:rsidRPr="00040BEC">
              <w:rPr>
                <w:rFonts w:cs="Arial"/>
                <w:szCs w:val="20"/>
                <w:lang w:val="en-GB" w:eastAsia="nl-NL"/>
              </w:rPr>
              <w:t>T-mobile</w:t>
            </w:r>
            <w:proofErr w:type="spellEnd"/>
          </w:p>
        </w:tc>
        <w:tc>
          <w:tcPr>
            <w:tcW w:w="2693" w:type="dxa"/>
          </w:tcPr>
          <w:p w14:paraId="3E5D1CDB" w14:textId="76E79479" w:rsidR="00B63017" w:rsidRPr="00040BEC" w:rsidRDefault="00DC16AE" w:rsidP="00E72FF9">
            <w:pPr>
              <w:overflowPunct w:val="0"/>
              <w:autoSpaceDE w:val="0"/>
              <w:autoSpaceDN w:val="0"/>
              <w:adjustRightInd w:val="0"/>
              <w:jc w:val="center"/>
              <w:textAlignment w:val="baseline"/>
              <w:rPr>
                <w:rFonts w:cs="Arial"/>
                <w:szCs w:val="20"/>
                <w:lang w:val="en-GB" w:eastAsia="nl-NL"/>
              </w:rPr>
            </w:pPr>
            <w:r>
              <w:rPr>
                <w:rFonts w:cs="Arial"/>
                <w:szCs w:val="20"/>
                <w:lang w:val="en-GB" w:eastAsia="nl-NL"/>
              </w:rPr>
              <w:t>1900 -</w:t>
            </w:r>
            <w:r w:rsidR="00B63017" w:rsidRPr="00040BEC">
              <w:rPr>
                <w:rFonts w:cs="Arial"/>
                <w:szCs w:val="20"/>
                <w:lang w:val="en-GB" w:eastAsia="nl-NL"/>
              </w:rPr>
              <w:t xml:space="preserve"> 1909.9 MHz </w:t>
            </w:r>
          </w:p>
          <w:p w14:paraId="1528D6A7" w14:textId="473129E2" w:rsidR="00B63017" w:rsidRPr="00040BEC" w:rsidRDefault="00DC16AE" w:rsidP="00E72FF9">
            <w:pPr>
              <w:overflowPunct w:val="0"/>
              <w:autoSpaceDE w:val="0"/>
              <w:autoSpaceDN w:val="0"/>
              <w:adjustRightInd w:val="0"/>
              <w:jc w:val="center"/>
              <w:textAlignment w:val="baseline"/>
              <w:rPr>
                <w:rFonts w:cs="Arial"/>
                <w:szCs w:val="20"/>
                <w:lang w:val="en-GB" w:eastAsia="nl-NL"/>
              </w:rPr>
            </w:pPr>
            <w:r>
              <w:rPr>
                <w:rFonts w:cs="Arial"/>
                <w:szCs w:val="20"/>
                <w:lang w:val="en-GB" w:eastAsia="nl-NL"/>
              </w:rPr>
              <w:t>2010 -</w:t>
            </w:r>
            <w:r w:rsidR="00B63017" w:rsidRPr="00040BEC">
              <w:rPr>
                <w:rFonts w:cs="Arial"/>
                <w:szCs w:val="20"/>
                <w:lang w:val="en-GB" w:eastAsia="nl-NL"/>
              </w:rPr>
              <w:t xml:space="preserve"> 2024.7 MHz</w:t>
            </w:r>
          </w:p>
        </w:tc>
        <w:tc>
          <w:tcPr>
            <w:tcW w:w="2427" w:type="dxa"/>
          </w:tcPr>
          <w:p w14:paraId="5ABF7705" w14:textId="77777777" w:rsidR="00B63017" w:rsidRPr="00040BEC" w:rsidRDefault="00B63017" w:rsidP="00E72FF9">
            <w:pPr>
              <w:overflowPunct w:val="0"/>
              <w:autoSpaceDE w:val="0"/>
              <w:autoSpaceDN w:val="0"/>
              <w:adjustRightInd w:val="0"/>
              <w:jc w:val="center"/>
              <w:textAlignment w:val="baseline"/>
              <w:rPr>
                <w:rFonts w:cs="Arial"/>
                <w:szCs w:val="20"/>
                <w:lang w:val="en-GB" w:eastAsia="nl-NL"/>
              </w:rPr>
            </w:pPr>
          </w:p>
        </w:tc>
        <w:tc>
          <w:tcPr>
            <w:tcW w:w="2535" w:type="dxa"/>
          </w:tcPr>
          <w:p w14:paraId="7E45D70D" w14:textId="77777777" w:rsidR="00B63017" w:rsidRPr="00040BEC" w:rsidRDefault="00B63017" w:rsidP="00E72FF9">
            <w:pPr>
              <w:overflowPunct w:val="0"/>
              <w:autoSpaceDE w:val="0"/>
              <w:autoSpaceDN w:val="0"/>
              <w:adjustRightInd w:val="0"/>
              <w:jc w:val="center"/>
              <w:textAlignment w:val="baseline"/>
              <w:rPr>
                <w:rFonts w:cs="Arial"/>
                <w:szCs w:val="20"/>
                <w:lang w:val="en-GB" w:eastAsia="nl-NL"/>
              </w:rPr>
            </w:pPr>
            <w:r w:rsidRPr="00040BEC">
              <w:rPr>
                <w:rFonts w:cs="Arial"/>
                <w:szCs w:val="20"/>
                <w:lang w:val="en-GB" w:eastAsia="nl-NL"/>
              </w:rPr>
              <w:t>Until Dec. 2016, tradable</w:t>
            </w:r>
          </w:p>
        </w:tc>
      </w:tr>
      <w:tr w:rsidR="00B63017" w:rsidRPr="00040BEC" w14:paraId="0891E035" w14:textId="77777777" w:rsidTr="00E72FF9">
        <w:trPr>
          <w:trHeight w:val="265"/>
        </w:trPr>
        <w:tc>
          <w:tcPr>
            <w:tcW w:w="1951" w:type="dxa"/>
          </w:tcPr>
          <w:p w14:paraId="42CDC96E" w14:textId="77777777" w:rsidR="00B63017" w:rsidRPr="00040BEC" w:rsidRDefault="00B63017" w:rsidP="00E72FF9">
            <w:pPr>
              <w:overflowPunct w:val="0"/>
              <w:autoSpaceDE w:val="0"/>
              <w:autoSpaceDN w:val="0"/>
              <w:adjustRightInd w:val="0"/>
              <w:jc w:val="center"/>
              <w:textAlignment w:val="baseline"/>
              <w:rPr>
                <w:rFonts w:cs="Arial"/>
                <w:szCs w:val="20"/>
                <w:lang w:val="en-GB" w:eastAsia="nl-NL"/>
              </w:rPr>
            </w:pPr>
            <w:r w:rsidRPr="00040BEC">
              <w:rPr>
                <w:rFonts w:cs="Arial"/>
                <w:szCs w:val="20"/>
                <w:lang w:val="en-GB" w:eastAsia="nl-NL"/>
              </w:rPr>
              <w:t>Vodafone</w:t>
            </w:r>
          </w:p>
        </w:tc>
        <w:tc>
          <w:tcPr>
            <w:tcW w:w="2693" w:type="dxa"/>
          </w:tcPr>
          <w:p w14:paraId="6BB5691C" w14:textId="77777777" w:rsidR="00B63017" w:rsidRPr="00040BEC" w:rsidRDefault="00B63017" w:rsidP="00E72FF9">
            <w:pPr>
              <w:overflowPunct w:val="0"/>
              <w:autoSpaceDE w:val="0"/>
              <w:autoSpaceDN w:val="0"/>
              <w:adjustRightInd w:val="0"/>
              <w:jc w:val="center"/>
              <w:textAlignment w:val="baseline"/>
              <w:rPr>
                <w:rFonts w:cs="Arial"/>
                <w:szCs w:val="20"/>
                <w:lang w:val="en-GB" w:eastAsia="nl-NL"/>
              </w:rPr>
            </w:pPr>
            <w:r w:rsidRPr="00040BEC">
              <w:rPr>
                <w:rFonts w:cs="Arial"/>
                <w:szCs w:val="20"/>
                <w:lang w:val="en-GB" w:eastAsia="nl-NL"/>
              </w:rPr>
              <w:t>1914.9 - 1920.3 MHz</w:t>
            </w:r>
          </w:p>
        </w:tc>
        <w:tc>
          <w:tcPr>
            <w:tcW w:w="2427" w:type="dxa"/>
          </w:tcPr>
          <w:p w14:paraId="298E4372" w14:textId="77777777" w:rsidR="00B63017" w:rsidRPr="00040BEC" w:rsidRDefault="00B63017" w:rsidP="00E72FF9">
            <w:pPr>
              <w:overflowPunct w:val="0"/>
              <w:autoSpaceDE w:val="0"/>
              <w:autoSpaceDN w:val="0"/>
              <w:adjustRightInd w:val="0"/>
              <w:jc w:val="center"/>
              <w:textAlignment w:val="baseline"/>
              <w:rPr>
                <w:rFonts w:cs="Arial"/>
                <w:szCs w:val="20"/>
                <w:lang w:val="en-GB" w:eastAsia="nl-NL"/>
              </w:rPr>
            </w:pPr>
          </w:p>
        </w:tc>
        <w:tc>
          <w:tcPr>
            <w:tcW w:w="2535" w:type="dxa"/>
          </w:tcPr>
          <w:p w14:paraId="51BE3206" w14:textId="77777777" w:rsidR="00B63017" w:rsidRPr="00040BEC" w:rsidRDefault="00B63017" w:rsidP="00E72FF9">
            <w:pPr>
              <w:overflowPunct w:val="0"/>
              <w:autoSpaceDE w:val="0"/>
              <w:autoSpaceDN w:val="0"/>
              <w:adjustRightInd w:val="0"/>
              <w:jc w:val="center"/>
              <w:textAlignment w:val="baseline"/>
              <w:rPr>
                <w:rFonts w:cs="Arial"/>
                <w:szCs w:val="20"/>
                <w:lang w:val="en-GB" w:eastAsia="nl-NL"/>
              </w:rPr>
            </w:pPr>
            <w:r w:rsidRPr="00040BEC">
              <w:rPr>
                <w:rFonts w:cs="Arial"/>
                <w:szCs w:val="20"/>
                <w:lang w:val="en-GB" w:eastAsia="nl-NL"/>
              </w:rPr>
              <w:t>Until Dec. 2016, tradable]</w:t>
            </w:r>
          </w:p>
        </w:tc>
      </w:tr>
    </w:tbl>
    <w:p w14:paraId="5F53046E" w14:textId="53C21730" w:rsidR="00DC16AE" w:rsidRDefault="00DC16AE" w:rsidP="00B63017">
      <w:pPr>
        <w:suppressAutoHyphens/>
        <w:rPr>
          <w:rFonts w:cs="Arial"/>
          <w:b/>
          <w:bCs/>
          <w:szCs w:val="20"/>
          <w:lang w:val="en-GB" w:eastAsia="en-IE"/>
        </w:rPr>
      </w:pPr>
    </w:p>
    <w:p w14:paraId="5800654D" w14:textId="77777777" w:rsidR="00DC16AE" w:rsidRDefault="00DC16AE">
      <w:pPr>
        <w:rPr>
          <w:rFonts w:cs="Arial"/>
          <w:b/>
          <w:bCs/>
          <w:szCs w:val="20"/>
          <w:lang w:val="en-GB" w:eastAsia="en-IE"/>
        </w:rPr>
      </w:pPr>
      <w:r>
        <w:rPr>
          <w:rFonts w:cs="Arial"/>
          <w:b/>
          <w:bCs/>
          <w:szCs w:val="20"/>
          <w:lang w:val="en-GB" w:eastAsia="en-IE"/>
        </w:rPr>
        <w:br w:type="page"/>
      </w:r>
    </w:p>
    <w:p w14:paraId="0EDDCC20" w14:textId="77777777" w:rsidR="00B63017" w:rsidRPr="00040BEC" w:rsidRDefault="00B63017" w:rsidP="00B63017">
      <w:pPr>
        <w:numPr>
          <w:ilvl w:val="0"/>
          <w:numId w:val="17"/>
        </w:numPr>
        <w:suppressAutoHyphens/>
        <w:overflowPunct w:val="0"/>
        <w:autoSpaceDE w:val="0"/>
        <w:autoSpaceDN w:val="0"/>
        <w:adjustRightInd w:val="0"/>
        <w:ind w:left="567" w:hanging="567"/>
        <w:textAlignment w:val="baseline"/>
        <w:rPr>
          <w:rFonts w:cs="Arial"/>
          <w:b/>
          <w:bCs/>
          <w:szCs w:val="20"/>
          <w:lang w:val="en-GB" w:eastAsia="en-IE"/>
        </w:rPr>
      </w:pPr>
      <w:r w:rsidRPr="00040BEC">
        <w:rPr>
          <w:rFonts w:cs="Arial"/>
          <w:b/>
          <w:bCs/>
          <w:szCs w:val="20"/>
          <w:lang w:val="en-GB" w:eastAsia="en-IE"/>
        </w:rPr>
        <w:lastRenderedPageBreak/>
        <w:t>Norway (March 201</w:t>
      </w:r>
      <w:r w:rsidR="00BA61C3" w:rsidRPr="00040BEC">
        <w:rPr>
          <w:rFonts w:cs="Arial"/>
          <w:b/>
          <w:bCs/>
          <w:szCs w:val="20"/>
          <w:lang w:val="en-GB" w:eastAsia="en-IE"/>
        </w:rPr>
        <w:t>4</w:t>
      </w:r>
      <w:r w:rsidRPr="00040BEC">
        <w:rPr>
          <w:rFonts w:cs="Arial"/>
          <w:b/>
          <w:bCs/>
          <w:szCs w:val="20"/>
          <w:lang w:val="en-GB" w:eastAsia="en-IE"/>
        </w:rPr>
        <w:t>)</w:t>
      </w:r>
    </w:p>
    <w:p w14:paraId="6DECAB22" w14:textId="77777777" w:rsidR="00B63017" w:rsidRPr="00040BEC" w:rsidRDefault="00B63017" w:rsidP="00B63017">
      <w:pPr>
        <w:suppressAutoHyphens/>
        <w:overflowPunct w:val="0"/>
        <w:autoSpaceDE w:val="0"/>
        <w:autoSpaceDN w:val="0"/>
        <w:adjustRightInd w:val="0"/>
        <w:textAlignment w:val="baseline"/>
        <w:rPr>
          <w:rFonts w:cs="Arial"/>
          <w:b/>
          <w:bCs/>
          <w:szCs w:val="20"/>
          <w:lang w:val="en-GB" w:eastAsia="en-IE"/>
        </w:rPr>
      </w:pPr>
    </w:p>
    <w:p w14:paraId="2B6E2A71" w14:textId="77777777" w:rsidR="00B63017" w:rsidRPr="00040BEC" w:rsidRDefault="00B63017" w:rsidP="00B63017">
      <w:pPr>
        <w:overflowPunct w:val="0"/>
        <w:autoSpaceDE w:val="0"/>
        <w:autoSpaceDN w:val="0"/>
        <w:adjustRightInd w:val="0"/>
        <w:textAlignment w:val="baseline"/>
        <w:rPr>
          <w:rFonts w:cs="Arial"/>
          <w:b/>
          <w:szCs w:val="20"/>
          <w:lang w:val="en-GB" w:eastAsia="nl-NL"/>
        </w:rPr>
      </w:pPr>
      <w:r w:rsidRPr="00040BEC">
        <w:rPr>
          <w:rFonts w:cs="Arial"/>
          <w:b/>
          <w:szCs w:val="20"/>
          <w:lang w:val="en-GB" w:eastAsia="nl-NL"/>
        </w:rPr>
        <w:t>1900-1920 MHz / 2010-2025 MHz (unpaired frequency arrangement)</w:t>
      </w:r>
    </w:p>
    <w:p w14:paraId="3C5F0AE4" w14:textId="77777777" w:rsidR="00BA61C3" w:rsidRPr="00040BEC" w:rsidRDefault="00BA61C3" w:rsidP="00B63017">
      <w:pPr>
        <w:overflowPunct w:val="0"/>
        <w:autoSpaceDE w:val="0"/>
        <w:autoSpaceDN w:val="0"/>
        <w:adjustRightInd w:val="0"/>
        <w:textAlignment w:val="baseline"/>
        <w:rPr>
          <w:rFonts w:cs="Arial"/>
          <w:b/>
          <w:szCs w:val="20"/>
          <w:lang w:val="en-GB" w:eastAsia="nl-NL"/>
        </w:rPr>
      </w:pPr>
    </w:p>
    <w:tbl>
      <w:tblPr>
        <w:tblW w:w="943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74"/>
        <w:gridCol w:w="3098"/>
        <w:gridCol w:w="1984"/>
        <w:gridCol w:w="2377"/>
      </w:tblGrid>
      <w:tr w:rsidR="00BA61C3" w:rsidRPr="00040BEC" w14:paraId="58507A28" w14:textId="77777777" w:rsidTr="00DC16AE">
        <w:trPr>
          <w:trHeight w:val="435"/>
          <w:jc w:val="center"/>
        </w:trPr>
        <w:tc>
          <w:tcPr>
            <w:tcW w:w="1974" w:type="dxa"/>
            <w:vAlign w:val="center"/>
          </w:tcPr>
          <w:p w14:paraId="25319E80" w14:textId="77777777" w:rsidR="00BA61C3" w:rsidRPr="00040BEC" w:rsidRDefault="00BA61C3" w:rsidP="002F2EC1">
            <w:pPr>
              <w:jc w:val="center"/>
              <w:rPr>
                <w:b/>
                <w:lang w:val="en-GB"/>
              </w:rPr>
            </w:pPr>
            <w:r w:rsidRPr="00040BEC">
              <w:rPr>
                <w:b/>
                <w:lang w:val="en-GB"/>
              </w:rPr>
              <w:t>Operator</w:t>
            </w:r>
          </w:p>
        </w:tc>
        <w:tc>
          <w:tcPr>
            <w:tcW w:w="3098" w:type="dxa"/>
            <w:vAlign w:val="center"/>
          </w:tcPr>
          <w:p w14:paraId="7B9A6DE3" w14:textId="77777777" w:rsidR="00BA61C3" w:rsidRPr="00040BEC" w:rsidRDefault="00BA61C3" w:rsidP="002F2EC1">
            <w:pPr>
              <w:jc w:val="center"/>
              <w:rPr>
                <w:b/>
                <w:lang w:val="en-GB"/>
              </w:rPr>
            </w:pPr>
            <w:r w:rsidRPr="00040BEC">
              <w:rPr>
                <w:b/>
                <w:lang w:val="en-GB"/>
              </w:rPr>
              <w:t>Frequencies</w:t>
            </w:r>
          </w:p>
        </w:tc>
        <w:tc>
          <w:tcPr>
            <w:tcW w:w="1984" w:type="dxa"/>
            <w:vAlign w:val="center"/>
          </w:tcPr>
          <w:p w14:paraId="6E76920D" w14:textId="77777777" w:rsidR="00BA61C3" w:rsidRPr="00040BEC" w:rsidRDefault="00BA61C3" w:rsidP="002F2EC1">
            <w:pPr>
              <w:jc w:val="center"/>
              <w:rPr>
                <w:b/>
                <w:lang w:val="en-GB"/>
              </w:rPr>
            </w:pPr>
            <w:r w:rsidRPr="00040BEC">
              <w:rPr>
                <w:b/>
                <w:lang w:val="en-GB"/>
              </w:rPr>
              <w:t>Technology in use (optional)</w:t>
            </w:r>
          </w:p>
        </w:tc>
        <w:tc>
          <w:tcPr>
            <w:tcW w:w="2377" w:type="dxa"/>
            <w:vAlign w:val="center"/>
          </w:tcPr>
          <w:p w14:paraId="55CDEED6" w14:textId="77777777" w:rsidR="00BA61C3" w:rsidRPr="00040BEC" w:rsidRDefault="00BA61C3" w:rsidP="002F2EC1">
            <w:pPr>
              <w:jc w:val="center"/>
              <w:rPr>
                <w:b/>
                <w:lang w:val="en-GB"/>
              </w:rPr>
            </w:pPr>
            <w:r w:rsidRPr="00040BEC">
              <w:rPr>
                <w:b/>
                <w:lang w:val="en-GB"/>
              </w:rPr>
              <w:t>Licence duration, tradability</w:t>
            </w:r>
          </w:p>
        </w:tc>
      </w:tr>
      <w:tr w:rsidR="00BA61C3" w:rsidRPr="00040BEC" w14:paraId="12BB7156" w14:textId="77777777" w:rsidTr="00DC16AE">
        <w:trPr>
          <w:trHeight w:hRule="exact" w:val="533"/>
          <w:jc w:val="center"/>
        </w:trPr>
        <w:tc>
          <w:tcPr>
            <w:tcW w:w="1974" w:type="dxa"/>
            <w:vAlign w:val="center"/>
          </w:tcPr>
          <w:p w14:paraId="226B3862" w14:textId="77777777" w:rsidR="00BA61C3" w:rsidRPr="00040BEC" w:rsidRDefault="00BA61C3" w:rsidP="002F2EC1">
            <w:pPr>
              <w:jc w:val="center"/>
              <w:rPr>
                <w:lang w:val="en-GB"/>
              </w:rPr>
            </w:pPr>
            <w:r w:rsidRPr="00040BEC">
              <w:rPr>
                <w:lang w:val="en-GB"/>
              </w:rPr>
              <w:t>vacant</w:t>
            </w:r>
          </w:p>
        </w:tc>
        <w:tc>
          <w:tcPr>
            <w:tcW w:w="3098" w:type="dxa"/>
            <w:vAlign w:val="center"/>
          </w:tcPr>
          <w:p w14:paraId="065ED801" w14:textId="520CE50A" w:rsidR="00BA61C3" w:rsidRPr="00040BEC" w:rsidRDefault="00BA61C3" w:rsidP="00DC16AE">
            <w:pPr>
              <w:jc w:val="center"/>
              <w:rPr>
                <w:lang w:val="en-GB"/>
              </w:rPr>
            </w:pPr>
            <w:r w:rsidRPr="00040BEC">
              <w:rPr>
                <w:lang w:val="en-GB"/>
              </w:rPr>
              <w:t xml:space="preserve">1900 </w:t>
            </w:r>
            <w:r w:rsidR="00DC16AE">
              <w:rPr>
                <w:lang w:val="en-GB"/>
              </w:rPr>
              <w:t>-</w:t>
            </w:r>
            <w:r w:rsidRPr="00040BEC">
              <w:rPr>
                <w:lang w:val="en-GB"/>
              </w:rPr>
              <w:t xml:space="preserve"> 1920 MHz</w:t>
            </w:r>
          </w:p>
        </w:tc>
        <w:tc>
          <w:tcPr>
            <w:tcW w:w="1984" w:type="dxa"/>
            <w:vAlign w:val="center"/>
          </w:tcPr>
          <w:p w14:paraId="7F914E04" w14:textId="77777777" w:rsidR="00BA61C3" w:rsidRPr="00040BEC" w:rsidRDefault="00BA61C3" w:rsidP="002F2EC1">
            <w:pPr>
              <w:jc w:val="center"/>
              <w:rPr>
                <w:lang w:val="en-GB"/>
              </w:rPr>
            </w:pPr>
            <w:r w:rsidRPr="00040BEC">
              <w:rPr>
                <w:lang w:val="en-GB"/>
              </w:rPr>
              <w:t>technology neutral</w:t>
            </w:r>
          </w:p>
        </w:tc>
        <w:tc>
          <w:tcPr>
            <w:tcW w:w="2377" w:type="dxa"/>
            <w:vAlign w:val="center"/>
          </w:tcPr>
          <w:p w14:paraId="046ADD60" w14:textId="77777777" w:rsidR="00BA61C3" w:rsidRPr="00040BEC" w:rsidRDefault="00BA61C3" w:rsidP="002F2EC1">
            <w:pPr>
              <w:jc w:val="center"/>
              <w:rPr>
                <w:lang w:val="en-GB"/>
              </w:rPr>
            </w:pPr>
            <w:proofErr w:type="spellStart"/>
            <w:r w:rsidRPr="00040BEC">
              <w:rPr>
                <w:lang w:val="en-GB"/>
              </w:rPr>
              <w:t>n.a</w:t>
            </w:r>
            <w:proofErr w:type="spellEnd"/>
            <w:r w:rsidRPr="00040BEC">
              <w:rPr>
                <w:lang w:val="en-GB"/>
              </w:rPr>
              <w:t>.</w:t>
            </w:r>
          </w:p>
        </w:tc>
      </w:tr>
      <w:tr w:rsidR="00BA61C3" w:rsidRPr="00040BEC" w14:paraId="57E40CF2" w14:textId="77777777" w:rsidTr="00DC16AE">
        <w:trPr>
          <w:trHeight w:hRule="exact" w:val="540"/>
          <w:jc w:val="center"/>
        </w:trPr>
        <w:tc>
          <w:tcPr>
            <w:tcW w:w="1974" w:type="dxa"/>
            <w:vAlign w:val="center"/>
          </w:tcPr>
          <w:p w14:paraId="3BF7B254" w14:textId="77777777" w:rsidR="00BA61C3" w:rsidRPr="00040BEC" w:rsidRDefault="00BA61C3" w:rsidP="002F2EC1">
            <w:pPr>
              <w:jc w:val="center"/>
              <w:rPr>
                <w:lang w:val="en-GB"/>
              </w:rPr>
            </w:pPr>
            <w:proofErr w:type="spellStart"/>
            <w:r w:rsidRPr="00040BEC">
              <w:rPr>
                <w:lang w:val="en-GB"/>
              </w:rPr>
              <w:t>Inquam</w:t>
            </w:r>
            <w:proofErr w:type="spellEnd"/>
            <w:r w:rsidRPr="00040BEC">
              <w:rPr>
                <w:lang w:val="en-GB"/>
              </w:rPr>
              <w:t xml:space="preserve"> Norway AS</w:t>
            </w:r>
          </w:p>
        </w:tc>
        <w:tc>
          <w:tcPr>
            <w:tcW w:w="3098" w:type="dxa"/>
            <w:vAlign w:val="center"/>
          </w:tcPr>
          <w:p w14:paraId="2881224C" w14:textId="7EE762F3" w:rsidR="00BA61C3" w:rsidRPr="00040BEC" w:rsidRDefault="00DC16AE" w:rsidP="002F2EC1">
            <w:pPr>
              <w:jc w:val="center"/>
              <w:rPr>
                <w:lang w:val="en-GB"/>
              </w:rPr>
            </w:pPr>
            <w:r>
              <w:rPr>
                <w:lang w:val="en-GB"/>
              </w:rPr>
              <w:t>2010 -</w:t>
            </w:r>
            <w:r w:rsidR="00BA61C3" w:rsidRPr="00040BEC">
              <w:rPr>
                <w:lang w:val="en-GB"/>
              </w:rPr>
              <w:t xml:space="preserve"> 2025 MHz</w:t>
            </w:r>
          </w:p>
        </w:tc>
        <w:tc>
          <w:tcPr>
            <w:tcW w:w="1984" w:type="dxa"/>
            <w:vAlign w:val="center"/>
          </w:tcPr>
          <w:p w14:paraId="7D0D9905" w14:textId="77777777" w:rsidR="00BA61C3" w:rsidRPr="00040BEC" w:rsidRDefault="00BA61C3" w:rsidP="002F2EC1">
            <w:pPr>
              <w:jc w:val="center"/>
              <w:rPr>
                <w:lang w:val="en-GB"/>
              </w:rPr>
            </w:pPr>
            <w:r w:rsidRPr="00040BEC">
              <w:rPr>
                <w:lang w:val="en-GB"/>
              </w:rPr>
              <w:t>technology neutral</w:t>
            </w:r>
          </w:p>
        </w:tc>
        <w:tc>
          <w:tcPr>
            <w:tcW w:w="2377" w:type="dxa"/>
            <w:vAlign w:val="center"/>
          </w:tcPr>
          <w:p w14:paraId="0DB445BD" w14:textId="77777777" w:rsidR="00BA61C3" w:rsidRPr="00040BEC" w:rsidRDefault="00BA61C3" w:rsidP="002F2EC1">
            <w:pPr>
              <w:jc w:val="center"/>
              <w:rPr>
                <w:lang w:val="en-GB"/>
              </w:rPr>
            </w:pPr>
            <w:r w:rsidRPr="00040BEC">
              <w:rPr>
                <w:lang w:val="en-GB"/>
              </w:rPr>
              <w:t xml:space="preserve">31-12-2022, </w:t>
            </w:r>
            <w:r w:rsidRPr="00040BEC">
              <w:rPr>
                <w:b/>
                <w:lang w:val="en-GB"/>
              </w:rPr>
              <w:t>tradable</w:t>
            </w:r>
          </w:p>
        </w:tc>
      </w:tr>
    </w:tbl>
    <w:p w14:paraId="62D17CF9" w14:textId="77777777" w:rsidR="00B63017" w:rsidRPr="00040BEC" w:rsidRDefault="00B63017" w:rsidP="00B63017">
      <w:pPr>
        <w:overflowPunct w:val="0"/>
        <w:autoSpaceDE w:val="0"/>
        <w:autoSpaceDN w:val="0"/>
        <w:adjustRightInd w:val="0"/>
        <w:textAlignment w:val="baseline"/>
        <w:rPr>
          <w:rFonts w:cs="Arial"/>
          <w:b/>
          <w:szCs w:val="20"/>
          <w:lang w:val="en-GB" w:eastAsia="nl-NL"/>
        </w:rPr>
      </w:pPr>
    </w:p>
    <w:p w14:paraId="19B44D3A" w14:textId="77777777" w:rsidR="00B63017" w:rsidRPr="00040BEC" w:rsidRDefault="00B63017" w:rsidP="00B63017">
      <w:pPr>
        <w:numPr>
          <w:ilvl w:val="0"/>
          <w:numId w:val="17"/>
        </w:numPr>
        <w:suppressAutoHyphens/>
        <w:overflowPunct w:val="0"/>
        <w:autoSpaceDE w:val="0"/>
        <w:autoSpaceDN w:val="0"/>
        <w:adjustRightInd w:val="0"/>
        <w:ind w:left="567" w:hanging="567"/>
        <w:textAlignment w:val="baseline"/>
        <w:rPr>
          <w:rFonts w:cs="Arial"/>
          <w:b/>
          <w:bCs/>
          <w:szCs w:val="20"/>
          <w:lang w:val="en-GB" w:eastAsia="en-IE"/>
        </w:rPr>
      </w:pPr>
      <w:r w:rsidRPr="00040BEC">
        <w:rPr>
          <w:rFonts w:cs="Arial"/>
          <w:b/>
          <w:bCs/>
          <w:szCs w:val="20"/>
          <w:lang w:val="en-GB" w:eastAsia="en-IE"/>
        </w:rPr>
        <w:t>Poland (March 201</w:t>
      </w:r>
      <w:r w:rsidR="00BA61C3" w:rsidRPr="00040BEC">
        <w:rPr>
          <w:rFonts w:cs="Arial"/>
          <w:b/>
          <w:bCs/>
          <w:szCs w:val="20"/>
          <w:lang w:val="en-GB" w:eastAsia="en-IE"/>
        </w:rPr>
        <w:t>4</w:t>
      </w:r>
      <w:r w:rsidRPr="00040BEC">
        <w:rPr>
          <w:rFonts w:cs="Arial"/>
          <w:b/>
          <w:bCs/>
          <w:szCs w:val="20"/>
          <w:lang w:val="en-GB" w:eastAsia="en-IE"/>
        </w:rPr>
        <w:t>)</w:t>
      </w:r>
    </w:p>
    <w:p w14:paraId="35036BB5" w14:textId="77777777" w:rsidR="00B63017" w:rsidRPr="00040BEC" w:rsidRDefault="00B63017" w:rsidP="00B63017">
      <w:pPr>
        <w:suppressAutoHyphens/>
        <w:overflowPunct w:val="0"/>
        <w:autoSpaceDE w:val="0"/>
        <w:autoSpaceDN w:val="0"/>
        <w:adjustRightInd w:val="0"/>
        <w:textAlignment w:val="baseline"/>
        <w:rPr>
          <w:rFonts w:cs="Arial"/>
          <w:b/>
          <w:bCs/>
          <w:szCs w:val="20"/>
          <w:lang w:val="en-GB" w:eastAsia="en-IE"/>
        </w:rPr>
      </w:pPr>
    </w:p>
    <w:p w14:paraId="5F47DD16" w14:textId="77777777" w:rsidR="00B63017" w:rsidRPr="00040BEC" w:rsidRDefault="00B63017" w:rsidP="00B63017">
      <w:pPr>
        <w:suppressAutoHyphens/>
        <w:overflowPunct w:val="0"/>
        <w:autoSpaceDE w:val="0"/>
        <w:autoSpaceDN w:val="0"/>
        <w:adjustRightInd w:val="0"/>
        <w:textAlignment w:val="baseline"/>
        <w:rPr>
          <w:rFonts w:cs="Arial"/>
          <w:b/>
          <w:bCs/>
          <w:szCs w:val="20"/>
          <w:lang w:val="en-GB" w:eastAsia="en-IE"/>
        </w:rPr>
      </w:pPr>
      <w:r w:rsidRPr="00040BEC">
        <w:rPr>
          <w:rFonts w:cs="Arial"/>
          <w:b/>
          <w:szCs w:val="20"/>
          <w:lang w:val="en-GB" w:eastAsia="nl-NL"/>
        </w:rPr>
        <w:t>1900-1920 MHz / 2010-2025 MHz (unpaired frequency arrangement)</w:t>
      </w:r>
    </w:p>
    <w:p w14:paraId="62F98921" w14:textId="77777777" w:rsidR="00B63017" w:rsidRPr="00040BEC" w:rsidRDefault="00B63017" w:rsidP="00B63017">
      <w:pPr>
        <w:overflowPunct w:val="0"/>
        <w:autoSpaceDE w:val="0"/>
        <w:autoSpaceDN w:val="0"/>
        <w:adjustRightInd w:val="0"/>
        <w:jc w:val="both"/>
        <w:textAlignment w:val="baseline"/>
        <w:rPr>
          <w:rFonts w:cs="Arial"/>
          <w:szCs w:val="20"/>
          <w:lang w:val="en-GB" w:eastAsia="nl-NL"/>
        </w:rPr>
      </w:pPr>
    </w:p>
    <w:tbl>
      <w:tblPr>
        <w:tblpPr w:leftFromText="141" w:rightFromText="141" w:vertAnchor="text" w:horzAnchor="margin" w:tblpY="-63"/>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43"/>
        <w:gridCol w:w="2127"/>
        <w:gridCol w:w="1997"/>
        <w:gridCol w:w="2539"/>
      </w:tblGrid>
      <w:tr w:rsidR="00B63017" w:rsidRPr="00040BEC" w14:paraId="59A7B881" w14:textId="77777777" w:rsidTr="00E72FF9">
        <w:trPr>
          <w:trHeight w:val="435"/>
        </w:trPr>
        <w:tc>
          <w:tcPr>
            <w:tcW w:w="2943" w:type="dxa"/>
            <w:vAlign w:val="center"/>
          </w:tcPr>
          <w:p w14:paraId="1A0EA5A9"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Operator</w:t>
            </w:r>
          </w:p>
        </w:tc>
        <w:tc>
          <w:tcPr>
            <w:tcW w:w="2127" w:type="dxa"/>
            <w:vAlign w:val="center"/>
          </w:tcPr>
          <w:p w14:paraId="3EF602BC"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Frequencies</w:t>
            </w:r>
          </w:p>
        </w:tc>
        <w:tc>
          <w:tcPr>
            <w:tcW w:w="1997" w:type="dxa"/>
            <w:vAlign w:val="center"/>
          </w:tcPr>
          <w:p w14:paraId="7ED3C4EE"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Technology in use (optional)</w:t>
            </w:r>
          </w:p>
        </w:tc>
        <w:tc>
          <w:tcPr>
            <w:tcW w:w="2539" w:type="dxa"/>
            <w:vAlign w:val="center"/>
          </w:tcPr>
          <w:p w14:paraId="1D36C81D"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Licence duration, tradability</w:t>
            </w:r>
          </w:p>
        </w:tc>
      </w:tr>
      <w:tr w:rsidR="00B63017" w:rsidRPr="00040BEC" w14:paraId="1AD17E2C" w14:textId="77777777" w:rsidTr="00E72FF9">
        <w:trPr>
          <w:trHeight w:val="358"/>
        </w:trPr>
        <w:tc>
          <w:tcPr>
            <w:tcW w:w="2943" w:type="dxa"/>
          </w:tcPr>
          <w:p w14:paraId="125E2101"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POLKOMTEL S.A.</w:t>
            </w:r>
          </w:p>
        </w:tc>
        <w:tc>
          <w:tcPr>
            <w:tcW w:w="2127" w:type="dxa"/>
          </w:tcPr>
          <w:p w14:paraId="4024EBAB" w14:textId="643CB23A"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1905.1</w:t>
            </w:r>
            <w:r w:rsidR="00DC16AE">
              <w:rPr>
                <w:rFonts w:cs="Arial"/>
                <w:szCs w:val="20"/>
                <w:lang w:val="en-GB" w:eastAsia="nl-NL"/>
              </w:rPr>
              <w:t xml:space="preserve"> </w:t>
            </w:r>
            <w:r w:rsidRPr="00040BEC">
              <w:rPr>
                <w:rFonts w:cs="Arial"/>
                <w:szCs w:val="20"/>
                <w:lang w:val="en-GB" w:eastAsia="nl-NL"/>
              </w:rPr>
              <w:t>-</w:t>
            </w:r>
            <w:r w:rsidR="00DC16AE">
              <w:rPr>
                <w:rFonts w:cs="Arial"/>
                <w:szCs w:val="20"/>
                <w:lang w:val="en-GB" w:eastAsia="nl-NL"/>
              </w:rPr>
              <w:t xml:space="preserve"> </w:t>
            </w:r>
            <w:r w:rsidRPr="00040BEC">
              <w:rPr>
                <w:rFonts w:cs="Arial"/>
                <w:szCs w:val="20"/>
                <w:lang w:val="en-GB" w:eastAsia="nl-NL"/>
              </w:rPr>
              <w:t>1910.1 MHz</w:t>
            </w:r>
          </w:p>
        </w:tc>
        <w:tc>
          <w:tcPr>
            <w:tcW w:w="1997" w:type="dxa"/>
          </w:tcPr>
          <w:p w14:paraId="6371E3D3"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UTRA TDD</w:t>
            </w:r>
          </w:p>
        </w:tc>
        <w:tc>
          <w:tcPr>
            <w:tcW w:w="2539" w:type="dxa"/>
          </w:tcPr>
          <w:p w14:paraId="233DF44A"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20.12.2000 – 01.01.2023</w:t>
            </w:r>
            <w:r w:rsidRPr="00040BEC">
              <w:rPr>
                <w:rFonts w:cs="Arial"/>
                <w:szCs w:val="20"/>
                <w:lang w:val="en-GB" w:eastAsia="nl-NL"/>
              </w:rPr>
              <w:br/>
              <w:t>tradable</w:t>
            </w:r>
          </w:p>
        </w:tc>
      </w:tr>
      <w:tr w:rsidR="00B63017" w:rsidRPr="00040BEC" w14:paraId="091BD597" w14:textId="77777777" w:rsidTr="00E72FF9">
        <w:trPr>
          <w:trHeight w:val="366"/>
        </w:trPr>
        <w:tc>
          <w:tcPr>
            <w:tcW w:w="2943" w:type="dxa"/>
          </w:tcPr>
          <w:p w14:paraId="71E215CE" w14:textId="77777777" w:rsidR="00B63017" w:rsidRPr="007359FB" w:rsidRDefault="00B63017" w:rsidP="00E72FF9">
            <w:pPr>
              <w:overflowPunct w:val="0"/>
              <w:autoSpaceDE w:val="0"/>
              <w:autoSpaceDN w:val="0"/>
              <w:adjustRightInd w:val="0"/>
              <w:textAlignment w:val="baseline"/>
              <w:rPr>
                <w:rFonts w:cs="Arial"/>
                <w:szCs w:val="20"/>
                <w:lang w:val="da-DK" w:eastAsia="nl-NL"/>
              </w:rPr>
            </w:pPr>
            <w:r w:rsidRPr="007359FB">
              <w:rPr>
                <w:rFonts w:cs="Arial"/>
                <w:szCs w:val="20"/>
                <w:lang w:val="da-DK" w:eastAsia="nl-NL"/>
              </w:rPr>
              <w:t>Polska Telefonia Cyfrowa Sp. z o.o.</w:t>
            </w:r>
          </w:p>
        </w:tc>
        <w:tc>
          <w:tcPr>
            <w:tcW w:w="2127" w:type="dxa"/>
          </w:tcPr>
          <w:p w14:paraId="096B660B" w14:textId="7A2E0B29"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1910.1</w:t>
            </w:r>
            <w:r w:rsidR="00DC16AE">
              <w:rPr>
                <w:rFonts w:cs="Arial"/>
                <w:szCs w:val="20"/>
                <w:lang w:val="en-GB" w:eastAsia="nl-NL"/>
              </w:rPr>
              <w:t xml:space="preserve"> </w:t>
            </w:r>
            <w:r w:rsidRPr="00040BEC">
              <w:rPr>
                <w:rFonts w:cs="Arial"/>
                <w:szCs w:val="20"/>
                <w:lang w:val="en-GB" w:eastAsia="nl-NL"/>
              </w:rPr>
              <w:t>-</w:t>
            </w:r>
            <w:r w:rsidR="00DC16AE">
              <w:rPr>
                <w:rFonts w:cs="Arial"/>
                <w:szCs w:val="20"/>
                <w:lang w:val="en-GB" w:eastAsia="nl-NL"/>
              </w:rPr>
              <w:t xml:space="preserve"> </w:t>
            </w:r>
            <w:r w:rsidRPr="00040BEC">
              <w:rPr>
                <w:rFonts w:cs="Arial"/>
                <w:szCs w:val="20"/>
                <w:lang w:val="en-GB" w:eastAsia="nl-NL"/>
              </w:rPr>
              <w:t>1915.1 MHz</w:t>
            </w:r>
          </w:p>
        </w:tc>
        <w:tc>
          <w:tcPr>
            <w:tcW w:w="1997" w:type="dxa"/>
          </w:tcPr>
          <w:p w14:paraId="78365E2D"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UTRA TDD</w:t>
            </w:r>
          </w:p>
        </w:tc>
        <w:tc>
          <w:tcPr>
            <w:tcW w:w="2539" w:type="dxa"/>
          </w:tcPr>
          <w:p w14:paraId="58C7EEAA"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20.12.2000 – 01.01.2023</w:t>
            </w:r>
            <w:r w:rsidRPr="00040BEC">
              <w:rPr>
                <w:rFonts w:cs="Arial"/>
                <w:szCs w:val="20"/>
                <w:lang w:val="en-GB" w:eastAsia="nl-NL"/>
              </w:rPr>
              <w:br/>
              <w:t xml:space="preserve">tradable </w:t>
            </w:r>
          </w:p>
        </w:tc>
      </w:tr>
      <w:tr w:rsidR="00B63017" w:rsidRPr="00040BEC" w14:paraId="5309C4AE" w14:textId="77777777" w:rsidTr="00E72FF9">
        <w:trPr>
          <w:trHeight w:val="20"/>
        </w:trPr>
        <w:tc>
          <w:tcPr>
            <w:tcW w:w="2943" w:type="dxa"/>
          </w:tcPr>
          <w:p w14:paraId="0BDDAF91" w14:textId="77777777" w:rsidR="00B63017" w:rsidRPr="007359FB" w:rsidRDefault="00B63017" w:rsidP="00E72FF9">
            <w:pPr>
              <w:overflowPunct w:val="0"/>
              <w:autoSpaceDE w:val="0"/>
              <w:autoSpaceDN w:val="0"/>
              <w:adjustRightInd w:val="0"/>
              <w:textAlignment w:val="baseline"/>
              <w:rPr>
                <w:rFonts w:cs="Arial"/>
                <w:szCs w:val="20"/>
                <w:lang w:val="da-DK" w:eastAsia="nl-NL"/>
              </w:rPr>
            </w:pPr>
            <w:r w:rsidRPr="007359FB">
              <w:rPr>
                <w:rFonts w:cs="Arial"/>
                <w:szCs w:val="20"/>
                <w:lang w:val="da-DK" w:eastAsia="nl-NL"/>
              </w:rPr>
              <w:t>Polska Telefonia Komórkowa ”Centertel” Sp. z o.o.</w:t>
            </w:r>
          </w:p>
        </w:tc>
        <w:tc>
          <w:tcPr>
            <w:tcW w:w="2127" w:type="dxa"/>
          </w:tcPr>
          <w:p w14:paraId="52A4F982" w14:textId="68DA0F7C"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1915.1</w:t>
            </w:r>
            <w:r w:rsidR="00DC16AE">
              <w:rPr>
                <w:rFonts w:cs="Arial"/>
                <w:szCs w:val="20"/>
                <w:lang w:val="en-GB" w:eastAsia="nl-NL"/>
              </w:rPr>
              <w:t xml:space="preserve"> </w:t>
            </w:r>
            <w:r w:rsidRPr="00040BEC">
              <w:rPr>
                <w:rFonts w:cs="Arial"/>
                <w:szCs w:val="20"/>
                <w:lang w:val="en-GB" w:eastAsia="nl-NL"/>
              </w:rPr>
              <w:t>-</w:t>
            </w:r>
            <w:r w:rsidR="00DC16AE">
              <w:rPr>
                <w:rFonts w:cs="Arial"/>
                <w:szCs w:val="20"/>
                <w:lang w:val="en-GB" w:eastAsia="nl-NL"/>
              </w:rPr>
              <w:t xml:space="preserve"> </w:t>
            </w:r>
            <w:r w:rsidRPr="00040BEC">
              <w:rPr>
                <w:rFonts w:cs="Arial"/>
                <w:szCs w:val="20"/>
                <w:lang w:val="en-GB" w:eastAsia="nl-NL"/>
              </w:rPr>
              <w:t>1920.1 MHz</w:t>
            </w:r>
          </w:p>
        </w:tc>
        <w:tc>
          <w:tcPr>
            <w:tcW w:w="1997" w:type="dxa"/>
          </w:tcPr>
          <w:p w14:paraId="1E04D409"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UTRA TDD</w:t>
            </w:r>
          </w:p>
        </w:tc>
        <w:tc>
          <w:tcPr>
            <w:tcW w:w="2539" w:type="dxa"/>
          </w:tcPr>
          <w:p w14:paraId="3A470EA6"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20.12.2000 – 01.01.2023</w:t>
            </w:r>
            <w:r w:rsidRPr="00040BEC">
              <w:rPr>
                <w:rFonts w:cs="Arial"/>
                <w:szCs w:val="20"/>
                <w:lang w:val="en-GB" w:eastAsia="nl-NL"/>
              </w:rPr>
              <w:br/>
              <w:t>tradable]</w:t>
            </w:r>
          </w:p>
        </w:tc>
      </w:tr>
      <w:tr w:rsidR="00B63017" w:rsidRPr="00040BEC" w14:paraId="0B54D6BA" w14:textId="77777777" w:rsidTr="00E72FF9">
        <w:trPr>
          <w:trHeight w:val="20"/>
        </w:trPr>
        <w:tc>
          <w:tcPr>
            <w:tcW w:w="2943" w:type="dxa"/>
          </w:tcPr>
          <w:p w14:paraId="38CB20E7"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 xml:space="preserve">P4 Sp. z </w:t>
            </w:r>
            <w:proofErr w:type="spellStart"/>
            <w:r w:rsidRPr="00040BEC">
              <w:rPr>
                <w:rFonts w:cs="Arial"/>
                <w:szCs w:val="20"/>
                <w:lang w:val="en-GB" w:eastAsia="nl-NL"/>
              </w:rPr>
              <w:t>o.o</w:t>
            </w:r>
            <w:proofErr w:type="spellEnd"/>
            <w:r w:rsidRPr="00040BEC">
              <w:rPr>
                <w:rFonts w:cs="Arial"/>
                <w:szCs w:val="20"/>
                <w:lang w:val="en-GB" w:eastAsia="nl-NL"/>
              </w:rPr>
              <w:t>.</w:t>
            </w:r>
          </w:p>
        </w:tc>
        <w:tc>
          <w:tcPr>
            <w:tcW w:w="2127" w:type="dxa"/>
          </w:tcPr>
          <w:p w14:paraId="63BA01A7" w14:textId="26697743"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1900.1</w:t>
            </w:r>
            <w:r w:rsidR="00DC16AE">
              <w:rPr>
                <w:rFonts w:cs="Arial"/>
                <w:szCs w:val="20"/>
                <w:lang w:val="en-GB" w:eastAsia="nl-NL"/>
              </w:rPr>
              <w:t xml:space="preserve"> </w:t>
            </w:r>
            <w:r w:rsidRPr="00040BEC">
              <w:rPr>
                <w:rFonts w:cs="Arial"/>
                <w:szCs w:val="20"/>
                <w:lang w:val="en-GB" w:eastAsia="nl-NL"/>
              </w:rPr>
              <w:t>-</w:t>
            </w:r>
            <w:r w:rsidR="00DC16AE">
              <w:rPr>
                <w:rFonts w:cs="Arial"/>
                <w:szCs w:val="20"/>
                <w:lang w:val="en-GB" w:eastAsia="nl-NL"/>
              </w:rPr>
              <w:t xml:space="preserve"> </w:t>
            </w:r>
            <w:r w:rsidRPr="00040BEC">
              <w:rPr>
                <w:rFonts w:cs="Arial"/>
                <w:szCs w:val="20"/>
                <w:lang w:val="en-GB" w:eastAsia="nl-NL"/>
              </w:rPr>
              <w:t>1905.1 MHz</w:t>
            </w:r>
          </w:p>
        </w:tc>
        <w:tc>
          <w:tcPr>
            <w:tcW w:w="1997" w:type="dxa"/>
          </w:tcPr>
          <w:p w14:paraId="71DE454C"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UTRA TDD</w:t>
            </w:r>
          </w:p>
        </w:tc>
        <w:tc>
          <w:tcPr>
            <w:tcW w:w="2539" w:type="dxa"/>
          </w:tcPr>
          <w:p w14:paraId="77156872"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Date 1 – 31.12.2023</w:t>
            </w:r>
            <w:r w:rsidRPr="00040BEC">
              <w:rPr>
                <w:rFonts w:cs="Arial"/>
                <w:szCs w:val="20"/>
                <w:lang w:val="en-GB" w:eastAsia="nl-NL"/>
              </w:rPr>
              <w:br/>
              <w:t>tradable</w:t>
            </w:r>
          </w:p>
        </w:tc>
      </w:tr>
    </w:tbl>
    <w:p w14:paraId="50BE540B" w14:textId="77777777" w:rsidR="00B63017" w:rsidRPr="00040BEC" w:rsidRDefault="00B63017" w:rsidP="00B63017">
      <w:pPr>
        <w:numPr>
          <w:ilvl w:val="0"/>
          <w:numId w:val="17"/>
        </w:numPr>
        <w:suppressAutoHyphens/>
        <w:overflowPunct w:val="0"/>
        <w:autoSpaceDE w:val="0"/>
        <w:autoSpaceDN w:val="0"/>
        <w:adjustRightInd w:val="0"/>
        <w:ind w:left="567" w:hanging="567"/>
        <w:textAlignment w:val="baseline"/>
        <w:rPr>
          <w:rFonts w:cs="Arial"/>
          <w:b/>
          <w:bCs/>
          <w:szCs w:val="20"/>
          <w:lang w:val="en-GB" w:eastAsia="en-IE"/>
        </w:rPr>
      </w:pPr>
      <w:r w:rsidRPr="00040BEC">
        <w:rPr>
          <w:rFonts w:cs="Arial"/>
          <w:b/>
          <w:bCs/>
          <w:szCs w:val="20"/>
          <w:lang w:val="en-GB" w:eastAsia="en-IE"/>
        </w:rPr>
        <w:t>Portugal (</w:t>
      </w:r>
      <w:r w:rsidR="00BA61C3" w:rsidRPr="00040BEC">
        <w:rPr>
          <w:rFonts w:cs="Arial"/>
          <w:b/>
          <w:bCs/>
          <w:szCs w:val="20"/>
          <w:lang w:val="en-GB" w:eastAsia="en-IE"/>
        </w:rPr>
        <w:t>June 2014</w:t>
      </w:r>
      <w:r w:rsidRPr="00040BEC">
        <w:rPr>
          <w:rFonts w:cs="Arial"/>
          <w:b/>
          <w:bCs/>
          <w:szCs w:val="20"/>
          <w:lang w:val="en-GB" w:eastAsia="en-IE"/>
        </w:rPr>
        <w:t>)</w:t>
      </w:r>
    </w:p>
    <w:p w14:paraId="30AB05DC" w14:textId="77777777" w:rsidR="00B63017" w:rsidRPr="00040BEC" w:rsidRDefault="00B63017" w:rsidP="00B63017">
      <w:pPr>
        <w:suppressAutoHyphens/>
        <w:overflowPunct w:val="0"/>
        <w:autoSpaceDE w:val="0"/>
        <w:autoSpaceDN w:val="0"/>
        <w:adjustRightInd w:val="0"/>
        <w:textAlignment w:val="baseline"/>
        <w:rPr>
          <w:rFonts w:cs="Arial"/>
          <w:b/>
          <w:bCs/>
          <w:szCs w:val="20"/>
          <w:lang w:val="en-GB" w:eastAsia="en-IE"/>
        </w:rPr>
      </w:pPr>
    </w:p>
    <w:p w14:paraId="2C0C96EC" w14:textId="77777777" w:rsidR="00B63017" w:rsidRPr="00040BEC" w:rsidRDefault="00B63017" w:rsidP="00B63017">
      <w:pPr>
        <w:overflowPunct w:val="0"/>
        <w:autoSpaceDE w:val="0"/>
        <w:autoSpaceDN w:val="0"/>
        <w:adjustRightInd w:val="0"/>
        <w:textAlignment w:val="baseline"/>
        <w:rPr>
          <w:rFonts w:cs="Arial"/>
          <w:b/>
          <w:szCs w:val="20"/>
          <w:lang w:val="en-GB" w:eastAsia="nl-NL"/>
        </w:rPr>
      </w:pPr>
      <w:r w:rsidRPr="00040BEC">
        <w:rPr>
          <w:rFonts w:cs="Arial"/>
          <w:b/>
          <w:szCs w:val="20"/>
          <w:lang w:val="en-GB" w:eastAsia="nl-NL"/>
        </w:rPr>
        <w:t>1900-1920 MHz / 2010-2025 MHz (unpaired frequency arrangement)</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43"/>
        <w:gridCol w:w="2127"/>
        <w:gridCol w:w="1984"/>
        <w:gridCol w:w="2552"/>
      </w:tblGrid>
      <w:tr w:rsidR="00B63017" w:rsidRPr="00040BEC" w14:paraId="4F4BD613" w14:textId="77777777" w:rsidTr="00DC16AE">
        <w:trPr>
          <w:trHeight w:val="435"/>
        </w:trPr>
        <w:tc>
          <w:tcPr>
            <w:tcW w:w="2943" w:type="dxa"/>
            <w:vAlign w:val="center"/>
          </w:tcPr>
          <w:p w14:paraId="7A06B8F1"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Operator</w:t>
            </w:r>
          </w:p>
        </w:tc>
        <w:tc>
          <w:tcPr>
            <w:tcW w:w="2127" w:type="dxa"/>
            <w:vAlign w:val="center"/>
          </w:tcPr>
          <w:p w14:paraId="6EF1F441"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Frequencies</w:t>
            </w:r>
          </w:p>
        </w:tc>
        <w:tc>
          <w:tcPr>
            <w:tcW w:w="1984" w:type="dxa"/>
            <w:vAlign w:val="center"/>
          </w:tcPr>
          <w:p w14:paraId="53344172"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Technology in use (optional)</w:t>
            </w:r>
          </w:p>
        </w:tc>
        <w:tc>
          <w:tcPr>
            <w:tcW w:w="2552" w:type="dxa"/>
            <w:vAlign w:val="center"/>
          </w:tcPr>
          <w:p w14:paraId="16BF988B"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Licence duration, tradability</w:t>
            </w:r>
            <w:r w:rsidRPr="00040BEC">
              <w:rPr>
                <w:rFonts w:cs="Arial"/>
                <w:b/>
                <w:szCs w:val="20"/>
                <w:vertAlign w:val="superscript"/>
                <w:lang w:val="en-GB" w:eastAsia="nl-NL"/>
              </w:rPr>
              <w:footnoteReference w:customMarkFollows="1" w:id="24"/>
              <w:t>*</w:t>
            </w:r>
          </w:p>
        </w:tc>
      </w:tr>
      <w:tr w:rsidR="00B63017" w:rsidRPr="00040BEC" w14:paraId="098CA3EE" w14:textId="77777777" w:rsidTr="00DC16AE">
        <w:trPr>
          <w:trHeight w:val="417"/>
        </w:trPr>
        <w:tc>
          <w:tcPr>
            <w:tcW w:w="2943" w:type="dxa"/>
          </w:tcPr>
          <w:p w14:paraId="2B607EFB"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Not assigned</w:t>
            </w:r>
          </w:p>
        </w:tc>
        <w:tc>
          <w:tcPr>
            <w:tcW w:w="2127" w:type="dxa"/>
          </w:tcPr>
          <w:p w14:paraId="2FF42220" w14:textId="22990AEB" w:rsidR="00B63017" w:rsidRPr="00040BEC" w:rsidRDefault="00B63017" w:rsidP="00DC16AE">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 xml:space="preserve">1900 </w:t>
            </w:r>
            <w:r w:rsidR="00DC16AE">
              <w:rPr>
                <w:rFonts w:cs="Arial"/>
                <w:szCs w:val="20"/>
                <w:lang w:val="en-GB" w:eastAsia="nl-NL"/>
              </w:rPr>
              <w:t>-</w:t>
            </w:r>
            <w:r w:rsidRPr="00040BEC">
              <w:rPr>
                <w:rFonts w:cs="Arial"/>
                <w:szCs w:val="20"/>
                <w:lang w:val="en-GB" w:eastAsia="nl-NL"/>
              </w:rPr>
              <w:t xml:space="preserve"> 19</w:t>
            </w:r>
            <w:r w:rsidR="008A68DE" w:rsidRPr="00040BEC">
              <w:rPr>
                <w:rFonts w:cs="Arial"/>
                <w:szCs w:val="20"/>
                <w:lang w:val="en-GB" w:eastAsia="nl-NL"/>
              </w:rPr>
              <w:t>20</w:t>
            </w:r>
            <w:r w:rsidRPr="00040BEC">
              <w:rPr>
                <w:rFonts w:cs="Arial"/>
                <w:szCs w:val="20"/>
                <w:lang w:val="en-GB" w:eastAsia="nl-NL"/>
              </w:rPr>
              <w:t xml:space="preserve"> MHz</w:t>
            </w:r>
          </w:p>
        </w:tc>
        <w:tc>
          <w:tcPr>
            <w:tcW w:w="1984" w:type="dxa"/>
          </w:tcPr>
          <w:p w14:paraId="43CDEF48"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w:t>
            </w:r>
          </w:p>
        </w:tc>
        <w:tc>
          <w:tcPr>
            <w:tcW w:w="2552" w:type="dxa"/>
          </w:tcPr>
          <w:p w14:paraId="4E6165D6"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w:t>
            </w:r>
          </w:p>
        </w:tc>
      </w:tr>
      <w:tr w:rsidR="00B63017" w:rsidRPr="00040BEC" w14:paraId="5F385DAB" w14:textId="77777777" w:rsidTr="00DC16AE">
        <w:trPr>
          <w:trHeight w:val="349"/>
        </w:trPr>
        <w:tc>
          <w:tcPr>
            <w:tcW w:w="2943" w:type="dxa"/>
          </w:tcPr>
          <w:p w14:paraId="73798520"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Not assigned</w:t>
            </w:r>
          </w:p>
        </w:tc>
        <w:tc>
          <w:tcPr>
            <w:tcW w:w="2127" w:type="dxa"/>
          </w:tcPr>
          <w:p w14:paraId="17F50826" w14:textId="5AF80EED" w:rsidR="00B63017" w:rsidRPr="00040BEC" w:rsidRDefault="00DC16AE" w:rsidP="00E72FF9">
            <w:pPr>
              <w:overflowPunct w:val="0"/>
              <w:autoSpaceDE w:val="0"/>
              <w:autoSpaceDN w:val="0"/>
              <w:adjustRightInd w:val="0"/>
              <w:textAlignment w:val="baseline"/>
              <w:rPr>
                <w:rFonts w:cs="Arial"/>
                <w:szCs w:val="20"/>
                <w:lang w:val="en-GB" w:eastAsia="nl-NL"/>
              </w:rPr>
            </w:pPr>
            <w:r>
              <w:rPr>
                <w:rFonts w:cs="Arial"/>
                <w:szCs w:val="20"/>
                <w:lang w:val="en-GB" w:eastAsia="nl-NL"/>
              </w:rPr>
              <w:t>2010 -</w:t>
            </w:r>
            <w:r w:rsidR="00B63017" w:rsidRPr="00040BEC">
              <w:rPr>
                <w:rFonts w:cs="Arial"/>
                <w:szCs w:val="20"/>
                <w:lang w:val="en-GB" w:eastAsia="nl-NL"/>
              </w:rPr>
              <w:t xml:space="preserve"> 2025 MHz</w:t>
            </w:r>
          </w:p>
        </w:tc>
        <w:tc>
          <w:tcPr>
            <w:tcW w:w="1984" w:type="dxa"/>
          </w:tcPr>
          <w:p w14:paraId="2E466675"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w:t>
            </w:r>
          </w:p>
        </w:tc>
        <w:tc>
          <w:tcPr>
            <w:tcW w:w="2552" w:type="dxa"/>
          </w:tcPr>
          <w:p w14:paraId="5DD56960"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w:t>
            </w:r>
          </w:p>
        </w:tc>
      </w:tr>
    </w:tbl>
    <w:p w14:paraId="106E4224" w14:textId="77777777" w:rsidR="000C6788" w:rsidRPr="00040BEC" w:rsidRDefault="000C6788" w:rsidP="00B63017">
      <w:pPr>
        <w:overflowPunct w:val="0"/>
        <w:autoSpaceDE w:val="0"/>
        <w:autoSpaceDN w:val="0"/>
        <w:adjustRightInd w:val="0"/>
        <w:textAlignment w:val="baseline"/>
        <w:rPr>
          <w:rFonts w:cs="Arial"/>
          <w:b/>
          <w:szCs w:val="20"/>
          <w:lang w:val="en-GB" w:eastAsia="nl-NL"/>
        </w:rPr>
      </w:pPr>
    </w:p>
    <w:p w14:paraId="611F4853" w14:textId="77777777" w:rsidR="00B63017" w:rsidRPr="00040BEC" w:rsidRDefault="00B63017" w:rsidP="00B63017">
      <w:pPr>
        <w:keepNext/>
        <w:numPr>
          <w:ilvl w:val="0"/>
          <w:numId w:val="17"/>
        </w:numPr>
        <w:suppressAutoHyphens/>
        <w:overflowPunct w:val="0"/>
        <w:autoSpaceDE w:val="0"/>
        <w:autoSpaceDN w:val="0"/>
        <w:adjustRightInd w:val="0"/>
        <w:ind w:left="567" w:hanging="567"/>
        <w:textAlignment w:val="baseline"/>
        <w:rPr>
          <w:rFonts w:cs="Arial"/>
          <w:b/>
          <w:bCs/>
          <w:szCs w:val="20"/>
          <w:lang w:val="en-GB" w:eastAsia="en-IE"/>
        </w:rPr>
      </w:pPr>
      <w:r w:rsidRPr="00040BEC">
        <w:rPr>
          <w:rFonts w:cs="Arial"/>
          <w:b/>
          <w:bCs/>
          <w:szCs w:val="20"/>
          <w:lang w:val="en-GB" w:eastAsia="en-IE"/>
        </w:rPr>
        <w:t>Romania (June 2007)</w:t>
      </w:r>
    </w:p>
    <w:p w14:paraId="08267238" w14:textId="77777777" w:rsidR="00B63017" w:rsidRPr="00040BEC" w:rsidRDefault="00B63017" w:rsidP="00B63017">
      <w:pPr>
        <w:keepNext/>
        <w:suppressAutoHyphens/>
        <w:overflowPunct w:val="0"/>
        <w:autoSpaceDE w:val="0"/>
        <w:autoSpaceDN w:val="0"/>
        <w:adjustRightInd w:val="0"/>
        <w:textAlignment w:val="baseline"/>
        <w:rPr>
          <w:rFonts w:cs="Arial"/>
          <w:b/>
          <w:bCs/>
          <w:szCs w:val="20"/>
          <w:lang w:val="en-GB" w:eastAsia="en-IE"/>
        </w:rPr>
      </w:pPr>
    </w:p>
    <w:p w14:paraId="45F88E8F" w14:textId="77777777" w:rsidR="00B63017" w:rsidRPr="00040BEC" w:rsidRDefault="00BA61C3" w:rsidP="00B63017">
      <w:pPr>
        <w:suppressAutoHyphens/>
        <w:rPr>
          <w:rFonts w:cs="Arial"/>
          <w:b/>
          <w:i/>
          <w:szCs w:val="20"/>
          <w:lang w:val="en-GB" w:eastAsia="en-IE"/>
        </w:rPr>
      </w:pPr>
      <w:r w:rsidRPr="00040BEC">
        <w:rPr>
          <w:rFonts w:cs="Arial"/>
          <w:b/>
          <w:i/>
          <w:szCs w:val="20"/>
          <w:lang w:val="en-GB" w:eastAsia="en-IE"/>
        </w:rPr>
        <w:t>1900-1920 MHz / 2010-2025 MHz (unpaired frequency arrangement)</w:t>
      </w:r>
    </w:p>
    <w:tbl>
      <w:tblPr>
        <w:tblW w:w="94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84"/>
        <w:gridCol w:w="1559"/>
        <w:gridCol w:w="2127"/>
        <w:gridCol w:w="2409"/>
        <w:gridCol w:w="1992"/>
      </w:tblGrid>
      <w:tr w:rsidR="00B63017" w:rsidRPr="00040BEC" w14:paraId="6206AA41" w14:textId="77777777" w:rsidTr="00DC16AE">
        <w:trPr>
          <w:trHeight w:val="571"/>
        </w:trPr>
        <w:tc>
          <w:tcPr>
            <w:tcW w:w="1384" w:type="dxa"/>
            <w:shd w:val="clear" w:color="auto" w:fill="auto"/>
          </w:tcPr>
          <w:p w14:paraId="6B81D0F9" w14:textId="77777777" w:rsidR="00B63017" w:rsidRPr="00040BEC" w:rsidRDefault="00B63017" w:rsidP="00DC16AE">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Operator</w:t>
            </w:r>
          </w:p>
        </w:tc>
        <w:tc>
          <w:tcPr>
            <w:tcW w:w="1559" w:type="dxa"/>
            <w:shd w:val="clear" w:color="auto" w:fill="auto"/>
          </w:tcPr>
          <w:p w14:paraId="6E3AD62B" w14:textId="77777777" w:rsidR="00B63017" w:rsidRPr="00040BEC" w:rsidRDefault="00B63017" w:rsidP="00DC16AE">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Licence start</w:t>
            </w:r>
          </w:p>
        </w:tc>
        <w:tc>
          <w:tcPr>
            <w:tcW w:w="2127" w:type="dxa"/>
            <w:shd w:val="clear" w:color="auto" w:fill="auto"/>
          </w:tcPr>
          <w:p w14:paraId="6237173F" w14:textId="77777777" w:rsidR="00B63017" w:rsidRPr="00040BEC" w:rsidRDefault="00B63017" w:rsidP="00DC16AE">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 xml:space="preserve">Licence expiry </w:t>
            </w:r>
            <w:r w:rsidRPr="00040BEC">
              <w:rPr>
                <w:rFonts w:cs="Arial"/>
                <w:b/>
                <w:bCs/>
                <w:szCs w:val="20"/>
                <w:lang w:val="en-GB" w:eastAsia="nl-NL"/>
              </w:rPr>
              <w:t>(or duration)</w:t>
            </w:r>
          </w:p>
        </w:tc>
        <w:tc>
          <w:tcPr>
            <w:tcW w:w="2409" w:type="dxa"/>
            <w:shd w:val="clear" w:color="auto" w:fill="auto"/>
          </w:tcPr>
          <w:p w14:paraId="7683ADD1" w14:textId="77777777" w:rsidR="00B63017" w:rsidRPr="00040BEC" w:rsidRDefault="00B63017" w:rsidP="00DC16AE">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Frequencies</w:t>
            </w:r>
          </w:p>
        </w:tc>
        <w:tc>
          <w:tcPr>
            <w:tcW w:w="1992" w:type="dxa"/>
            <w:shd w:val="clear" w:color="auto" w:fill="auto"/>
          </w:tcPr>
          <w:p w14:paraId="34B01447" w14:textId="77777777" w:rsidR="00B63017" w:rsidRPr="00040BEC" w:rsidRDefault="00B63017" w:rsidP="00DC16AE">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Comments</w:t>
            </w:r>
          </w:p>
        </w:tc>
      </w:tr>
      <w:tr w:rsidR="00B63017" w:rsidRPr="00040BEC" w14:paraId="6BAF60E0" w14:textId="77777777" w:rsidTr="00DC16AE">
        <w:trPr>
          <w:trHeight w:val="571"/>
        </w:trPr>
        <w:tc>
          <w:tcPr>
            <w:tcW w:w="1384" w:type="dxa"/>
            <w:shd w:val="clear" w:color="auto" w:fill="auto"/>
          </w:tcPr>
          <w:p w14:paraId="34BE5DE0"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Vodafone Romania</w:t>
            </w:r>
          </w:p>
        </w:tc>
        <w:tc>
          <w:tcPr>
            <w:tcW w:w="1559" w:type="dxa"/>
            <w:shd w:val="clear" w:color="auto" w:fill="auto"/>
          </w:tcPr>
          <w:p w14:paraId="06242130"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March 2005</w:t>
            </w:r>
          </w:p>
        </w:tc>
        <w:tc>
          <w:tcPr>
            <w:tcW w:w="2127" w:type="dxa"/>
            <w:shd w:val="clear" w:color="auto" w:fill="auto"/>
          </w:tcPr>
          <w:p w14:paraId="3319D481"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March 2020</w:t>
            </w:r>
          </w:p>
        </w:tc>
        <w:tc>
          <w:tcPr>
            <w:tcW w:w="2409" w:type="dxa"/>
            <w:shd w:val="clear" w:color="auto" w:fill="auto"/>
          </w:tcPr>
          <w:p w14:paraId="00FA16D5"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1909.9-1914.9 MHz</w:t>
            </w:r>
          </w:p>
        </w:tc>
        <w:tc>
          <w:tcPr>
            <w:tcW w:w="1992" w:type="dxa"/>
            <w:shd w:val="clear" w:color="auto" w:fill="auto"/>
          </w:tcPr>
          <w:p w14:paraId="154AA52D" w14:textId="751E067A" w:rsidR="00B63017" w:rsidRPr="00040BEC" w:rsidRDefault="00F82D5F" w:rsidP="00DC16AE">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Not tradable</w:t>
            </w:r>
          </w:p>
        </w:tc>
      </w:tr>
      <w:tr w:rsidR="00B63017" w:rsidRPr="00040BEC" w14:paraId="186424A9" w14:textId="77777777" w:rsidTr="00DC16AE">
        <w:trPr>
          <w:trHeight w:val="558"/>
        </w:trPr>
        <w:tc>
          <w:tcPr>
            <w:tcW w:w="1384" w:type="dxa"/>
            <w:shd w:val="clear" w:color="auto" w:fill="auto"/>
          </w:tcPr>
          <w:p w14:paraId="42245930"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Orange Romania</w:t>
            </w:r>
          </w:p>
        </w:tc>
        <w:tc>
          <w:tcPr>
            <w:tcW w:w="1559" w:type="dxa"/>
            <w:shd w:val="clear" w:color="auto" w:fill="auto"/>
          </w:tcPr>
          <w:p w14:paraId="077E6693"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March 2005</w:t>
            </w:r>
          </w:p>
        </w:tc>
        <w:tc>
          <w:tcPr>
            <w:tcW w:w="2127" w:type="dxa"/>
            <w:shd w:val="clear" w:color="auto" w:fill="auto"/>
          </w:tcPr>
          <w:p w14:paraId="1731CA9B"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March 2020</w:t>
            </w:r>
          </w:p>
        </w:tc>
        <w:tc>
          <w:tcPr>
            <w:tcW w:w="2409" w:type="dxa"/>
            <w:shd w:val="clear" w:color="auto" w:fill="auto"/>
          </w:tcPr>
          <w:p w14:paraId="6C364E6F"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1904.9-1909.9 MHz</w:t>
            </w:r>
          </w:p>
        </w:tc>
        <w:tc>
          <w:tcPr>
            <w:tcW w:w="1992" w:type="dxa"/>
            <w:shd w:val="clear" w:color="auto" w:fill="auto"/>
          </w:tcPr>
          <w:p w14:paraId="7A6BE604" w14:textId="02758A90" w:rsidR="00B63017" w:rsidRPr="00040BEC" w:rsidRDefault="00F82D5F" w:rsidP="00DC16AE">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Not tradable</w:t>
            </w:r>
          </w:p>
        </w:tc>
      </w:tr>
      <w:tr w:rsidR="00B63017" w:rsidRPr="00040BEC" w14:paraId="7543A461" w14:textId="77777777" w:rsidTr="00DC16AE">
        <w:trPr>
          <w:trHeight w:val="421"/>
        </w:trPr>
        <w:tc>
          <w:tcPr>
            <w:tcW w:w="1384" w:type="dxa"/>
            <w:shd w:val="clear" w:color="auto" w:fill="auto"/>
          </w:tcPr>
          <w:p w14:paraId="54DF2EF3"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RCS&amp;RDS</w:t>
            </w:r>
          </w:p>
        </w:tc>
        <w:tc>
          <w:tcPr>
            <w:tcW w:w="1559" w:type="dxa"/>
            <w:shd w:val="clear" w:color="auto" w:fill="auto"/>
          </w:tcPr>
          <w:p w14:paraId="11190C07"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January 2007</w:t>
            </w:r>
          </w:p>
        </w:tc>
        <w:tc>
          <w:tcPr>
            <w:tcW w:w="2127" w:type="dxa"/>
            <w:shd w:val="clear" w:color="auto" w:fill="auto"/>
          </w:tcPr>
          <w:p w14:paraId="08EF23AA"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January 2022</w:t>
            </w:r>
          </w:p>
        </w:tc>
        <w:tc>
          <w:tcPr>
            <w:tcW w:w="2409" w:type="dxa"/>
            <w:shd w:val="clear" w:color="auto" w:fill="auto"/>
          </w:tcPr>
          <w:p w14:paraId="5937F04C"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1914.9-1919.9 MHz</w:t>
            </w:r>
          </w:p>
        </w:tc>
        <w:tc>
          <w:tcPr>
            <w:tcW w:w="1992" w:type="dxa"/>
            <w:shd w:val="clear" w:color="auto" w:fill="auto"/>
          </w:tcPr>
          <w:p w14:paraId="520A6EA5" w14:textId="6C3B12F5" w:rsidR="00B63017" w:rsidRPr="00040BEC" w:rsidRDefault="00F82D5F" w:rsidP="00DC16AE">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Not tradable</w:t>
            </w:r>
          </w:p>
        </w:tc>
      </w:tr>
    </w:tbl>
    <w:p w14:paraId="3F06016B" w14:textId="782063C8" w:rsidR="00DC16AE" w:rsidRDefault="00DC16AE" w:rsidP="00B63017">
      <w:pPr>
        <w:suppressAutoHyphens/>
        <w:rPr>
          <w:rFonts w:cs="Arial"/>
          <w:b/>
          <w:bCs/>
          <w:szCs w:val="20"/>
          <w:lang w:val="en-GB" w:eastAsia="en-IE"/>
        </w:rPr>
      </w:pPr>
    </w:p>
    <w:p w14:paraId="0DA0F40F" w14:textId="77777777" w:rsidR="00DC16AE" w:rsidRDefault="00DC16AE">
      <w:pPr>
        <w:rPr>
          <w:rFonts w:cs="Arial"/>
          <w:b/>
          <w:bCs/>
          <w:szCs w:val="20"/>
          <w:lang w:val="en-GB" w:eastAsia="en-IE"/>
        </w:rPr>
      </w:pPr>
      <w:r>
        <w:rPr>
          <w:rFonts w:cs="Arial"/>
          <w:b/>
          <w:bCs/>
          <w:szCs w:val="20"/>
          <w:lang w:val="en-GB" w:eastAsia="en-IE"/>
        </w:rPr>
        <w:br w:type="page"/>
      </w:r>
    </w:p>
    <w:p w14:paraId="64713A2A" w14:textId="77777777" w:rsidR="00B63017" w:rsidRPr="00040BEC" w:rsidRDefault="00B63017" w:rsidP="00B63017">
      <w:pPr>
        <w:numPr>
          <w:ilvl w:val="0"/>
          <w:numId w:val="17"/>
        </w:numPr>
        <w:suppressAutoHyphens/>
        <w:overflowPunct w:val="0"/>
        <w:autoSpaceDE w:val="0"/>
        <w:autoSpaceDN w:val="0"/>
        <w:adjustRightInd w:val="0"/>
        <w:ind w:left="567" w:hanging="567"/>
        <w:textAlignment w:val="baseline"/>
        <w:rPr>
          <w:rFonts w:cs="Arial"/>
          <w:b/>
          <w:bCs/>
          <w:szCs w:val="20"/>
          <w:lang w:val="en-GB" w:eastAsia="en-IE"/>
        </w:rPr>
      </w:pPr>
      <w:r w:rsidRPr="00040BEC">
        <w:rPr>
          <w:rFonts w:cs="Arial"/>
          <w:b/>
          <w:bCs/>
          <w:szCs w:val="20"/>
          <w:lang w:val="en-GB" w:eastAsia="en-IE"/>
        </w:rPr>
        <w:lastRenderedPageBreak/>
        <w:t>Russian Federation (September 2010)</w:t>
      </w:r>
    </w:p>
    <w:p w14:paraId="66D1445B" w14:textId="77777777" w:rsidR="00B63017" w:rsidRPr="00040BEC" w:rsidRDefault="00B63017" w:rsidP="00B63017">
      <w:pPr>
        <w:overflowPunct w:val="0"/>
        <w:autoSpaceDE w:val="0"/>
        <w:autoSpaceDN w:val="0"/>
        <w:adjustRightInd w:val="0"/>
        <w:textAlignment w:val="baseline"/>
        <w:rPr>
          <w:rFonts w:cs="Arial"/>
          <w:b/>
          <w:szCs w:val="20"/>
          <w:lang w:val="en-GB" w:eastAsia="nl-NL"/>
        </w:rPr>
      </w:pPr>
    </w:p>
    <w:p w14:paraId="053854DE" w14:textId="77777777" w:rsidR="00B63017" w:rsidRPr="00040BEC" w:rsidRDefault="00B63017" w:rsidP="00B63017">
      <w:pPr>
        <w:overflowPunct w:val="0"/>
        <w:autoSpaceDE w:val="0"/>
        <w:autoSpaceDN w:val="0"/>
        <w:adjustRightInd w:val="0"/>
        <w:textAlignment w:val="baseline"/>
        <w:rPr>
          <w:rFonts w:cs="Arial"/>
          <w:b/>
          <w:szCs w:val="20"/>
          <w:lang w:val="en-GB" w:eastAsia="nl-NL"/>
        </w:rPr>
      </w:pPr>
      <w:r w:rsidRPr="00040BEC">
        <w:rPr>
          <w:rFonts w:cs="Arial"/>
          <w:b/>
          <w:szCs w:val="20"/>
          <w:lang w:val="en-GB" w:eastAsia="nl-NL"/>
        </w:rPr>
        <w:t>1900-1920 MHz / 2010-2025 MHz (unpaired frequency arrangement)</w:t>
      </w: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19"/>
        <w:gridCol w:w="2268"/>
        <w:gridCol w:w="1985"/>
        <w:gridCol w:w="2692"/>
      </w:tblGrid>
      <w:tr w:rsidR="00B63017" w:rsidRPr="00040BEC" w14:paraId="585B9506" w14:textId="77777777" w:rsidTr="007007B4">
        <w:trPr>
          <w:trHeight w:val="435"/>
        </w:trPr>
        <w:tc>
          <w:tcPr>
            <w:tcW w:w="2519" w:type="dxa"/>
            <w:vAlign w:val="center"/>
          </w:tcPr>
          <w:p w14:paraId="5D1C7B26"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Operator</w:t>
            </w:r>
          </w:p>
        </w:tc>
        <w:tc>
          <w:tcPr>
            <w:tcW w:w="2268" w:type="dxa"/>
            <w:vAlign w:val="center"/>
          </w:tcPr>
          <w:p w14:paraId="28AD4AFB"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Frequencies</w:t>
            </w:r>
          </w:p>
        </w:tc>
        <w:tc>
          <w:tcPr>
            <w:tcW w:w="1985" w:type="dxa"/>
            <w:vAlign w:val="center"/>
          </w:tcPr>
          <w:p w14:paraId="1B22416C"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Technology in use (optional)</w:t>
            </w:r>
          </w:p>
        </w:tc>
        <w:tc>
          <w:tcPr>
            <w:tcW w:w="2692" w:type="dxa"/>
            <w:vAlign w:val="center"/>
          </w:tcPr>
          <w:p w14:paraId="0C349598"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Licence duration, tradability</w:t>
            </w:r>
          </w:p>
        </w:tc>
      </w:tr>
      <w:tr w:rsidR="00B63017" w:rsidRPr="00040BEC" w14:paraId="49F08E1F" w14:textId="77777777" w:rsidTr="007007B4">
        <w:trPr>
          <w:trHeight w:val="357"/>
        </w:trPr>
        <w:tc>
          <w:tcPr>
            <w:tcW w:w="2519" w:type="dxa"/>
          </w:tcPr>
          <w:p w14:paraId="4C70F8D8" w14:textId="77777777" w:rsidR="00B63017" w:rsidRPr="00040BEC" w:rsidRDefault="00B63017" w:rsidP="007007B4">
            <w:pPr>
              <w:spacing w:before="40"/>
              <w:rPr>
                <w:rFonts w:cs="Arial"/>
                <w:szCs w:val="20"/>
                <w:lang w:val="en-GB"/>
              </w:rPr>
            </w:pPr>
            <w:r w:rsidRPr="00040BEC">
              <w:rPr>
                <w:rFonts w:cs="Arial"/>
                <w:szCs w:val="20"/>
                <w:lang w:val="en-GB"/>
              </w:rPr>
              <w:t>OJSC «</w:t>
            </w:r>
            <w:proofErr w:type="spellStart"/>
            <w:r w:rsidRPr="00040BEC">
              <w:rPr>
                <w:rFonts w:cs="Arial"/>
                <w:szCs w:val="20"/>
                <w:lang w:val="en-GB"/>
              </w:rPr>
              <w:t>Megafon</w:t>
            </w:r>
            <w:proofErr w:type="spellEnd"/>
            <w:r w:rsidRPr="00040BEC">
              <w:rPr>
                <w:rFonts w:cs="Arial"/>
                <w:szCs w:val="20"/>
                <w:lang w:val="en-GB"/>
              </w:rPr>
              <w:t>»</w:t>
            </w:r>
          </w:p>
        </w:tc>
        <w:tc>
          <w:tcPr>
            <w:tcW w:w="2268" w:type="dxa"/>
          </w:tcPr>
          <w:p w14:paraId="2507655D" w14:textId="3AD4565B" w:rsidR="00B63017" w:rsidRPr="00040BEC" w:rsidRDefault="00B63017" w:rsidP="007007B4">
            <w:pPr>
              <w:overflowPunct w:val="0"/>
              <w:autoSpaceDE w:val="0"/>
              <w:autoSpaceDN w:val="0"/>
              <w:adjustRightInd w:val="0"/>
              <w:spacing w:before="40"/>
              <w:textAlignment w:val="baseline"/>
              <w:rPr>
                <w:rFonts w:cs="Arial"/>
                <w:szCs w:val="20"/>
                <w:lang w:val="en-GB" w:eastAsia="nl-NL"/>
              </w:rPr>
            </w:pPr>
            <w:r w:rsidRPr="00040BEC">
              <w:rPr>
                <w:rFonts w:cs="Arial"/>
                <w:szCs w:val="20"/>
                <w:lang w:val="en-GB" w:eastAsia="nl-NL"/>
              </w:rPr>
              <w:t>2010</w:t>
            </w:r>
            <w:r w:rsidR="00DC16AE">
              <w:rPr>
                <w:rFonts w:cs="Arial"/>
                <w:szCs w:val="20"/>
                <w:lang w:val="en-GB" w:eastAsia="nl-NL"/>
              </w:rPr>
              <w:t xml:space="preserve"> </w:t>
            </w:r>
            <w:r w:rsidRPr="00040BEC">
              <w:rPr>
                <w:rFonts w:cs="Arial"/>
                <w:szCs w:val="20"/>
                <w:lang w:val="en-GB" w:eastAsia="nl-NL"/>
              </w:rPr>
              <w:t>-</w:t>
            </w:r>
            <w:r w:rsidR="00DC16AE">
              <w:rPr>
                <w:rFonts w:cs="Arial"/>
                <w:szCs w:val="20"/>
                <w:lang w:val="en-GB" w:eastAsia="nl-NL"/>
              </w:rPr>
              <w:t xml:space="preserve"> </w:t>
            </w:r>
            <w:r w:rsidRPr="00040BEC">
              <w:rPr>
                <w:rFonts w:cs="Arial"/>
                <w:szCs w:val="20"/>
                <w:lang w:val="en-GB" w:eastAsia="nl-NL"/>
              </w:rPr>
              <w:t>2015 MHz</w:t>
            </w:r>
          </w:p>
        </w:tc>
        <w:tc>
          <w:tcPr>
            <w:tcW w:w="1985" w:type="dxa"/>
          </w:tcPr>
          <w:p w14:paraId="27C87408" w14:textId="77777777" w:rsidR="00B63017" w:rsidRPr="00040BEC" w:rsidRDefault="00B63017" w:rsidP="007007B4">
            <w:pPr>
              <w:overflowPunct w:val="0"/>
              <w:autoSpaceDE w:val="0"/>
              <w:autoSpaceDN w:val="0"/>
              <w:adjustRightInd w:val="0"/>
              <w:spacing w:before="40"/>
              <w:textAlignment w:val="baseline"/>
              <w:rPr>
                <w:rFonts w:cs="Arial"/>
                <w:szCs w:val="20"/>
                <w:lang w:val="en-GB" w:eastAsia="nl-NL"/>
              </w:rPr>
            </w:pPr>
            <w:r w:rsidRPr="00040BEC">
              <w:rPr>
                <w:rFonts w:cs="Arial"/>
                <w:szCs w:val="20"/>
                <w:lang w:val="en-GB" w:eastAsia="nl-NL"/>
              </w:rPr>
              <w:t>UTRA TDD</w:t>
            </w:r>
          </w:p>
        </w:tc>
        <w:tc>
          <w:tcPr>
            <w:tcW w:w="2692" w:type="dxa"/>
          </w:tcPr>
          <w:p w14:paraId="5018292D" w14:textId="3153391D" w:rsidR="00B63017" w:rsidRPr="00040BEC" w:rsidRDefault="00B63017" w:rsidP="007007B4">
            <w:pPr>
              <w:overflowPunct w:val="0"/>
              <w:autoSpaceDE w:val="0"/>
              <w:autoSpaceDN w:val="0"/>
              <w:adjustRightInd w:val="0"/>
              <w:spacing w:before="40"/>
              <w:textAlignment w:val="baseline"/>
              <w:rPr>
                <w:rFonts w:cs="Arial"/>
                <w:szCs w:val="20"/>
                <w:lang w:val="en-GB" w:eastAsia="nl-NL"/>
              </w:rPr>
            </w:pPr>
            <w:r w:rsidRPr="00040BEC">
              <w:rPr>
                <w:rFonts w:cs="Arial"/>
                <w:szCs w:val="20"/>
                <w:lang w:val="en-GB" w:eastAsia="nl-NL"/>
              </w:rPr>
              <w:t>2017</w:t>
            </w:r>
            <w:r w:rsidR="00F82D5F" w:rsidRPr="00040BEC">
              <w:rPr>
                <w:rFonts w:cs="Arial"/>
                <w:szCs w:val="20"/>
                <w:lang w:val="en-GB" w:eastAsia="nl-NL"/>
              </w:rPr>
              <w:t>, not tradable</w:t>
            </w:r>
          </w:p>
        </w:tc>
      </w:tr>
      <w:tr w:rsidR="00B63017" w:rsidRPr="00040BEC" w14:paraId="1DD62B4D" w14:textId="77777777" w:rsidTr="007007B4">
        <w:trPr>
          <w:trHeight w:val="449"/>
        </w:trPr>
        <w:tc>
          <w:tcPr>
            <w:tcW w:w="2519" w:type="dxa"/>
          </w:tcPr>
          <w:p w14:paraId="2C890EE2" w14:textId="77777777" w:rsidR="00B63017" w:rsidRPr="00040BEC" w:rsidRDefault="00B63017" w:rsidP="007007B4">
            <w:pPr>
              <w:spacing w:before="40"/>
              <w:rPr>
                <w:rFonts w:cs="Arial"/>
                <w:szCs w:val="20"/>
                <w:lang w:val="en-GB"/>
              </w:rPr>
            </w:pPr>
            <w:r w:rsidRPr="00040BEC">
              <w:rPr>
                <w:rFonts w:cs="Arial"/>
                <w:szCs w:val="20"/>
                <w:lang w:val="en-GB"/>
              </w:rPr>
              <w:t xml:space="preserve">OJSC «Mobile </w:t>
            </w:r>
            <w:proofErr w:type="spellStart"/>
            <w:r w:rsidRPr="00040BEC">
              <w:rPr>
                <w:rFonts w:cs="Arial"/>
                <w:szCs w:val="20"/>
                <w:lang w:val="en-GB"/>
              </w:rPr>
              <w:t>TeleSystems</w:t>
            </w:r>
            <w:proofErr w:type="spellEnd"/>
            <w:r w:rsidRPr="00040BEC">
              <w:rPr>
                <w:rFonts w:cs="Arial"/>
                <w:szCs w:val="20"/>
                <w:lang w:val="en-GB"/>
              </w:rPr>
              <w:t>»</w:t>
            </w:r>
          </w:p>
        </w:tc>
        <w:tc>
          <w:tcPr>
            <w:tcW w:w="2268" w:type="dxa"/>
          </w:tcPr>
          <w:p w14:paraId="210CC2DA" w14:textId="0135122E" w:rsidR="00B63017" w:rsidRPr="00040BEC" w:rsidRDefault="00B63017" w:rsidP="007007B4">
            <w:pPr>
              <w:overflowPunct w:val="0"/>
              <w:autoSpaceDE w:val="0"/>
              <w:autoSpaceDN w:val="0"/>
              <w:adjustRightInd w:val="0"/>
              <w:spacing w:before="40"/>
              <w:textAlignment w:val="baseline"/>
              <w:rPr>
                <w:rFonts w:cs="Arial"/>
                <w:szCs w:val="20"/>
                <w:lang w:val="en-GB" w:eastAsia="nl-NL"/>
              </w:rPr>
            </w:pPr>
            <w:r w:rsidRPr="00040BEC">
              <w:rPr>
                <w:rFonts w:cs="Arial"/>
                <w:szCs w:val="20"/>
                <w:lang w:val="en-GB" w:eastAsia="nl-NL"/>
              </w:rPr>
              <w:t>2015</w:t>
            </w:r>
            <w:r w:rsidR="00DC16AE">
              <w:rPr>
                <w:rFonts w:cs="Arial"/>
                <w:szCs w:val="20"/>
                <w:lang w:val="en-GB" w:eastAsia="nl-NL"/>
              </w:rPr>
              <w:t xml:space="preserve"> </w:t>
            </w:r>
            <w:r w:rsidRPr="00040BEC">
              <w:rPr>
                <w:rFonts w:cs="Arial"/>
                <w:szCs w:val="20"/>
                <w:lang w:val="en-GB" w:eastAsia="nl-NL"/>
              </w:rPr>
              <w:t>-</w:t>
            </w:r>
            <w:r w:rsidR="00DC16AE">
              <w:rPr>
                <w:rFonts w:cs="Arial"/>
                <w:szCs w:val="20"/>
                <w:lang w:val="en-GB" w:eastAsia="nl-NL"/>
              </w:rPr>
              <w:t xml:space="preserve"> </w:t>
            </w:r>
            <w:r w:rsidRPr="00040BEC">
              <w:rPr>
                <w:rFonts w:cs="Arial"/>
                <w:szCs w:val="20"/>
                <w:lang w:val="en-GB" w:eastAsia="nl-NL"/>
              </w:rPr>
              <w:t>2020 MHz</w:t>
            </w:r>
          </w:p>
        </w:tc>
        <w:tc>
          <w:tcPr>
            <w:tcW w:w="1985" w:type="dxa"/>
          </w:tcPr>
          <w:p w14:paraId="019BFB5E" w14:textId="77777777" w:rsidR="00B63017" w:rsidRPr="00040BEC" w:rsidRDefault="00B63017" w:rsidP="007007B4">
            <w:pPr>
              <w:overflowPunct w:val="0"/>
              <w:autoSpaceDE w:val="0"/>
              <w:autoSpaceDN w:val="0"/>
              <w:adjustRightInd w:val="0"/>
              <w:spacing w:before="40"/>
              <w:textAlignment w:val="baseline"/>
              <w:rPr>
                <w:rFonts w:cs="Arial"/>
                <w:szCs w:val="20"/>
                <w:lang w:val="en-GB" w:eastAsia="nl-NL"/>
              </w:rPr>
            </w:pPr>
            <w:r w:rsidRPr="00040BEC">
              <w:rPr>
                <w:rFonts w:cs="Arial"/>
                <w:szCs w:val="20"/>
                <w:lang w:val="en-GB" w:eastAsia="nl-NL"/>
              </w:rPr>
              <w:t>UTRA TDD</w:t>
            </w:r>
          </w:p>
        </w:tc>
        <w:tc>
          <w:tcPr>
            <w:tcW w:w="2692" w:type="dxa"/>
          </w:tcPr>
          <w:p w14:paraId="5806F447" w14:textId="53589863" w:rsidR="00B63017" w:rsidRPr="00040BEC" w:rsidRDefault="00B63017" w:rsidP="007007B4">
            <w:pPr>
              <w:overflowPunct w:val="0"/>
              <w:autoSpaceDE w:val="0"/>
              <w:autoSpaceDN w:val="0"/>
              <w:adjustRightInd w:val="0"/>
              <w:spacing w:before="40"/>
              <w:textAlignment w:val="baseline"/>
              <w:rPr>
                <w:rFonts w:cs="Arial"/>
                <w:szCs w:val="20"/>
                <w:lang w:val="en-GB" w:eastAsia="nl-NL"/>
              </w:rPr>
            </w:pPr>
            <w:r w:rsidRPr="00040BEC">
              <w:rPr>
                <w:rFonts w:cs="Arial"/>
                <w:szCs w:val="20"/>
                <w:lang w:val="en-GB" w:eastAsia="nl-NL"/>
              </w:rPr>
              <w:t>2017</w:t>
            </w:r>
            <w:r w:rsidR="00F82D5F" w:rsidRPr="00040BEC">
              <w:rPr>
                <w:rFonts w:cs="Arial"/>
                <w:szCs w:val="20"/>
                <w:lang w:val="en-GB" w:eastAsia="nl-NL"/>
              </w:rPr>
              <w:t>, not tradable</w:t>
            </w:r>
          </w:p>
        </w:tc>
      </w:tr>
      <w:tr w:rsidR="00B63017" w:rsidRPr="00040BEC" w14:paraId="2D107E5F" w14:textId="77777777" w:rsidTr="007007B4">
        <w:trPr>
          <w:trHeight w:val="291"/>
        </w:trPr>
        <w:tc>
          <w:tcPr>
            <w:tcW w:w="2519" w:type="dxa"/>
          </w:tcPr>
          <w:p w14:paraId="3C47F04E" w14:textId="77777777" w:rsidR="00B63017" w:rsidRPr="00040BEC" w:rsidRDefault="00B63017" w:rsidP="007007B4">
            <w:pPr>
              <w:spacing w:before="40"/>
              <w:rPr>
                <w:rFonts w:cs="Arial"/>
                <w:szCs w:val="20"/>
                <w:lang w:val="en-GB"/>
              </w:rPr>
            </w:pPr>
            <w:r w:rsidRPr="00040BEC">
              <w:rPr>
                <w:rFonts w:cs="Arial"/>
                <w:szCs w:val="20"/>
                <w:lang w:val="en-GB"/>
              </w:rPr>
              <w:t>OJSC «</w:t>
            </w:r>
            <w:proofErr w:type="spellStart"/>
            <w:r w:rsidRPr="00040BEC">
              <w:rPr>
                <w:rFonts w:cs="Arial"/>
                <w:szCs w:val="20"/>
                <w:lang w:val="en-GB"/>
              </w:rPr>
              <w:t>VimpelCom</w:t>
            </w:r>
            <w:proofErr w:type="spellEnd"/>
            <w:r w:rsidRPr="00040BEC">
              <w:rPr>
                <w:rFonts w:cs="Arial"/>
                <w:szCs w:val="20"/>
                <w:lang w:val="en-GB"/>
              </w:rPr>
              <w:t>»</w:t>
            </w:r>
          </w:p>
        </w:tc>
        <w:tc>
          <w:tcPr>
            <w:tcW w:w="2268" w:type="dxa"/>
          </w:tcPr>
          <w:p w14:paraId="2EDAB72E" w14:textId="65A98049" w:rsidR="00B63017" w:rsidRPr="00040BEC" w:rsidRDefault="00B63017" w:rsidP="007007B4">
            <w:pPr>
              <w:overflowPunct w:val="0"/>
              <w:autoSpaceDE w:val="0"/>
              <w:autoSpaceDN w:val="0"/>
              <w:adjustRightInd w:val="0"/>
              <w:spacing w:before="40"/>
              <w:textAlignment w:val="baseline"/>
              <w:rPr>
                <w:rFonts w:cs="Arial"/>
                <w:szCs w:val="20"/>
                <w:lang w:val="en-GB" w:eastAsia="nl-NL"/>
              </w:rPr>
            </w:pPr>
            <w:r w:rsidRPr="00040BEC">
              <w:rPr>
                <w:rFonts w:cs="Arial"/>
                <w:szCs w:val="20"/>
                <w:lang w:val="en-GB" w:eastAsia="nl-NL"/>
              </w:rPr>
              <w:t>2020</w:t>
            </w:r>
            <w:r w:rsidR="00DC16AE">
              <w:rPr>
                <w:rFonts w:cs="Arial"/>
                <w:szCs w:val="20"/>
                <w:lang w:val="en-GB" w:eastAsia="nl-NL"/>
              </w:rPr>
              <w:t xml:space="preserve"> </w:t>
            </w:r>
            <w:r w:rsidRPr="00040BEC">
              <w:rPr>
                <w:rFonts w:cs="Arial"/>
                <w:szCs w:val="20"/>
                <w:lang w:val="en-GB" w:eastAsia="nl-NL"/>
              </w:rPr>
              <w:t>-</w:t>
            </w:r>
            <w:r w:rsidR="00DC16AE">
              <w:rPr>
                <w:rFonts w:cs="Arial"/>
                <w:szCs w:val="20"/>
                <w:lang w:val="en-GB" w:eastAsia="nl-NL"/>
              </w:rPr>
              <w:t xml:space="preserve"> </w:t>
            </w:r>
            <w:r w:rsidRPr="00040BEC">
              <w:rPr>
                <w:rFonts w:cs="Arial"/>
                <w:szCs w:val="20"/>
                <w:lang w:val="en-GB" w:eastAsia="nl-NL"/>
              </w:rPr>
              <w:t>2025 MHz</w:t>
            </w:r>
          </w:p>
        </w:tc>
        <w:tc>
          <w:tcPr>
            <w:tcW w:w="1985" w:type="dxa"/>
          </w:tcPr>
          <w:p w14:paraId="17B22732" w14:textId="77777777" w:rsidR="00B63017" w:rsidRPr="00040BEC" w:rsidRDefault="00B63017" w:rsidP="007007B4">
            <w:pPr>
              <w:overflowPunct w:val="0"/>
              <w:autoSpaceDE w:val="0"/>
              <w:autoSpaceDN w:val="0"/>
              <w:adjustRightInd w:val="0"/>
              <w:spacing w:before="40"/>
              <w:textAlignment w:val="baseline"/>
              <w:rPr>
                <w:rFonts w:cs="Arial"/>
                <w:szCs w:val="20"/>
                <w:lang w:val="en-GB" w:eastAsia="nl-NL"/>
              </w:rPr>
            </w:pPr>
            <w:r w:rsidRPr="00040BEC">
              <w:rPr>
                <w:rFonts w:cs="Arial"/>
                <w:szCs w:val="20"/>
                <w:lang w:val="en-GB" w:eastAsia="nl-NL"/>
              </w:rPr>
              <w:t>UTRA TDD</w:t>
            </w:r>
          </w:p>
        </w:tc>
        <w:tc>
          <w:tcPr>
            <w:tcW w:w="2692" w:type="dxa"/>
          </w:tcPr>
          <w:p w14:paraId="28966795" w14:textId="2605534F" w:rsidR="00B63017" w:rsidRPr="00040BEC" w:rsidRDefault="00B63017" w:rsidP="007007B4">
            <w:pPr>
              <w:overflowPunct w:val="0"/>
              <w:autoSpaceDE w:val="0"/>
              <w:autoSpaceDN w:val="0"/>
              <w:adjustRightInd w:val="0"/>
              <w:spacing w:before="40"/>
              <w:textAlignment w:val="baseline"/>
              <w:rPr>
                <w:rFonts w:cs="Arial"/>
                <w:szCs w:val="20"/>
                <w:lang w:val="en-GB" w:eastAsia="nl-NL"/>
              </w:rPr>
            </w:pPr>
            <w:r w:rsidRPr="00040BEC">
              <w:rPr>
                <w:rFonts w:cs="Arial"/>
                <w:szCs w:val="20"/>
                <w:lang w:val="en-GB" w:eastAsia="nl-NL"/>
              </w:rPr>
              <w:t>2017</w:t>
            </w:r>
            <w:r w:rsidR="00F82D5F" w:rsidRPr="00040BEC">
              <w:rPr>
                <w:rFonts w:cs="Arial"/>
                <w:szCs w:val="20"/>
                <w:lang w:val="en-GB" w:eastAsia="nl-NL"/>
              </w:rPr>
              <w:t>, not tradable</w:t>
            </w:r>
          </w:p>
        </w:tc>
      </w:tr>
    </w:tbl>
    <w:p w14:paraId="6CCCC1AD" w14:textId="77777777" w:rsidR="00B63017" w:rsidRPr="00040BEC" w:rsidRDefault="00B63017" w:rsidP="00B63017">
      <w:pPr>
        <w:suppressAutoHyphens/>
        <w:rPr>
          <w:rFonts w:cs="Arial"/>
          <w:szCs w:val="20"/>
          <w:lang w:val="en-GB" w:eastAsia="en-IE"/>
        </w:rPr>
      </w:pPr>
    </w:p>
    <w:p w14:paraId="062EE869" w14:textId="77777777" w:rsidR="00B63017" w:rsidRPr="00040BEC" w:rsidRDefault="00B63017" w:rsidP="00B63017">
      <w:pPr>
        <w:numPr>
          <w:ilvl w:val="0"/>
          <w:numId w:val="17"/>
        </w:numPr>
        <w:suppressAutoHyphens/>
        <w:overflowPunct w:val="0"/>
        <w:autoSpaceDE w:val="0"/>
        <w:autoSpaceDN w:val="0"/>
        <w:adjustRightInd w:val="0"/>
        <w:ind w:left="567" w:hanging="567"/>
        <w:textAlignment w:val="baseline"/>
        <w:rPr>
          <w:rFonts w:cs="Arial"/>
          <w:b/>
          <w:bCs/>
          <w:szCs w:val="20"/>
          <w:lang w:val="en-GB" w:eastAsia="en-IE"/>
        </w:rPr>
      </w:pPr>
      <w:r w:rsidRPr="00040BEC">
        <w:rPr>
          <w:rFonts w:cs="Arial"/>
          <w:b/>
          <w:bCs/>
          <w:szCs w:val="20"/>
          <w:lang w:val="en-GB" w:eastAsia="en-IE"/>
        </w:rPr>
        <w:t xml:space="preserve">Serbia (March 2010) </w:t>
      </w:r>
    </w:p>
    <w:p w14:paraId="5096C09C" w14:textId="77777777" w:rsidR="00B63017" w:rsidRPr="00040BEC" w:rsidRDefault="00B63017" w:rsidP="00B63017">
      <w:pPr>
        <w:suppressAutoHyphens/>
        <w:overflowPunct w:val="0"/>
        <w:autoSpaceDE w:val="0"/>
        <w:autoSpaceDN w:val="0"/>
        <w:adjustRightInd w:val="0"/>
        <w:textAlignment w:val="baseline"/>
        <w:rPr>
          <w:rFonts w:cs="Arial"/>
          <w:b/>
          <w:bCs/>
          <w:szCs w:val="20"/>
          <w:lang w:val="en-GB" w:eastAsia="en-IE"/>
        </w:rPr>
      </w:pPr>
    </w:p>
    <w:p w14:paraId="426810EA" w14:textId="77777777" w:rsidR="00B63017" w:rsidRPr="00040BEC" w:rsidRDefault="00B63017" w:rsidP="00B63017">
      <w:pPr>
        <w:overflowPunct w:val="0"/>
        <w:autoSpaceDE w:val="0"/>
        <w:autoSpaceDN w:val="0"/>
        <w:adjustRightInd w:val="0"/>
        <w:textAlignment w:val="baseline"/>
        <w:rPr>
          <w:rFonts w:cs="Arial"/>
          <w:b/>
          <w:szCs w:val="20"/>
          <w:lang w:val="en-GB" w:eastAsia="nl-NL"/>
        </w:rPr>
      </w:pPr>
      <w:r w:rsidRPr="00040BEC">
        <w:rPr>
          <w:rFonts w:cs="Arial"/>
          <w:b/>
          <w:szCs w:val="20"/>
          <w:lang w:val="en-GB" w:eastAsia="nl-NL"/>
        </w:rPr>
        <w:t>1900-1920 MHz / 2010-2025 MHz (unpaired frequency arrangement)</w:t>
      </w: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19"/>
        <w:gridCol w:w="2268"/>
        <w:gridCol w:w="1985"/>
        <w:gridCol w:w="2692"/>
      </w:tblGrid>
      <w:tr w:rsidR="00B63017" w:rsidRPr="00040BEC" w14:paraId="4B1147B2" w14:textId="77777777" w:rsidTr="00DC16AE">
        <w:trPr>
          <w:trHeight w:val="560"/>
        </w:trPr>
        <w:tc>
          <w:tcPr>
            <w:tcW w:w="2519" w:type="dxa"/>
            <w:vAlign w:val="center"/>
          </w:tcPr>
          <w:p w14:paraId="2D5DBE98"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Operator</w:t>
            </w:r>
          </w:p>
        </w:tc>
        <w:tc>
          <w:tcPr>
            <w:tcW w:w="2268" w:type="dxa"/>
            <w:vAlign w:val="center"/>
          </w:tcPr>
          <w:p w14:paraId="0065A20B"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Frequencies</w:t>
            </w:r>
          </w:p>
        </w:tc>
        <w:tc>
          <w:tcPr>
            <w:tcW w:w="1985" w:type="dxa"/>
            <w:vAlign w:val="center"/>
          </w:tcPr>
          <w:p w14:paraId="560624C9"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Technology in use (optional)</w:t>
            </w:r>
          </w:p>
        </w:tc>
        <w:tc>
          <w:tcPr>
            <w:tcW w:w="2692" w:type="dxa"/>
            <w:vAlign w:val="center"/>
          </w:tcPr>
          <w:p w14:paraId="44BE13FA"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Licence duration, tradability</w:t>
            </w:r>
          </w:p>
        </w:tc>
      </w:tr>
      <w:tr w:rsidR="00B63017" w:rsidRPr="00040BEC" w14:paraId="32CFD034" w14:textId="77777777" w:rsidTr="00DC16AE">
        <w:trPr>
          <w:trHeight w:val="583"/>
        </w:trPr>
        <w:tc>
          <w:tcPr>
            <w:tcW w:w="2519" w:type="dxa"/>
            <w:vAlign w:val="center"/>
          </w:tcPr>
          <w:p w14:paraId="70F84463"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TELEKOM SRBIJA</w:t>
            </w:r>
          </w:p>
        </w:tc>
        <w:tc>
          <w:tcPr>
            <w:tcW w:w="2268" w:type="dxa"/>
            <w:vAlign w:val="center"/>
          </w:tcPr>
          <w:p w14:paraId="7F648A2A"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1905 - 1910 MHz</w:t>
            </w:r>
          </w:p>
        </w:tc>
        <w:tc>
          <w:tcPr>
            <w:tcW w:w="1985" w:type="dxa"/>
            <w:vAlign w:val="center"/>
          </w:tcPr>
          <w:p w14:paraId="4F15655E"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UTRA TDD</w:t>
            </w:r>
          </w:p>
        </w:tc>
        <w:tc>
          <w:tcPr>
            <w:tcW w:w="2692" w:type="dxa"/>
            <w:vAlign w:val="center"/>
          </w:tcPr>
          <w:p w14:paraId="02DEA796"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28.07.2006. – 28.07.2016., non-tradable</w:t>
            </w:r>
          </w:p>
        </w:tc>
      </w:tr>
      <w:tr w:rsidR="00B63017" w:rsidRPr="00040BEC" w14:paraId="5975984B" w14:textId="77777777" w:rsidTr="00DC16AE">
        <w:trPr>
          <w:trHeight w:val="576"/>
        </w:trPr>
        <w:tc>
          <w:tcPr>
            <w:tcW w:w="2519" w:type="dxa"/>
            <w:vAlign w:val="center"/>
          </w:tcPr>
          <w:p w14:paraId="697322E6"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TELENOR</w:t>
            </w:r>
          </w:p>
        </w:tc>
        <w:tc>
          <w:tcPr>
            <w:tcW w:w="2268" w:type="dxa"/>
            <w:vAlign w:val="center"/>
          </w:tcPr>
          <w:p w14:paraId="010EB164"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1900 - 1905 MHz</w:t>
            </w:r>
          </w:p>
        </w:tc>
        <w:tc>
          <w:tcPr>
            <w:tcW w:w="1985" w:type="dxa"/>
            <w:vAlign w:val="center"/>
          </w:tcPr>
          <w:p w14:paraId="2BB80905"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UTRA TDD</w:t>
            </w:r>
          </w:p>
        </w:tc>
        <w:tc>
          <w:tcPr>
            <w:tcW w:w="2692" w:type="dxa"/>
            <w:vAlign w:val="center"/>
          </w:tcPr>
          <w:p w14:paraId="4E3EC76E"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31.08.2006. – 31.08.2016., non-tradable</w:t>
            </w:r>
          </w:p>
        </w:tc>
      </w:tr>
      <w:tr w:rsidR="00B63017" w:rsidRPr="00040BEC" w14:paraId="4D0754BA" w14:textId="77777777" w:rsidTr="00DC16AE">
        <w:trPr>
          <w:trHeight w:val="528"/>
        </w:trPr>
        <w:tc>
          <w:tcPr>
            <w:tcW w:w="2519" w:type="dxa"/>
            <w:vAlign w:val="center"/>
          </w:tcPr>
          <w:p w14:paraId="0F6068CA"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VIP MOBILE</w:t>
            </w:r>
          </w:p>
        </w:tc>
        <w:tc>
          <w:tcPr>
            <w:tcW w:w="2268" w:type="dxa"/>
            <w:vAlign w:val="center"/>
          </w:tcPr>
          <w:p w14:paraId="00A0C44F"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1910 - 1915 MHz</w:t>
            </w:r>
          </w:p>
        </w:tc>
        <w:tc>
          <w:tcPr>
            <w:tcW w:w="1985" w:type="dxa"/>
            <w:vAlign w:val="center"/>
          </w:tcPr>
          <w:p w14:paraId="3297C3A5"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UTRA TDD</w:t>
            </w:r>
          </w:p>
        </w:tc>
        <w:tc>
          <w:tcPr>
            <w:tcW w:w="2692" w:type="dxa"/>
            <w:vAlign w:val="center"/>
          </w:tcPr>
          <w:p w14:paraId="03396C95"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10.11.2006. – 10.11.2016., non-tradable</w:t>
            </w:r>
          </w:p>
        </w:tc>
      </w:tr>
    </w:tbl>
    <w:p w14:paraId="2D4A356F" w14:textId="77777777" w:rsidR="00B63017" w:rsidRPr="00040BEC" w:rsidRDefault="00B63017" w:rsidP="00B63017">
      <w:pPr>
        <w:overflowPunct w:val="0"/>
        <w:autoSpaceDE w:val="0"/>
        <w:autoSpaceDN w:val="0"/>
        <w:adjustRightInd w:val="0"/>
        <w:textAlignment w:val="baseline"/>
        <w:rPr>
          <w:rFonts w:cs="Arial"/>
          <w:b/>
          <w:szCs w:val="20"/>
          <w:lang w:val="en-GB" w:eastAsia="nl-NL"/>
        </w:rPr>
      </w:pPr>
    </w:p>
    <w:p w14:paraId="12F0AB8F" w14:textId="77777777" w:rsidR="00B63017" w:rsidRPr="00040BEC" w:rsidRDefault="00B63017" w:rsidP="00B63017">
      <w:pPr>
        <w:numPr>
          <w:ilvl w:val="0"/>
          <w:numId w:val="17"/>
        </w:numPr>
        <w:suppressAutoHyphens/>
        <w:overflowPunct w:val="0"/>
        <w:autoSpaceDE w:val="0"/>
        <w:autoSpaceDN w:val="0"/>
        <w:adjustRightInd w:val="0"/>
        <w:ind w:left="567" w:hanging="567"/>
        <w:textAlignment w:val="baseline"/>
        <w:rPr>
          <w:rFonts w:cs="Arial"/>
          <w:b/>
          <w:bCs/>
          <w:szCs w:val="20"/>
          <w:lang w:val="en-GB" w:eastAsia="en-IE"/>
        </w:rPr>
      </w:pPr>
      <w:r w:rsidRPr="00040BEC">
        <w:rPr>
          <w:rFonts w:cs="Arial"/>
          <w:b/>
          <w:bCs/>
          <w:szCs w:val="20"/>
          <w:lang w:val="en-GB" w:eastAsia="en-IE"/>
        </w:rPr>
        <w:t>Slovak Republic (</w:t>
      </w:r>
      <w:r w:rsidR="00BF201C" w:rsidRPr="00040BEC">
        <w:rPr>
          <w:rFonts w:cs="Arial"/>
          <w:b/>
          <w:bCs/>
          <w:szCs w:val="20"/>
          <w:lang w:val="en-GB" w:eastAsia="en-IE"/>
        </w:rPr>
        <w:t xml:space="preserve">January </w:t>
      </w:r>
      <w:r w:rsidRPr="00040BEC">
        <w:rPr>
          <w:rFonts w:cs="Arial"/>
          <w:b/>
          <w:bCs/>
          <w:szCs w:val="20"/>
          <w:lang w:val="en-GB" w:eastAsia="en-IE"/>
        </w:rPr>
        <w:t>201</w:t>
      </w:r>
      <w:r w:rsidR="00BF201C" w:rsidRPr="00040BEC">
        <w:rPr>
          <w:rFonts w:cs="Arial"/>
          <w:b/>
          <w:bCs/>
          <w:szCs w:val="20"/>
          <w:lang w:val="en-GB" w:eastAsia="en-IE"/>
        </w:rPr>
        <w:t>4</w:t>
      </w:r>
      <w:r w:rsidRPr="00040BEC">
        <w:rPr>
          <w:rFonts w:cs="Arial"/>
          <w:b/>
          <w:bCs/>
          <w:szCs w:val="20"/>
          <w:lang w:val="en-GB" w:eastAsia="en-IE"/>
        </w:rPr>
        <w:t>)</w:t>
      </w:r>
    </w:p>
    <w:p w14:paraId="35F24452" w14:textId="77777777" w:rsidR="00B63017" w:rsidRPr="00040BEC" w:rsidRDefault="00B63017" w:rsidP="00B63017">
      <w:pPr>
        <w:suppressAutoHyphens/>
        <w:overflowPunct w:val="0"/>
        <w:autoSpaceDE w:val="0"/>
        <w:autoSpaceDN w:val="0"/>
        <w:adjustRightInd w:val="0"/>
        <w:textAlignment w:val="baseline"/>
        <w:rPr>
          <w:rFonts w:cs="Arial"/>
          <w:b/>
          <w:bCs/>
          <w:szCs w:val="20"/>
          <w:lang w:val="en-GB" w:eastAsia="en-IE"/>
        </w:rPr>
      </w:pPr>
    </w:p>
    <w:p w14:paraId="2A33E08C" w14:textId="77777777" w:rsidR="00B63017" w:rsidRPr="00040BEC" w:rsidRDefault="00B63017" w:rsidP="00B63017">
      <w:pPr>
        <w:overflowPunct w:val="0"/>
        <w:autoSpaceDE w:val="0"/>
        <w:autoSpaceDN w:val="0"/>
        <w:adjustRightInd w:val="0"/>
        <w:textAlignment w:val="baseline"/>
        <w:rPr>
          <w:rFonts w:cs="Arial"/>
          <w:b/>
          <w:szCs w:val="20"/>
          <w:lang w:val="en-GB" w:eastAsia="nl-NL"/>
        </w:rPr>
      </w:pPr>
      <w:r w:rsidRPr="00040BEC">
        <w:rPr>
          <w:rFonts w:cs="Arial"/>
          <w:b/>
          <w:szCs w:val="20"/>
          <w:lang w:val="en-GB" w:eastAsia="nl-NL"/>
        </w:rPr>
        <w:t>1900-1920 MHz / 2010-2025 MHz (unpaired frequency arrangement)</w:t>
      </w: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19"/>
        <w:gridCol w:w="2267"/>
        <w:gridCol w:w="1986"/>
        <w:gridCol w:w="2692"/>
      </w:tblGrid>
      <w:tr w:rsidR="00B63017" w:rsidRPr="00040BEC" w14:paraId="19ABEB13" w14:textId="77777777" w:rsidTr="00DC16AE">
        <w:trPr>
          <w:trHeight w:val="435"/>
        </w:trPr>
        <w:tc>
          <w:tcPr>
            <w:tcW w:w="2519" w:type="dxa"/>
            <w:vAlign w:val="center"/>
          </w:tcPr>
          <w:p w14:paraId="233A1DC6"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Operator</w:t>
            </w:r>
          </w:p>
        </w:tc>
        <w:tc>
          <w:tcPr>
            <w:tcW w:w="2267" w:type="dxa"/>
            <w:vAlign w:val="center"/>
          </w:tcPr>
          <w:p w14:paraId="0794F047"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Frequencies</w:t>
            </w:r>
          </w:p>
        </w:tc>
        <w:tc>
          <w:tcPr>
            <w:tcW w:w="1986" w:type="dxa"/>
            <w:vAlign w:val="center"/>
          </w:tcPr>
          <w:p w14:paraId="77D281DF"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Technology in use (optional)</w:t>
            </w:r>
          </w:p>
        </w:tc>
        <w:tc>
          <w:tcPr>
            <w:tcW w:w="2692" w:type="dxa"/>
            <w:vAlign w:val="center"/>
          </w:tcPr>
          <w:p w14:paraId="61CD3D0C"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Licence duration, tradability</w:t>
            </w:r>
          </w:p>
        </w:tc>
      </w:tr>
      <w:tr w:rsidR="00B63017" w:rsidRPr="00040BEC" w14:paraId="381DDE4F" w14:textId="77777777" w:rsidTr="00DC16AE">
        <w:trPr>
          <w:trHeight w:val="390"/>
        </w:trPr>
        <w:tc>
          <w:tcPr>
            <w:tcW w:w="2519" w:type="dxa"/>
            <w:vAlign w:val="center"/>
          </w:tcPr>
          <w:p w14:paraId="7365F916"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 xml:space="preserve">Orange </w:t>
            </w:r>
            <w:proofErr w:type="spellStart"/>
            <w:r w:rsidRPr="00040BEC">
              <w:rPr>
                <w:rFonts w:cs="Arial"/>
                <w:szCs w:val="20"/>
                <w:lang w:val="en-GB" w:eastAsia="nl-NL"/>
              </w:rPr>
              <w:t>Slovensko</w:t>
            </w:r>
            <w:proofErr w:type="spellEnd"/>
            <w:r w:rsidRPr="00040BEC">
              <w:rPr>
                <w:rFonts w:cs="Arial"/>
                <w:szCs w:val="20"/>
                <w:lang w:val="en-GB" w:eastAsia="nl-NL"/>
              </w:rPr>
              <w:t xml:space="preserve">, </w:t>
            </w:r>
            <w:proofErr w:type="spellStart"/>
            <w:r w:rsidRPr="00040BEC">
              <w:rPr>
                <w:rFonts w:cs="Arial"/>
                <w:szCs w:val="20"/>
                <w:lang w:val="en-GB" w:eastAsia="nl-NL"/>
              </w:rPr>
              <w:t>a.s</w:t>
            </w:r>
            <w:proofErr w:type="spellEnd"/>
            <w:r w:rsidRPr="00040BEC">
              <w:rPr>
                <w:rFonts w:cs="Arial"/>
                <w:szCs w:val="20"/>
                <w:lang w:val="en-GB" w:eastAsia="nl-NL"/>
              </w:rPr>
              <w:t>.</w:t>
            </w:r>
          </w:p>
        </w:tc>
        <w:tc>
          <w:tcPr>
            <w:tcW w:w="2267" w:type="dxa"/>
            <w:vAlign w:val="center"/>
          </w:tcPr>
          <w:p w14:paraId="2A11C23F"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1900 – 1905 MHz</w:t>
            </w:r>
          </w:p>
        </w:tc>
        <w:tc>
          <w:tcPr>
            <w:tcW w:w="1986" w:type="dxa"/>
            <w:vAlign w:val="center"/>
          </w:tcPr>
          <w:p w14:paraId="0655AB1B"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TDD</w:t>
            </w:r>
          </w:p>
        </w:tc>
        <w:tc>
          <w:tcPr>
            <w:tcW w:w="2692" w:type="dxa"/>
            <w:vAlign w:val="center"/>
          </w:tcPr>
          <w:p w14:paraId="1F91D179"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19.07.2002 – 31.08.2026, Tradable</w:t>
            </w:r>
          </w:p>
        </w:tc>
      </w:tr>
      <w:tr w:rsidR="00B63017" w:rsidRPr="00040BEC" w14:paraId="25041CDB" w14:textId="77777777" w:rsidTr="00DC16AE">
        <w:trPr>
          <w:trHeight w:val="284"/>
        </w:trPr>
        <w:tc>
          <w:tcPr>
            <w:tcW w:w="2519" w:type="dxa"/>
            <w:vAlign w:val="center"/>
          </w:tcPr>
          <w:p w14:paraId="6CE63DE2"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 xml:space="preserve">Slovak Telekom, </w:t>
            </w:r>
            <w:proofErr w:type="spellStart"/>
            <w:r w:rsidRPr="00040BEC">
              <w:rPr>
                <w:rFonts w:cs="Arial"/>
                <w:szCs w:val="20"/>
                <w:lang w:val="en-GB" w:eastAsia="nl-NL"/>
              </w:rPr>
              <w:t>a.s</w:t>
            </w:r>
            <w:proofErr w:type="spellEnd"/>
          </w:p>
        </w:tc>
        <w:tc>
          <w:tcPr>
            <w:tcW w:w="2267" w:type="dxa"/>
            <w:vAlign w:val="center"/>
          </w:tcPr>
          <w:p w14:paraId="57E1085A"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1905 – 1910 MHz</w:t>
            </w:r>
          </w:p>
        </w:tc>
        <w:tc>
          <w:tcPr>
            <w:tcW w:w="1986" w:type="dxa"/>
            <w:vAlign w:val="center"/>
          </w:tcPr>
          <w:p w14:paraId="6F0A4B45"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TDD</w:t>
            </w:r>
          </w:p>
        </w:tc>
        <w:tc>
          <w:tcPr>
            <w:tcW w:w="2692" w:type="dxa"/>
            <w:vAlign w:val="center"/>
          </w:tcPr>
          <w:p w14:paraId="78F68974"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16.07.2002 – 31.08.2026, Tradable</w:t>
            </w:r>
          </w:p>
        </w:tc>
      </w:tr>
      <w:tr w:rsidR="00B63017" w:rsidRPr="00040BEC" w14:paraId="339D41F1" w14:textId="77777777" w:rsidTr="00DC16AE">
        <w:trPr>
          <w:trHeight w:val="301"/>
        </w:trPr>
        <w:tc>
          <w:tcPr>
            <w:tcW w:w="2519" w:type="dxa"/>
            <w:vAlign w:val="center"/>
          </w:tcPr>
          <w:p w14:paraId="29D3BED3" w14:textId="77777777" w:rsidR="00B63017" w:rsidRPr="00040BEC" w:rsidRDefault="000A5980" w:rsidP="008F7F7C">
            <w:pPr>
              <w:tabs>
                <w:tab w:val="center" w:pos="4320"/>
                <w:tab w:val="right" w:pos="8640"/>
              </w:tabs>
              <w:overflowPunct w:val="0"/>
              <w:autoSpaceDE w:val="0"/>
              <w:autoSpaceDN w:val="0"/>
              <w:adjustRightInd w:val="0"/>
              <w:textAlignment w:val="baseline"/>
              <w:rPr>
                <w:lang w:val="en-GB"/>
              </w:rPr>
            </w:pPr>
            <w:proofErr w:type="spellStart"/>
            <w:r w:rsidRPr="00040BEC">
              <w:rPr>
                <w:lang w:val="en-GB"/>
              </w:rPr>
              <w:t>Telefónica</w:t>
            </w:r>
            <w:proofErr w:type="spellEnd"/>
            <w:r w:rsidRPr="00040BEC">
              <w:rPr>
                <w:lang w:val="en-GB"/>
              </w:rPr>
              <w:t xml:space="preserve"> Slovakia, </w:t>
            </w:r>
            <w:proofErr w:type="spellStart"/>
            <w:r w:rsidRPr="00040BEC">
              <w:rPr>
                <w:lang w:val="en-GB"/>
              </w:rPr>
              <w:t>s.r.o</w:t>
            </w:r>
            <w:proofErr w:type="spellEnd"/>
            <w:r w:rsidRPr="00040BEC">
              <w:rPr>
                <w:lang w:val="en-GB"/>
              </w:rPr>
              <w:t>.</w:t>
            </w:r>
          </w:p>
        </w:tc>
        <w:tc>
          <w:tcPr>
            <w:tcW w:w="2267" w:type="dxa"/>
            <w:vAlign w:val="center"/>
          </w:tcPr>
          <w:p w14:paraId="3B4C6025"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1910 - 1915 MHz</w:t>
            </w:r>
          </w:p>
        </w:tc>
        <w:tc>
          <w:tcPr>
            <w:tcW w:w="1986" w:type="dxa"/>
            <w:vAlign w:val="center"/>
          </w:tcPr>
          <w:p w14:paraId="7C114DD2"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TDD</w:t>
            </w:r>
          </w:p>
        </w:tc>
        <w:tc>
          <w:tcPr>
            <w:tcW w:w="2692" w:type="dxa"/>
            <w:vAlign w:val="center"/>
          </w:tcPr>
          <w:p w14:paraId="3EE35E16"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07.09.2006 – 07.09.2026 , Tradable</w:t>
            </w:r>
          </w:p>
        </w:tc>
      </w:tr>
    </w:tbl>
    <w:p w14:paraId="32F78D1F" w14:textId="77777777" w:rsidR="00B63017" w:rsidRPr="00040BEC" w:rsidRDefault="00B63017" w:rsidP="00B63017">
      <w:pPr>
        <w:overflowPunct w:val="0"/>
        <w:autoSpaceDE w:val="0"/>
        <w:autoSpaceDN w:val="0"/>
        <w:adjustRightInd w:val="0"/>
        <w:jc w:val="both"/>
        <w:textAlignment w:val="baseline"/>
        <w:rPr>
          <w:rFonts w:cs="Arial"/>
          <w:szCs w:val="20"/>
          <w:lang w:val="en-GB" w:eastAsia="nl-NL"/>
        </w:rPr>
      </w:pPr>
      <w:r w:rsidRPr="00040BEC">
        <w:rPr>
          <w:rFonts w:cs="Arial"/>
          <w:szCs w:val="20"/>
          <w:lang w:val="en-GB" w:eastAsia="nl-NL"/>
        </w:rPr>
        <w:t>Note: This band is currently not in use.</w:t>
      </w:r>
    </w:p>
    <w:p w14:paraId="5DEDBE8B" w14:textId="77777777" w:rsidR="00B63017" w:rsidRPr="00040BEC" w:rsidRDefault="00B63017" w:rsidP="00B63017">
      <w:pPr>
        <w:overflowPunct w:val="0"/>
        <w:autoSpaceDE w:val="0"/>
        <w:autoSpaceDN w:val="0"/>
        <w:adjustRightInd w:val="0"/>
        <w:jc w:val="both"/>
        <w:textAlignment w:val="baseline"/>
        <w:rPr>
          <w:rFonts w:cs="Arial"/>
          <w:szCs w:val="20"/>
          <w:lang w:val="en-GB" w:eastAsia="nl-NL"/>
        </w:rPr>
      </w:pPr>
    </w:p>
    <w:p w14:paraId="04B3C400" w14:textId="77777777" w:rsidR="00B63017" w:rsidRPr="00040BEC" w:rsidRDefault="00B63017" w:rsidP="00B63017">
      <w:pPr>
        <w:keepNext/>
        <w:numPr>
          <w:ilvl w:val="0"/>
          <w:numId w:val="17"/>
        </w:numPr>
        <w:suppressAutoHyphens/>
        <w:overflowPunct w:val="0"/>
        <w:autoSpaceDE w:val="0"/>
        <w:autoSpaceDN w:val="0"/>
        <w:adjustRightInd w:val="0"/>
        <w:ind w:left="567" w:hanging="567"/>
        <w:textAlignment w:val="baseline"/>
        <w:rPr>
          <w:rFonts w:cs="Arial"/>
          <w:b/>
          <w:bCs/>
          <w:szCs w:val="20"/>
          <w:lang w:val="en-GB" w:eastAsia="en-IE"/>
        </w:rPr>
      </w:pPr>
      <w:r w:rsidRPr="00040BEC">
        <w:rPr>
          <w:rFonts w:cs="Arial"/>
          <w:b/>
          <w:bCs/>
          <w:szCs w:val="20"/>
          <w:lang w:val="en-GB" w:eastAsia="en-IE"/>
        </w:rPr>
        <w:t>Slovenia (</w:t>
      </w:r>
      <w:r w:rsidR="00903696" w:rsidRPr="00040BEC">
        <w:rPr>
          <w:rFonts w:cs="Arial"/>
          <w:b/>
          <w:bCs/>
          <w:szCs w:val="20"/>
          <w:lang w:val="en-GB" w:eastAsia="en-IE"/>
        </w:rPr>
        <w:t>June</w:t>
      </w:r>
      <w:r w:rsidR="00BF201C" w:rsidRPr="00040BEC">
        <w:rPr>
          <w:rFonts w:cs="Arial"/>
          <w:b/>
          <w:bCs/>
          <w:szCs w:val="20"/>
          <w:lang w:val="en-GB" w:eastAsia="en-IE"/>
        </w:rPr>
        <w:t xml:space="preserve"> 2014</w:t>
      </w:r>
      <w:r w:rsidRPr="00040BEC">
        <w:rPr>
          <w:rFonts w:cs="Arial"/>
          <w:b/>
          <w:bCs/>
          <w:szCs w:val="20"/>
          <w:lang w:val="en-GB" w:eastAsia="en-IE"/>
        </w:rPr>
        <w:t>)</w:t>
      </w:r>
    </w:p>
    <w:p w14:paraId="7F72DDE2" w14:textId="77777777" w:rsidR="00B63017" w:rsidRPr="00040BEC" w:rsidRDefault="00B63017" w:rsidP="00B63017">
      <w:pPr>
        <w:keepNext/>
        <w:suppressAutoHyphens/>
        <w:overflowPunct w:val="0"/>
        <w:autoSpaceDE w:val="0"/>
        <w:autoSpaceDN w:val="0"/>
        <w:adjustRightInd w:val="0"/>
        <w:textAlignment w:val="baseline"/>
        <w:rPr>
          <w:rFonts w:cs="Arial"/>
          <w:b/>
          <w:bCs/>
          <w:szCs w:val="20"/>
          <w:lang w:val="en-GB" w:eastAsia="en-IE"/>
        </w:rPr>
      </w:pPr>
    </w:p>
    <w:p w14:paraId="74B7158B" w14:textId="77777777" w:rsidR="00B63017" w:rsidRPr="00040BEC" w:rsidRDefault="00B63017" w:rsidP="00B63017">
      <w:pPr>
        <w:keepNext/>
        <w:overflowPunct w:val="0"/>
        <w:autoSpaceDE w:val="0"/>
        <w:autoSpaceDN w:val="0"/>
        <w:adjustRightInd w:val="0"/>
        <w:textAlignment w:val="baseline"/>
        <w:rPr>
          <w:rFonts w:cs="Arial"/>
          <w:b/>
          <w:szCs w:val="20"/>
          <w:lang w:val="en-GB" w:eastAsia="nl-NL"/>
        </w:rPr>
      </w:pPr>
      <w:r w:rsidRPr="00040BEC">
        <w:rPr>
          <w:rFonts w:cs="Arial"/>
          <w:b/>
          <w:szCs w:val="20"/>
          <w:lang w:val="en-GB" w:eastAsia="nl-NL"/>
        </w:rPr>
        <w:t>1900-1920 MHz / 2010-2025 MHz (unpaired frequency arrangement)</w:t>
      </w:r>
    </w:p>
    <w:tbl>
      <w:tblPr>
        <w:tblW w:w="9420" w:type="dxa"/>
        <w:jc w:val="center"/>
        <w:tblInd w:w="4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14"/>
        <w:gridCol w:w="2268"/>
        <w:gridCol w:w="1985"/>
        <w:gridCol w:w="2653"/>
      </w:tblGrid>
      <w:tr w:rsidR="00903696" w:rsidRPr="00040BEC" w14:paraId="76EF8B37" w14:textId="77777777" w:rsidTr="007007B4">
        <w:trPr>
          <w:trHeight w:val="435"/>
          <w:jc w:val="center"/>
        </w:trPr>
        <w:tc>
          <w:tcPr>
            <w:tcW w:w="2514" w:type="dxa"/>
            <w:vAlign w:val="center"/>
          </w:tcPr>
          <w:p w14:paraId="2EC26BCF" w14:textId="77777777" w:rsidR="00903696" w:rsidRPr="00040BEC" w:rsidRDefault="00903696" w:rsidP="00903696">
            <w:pPr>
              <w:jc w:val="center"/>
              <w:rPr>
                <w:b/>
                <w:lang w:val="en-GB"/>
              </w:rPr>
            </w:pPr>
            <w:r w:rsidRPr="00040BEC">
              <w:rPr>
                <w:b/>
                <w:lang w:val="en-GB"/>
              </w:rPr>
              <w:t>Operator</w:t>
            </w:r>
          </w:p>
          <w:p w14:paraId="73AEB6D8" w14:textId="77777777" w:rsidR="00903696" w:rsidRPr="00040BEC" w:rsidRDefault="00903696" w:rsidP="00903696">
            <w:pPr>
              <w:jc w:val="center"/>
              <w:rPr>
                <w:b/>
                <w:lang w:val="en-GB"/>
              </w:rPr>
            </w:pPr>
          </w:p>
        </w:tc>
        <w:tc>
          <w:tcPr>
            <w:tcW w:w="2268" w:type="dxa"/>
            <w:vAlign w:val="center"/>
          </w:tcPr>
          <w:p w14:paraId="10A963B9" w14:textId="77777777" w:rsidR="00903696" w:rsidRPr="00040BEC" w:rsidRDefault="00903696" w:rsidP="00903696">
            <w:pPr>
              <w:jc w:val="center"/>
              <w:rPr>
                <w:b/>
                <w:lang w:val="en-GB"/>
              </w:rPr>
            </w:pPr>
            <w:r w:rsidRPr="00040BEC">
              <w:rPr>
                <w:b/>
                <w:lang w:val="en-GB"/>
              </w:rPr>
              <w:t>Frequencies</w:t>
            </w:r>
          </w:p>
        </w:tc>
        <w:tc>
          <w:tcPr>
            <w:tcW w:w="1985" w:type="dxa"/>
            <w:vAlign w:val="center"/>
          </w:tcPr>
          <w:p w14:paraId="4D636F5F" w14:textId="77777777" w:rsidR="00903696" w:rsidRPr="00040BEC" w:rsidRDefault="00903696" w:rsidP="00903696">
            <w:pPr>
              <w:jc w:val="center"/>
              <w:rPr>
                <w:b/>
                <w:lang w:val="en-GB"/>
              </w:rPr>
            </w:pPr>
            <w:r w:rsidRPr="00040BEC">
              <w:rPr>
                <w:b/>
                <w:lang w:val="en-GB"/>
              </w:rPr>
              <w:t>Technology in use (optional)</w:t>
            </w:r>
          </w:p>
        </w:tc>
        <w:tc>
          <w:tcPr>
            <w:tcW w:w="2653" w:type="dxa"/>
            <w:vAlign w:val="center"/>
          </w:tcPr>
          <w:p w14:paraId="7AB46E11" w14:textId="77777777" w:rsidR="00903696" w:rsidRPr="00040BEC" w:rsidRDefault="00903696" w:rsidP="00903696">
            <w:pPr>
              <w:jc w:val="center"/>
              <w:rPr>
                <w:b/>
                <w:lang w:val="en-GB"/>
              </w:rPr>
            </w:pPr>
            <w:r w:rsidRPr="00040BEC">
              <w:rPr>
                <w:b/>
                <w:lang w:val="en-GB"/>
              </w:rPr>
              <w:t>Licence duration, tradability</w:t>
            </w:r>
          </w:p>
        </w:tc>
      </w:tr>
      <w:tr w:rsidR="00903696" w:rsidRPr="00040BEC" w14:paraId="1B06865A" w14:textId="77777777" w:rsidTr="007007B4">
        <w:trPr>
          <w:trHeight w:val="357"/>
          <w:jc w:val="center"/>
        </w:trPr>
        <w:tc>
          <w:tcPr>
            <w:tcW w:w="2514" w:type="dxa"/>
          </w:tcPr>
          <w:p w14:paraId="5EBCC5B9" w14:textId="77777777" w:rsidR="00903696" w:rsidRPr="00040BEC" w:rsidRDefault="00903696" w:rsidP="00DC16AE">
            <w:pPr>
              <w:rPr>
                <w:lang w:val="en-GB"/>
              </w:rPr>
            </w:pPr>
            <w:r w:rsidRPr="00040BEC">
              <w:rPr>
                <w:lang w:val="en-GB"/>
              </w:rPr>
              <w:t>TELEKOM</w:t>
            </w:r>
          </w:p>
          <w:p w14:paraId="0AFA3715" w14:textId="77777777" w:rsidR="00903696" w:rsidRPr="00040BEC" w:rsidRDefault="00903696" w:rsidP="00DC16AE">
            <w:pPr>
              <w:rPr>
                <w:lang w:val="en-GB"/>
              </w:rPr>
            </w:pPr>
            <w:r w:rsidRPr="00040BEC">
              <w:rPr>
                <w:lang w:val="en-GB"/>
              </w:rPr>
              <w:t xml:space="preserve">SLOVENIJE </w:t>
            </w:r>
          </w:p>
        </w:tc>
        <w:tc>
          <w:tcPr>
            <w:tcW w:w="2268" w:type="dxa"/>
          </w:tcPr>
          <w:p w14:paraId="3C1FD12F" w14:textId="733BDB77" w:rsidR="00903696" w:rsidRPr="00040BEC" w:rsidRDefault="00903696" w:rsidP="00DC16AE">
            <w:pPr>
              <w:rPr>
                <w:lang w:val="en-GB"/>
              </w:rPr>
            </w:pPr>
            <w:r w:rsidRPr="00040BEC">
              <w:rPr>
                <w:lang w:val="en-GB"/>
              </w:rPr>
              <w:t xml:space="preserve">1900 </w:t>
            </w:r>
            <w:r w:rsidR="00DC16AE">
              <w:rPr>
                <w:lang w:val="en-GB"/>
              </w:rPr>
              <w:t>-</w:t>
            </w:r>
            <w:r w:rsidRPr="00040BEC">
              <w:rPr>
                <w:lang w:val="en-GB"/>
              </w:rPr>
              <w:t xml:space="preserve"> 1905 MHz</w:t>
            </w:r>
          </w:p>
        </w:tc>
        <w:tc>
          <w:tcPr>
            <w:tcW w:w="1985" w:type="dxa"/>
          </w:tcPr>
          <w:p w14:paraId="2BA8C687" w14:textId="77777777" w:rsidR="00903696" w:rsidRPr="00040BEC" w:rsidRDefault="00903696" w:rsidP="00DC16AE">
            <w:pPr>
              <w:rPr>
                <w:lang w:val="en-GB"/>
              </w:rPr>
            </w:pPr>
            <w:r w:rsidRPr="00040BEC">
              <w:rPr>
                <w:lang w:val="en-GB"/>
              </w:rPr>
              <w:t>UMTS / TDD</w:t>
            </w:r>
          </w:p>
        </w:tc>
        <w:tc>
          <w:tcPr>
            <w:tcW w:w="2653" w:type="dxa"/>
          </w:tcPr>
          <w:p w14:paraId="04D4E357" w14:textId="77777777" w:rsidR="00903696" w:rsidRPr="00040BEC" w:rsidRDefault="00903696" w:rsidP="00DC16AE">
            <w:pPr>
              <w:rPr>
                <w:lang w:val="en-GB"/>
              </w:rPr>
            </w:pPr>
            <w:r w:rsidRPr="00040BEC">
              <w:rPr>
                <w:lang w:val="en-GB"/>
              </w:rPr>
              <w:t>06.09.2004 – 21.09.2021</w:t>
            </w:r>
          </w:p>
          <w:p w14:paraId="76224037" w14:textId="77777777" w:rsidR="00903696" w:rsidRPr="00040BEC" w:rsidRDefault="00903696" w:rsidP="00DC16AE">
            <w:pPr>
              <w:rPr>
                <w:lang w:val="en-GB"/>
              </w:rPr>
            </w:pPr>
            <w:r w:rsidRPr="00040BEC">
              <w:rPr>
                <w:lang w:val="en-GB"/>
              </w:rPr>
              <w:t>Tradable</w:t>
            </w:r>
          </w:p>
        </w:tc>
      </w:tr>
      <w:tr w:rsidR="00903696" w:rsidRPr="00040BEC" w14:paraId="003C5BAD" w14:textId="77777777" w:rsidTr="007007B4">
        <w:trPr>
          <w:trHeight w:val="339"/>
          <w:jc w:val="center"/>
        </w:trPr>
        <w:tc>
          <w:tcPr>
            <w:tcW w:w="2514" w:type="dxa"/>
          </w:tcPr>
          <w:p w14:paraId="645CF4A6" w14:textId="77777777" w:rsidR="00903696" w:rsidRPr="00040BEC" w:rsidRDefault="00903696" w:rsidP="00DC16AE">
            <w:pPr>
              <w:rPr>
                <w:lang w:val="en-GB"/>
              </w:rPr>
            </w:pPr>
            <w:r w:rsidRPr="00040BEC">
              <w:rPr>
                <w:lang w:val="en-GB"/>
              </w:rPr>
              <w:t>SI.MOBIL</w:t>
            </w:r>
          </w:p>
        </w:tc>
        <w:tc>
          <w:tcPr>
            <w:tcW w:w="2268" w:type="dxa"/>
          </w:tcPr>
          <w:p w14:paraId="5D2268DB" w14:textId="3DF4A39E" w:rsidR="00903696" w:rsidRPr="00040BEC" w:rsidRDefault="00DC16AE" w:rsidP="00DC16AE">
            <w:pPr>
              <w:rPr>
                <w:lang w:val="en-GB"/>
              </w:rPr>
            </w:pPr>
            <w:r>
              <w:rPr>
                <w:lang w:val="en-GB"/>
              </w:rPr>
              <w:t>1905 -</w:t>
            </w:r>
            <w:r w:rsidR="00903696" w:rsidRPr="00040BEC">
              <w:rPr>
                <w:lang w:val="en-GB"/>
              </w:rPr>
              <w:t xml:space="preserve"> 1910 MHz</w:t>
            </w:r>
          </w:p>
        </w:tc>
        <w:tc>
          <w:tcPr>
            <w:tcW w:w="1985" w:type="dxa"/>
          </w:tcPr>
          <w:p w14:paraId="0C1D90A0" w14:textId="77777777" w:rsidR="00903696" w:rsidRPr="00040BEC" w:rsidRDefault="00903696" w:rsidP="00DC16AE">
            <w:pPr>
              <w:rPr>
                <w:lang w:val="en-GB"/>
              </w:rPr>
            </w:pPr>
            <w:r w:rsidRPr="00040BEC">
              <w:rPr>
                <w:lang w:val="en-GB"/>
              </w:rPr>
              <w:t>UMTS / TDD</w:t>
            </w:r>
          </w:p>
        </w:tc>
        <w:tc>
          <w:tcPr>
            <w:tcW w:w="2653" w:type="dxa"/>
          </w:tcPr>
          <w:p w14:paraId="6541EF4A" w14:textId="77777777" w:rsidR="00903696" w:rsidRPr="00040BEC" w:rsidRDefault="00903696" w:rsidP="00DC16AE">
            <w:pPr>
              <w:rPr>
                <w:lang w:val="en-GB"/>
              </w:rPr>
            </w:pPr>
            <w:r w:rsidRPr="00040BEC">
              <w:rPr>
                <w:lang w:val="en-GB"/>
              </w:rPr>
              <w:t>31.05.2014 – 21.09.2021</w:t>
            </w:r>
          </w:p>
          <w:p w14:paraId="2D85C752" w14:textId="77777777" w:rsidR="00903696" w:rsidRPr="00040BEC" w:rsidRDefault="00903696" w:rsidP="00DC16AE">
            <w:pPr>
              <w:rPr>
                <w:lang w:val="en-GB"/>
              </w:rPr>
            </w:pPr>
            <w:r w:rsidRPr="00040BEC">
              <w:rPr>
                <w:lang w:val="en-GB"/>
              </w:rPr>
              <w:t>Tradable</w:t>
            </w:r>
          </w:p>
        </w:tc>
      </w:tr>
      <w:tr w:rsidR="00903696" w:rsidRPr="00040BEC" w14:paraId="66FBE5D2" w14:textId="77777777" w:rsidTr="007007B4">
        <w:trPr>
          <w:trHeight w:val="339"/>
          <w:jc w:val="center"/>
        </w:trPr>
        <w:tc>
          <w:tcPr>
            <w:tcW w:w="2514" w:type="dxa"/>
          </w:tcPr>
          <w:p w14:paraId="2695A8E2" w14:textId="77777777" w:rsidR="00903696" w:rsidRPr="00040BEC" w:rsidRDefault="00903696" w:rsidP="00DC16AE">
            <w:pPr>
              <w:rPr>
                <w:lang w:val="en-GB"/>
              </w:rPr>
            </w:pPr>
            <w:r w:rsidRPr="00040BEC">
              <w:rPr>
                <w:lang w:val="en-GB"/>
              </w:rPr>
              <w:t>T-2</w:t>
            </w:r>
          </w:p>
        </w:tc>
        <w:tc>
          <w:tcPr>
            <w:tcW w:w="2268" w:type="dxa"/>
          </w:tcPr>
          <w:p w14:paraId="567C9FF2" w14:textId="0A7C2255" w:rsidR="00903696" w:rsidRPr="00040BEC" w:rsidRDefault="00DC16AE" w:rsidP="00DC16AE">
            <w:pPr>
              <w:rPr>
                <w:lang w:val="en-GB"/>
              </w:rPr>
            </w:pPr>
            <w:r>
              <w:rPr>
                <w:lang w:val="en-GB"/>
              </w:rPr>
              <w:t>1910 -</w:t>
            </w:r>
            <w:r w:rsidR="00903696" w:rsidRPr="00040BEC">
              <w:rPr>
                <w:lang w:val="en-GB"/>
              </w:rPr>
              <w:t xml:space="preserve"> 1915 MHz</w:t>
            </w:r>
          </w:p>
        </w:tc>
        <w:tc>
          <w:tcPr>
            <w:tcW w:w="1985" w:type="dxa"/>
          </w:tcPr>
          <w:p w14:paraId="0610F7D6" w14:textId="77777777" w:rsidR="00903696" w:rsidRPr="00040BEC" w:rsidRDefault="00903696" w:rsidP="00DC16AE">
            <w:pPr>
              <w:rPr>
                <w:lang w:val="en-GB"/>
              </w:rPr>
            </w:pPr>
            <w:r w:rsidRPr="00040BEC">
              <w:rPr>
                <w:lang w:val="en-GB"/>
              </w:rPr>
              <w:t>UMTS / TDD</w:t>
            </w:r>
          </w:p>
        </w:tc>
        <w:tc>
          <w:tcPr>
            <w:tcW w:w="2653" w:type="dxa"/>
          </w:tcPr>
          <w:p w14:paraId="540075F4" w14:textId="77777777" w:rsidR="00903696" w:rsidRPr="00040BEC" w:rsidRDefault="00903696" w:rsidP="00DC16AE">
            <w:pPr>
              <w:rPr>
                <w:lang w:val="en-GB"/>
              </w:rPr>
            </w:pPr>
            <w:r w:rsidRPr="00040BEC">
              <w:rPr>
                <w:lang w:val="en-GB"/>
              </w:rPr>
              <w:t>21.09.2006 – 21.09.2021</w:t>
            </w:r>
          </w:p>
          <w:p w14:paraId="30B9E7BC" w14:textId="77777777" w:rsidR="00903696" w:rsidRPr="00040BEC" w:rsidRDefault="00903696" w:rsidP="00DC16AE">
            <w:pPr>
              <w:rPr>
                <w:lang w:val="en-GB"/>
              </w:rPr>
            </w:pPr>
            <w:r w:rsidRPr="00040BEC">
              <w:rPr>
                <w:lang w:val="en-GB"/>
              </w:rPr>
              <w:t>Tradable</w:t>
            </w:r>
          </w:p>
        </w:tc>
      </w:tr>
      <w:tr w:rsidR="00903696" w:rsidRPr="00040BEC" w14:paraId="004BAD58" w14:textId="77777777" w:rsidTr="007007B4">
        <w:trPr>
          <w:trHeight w:val="363"/>
          <w:jc w:val="center"/>
        </w:trPr>
        <w:tc>
          <w:tcPr>
            <w:tcW w:w="2514" w:type="dxa"/>
          </w:tcPr>
          <w:p w14:paraId="68AC90EA" w14:textId="77777777" w:rsidR="00903696" w:rsidRPr="00040BEC" w:rsidRDefault="00903696" w:rsidP="00DC16AE">
            <w:pPr>
              <w:rPr>
                <w:lang w:val="en-GB"/>
              </w:rPr>
            </w:pPr>
            <w:r w:rsidRPr="00040BEC">
              <w:rPr>
                <w:lang w:val="en-GB"/>
              </w:rPr>
              <w:t>SI.MOBIL</w:t>
            </w:r>
          </w:p>
        </w:tc>
        <w:tc>
          <w:tcPr>
            <w:tcW w:w="2268" w:type="dxa"/>
          </w:tcPr>
          <w:p w14:paraId="3F4042DD" w14:textId="42503117" w:rsidR="00903696" w:rsidRPr="00040BEC" w:rsidRDefault="00DC16AE" w:rsidP="00DC16AE">
            <w:pPr>
              <w:rPr>
                <w:lang w:val="en-GB"/>
              </w:rPr>
            </w:pPr>
            <w:r>
              <w:rPr>
                <w:lang w:val="en-GB"/>
              </w:rPr>
              <w:t>1915 -</w:t>
            </w:r>
            <w:r w:rsidR="00903696" w:rsidRPr="00040BEC">
              <w:rPr>
                <w:lang w:val="en-GB"/>
              </w:rPr>
              <w:t xml:space="preserve"> 1920 MHz</w:t>
            </w:r>
          </w:p>
        </w:tc>
        <w:tc>
          <w:tcPr>
            <w:tcW w:w="1985" w:type="dxa"/>
          </w:tcPr>
          <w:p w14:paraId="1F51FAAB" w14:textId="77777777" w:rsidR="00903696" w:rsidRPr="00040BEC" w:rsidRDefault="00903696" w:rsidP="00DC16AE">
            <w:pPr>
              <w:rPr>
                <w:lang w:val="en-GB"/>
              </w:rPr>
            </w:pPr>
            <w:r w:rsidRPr="00040BEC">
              <w:rPr>
                <w:lang w:val="en-GB"/>
              </w:rPr>
              <w:t>UMTS / TDD</w:t>
            </w:r>
          </w:p>
        </w:tc>
        <w:tc>
          <w:tcPr>
            <w:tcW w:w="2653" w:type="dxa"/>
          </w:tcPr>
          <w:p w14:paraId="270A388E" w14:textId="77777777" w:rsidR="00903696" w:rsidRPr="00040BEC" w:rsidRDefault="00903696" w:rsidP="00DC16AE">
            <w:pPr>
              <w:rPr>
                <w:lang w:val="en-GB"/>
              </w:rPr>
            </w:pPr>
            <w:r w:rsidRPr="00040BEC">
              <w:rPr>
                <w:lang w:val="en-GB"/>
              </w:rPr>
              <w:t>21.09.2006 – 21.09.2021</w:t>
            </w:r>
          </w:p>
          <w:p w14:paraId="4E286F89" w14:textId="77777777" w:rsidR="00903696" w:rsidRPr="00040BEC" w:rsidRDefault="00903696" w:rsidP="00DC16AE">
            <w:pPr>
              <w:rPr>
                <w:lang w:val="en-GB"/>
              </w:rPr>
            </w:pPr>
            <w:r w:rsidRPr="00040BEC">
              <w:rPr>
                <w:lang w:val="en-GB"/>
              </w:rPr>
              <w:t>Tradable</w:t>
            </w:r>
          </w:p>
        </w:tc>
      </w:tr>
      <w:tr w:rsidR="00903696" w:rsidRPr="00040BEC" w14:paraId="1FA82D52" w14:textId="77777777" w:rsidTr="007007B4">
        <w:trPr>
          <w:trHeight w:val="363"/>
          <w:jc w:val="center"/>
        </w:trPr>
        <w:tc>
          <w:tcPr>
            <w:tcW w:w="2514" w:type="dxa"/>
          </w:tcPr>
          <w:p w14:paraId="7245C2E3" w14:textId="77777777" w:rsidR="00903696" w:rsidRPr="00040BEC" w:rsidRDefault="00903696" w:rsidP="00DC16AE">
            <w:pPr>
              <w:rPr>
                <w:lang w:val="en-GB"/>
              </w:rPr>
            </w:pPr>
            <w:r w:rsidRPr="00040BEC">
              <w:rPr>
                <w:lang w:val="en-GB"/>
              </w:rPr>
              <w:t>SI.MOBIL</w:t>
            </w:r>
          </w:p>
        </w:tc>
        <w:tc>
          <w:tcPr>
            <w:tcW w:w="2268" w:type="dxa"/>
          </w:tcPr>
          <w:p w14:paraId="795267F6" w14:textId="45CA04EB" w:rsidR="00903696" w:rsidRPr="00040BEC" w:rsidRDefault="00DC16AE" w:rsidP="00DC16AE">
            <w:pPr>
              <w:rPr>
                <w:lang w:val="en-GB"/>
              </w:rPr>
            </w:pPr>
            <w:r>
              <w:rPr>
                <w:lang w:val="en-GB"/>
              </w:rPr>
              <w:t>2010 -</w:t>
            </w:r>
            <w:r w:rsidR="00903696" w:rsidRPr="00040BEC">
              <w:rPr>
                <w:lang w:val="en-GB"/>
              </w:rPr>
              <w:t xml:space="preserve"> 2025 MHz</w:t>
            </w:r>
          </w:p>
        </w:tc>
        <w:tc>
          <w:tcPr>
            <w:tcW w:w="1985" w:type="dxa"/>
          </w:tcPr>
          <w:p w14:paraId="696B4D5D" w14:textId="77777777" w:rsidR="00903696" w:rsidRPr="00040BEC" w:rsidRDefault="00903696" w:rsidP="00DC16AE">
            <w:pPr>
              <w:rPr>
                <w:lang w:val="en-GB"/>
              </w:rPr>
            </w:pPr>
            <w:r w:rsidRPr="00040BEC">
              <w:rPr>
                <w:lang w:val="en-GB"/>
              </w:rPr>
              <w:t>UMTS / TDD</w:t>
            </w:r>
          </w:p>
        </w:tc>
        <w:tc>
          <w:tcPr>
            <w:tcW w:w="2653" w:type="dxa"/>
          </w:tcPr>
          <w:p w14:paraId="5483D282" w14:textId="77777777" w:rsidR="00903696" w:rsidRPr="00040BEC" w:rsidRDefault="00903696" w:rsidP="00DC16AE">
            <w:pPr>
              <w:rPr>
                <w:lang w:val="en-GB"/>
              </w:rPr>
            </w:pPr>
            <w:r w:rsidRPr="00040BEC">
              <w:rPr>
                <w:lang w:val="en-GB"/>
              </w:rPr>
              <w:t>31.05.2014 – 21.09.2021</w:t>
            </w:r>
          </w:p>
          <w:p w14:paraId="602FAA61" w14:textId="77777777" w:rsidR="00903696" w:rsidRPr="00040BEC" w:rsidRDefault="00903696" w:rsidP="00DC16AE">
            <w:pPr>
              <w:rPr>
                <w:lang w:val="en-GB"/>
              </w:rPr>
            </w:pPr>
            <w:r w:rsidRPr="00040BEC">
              <w:rPr>
                <w:lang w:val="en-GB"/>
              </w:rPr>
              <w:t>Tradable</w:t>
            </w:r>
          </w:p>
        </w:tc>
      </w:tr>
    </w:tbl>
    <w:p w14:paraId="11DF73B7" w14:textId="3616000D" w:rsidR="007007B4" w:rsidRDefault="007007B4" w:rsidP="00B63017">
      <w:pPr>
        <w:overflowPunct w:val="0"/>
        <w:autoSpaceDE w:val="0"/>
        <w:autoSpaceDN w:val="0"/>
        <w:adjustRightInd w:val="0"/>
        <w:textAlignment w:val="baseline"/>
        <w:rPr>
          <w:rFonts w:cs="Arial"/>
          <w:b/>
          <w:szCs w:val="20"/>
          <w:lang w:val="en-GB" w:eastAsia="nl-NL"/>
        </w:rPr>
      </w:pPr>
    </w:p>
    <w:p w14:paraId="050CC6DF" w14:textId="77777777" w:rsidR="007007B4" w:rsidRDefault="007007B4">
      <w:pPr>
        <w:rPr>
          <w:rFonts w:cs="Arial"/>
          <w:b/>
          <w:szCs w:val="20"/>
          <w:lang w:val="en-GB" w:eastAsia="nl-NL"/>
        </w:rPr>
      </w:pPr>
      <w:r>
        <w:rPr>
          <w:rFonts w:cs="Arial"/>
          <w:b/>
          <w:szCs w:val="20"/>
          <w:lang w:val="en-GB" w:eastAsia="nl-NL"/>
        </w:rPr>
        <w:br w:type="page"/>
      </w:r>
    </w:p>
    <w:p w14:paraId="4466ED8D" w14:textId="77777777" w:rsidR="00B63017" w:rsidRPr="00040BEC" w:rsidRDefault="00B63017" w:rsidP="00B63017">
      <w:pPr>
        <w:numPr>
          <w:ilvl w:val="0"/>
          <w:numId w:val="17"/>
        </w:numPr>
        <w:suppressAutoHyphens/>
        <w:overflowPunct w:val="0"/>
        <w:autoSpaceDE w:val="0"/>
        <w:autoSpaceDN w:val="0"/>
        <w:adjustRightInd w:val="0"/>
        <w:ind w:left="567" w:hanging="567"/>
        <w:textAlignment w:val="baseline"/>
        <w:rPr>
          <w:rFonts w:cs="Arial"/>
          <w:b/>
          <w:bCs/>
          <w:szCs w:val="20"/>
          <w:lang w:val="en-GB" w:eastAsia="en-IE"/>
        </w:rPr>
      </w:pPr>
      <w:r w:rsidRPr="00040BEC">
        <w:rPr>
          <w:rFonts w:cs="Arial"/>
          <w:b/>
          <w:bCs/>
          <w:szCs w:val="20"/>
          <w:lang w:val="en-GB" w:eastAsia="en-IE"/>
        </w:rPr>
        <w:lastRenderedPageBreak/>
        <w:t>Spain (</w:t>
      </w:r>
      <w:r w:rsidR="00BF201C" w:rsidRPr="00040BEC">
        <w:rPr>
          <w:rFonts w:cs="Arial"/>
          <w:b/>
          <w:bCs/>
          <w:szCs w:val="20"/>
          <w:lang w:val="en-GB" w:eastAsia="en-IE"/>
        </w:rPr>
        <w:t>February 2014</w:t>
      </w:r>
      <w:r w:rsidRPr="00040BEC">
        <w:rPr>
          <w:rFonts w:cs="Arial"/>
          <w:b/>
          <w:bCs/>
          <w:szCs w:val="20"/>
          <w:lang w:val="en-GB" w:eastAsia="en-IE"/>
        </w:rPr>
        <w:t>)</w:t>
      </w:r>
    </w:p>
    <w:p w14:paraId="3BB40B4C" w14:textId="77777777" w:rsidR="00B63017" w:rsidRPr="00040BEC" w:rsidRDefault="00B63017" w:rsidP="00B63017">
      <w:pPr>
        <w:suppressAutoHyphens/>
        <w:overflowPunct w:val="0"/>
        <w:autoSpaceDE w:val="0"/>
        <w:autoSpaceDN w:val="0"/>
        <w:adjustRightInd w:val="0"/>
        <w:textAlignment w:val="baseline"/>
        <w:rPr>
          <w:rFonts w:cs="Arial"/>
          <w:b/>
          <w:bCs/>
          <w:szCs w:val="20"/>
          <w:lang w:val="en-GB" w:eastAsia="en-IE"/>
        </w:rPr>
      </w:pPr>
    </w:p>
    <w:p w14:paraId="05222A9F" w14:textId="77777777" w:rsidR="00B63017" w:rsidRPr="00040BEC" w:rsidRDefault="00B63017" w:rsidP="00B63017">
      <w:pPr>
        <w:overflowPunct w:val="0"/>
        <w:autoSpaceDE w:val="0"/>
        <w:autoSpaceDN w:val="0"/>
        <w:adjustRightInd w:val="0"/>
        <w:textAlignment w:val="baseline"/>
        <w:rPr>
          <w:rFonts w:cs="Arial"/>
          <w:b/>
          <w:szCs w:val="20"/>
          <w:lang w:val="en-GB" w:eastAsia="nl-NL"/>
        </w:rPr>
      </w:pPr>
      <w:r w:rsidRPr="00040BEC">
        <w:rPr>
          <w:rFonts w:cs="Arial"/>
          <w:b/>
          <w:szCs w:val="20"/>
          <w:lang w:val="en-GB" w:eastAsia="nl-NL"/>
        </w:rPr>
        <w:t>1900-1920 MHz (unpaired frequency arrangement)</w:t>
      </w:r>
    </w:p>
    <w:tbl>
      <w:tblPr>
        <w:tblW w:w="94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19"/>
        <w:gridCol w:w="2268"/>
        <w:gridCol w:w="1985"/>
        <w:gridCol w:w="2693"/>
      </w:tblGrid>
      <w:tr w:rsidR="00B63017" w:rsidRPr="00040BEC" w14:paraId="3C8FEB7A" w14:textId="77777777" w:rsidTr="007007B4">
        <w:trPr>
          <w:trHeight w:val="435"/>
        </w:trPr>
        <w:tc>
          <w:tcPr>
            <w:tcW w:w="2519" w:type="dxa"/>
            <w:vAlign w:val="center"/>
          </w:tcPr>
          <w:p w14:paraId="0AC9B83B"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Operator</w:t>
            </w:r>
          </w:p>
        </w:tc>
        <w:tc>
          <w:tcPr>
            <w:tcW w:w="2268" w:type="dxa"/>
            <w:vAlign w:val="center"/>
          </w:tcPr>
          <w:p w14:paraId="77AD7830"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Frequencies</w:t>
            </w:r>
          </w:p>
        </w:tc>
        <w:tc>
          <w:tcPr>
            <w:tcW w:w="1985" w:type="dxa"/>
            <w:vAlign w:val="center"/>
          </w:tcPr>
          <w:p w14:paraId="54E8B196"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Technology in use (optional)</w:t>
            </w:r>
          </w:p>
        </w:tc>
        <w:tc>
          <w:tcPr>
            <w:tcW w:w="2693" w:type="dxa"/>
            <w:vAlign w:val="center"/>
          </w:tcPr>
          <w:p w14:paraId="7DF1B3E9"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Licence duration, tradability</w:t>
            </w:r>
          </w:p>
        </w:tc>
      </w:tr>
      <w:tr w:rsidR="00B63017" w:rsidRPr="00040BEC" w14:paraId="55A04F87" w14:textId="77777777" w:rsidTr="007007B4">
        <w:trPr>
          <w:trHeight w:val="281"/>
        </w:trPr>
        <w:tc>
          <w:tcPr>
            <w:tcW w:w="2519" w:type="dxa"/>
            <w:vAlign w:val="center"/>
          </w:tcPr>
          <w:p w14:paraId="78498EA5"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Orange</w:t>
            </w:r>
          </w:p>
        </w:tc>
        <w:tc>
          <w:tcPr>
            <w:tcW w:w="2268" w:type="dxa"/>
            <w:vAlign w:val="center"/>
          </w:tcPr>
          <w:p w14:paraId="38F23C4A"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szCs w:val="20"/>
                <w:lang w:val="en-GB" w:eastAsia="nl-NL"/>
              </w:rPr>
              <w:t>1900.1-1905.1 MHz</w:t>
            </w:r>
          </w:p>
        </w:tc>
        <w:tc>
          <w:tcPr>
            <w:tcW w:w="1985" w:type="dxa"/>
            <w:vAlign w:val="center"/>
          </w:tcPr>
          <w:p w14:paraId="3FFFAF89" w14:textId="77777777" w:rsidR="00B63017" w:rsidRPr="00040BEC" w:rsidRDefault="00B63017" w:rsidP="00E72FF9">
            <w:pPr>
              <w:overflowPunct w:val="0"/>
              <w:autoSpaceDE w:val="0"/>
              <w:autoSpaceDN w:val="0"/>
              <w:adjustRightInd w:val="0"/>
              <w:jc w:val="center"/>
              <w:textAlignment w:val="baseline"/>
              <w:rPr>
                <w:rFonts w:cs="Arial"/>
                <w:szCs w:val="20"/>
                <w:lang w:val="en-GB" w:eastAsia="nl-NL"/>
              </w:rPr>
            </w:pPr>
            <w:r w:rsidRPr="00040BEC">
              <w:rPr>
                <w:rFonts w:cs="Arial"/>
                <w:szCs w:val="20"/>
                <w:lang w:val="en-GB" w:eastAsia="nl-NL"/>
              </w:rPr>
              <w:t>UMTS TDD</w:t>
            </w:r>
          </w:p>
        </w:tc>
        <w:tc>
          <w:tcPr>
            <w:tcW w:w="2693" w:type="dxa"/>
            <w:vAlign w:val="center"/>
          </w:tcPr>
          <w:p w14:paraId="4EFDEDA4" w14:textId="77777777" w:rsidR="00B63017" w:rsidRPr="00040BEC" w:rsidRDefault="00B63017" w:rsidP="00E72FF9">
            <w:pPr>
              <w:overflowPunct w:val="0"/>
              <w:autoSpaceDE w:val="0"/>
              <w:autoSpaceDN w:val="0"/>
              <w:adjustRightInd w:val="0"/>
              <w:jc w:val="center"/>
              <w:textAlignment w:val="baseline"/>
              <w:rPr>
                <w:rFonts w:cs="Arial"/>
                <w:szCs w:val="20"/>
                <w:lang w:val="en-GB" w:eastAsia="nl-NL"/>
              </w:rPr>
            </w:pPr>
            <w:r w:rsidRPr="00040BEC">
              <w:rPr>
                <w:rFonts w:cs="Arial"/>
                <w:szCs w:val="20"/>
                <w:lang w:val="en-GB" w:eastAsia="nl-NL"/>
              </w:rPr>
              <w:t>Apr-’00 / apr-’20</w:t>
            </w:r>
          </w:p>
          <w:p w14:paraId="7E92825E" w14:textId="77777777" w:rsidR="00B63017" w:rsidRPr="00040BEC" w:rsidRDefault="00B63017" w:rsidP="00E72FF9">
            <w:pPr>
              <w:overflowPunct w:val="0"/>
              <w:autoSpaceDE w:val="0"/>
              <w:autoSpaceDN w:val="0"/>
              <w:adjustRightInd w:val="0"/>
              <w:jc w:val="center"/>
              <w:textAlignment w:val="baseline"/>
              <w:rPr>
                <w:rFonts w:cs="Arial"/>
                <w:szCs w:val="20"/>
                <w:lang w:val="en-GB" w:eastAsia="nl-NL"/>
              </w:rPr>
            </w:pPr>
            <w:r w:rsidRPr="00040BEC">
              <w:rPr>
                <w:rFonts w:cs="Arial"/>
                <w:bCs/>
                <w:szCs w:val="20"/>
                <w:lang w:val="en-GB" w:eastAsia="nl-NL"/>
              </w:rPr>
              <w:t>tradable</w:t>
            </w:r>
          </w:p>
        </w:tc>
      </w:tr>
      <w:tr w:rsidR="00B63017" w:rsidRPr="00040BEC" w14:paraId="3512BBC5" w14:textId="77777777" w:rsidTr="007007B4">
        <w:trPr>
          <w:trHeight w:val="281"/>
        </w:trPr>
        <w:tc>
          <w:tcPr>
            <w:tcW w:w="2519" w:type="dxa"/>
            <w:vAlign w:val="center"/>
          </w:tcPr>
          <w:p w14:paraId="0217BFCB"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Vodafone</w:t>
            </w:r>
          </w:p>
        </w:tc>
        <w:tc>
          <w:tcPr>
            <w:tcW w:w="2268" w:type="dxa"/>
            <w:vAlign w:val="center"/>
          </w:tcPr>
          <w:p w14:paraId="642588BD"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szCs w:val="20"/>
                <w:lang w:val="en-GB" w:eastAsia="nl-NL"/>
              </w:rPr>
              <w:t>1905.1-1910.1 MHz</w:t>
            </w:r>
          </w:p>
        </w:tc>
        <w:tc>
          <w:tcPr>
            <w:tcW w:w="1985" w:type="dxa"/>
            <w:vAlign w:val="center"/>
          </w:tcPr>
          <w:p w14:paraId="0EFBAB22"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szCs w:val="20"/>
                <w:lang w:val="en-GB" w:eastAsia="nl-NL"/>
              </w:rPr>
              <w:t>UMTS TDD</w:t>
            </w:r>
          </w:p>
        </w:tc>
        <w:tc>
          <w:tcPr>
            <w:tcW w:w="2693" w:type="dxa"/>
            <w:vAlign w:val="center"/>
          </w:tcPr>
          <w:p w14:paraId="67E0F41E" w14:textId="77777777" w:rsidR="00B63017" w:rsidRPr="00040BEC" w:rsidRDefault="00B63017" w:rsidP="00E72FF9">
            <w:pPr>
              <w:overflowPunct w:val="0"/>
              <w:autoSpaceDE w:val="0"/>
              <w:autoSpaceDN w:val="0"/>
              <w:adjustRightInd w:val="0"/>
              <w:jc w:val="center"/>
              <w:textAlignment w:val="baseline"/>
              <w:rPr>
                <w:rFonts w:cs="Arial"/>
                <w:szCs w:val="20"/>
                <w:lang w:val="en-GB" w:eastAsia="nl-NL"/>
              </w:rPr>
            </w:pPr>
            <w:r w:rsidRPr="00040BEC">
              <w:rPr>
                <w:rFonts w:cs="Arial"/>
                <w:szCs w:val="20"/>
                <w:lang w:val="en-GB" w:eastAsia="nl-NL"/>
              </w:rPr>
              <w:t>Apr-’00 / apr-’20</w:t>
            </w:r>
          </w:p>
          <w:p w14:paraId="3C0208A7" w14:textId="77777777" w:rsidR="00B63017" w:rsidRPr="00040BEC" w:rsidRDefault="00B63017" w:rsidP="00E72FF9">
            <w:pPr>
              <w:overflowPunct w:val="0"/>
              <w:autoSpaceDE w:val="0"/>
              <w:autoSpaceDN w:val="0"/>
              <w:adjustRightInd w:val="0"/>
              <w:jc w:val="center"/>
              <w:textAlignment w:val="baseline"/>
              <w:rPr>
                <w:rFonts w:cs="Arial"/>
                <w:szCs w:val="20"/>
                <w:lang w:val="en-GB" w:eastAsia="nl-NL"/>
              </w:rPr>
            </w:pPr>
            <w:r w:rsidRPr="00040BEC">
              <w:rPr>
                <w:rFonts w:cs="Arial"/>
                <w:bCs/>
                <w:szCs w:val="20"/>
                <w:lang w:val="en-GB" w:eastAsia="nl-NL"/>
              </w:rPr>
              <w:t>tradable</w:t>
            </w:r>
          </w:p>
        </w:tc>
      </w:tr>
      <w:tr w:rsidR="00B63017" w:rsidRPr="00040BEC" w14:paraId="2554A2AF" w14:textId="77777777" w:rsidTr="007007B4">
        <w:trPr>
          <w:trHeight w:val="330"/>
        </w:trPr>
        <w:tc>
          <w:tcPr>
            <w:tcW w:w="2519" w:type="dxa"/>
            <w:vAlign w:val="center"/>
          </w:tcPr>
          <w:p w14:paraId="2ABA4AE3" w14:textId="77777777" w:rsidR="00B63017" w:rsidRPr="00040BEC" w:rsidRDefault="00B63017" w:rsidP="00E72FF9">
            <w:pPr>
              <w:overflowPunct w:val="0"/>
              <w:autoSpaceDE w:val="0"/>
              <w:autoSpaceDN w:val="0"/>
              <w:adjustRightInd w:val="0"/>
              <w:textAlignment w:val="baseline"/>
              <w:rPr>
                <w:rFonts w:cs="Arial"/>
                <w:szCs w:val="20"/>
                <w:lang w:val="en-GB" w:eastAsia="nl-NL"/>
              </w:rPr>
            </w:pPr>
            <w:proofErr w:type="spellStart"/>
            <w:r w:rsidRPr="00040BEC">
              <w:rPr>
                <w:rFonts w:cs="Arial"/>
                <w:szCs w:val="20"/>
                <w:lang w:val="en-GB" w:eastAsia="nl-NL"/>
              </w:rPr>
              <w:t>Telefónica</w:t>
            </w:r>
            <w:proofErr w:type="spellEnd"/>
          </w:p>
        </w:tc>
        <w:tc>
          <w:tcPr>
            <w:tcW w:w="2268" w:type="dxa"/>
            <w:vAlign w:val="center"/>
          </w:tcPr>
          <w:p w14:paraId="47D7A388"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szCs w:val="20"/>
                <w:lang w:val="en-GB" w:eastAsia="nl-NL"/>
              </w:rPr>
              <w:t>1910.1 – 1915.1 MHz</w:t>
            </w:r>
          </w:p>
        </w:tc>
        <w:tc>
          <w:tcPr>
            <w:tcW w:w="1985" w:type="dxa"/>
            <w:vAlign w:val="center"/>
          </w:tcPr>
          <w:p w14:paraId="36A973AB" w14:textId="77777777" w:rsidR="00B63017" w:rsidRPr="00040BEC" w:rsidRDefault="00B63017" w:rsidP="00E72FF9">
            <w:pPr>
              <w:overflowPunct w:val="0"/>
              <w:autoSpaceDE w:val="0"/>
              <w:autoSpaceDN w:val="0"/>
              <w:adjustRightInd w:val="0"/>
              <w:jc w:val="center"/>
              <w:textAlignment w:val="baseline"/>
              <w:rPr>
                <w:rFonts w:cs="Arial"/>
                <w:szCs w:val="20"/>
                <w:lang w:val="en-GB" w:eastAsia="nl-NL"/>
              </w:rPr>
            </w:pPr>
            <w:r w:rsidRPr="00040BEC">
              <w:rPr>
                <w:rFonts w:cs="Arial"/>
                <w:szCs w:val="20"/>
                <w:lang w:val="en-GB" w:eastAsia="nl-NL"/>
              </w:rPr>
              <w:t xml:space="preserve">UMTS TDD </w:t>
            </w:r>
          </w:p>
        </w:tc>
        <w:tc>
          <w:tcPr>
            <w:tcW w:w="2693" w:type="dxa"/>
            <w:vAlign w:val="center"/>
          </w:tcPr>
          <w:p w14:paraId="1DC74A1B" w14:textId="77777777" w:rsidR="00B63017" w:rsidRPr="00040BEC" w:rsidRDefault="00B63017" w:rsidP="00E72FF9">
            <w:pPr>
              <w:overflowPunct w:val="0"/>
              <w:autoSpaceDE w:val="0"/>
              <w:autoSpaceDN w:val="0"/>
              <w:adjustRightInd w:val="0"/>
              <w:jc w:val="center"/>
              <w:textAlignment w:val="baseline"/>
              <w:rPr>
                <w:rFonts w:cs="Arial"/>
                <w:szCs w:val="20"/>
                <w:lang w:val="en-GB" w:eastAsia="nl-NL"/>
              </w:rPr>
            </w:pPr>
            <w:r w:rsidRPr="00040BEC">
              <w:rPr>
                <w:rFonts w:cs="Arial"/>
                <w:szCs w:val="20"/>
                <w:lang w:val="en-GB" w:eastAsia="nl-NL"/>
              </w:rPr>
              <w:t>Apr-’00 / apr-’20</w:t>
            </w:r>
          </w:p>
          <w:p w14:paraId="01729F44" w14:textId="77777777" w:rsidR="00B63017" w:rsidRPr="00040BEC" w:rsidRDefault="00B63017" w:rsidP="00E72FF9">
            <w:pPr>
              <w:overflowPunct w:val="0"/>
              <w:autoSpaceDE w:val="0"/>
              <w:autoSpaceDN w:val="0"/>
              <w:adjustRightInd w:val="0"/>
              <w:jc w:val="center"/>
              <w:textAlignment w:val="baseline"/>
              <w:rPr>
                <w:rFonts w:cs="Arial"/>
                <w:szCs w:val="20"/>
                <w:lang w:val="en-GB" w:eastAsia="nl-NL"/>
              </w:rPr>
            </w:pPr>
            <w:r w:rsidRPr="00040BEC">
              <w:rPr>
                <w:rFonts w:cs="Arial"/>
                <w:bCs/>
                <w:szCs w:val="20"/>
                <w:lang w:val="en-GB" w:eastAsia="nl-NL"/>
              </w:rPr>
              <w:t>tradable</w:t>
            </w:r>
          </w:p>
        </w:tc>
      </w:tr>
      <w:tr w:rsidR="00B63017" w:rsidRPr="00040BEC" w14:paraId="7E0CFDB6" w14:textId="77777777" w:rsidTr="007007B4">
        <w:trPr>
          <w:trHeight w:val="350"/>
        </w:trPr>
        <w:tc>
          <w:tcPr>
            <w:tcW w:w="2519" w:type="dxa"/>
            <w:vAlign w:val="center"/>
          </w:tcPr>
          <w:p w14:paraId="3AF1E925" w14:textId="77777777" w:rsidR="00B63017" w:rsidRPr="00040BEC" w:rsidRDefault="00B63017" w:rsidP="00E72FF9">
            <w:pPr>
              <w:overflowPunct w:val="0"/>
              <w:autoSpaceDE w:val="0"/>
              <w:autoSpaceDN w:val="0"/>
              <w:adjustRightInd w:val="0"/>
              <w:textAlignment w:val="baseline"/>
              <w:rPr>
                <w:rFonts w:cs="Arial"/>
                <w:szCs w:val="20"/>
                <w:lang w:val="en-GB" w:eastAsia="nl-NL"/>
              </w:rPr>
            </w:pPr>
            <w:proofErr w:type="spellStart"/>
            <w:r w:rsidRPr="00040BEC">
              <w:rPr>
                <w:rFonts w:cs="Arial"/>
                <w:szCs w:val="20"/>
                <w:lang w:val="en-GB" w:eastAsia="nl-NL"/>
              </w:rPr>
              <w:t>Xfera</w:t>
            </w:r>
            <w:proofErr w:type="spellEnd"/>
            <w:r w:rsidRPr="00040BEC">
              <w:rPr>
                <w:rFonts w:cs="Arial"/>
                <w:szCs w:val="20"/>
                <w:lang w:val="en-GB" w:eastAsia="nl-NL"/>
              </w:rPr>
              <w:t xml:space="preserve"> (</w:t>
            </w:r>
            <w:proofErr w:type="spellStart"/>
            <w:r w:rsidRPr="00040BEC">
              <w:rPr>
                <w:rFonts w:cs="Arial"/>
                <w:szCs w:val="20"/>
                <w:lang w:val="en-GB" w:eastAsia="nl-NL"/>
              </w:rPr>
              <w:t>Yoigo</w:t>
            </w:r>
            <w:proofErr w:type="spellEnd"/>
            <w:r w:rsidRPr="00040BEC">
              <w:rPr>
                <w:rFonts w:cs="Arial"/>
                <w:szCs w:val="20"/>
                <w:lang w:val="en-GB" w:eastAsia="nl-NL"/>
              </w:rPr>
              <w:t>)</w:t>
            </w:r>
          </w:p>
        </w:tc>
        <w:tc>
          <w:tcPr>
            <w:tcW w:w="2268" w:type="dxa"/>
            <w:vAlign w:val="center"/>
          </w:tcPr>
          <w:p w14:paraId="6D8A000D"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szCs w:val="20"/>
                <w:lang w:val="en-GB" w:eastAsia="nl-NL"/>
              </w:rPr>
              <w:t>1915.1-1920.1 MHz</w:t>
            </w:r>
          </w:p>
        </w:tc>
        <w:tc>
          <w:tcPr>
            <w:tcW w:w="1985" w:type="dxa"/>
            <w:vAlign w:val="center"/>
          </w:tcPr>
          <w:p w14:paraId="6230DF84" w14:textId="77777777" w:rsidR="00B63017" w:rsidRPr="00040BEC" w:rsidRDefault="00B63017" w:rsidP="00E72FF9">
            <w:pPr>
              <w:overflowPunct w:val="0"/>
              <w:autoSpaceDE w:val="0"/>
              <w:autoSpaceDN w:val="0"/>
              <w:adjustRightInd w:val="0"/>
              <w:jc w:val="center"/>
              <w:textAlignment w:val="baseline"/>
              <w:rPr>
                <w:rFonts w:cs="Arial"/>
                <w:szCs w:val="20"/>
                <w:lang w:val="en-GB" w:eastAsia="nl-NL"/>
              </w:rPr>
            </w:pPr>
            <w:r w:rsidRPr="00040BEC">
              <w:rPr>
                <w:rFonts w:cs="Arial"/>
                <w:szCs w:val="20"/>
                <w:lang w:val="en-GB" w:eastAsia="nl-NL"/>
              </w:rPr>
              <w:t xml:space="preserve">UMTS TDD </w:t>
            </w:r>
          </w:p>
        </w:tc>
        <w:tc>
          <w:tcPr>
            <w:tcW w:w="2693" w:type="dxa"/>
            <w:vAlign w:val="center"/>
          </w:tcPr>
          <w:p w14:paraId="07FBC145" w14:textId="77777777" w:rsidR="00B63017" w:rsidRPr="00040BEC" w:rsidRDefault="00B63017" w:rsidP="00E72FF9">
            <w:pPr>
              <w:overflowPunct w:val="0"/>
              <w:autoSpaceDE w:val="0"/>
              <w:autoSpaceDN w:val="0"/>
              <w:adjustRightInd w:val="0"/>
              <w:jc w:val="center"/>
              <w:textAlignment w:val="baseline"/>
              <w:rPr>
                <w:rFonts w:cs="Arial"/>
                <w:szCs w:val="20"/>
                <w:lang w:val="en-GB" w:eastAsia="nl-NL"/>
              </w:rPr>
            </w:pPr>
            <w:r w:rsidRPr="00040BEC">
              <w:rPr>
                <w:rFonts w:cs="Arial"/>
                <w:szCs w:val="20"/>
                <w:lang w:val="en-GB" w:eastAsia="nl-NL"/>
              </w:rPr>
              <w:t>Apr-’00 / apr-’20</w:t>
            </w:r>
          </w:p>
          <w:p w14:paraId="60322046" w14:textId="77777777" w:rsidR="00B63017" w:rsidRPr="00040BEC" w:rsidRDefault="00B63017" w:rsidP="00E72FF9">
            <w:pPr>
              <w:overflowPunct w:val="0"/>
              <w:autoSpaceDE w:val="0"/>
              <w:autoSpaceDN w:val="0"/>
              <w:adjustRightInd w:val="0"/>
              <w:jc w:val="center"/>
              <w:textAlignment w:val="baseline"/>
              <w:rPr>
                <w:rFonts w:cs="Arial"/>
                <w:szCs w:val="20"/>
                <w:lang w:val="en-GB" w:eastAsia="nl-NL"/>
              </w:rPr>
            </w:pPr>
            <w:r w:rsidRPr="00040BEC">
              <w:rPr>
                <w:rFonts w:cs="Arial"/>
                <w:bCs/>
                <w:szCs w:val="20"/>
                <w:lang w:val="en-GB" w:eastAsia="nl-NL"/>
              </w:rPr>
              <w:t>tradable</w:t>
            </w:r>
          </w:p>
        </w:tc>
      </w:tr>
    </w:tbl>
    <w:p w14:paraId="536E189E" w14:textId="77777777" w:rsidR="00B63017" w:rsidRPr="00040BEC" w:rsidRDefault="00B63017" w:rsidP="00B63017">
      <w:pPr>
        <w:suppressAutoHyphens/>
        <w:rPr>
          <w:rFonts w:cs="Arial"/>
          <w:b/>
          <w:bCs/>
          <w:szCs w:val="20"/>
          <w:lang w:val="en-GB" w:eastAsia="en-IE"/>
        </w:rPr>
      </w:pPr>
    </w:p>
    <w:p w14:paraId="41B335A6" w14:textId="77777777" w:rsidR="00B63017" w:rsidRPr="00040BEC" w:rsidRDefault="00B63017" w:rsidP="00B63017">
      <w:pPr>
        <w:numPr>
          <w:ilvl w:val="0"/>
          <w:numId w:val="17"/>
        </w:numPr>
        <w:suppressAutoHyphens/>
        <w:overflowPunct w:val="0"/>
        <w:autoSpaceDE w:val="0"/>
        <w:autoSpaceDN w:val="0"/>
        <w:adjustRightInd w:val="0"/>
        <w:ind w:left="567" w:hanging="567"/>
        <w:textAlignment w:val="baseline"/>
        <w:rPr>
          <w:rFonts w:cs="Arial"/>
          <w:b/>
          <w:bCs/>
          <w:szCs w:val="20"/>
          <w:lang w:val="en-GB" w:eastAsia="en-IE"/>
        </w:rPr>
      </w:pPr>
      <w:r w:rsidRPr="00040BEC">
        <w:rPr>
          <w:rFonts w:cs="Arial"/>
          <w:b/>
          <w:bCs/>
          <w:szCs w:val="20"/>
          <w:lang w:val="en-GB" w:eastAsia="en-IE"/>
        </w:rPr>
        <w:t>Sweden (March 201</w:t>
      </w:r>
      <w:r w:rsidR="00BF201C" w:rsidRPr="00040BEC">
        <w:rPr>
          <w:rFonts w:cs="Arial"/>
          <w:b/>
          <w:bCs/>
          <w:szCs w:val="20"/>
          <w:lang w:val="en-GB" w:eastAsia="en-IE"/>
        </w:rPr>
        <w:t>4</w:t>
      </w:r>
      <w:r w:rsidRPr="00040BEC">
        <w:rPr>
          <w:rFonts w:cs="Arial"/>
          <w:b/>
          <w:bCs/>
          <w:szCs w:val="20"/>
          <w:lang w:val="en-GB" w:eastAsia="en-IE"/>
        </w:rPr>
        <w:t>)</w:t>
      </w:r>
    </w:p>
    <w:p w14:paraId="131DE964" w14:textId="77777777" w:rsidR="00B63017" w:rsidRPr="00040BEC" w:rsidRDefault="00B63017" w:rsidP="00B63017">
      <w:pPr>
        <w:suppressAutoHyphens/>
        <w:overflowPunct w:val="0"/>
        <w:autoSpaceDE w:val="0"/>
        <w:autoSpaceDN w:val="0"/>
        <w:adjustRightInd w:val="0"/>
        <w:textAlignment w:val="baseline"/>
        <w:rPr>
          <w:rFonts w:cs="Arial"/>
          <w:b/>
          <w:bCs/>
          <w:szCs w:val="20"/>
          <w:lang w:val="en-GB" w:eastAsia="en-IE"/>
        </w:rPr>
      </w:pPr>
    </w:p>
    <w:p w14:paraId="7D8F4AC3" w14:textId="77777777" w:rsidR="00B63017" w:rsidRPr="00040BEC" w:rsidRDefault="00B63017" w:rsidP="00B63017">
      <w:pPr>
        <w:overflowPunct w:val="0"/>
        <w:autoSpaceDE w:val="0"/>
        <w:autoSpaceDN w:val="0"/>
        <w:adjustRightInd w:val="0"/>
        <w:textAlignment w:val="baseline"/>
        <w:rPr>
          <w:rFonts w:cs="Arial"/>
          <w:b/>
          <w:szCs w:val="20"/>
          <w:lang w:val="en-GB" w:eastAsia="nl-NL"/>
        </w:rPr>
      </w:pPr>
      <w:r w:rsidRPr="00040BEC">
        <w:rPr>
          <w:rFonts w:cs="Arial"/>
          <w:b/>
          <w:szCs w:val="20"/>
          <w:lang w:val="en-GB" w:eastAsia="nl-NL"/>
        </w:rPr>
        <w:t>1900-1920 MHz / 2010-2025 MHz (unpaired frequency arrangement)</w:t>
      </w: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18"/>
        <w:gridCol w:w="2268"/>
        <w:gridCol w:w="1985"/>
        <w:gridCol w:w="2693"/>
      </w:tblGrid>
      <w:tr w:rsidR="00B63017" w:rsidRPr="00040BEC" w14:paraId="58182424" w14:textId="77777777" w:rsidTr="007007B4">
        <w:trPr>
          <w:trHeight w:val="347"/>
        </w:trPr>
        <w:tc>
          <w:tcPr>
            <w:tcW w:w="2518" w:type="dxa"/>
            <w:vAlign w:val="center"/>
          </w:tcPr>
          <w:p w14:paraId="7D3405D6"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Operator</w:t>
            </w:r>
          </w:p>
        </w:tc>
        <w:tc>
          <w:tcPr>
            <w:tcW w:w="2268" w:type="dxa"/>
            <w:vAlign w:val="center"/>
          </w:tcPr>
          <w:p w14:paraId="4FD0CB44"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Frequencies</w:t>
            </w:r>
          </w:p>
        </w:tc>
        <w:tc>
          <w:tcPr>
            <w:tcW w:w="1985" w:type="dxa"/>
            <w:vAlign w:val="center"/>
          </w:tcPr>
          <w:p w14:paraId="1812D888"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Technology in use (optional)</w:t>
            </w:r>
          </w:p>
        </w:tc>
        <w:tc>
          <w:tcPr>
            <w:tcW w:w="2693" w:type="dxa"/>
            <w:vAlign w:val="center"/>
          </w:tcPr>
          <w:p w14:paraId="2609914E"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Licence duration, tradability</w:t>
            </w:r>
          </w:p>
        </w:tc>
      </w:tr>
      <w:tr w:rsidR="00B63017" w:rsidRPr="00040BEC" w14:paraId="5E41CCC7" w14:textId="77777777" w:rsidTr="007007B4">
        <w:trPr>
          <w:trHeight w:val="311"/>
        </w:trPr>
        <w:tc>
          <w:tcPr>
            <w:tcW w:w="2518" w:type="dxa"/>
          </w:tcPr>
          <w:p w14:paraId="312F6BDF" w14:textId="77777777" w:rsidR="00B63017" w:rsidRPr="007359FB" w:rsidRDefault="00B63017" w:rsidP="007007B4">
            <w:pPr>
              <w:overflowPunct w:val="0"/>
              <w:autoSpaceDE w:val="0"/>
              <w:autoSpaceDN w:val="0"/>
              <w:adjustRightInd w:val="0"/>
              <w:spacing w:before="40"/>
              <w:textAlignment w:val="baseline"/>
              <w:rPr>
                <w:rFonts w:cs="Arial"/>
                <w:szCs w:val="20"/>
                <w:lang w:val="da-DK" w:eastAsia="nl-NL"/>
              </w:rPr>
            </w:pPr>
            <w:r w:rsidRPr="007359FB">
              <w:rPr>
                <w:rFonts w:cs="Arial"/>
                <w:szCs w:val="20"/>
                <w:lang w:val="da-DK" w:eastAsia="nl-NL"/>
              </w:rPr>
              <w:t>Svenska UMTS Licens AB (Tele2+TeliaSonera)</w:t>
            </w:r>
          </w:p>
        </w:tc>
        <w:tc>
          <w:tcPr>
            <w:tcW w:w="2268" w:type="dxa"/>
          </w:tcPr>
          <w:p w14:paraId="034A07FB" w14:textId="77777777" w:rsidR="00B63017" w:rsidRPr="00040BEC" w:rsidRDefault="00B63017" w:rsidP="007007B4">
            <w:pPr>
              <w:overflowPunct w:val="0"/>
              <w:autoSpaceDE w:val="0"/>
              <w:autoSpaceDN w:val="0"/>
              <w:adjustRightInd w:val="0"/>
              <w:spacing w:before="40"/>
              <w:textAlignment w:val="baseline"/>
              <w:rPr>
                <w:rFonts w:cs="Arial"/>
                <w:szCs w:val="20"/>
                <w:lang w:val="en-GB" w:eastAsia="nl-NL"/>
              </w:rPr>
            </w:pPr>
            <w:r w:rsidRPr="00040BEC">
              <w:rPr>
                <w:rFonts w:cs="Arial"/>
                <w:szCs w:val="20"/>
                <w:lang w:val="en-GB" w:eastAsia="nl-NL"/>
              </w:rPr>
              <w:t>1905.0 -1910.0 MHz</w:t>
            </w:r>
          </w:p>
        </w:tc>
        <w:tc>
          <w:tcPr>
            <w:tcW w:w="1985" w:type="dxa"/>
          </w:tcPr>
          <w:p w14:paraId="4A20E3FA" w14:textId="77777777" w:rsidR="00B63017" w:rsidRPr="00040BEC" w:rsidRDefault="00B63017" w:rsidP="007007B4">
            <w:pPr>
              <w:overflowPunct w:val="0"/>
              <w:autoSpaceDE w:val="0"/>
              <w:autoSpaceDN w:val="0"/>
              <w:adjustRightInd w:val="0"/>
              <w:spacing w:before="40"/>
              <w:textAlignment w:val="baseline"/>
              <w:rPr>
                <w:rFonts w:cs="Arial"/>
                <w:szCs w:val="20"/>
                <w:lang w:val="en-GB" w:eastAsia="nl-NL"/>
              </w:rPr>
            </w:pPr>
            <w:r w:rsidRPr="00040BEC">
              <w:rPr>
                <w:rFonts w:cs="Arial"/>
                <w:szCs w:val="20"/>
                <w:lang w:val="en-GB" w:eastAsia="nl-NL"/>
              </w:rPr>
              <w:t>Not deployed</w:t>
            </w:r>
          </w:p>
        </w:tc>
        <w:tc>
          <w:tcPr>
            <w:tcW w:w="2693" w:type="dxa"/>
          </w:tcPr>
          <w:p w14:paraId="6AD6C5B6" w14:textId="77777777" w:rsidR="00B63017" w:rsidRPr="00040BEC" w:rsidRDefault="00B63017" w:rsidP="007007B4">
            <w:pPr>
              <w:overflowPunct w:val="0"/>
              <w:autoSpaceDE w:val="0"/>
              <w:autoSpaceDN w:val="0"/>
              <w:adjustRightInd w:val="0"/>
              <w:spacing w:before="40"/>
              <w:textAlignment w:val="baseline"/>
              <w:rPr>
                <w:rFonts w:cs="Arial"/>
                <w:szCs w:val="20"/>
                <w:lang w:val="en-GB" w:eastAsia="nl-NL"/>
              </w:rPr>
            </w:pPr>
            <w:r w:rsidRPr="00040BEC">
              <w:rPr>
                <w:rFonts w:cs="Arial"/>
                <w:szCs w:val="20"/>
                <w:lang w:val="en-GB" w:eastAsia="nl-NL"/>
              </w:rPr>
              <w:t>16.12.2000 – 31.12.2025</w:t>
            </w:r>
          </w:p>
          <w:p w14:paraId="4C6BCA6E" w14:textId="77777777" w:rsidR="00B63017" w:rsidRPr="00040BEC" w:rsidRDefault="00B63017" w:rsidP="007007B4">
            <w:pPr>
              <w:overflowPunct w:val="0"/>
              <w:autoSpaceDE w:val="0"/>
              <w:autoSpaceDN w:val="0"/>
              <w:adjustRightInd w:val="0"/>
              <w:spacing w:before="40"/>
              <w:textAlignment w:val="baseline"/>
              <w:rPr>
                <w:rFonts w:cs="Arial"/>
                <w:szCs w:val="20"/>
                <w:lang w:val="en-GB" w:eastAsia="nl-NL"/>
              </w:rPr>
            </w:pPr>
            <w:r w:rsidRPr="00040BEC">
              <w:rPr>
                <w:rFonts w:cs="Arial"/>
                <w:szCs w:val="20"/>
                <w:lang w:val="en-GB" w:eastAsia="nl-NL"/>
              </w:rPr>
              <w:t>tradable</w:t>
            </w:r>
          </w:p>
        </w:tc>
      </w:tr>
      <w:tr w:rsidR="00B63017" w:rsidRPr="00040BEC" w14:paraId="3DC7B683" w14:textId="77777777" w:rsidTr="007007B4">
        <w:trPr>
          <w:trHeight w:val="208"/>
        </w:trPr>
        <w:tc>
          <w:tcPr>
            <w:tcW w:w="2518" w:type="dxa"/>
          </w:tcPr>
          <w:p w14:paraId="1D59E0F0" w14:textId="77777777" w:rsidR="00B63017" w:rsidRPr="00040BEC" w:rsidRDefault="00B63017" w:rsidP="007007B4">
            <w:pPr>
              <w:overflowPunct w:val="0"/>
              <w:autoSpaceDE w:val="0"/>
              <w:autoSpaceDN w:val="0"/>
              <w:adjustRightInd w:val="0"/>
              <w:spacing w:before="40"/>
              <w:textAlignment w:val="baseline"/>
              <w:rPr>
                <w:rFonts w:cs="Arial"/>
                <w:szCs w:val="20"/>
                <w:lang w:val="en-GB" w:eastAsia="nl-NL"/>
              </w:rPr>
            </w:pPr>
            <w:r w:rsidRPr="00040BEC">
              <w:rPr>
                <w:rFonts w:cs="Arial"/>
                <w:szCs w:val="20"/>
                <w:lang w:val="en-GB" w:eastAsia="nl-NL"/>
              </w:rPr>
              <w:t>HI3G Access AB</w:t>
            </w:r>
          </w:p>
        </w:tc>
        <w:tc>
          <w:tcPr>
            <w:tcW w:w="2268" w:type="dxa"/>
          </w:tcPr>
          <w:p w14:paraId="1C170738" w14:textId="77777777" w:rsidR="00B63017" w:rsidRPr="00040BEC" w:rsidRDefault="00B63017" w:rsidP="007007B4">
            <w:pPr>
              <w:overflowPunct w:val="0"/>
              <w:autoSpaceDE w:val="0"/>
              <w:autoSpaceDN w:val="0"/>
              <w:adjustRightInd w:val="0"/>
              <w:spacing w:before="40"/>
              <w:textAlignment w:val="baseline"/>
              <w:rPr>
                <w:rFonts w:cs="Arial"/>
                <w:szCs w:val="20"/>
                <w:lang w:val="en-GB" w:eastAsia="nl-NL"/>
              </w:rPr>
            </w:pPr>
            <w:r w:rsidRPr="00040BEC">
              <w:rPr>
                <w:rFonts w:cs="Arial"/>
                <w:szCs w:val="20"/>
                <w:lang w:val="en-GB" w:eastAsia="nl-NL"/>
              </w:rPr>
              <w:t>1910.0 – 1915.0 MHz</w:t>
            </w:r>
          </w:p>
        </w:tc>
        <w:tc>
          <w:tcPr>
            <w:tcW w:w="1985" w:type="dxa"/>
          </w:tcPr>
          <w:p w14:paraId="3A7CB361" w14:textId="77777777" w:rsidR="00B63017" w:rsidRPr="00040BEC" w:rsidRDefault="00B63017" w:rsidP="007007B4">
            <w:pPr>
              <w:overflowPunct w:val="0"/>
              <w:autoSpaceDE w:val="0"/>
              <w:autoSpaceDN w:val="0"/>
              <w:adjustRightInd w:val="0"/>
              <w:spacing w:before="40"/>
              <w:textAlignment w:val="baseline"/>
              <w:rPr>
                <w:rFonts w:cs="Arial"/>
                <w:szCs w:val="20"/>
                <w:lang w:val="en-GB" w:eastAsia="nl-NL"/>
              </w:rPr>
            </w:pPr>
            <w:r w:rsidRPr="00040BEC">
              <w:rPr>
                <w:rFonts w:cs="Arial"/>
                <w:szCs w:val="20"/>
                <w:lang w:val="en-GB" w:eastAsia="nl-NL"/>
              </w:rPr>
              <w:t>Not deployed</w:t>
            </w:r>
          </w:p>
        </w:tc>
        <w:tc>
          <w:tcPr>
            <w:tcW w:w="2693" w:type="dxa"/>
          </w:tcPr>
          <w:p w14:paraId="5CFA6761" w14:textId="77777777" w:rsidR="00B63017" w:rsidRPr="00040BEC" w:rsidRDefault="00B63017" w:rsidP="007007B4">
            <w:pPr>
              <w:overflowPunct w:val="0"/>
              <w:autoSpaceDE w:val="0"/>
              <w:autoSpaceDN w:val="0"/>
              <w:adjustRightInd w:val="0"/>
              <w:spacing w:before="40"/>
              <w:textAlignment w:val="baseline"/>
              <w:rPr>
                <w:rFonts w:cs="Arial"/>
                <w:szCs w:val="20"/>
                <w:lang w:val="en-GB" w:eastAsia="nl-NL"/>
              </w:rPr>
            </w:pPr>
            <w:r w:rsidRPr="00040BEC">
              <w:rPr>
                <w:rFonts w:cs="Arial"/>
                <w:szCs w:val="20"/>
                <w:lang w:val="en-GB" w:eastAsia="nl-NL"/>
              </w:rPr>
              <w:t>16.12.2000 – 31.12.2025</w:t>
            </w:r>
          </w:p>
          <w:p w14:paraId="0D5CD799" w14:textId="77777777" w:rsidR="00B63017" w:rsidRPr="00040BEC" w:rsidRDefault="00B63017" w:rsidP="007007B4">
            <w:pPr>
              <w:overflowPunct w:val="0"/>
              <w:autoSpaceDE w:val="0"/>
              <w:autoSpaceDN w:val="0"/>
              <w:adjustRightInd w:val="0"/>
              <w:spacing w:before="40"/>
              <w:textAlignment w:val="baseline"/>
              <w:rPr>
                <w:rFonts w:cs="Arial"/>
                <w:szCs w:val="20"/>
                <w:lang w:val="en-GB" w:eastAsia="nl-NL"/>
              </w:rPr>
            </w:pPr>
            <w:r w:rsidRPr="00040BEC">
              <w:rPr>
                <w:rFonts w:cs="Arial"/>
                <w:szCs w:val="20"/>
                <w:lang w:val="en-GB" w:eastAsia="nl-NL"/>
              </w:rPr>
              <w:t>tradable</w:t>
            </w:r>
          </w:p>
        </w:tc>
      </w:tr>
      <w:tr w:rsidR="00B63017" w:rsidRPr="00040BEC" w14:paraId="10EC0A49" w14:textId="77777777" w:rsidTr="007007B4">
        <w:trPr>
          <w:trHeight w:val="128"/>
        </w:trPr>
        <w:tc>
          <w:tcPr>
            <w:tcW w:w="2518" w:type="dxa"/>
          </w:tcPr>
          <w:p w14:paraId="31B1A6B1" w14:textId="77777777" w:rsidR="00B63017" w:rsidRPr="00040BEC" w:rsidRDefault="00B63017" w:rsidP="007007B4">
            <w:pPr>
              <w:overflowPunct w:val="0"/>
              <w:autoSpaceDE w:val="0"/>
              <w:autoSpaceDN w:val="0"/>
              <w:adjustRightInd w:val="0"/>
              <w:spacing w:before="40"/>
              <w:textAlignment w:val="baseline"/>
              <w:rPr>
                <w:rFonts w:cs="Arial"/>
                <w:szCs w:val="20"/>
                <w:lang w:val="en-GB" w:eastAsia="nl-NL"/>
              </w:rPr>
            </w:pPr>
            <w:r w:rsidRPr="00040BEC">
              <w:rPr>
                <w:rFonts w:cs="Arial"/>
                <w:szCs w:val="20"/>
                <w:lang w:val="en-GB" w:eastAsia="nl-NL"/>
              </w:rPr>
              <w:t xml:space="preserve">Telenor </w:t>
            </w:r>
            <w:proofErr w:type="spellStart"/>
            <w:r w:rsidRPr="00040BEC">
              <w:rPr>
                <w:rFonts w:cs="Arial"/>
                <w:szCs w:val="20"/>
                <w:lang w:val="en-GB" w:eastAsia="nl-NL"/>
              </w:rPr>
              <w:t>Sverige</w:t>
            </w:r>
            <w:proofErr w:type="spellEnd"/>
            <w:r w:rsidRPr="00040BEC">
              <w:rPr>
                <w:rFonts w:cs="Arial"/>
                <w:szCs w:val="20"/>
                <w:lang w:val="en-GB" w:eastAsia="nl-NL"/>
              </w:rPr>
              <w:t xml:space="preserve"> AB</w:t>
            </w:r>
          </w:p>
        </w:tc>
        <w:tc>
          <w:tcPr>
            <w:tcW w:w="2268" w:type="dxa"/>
          </w:tcPr>
          <w:p w14:paraId="0754ABBF" w14:textId="77777777" w:rsidR="00B63017" w:rsidRPr="00040BEC" w:rsidRDefault="00B63017" w:rsidP="007007B4">
            <w:pPr>
              <w:overflowPunct w:val="0"/>
              <w:autoSpaceDE w:val="0"/>
              <w:autoSpaceDN w:val="0"/>
              <w:adjustRightInd w:val="0"/>
              <w:spacing w:before="40"/>
              <w:textAlignment w:val="baseline"/>
              <w:rPr>
                <w:rFonts w:cs="Arial"/>
                <w:szCs w:val="20"/>
                <w:lang w:val="en-GB" w:eastAsia="nl-NL"/>
              </w:rPr>
            </w:pPr>
            <w:r w:rsidRPr="00040BEC">
              <w:rPr>
                <w:rFonts w:cs="Arial"/>
                <w:szCs w:val="20"/>
                <w:lang w:val="en-GB" w:eastAsia="nl-NL"/>
              </w:rPr>
              <w:t>1915.0 – 1920.0 MHz</w:t>
            </w:r>
          </w:p>
        </w:tc>
        <w:tc>
          <w:tcPr>
            <w:tcW w:w="1985" w:type="dxa"/>
          </w:tcPr>
          <w:p w14:paraId="564D70E3" w14:textId="77777777" w:rsidR="00B63017" w:rsidRPr="00040BEC" w:rsidRDefault="00B63017" w:rsidP="007007B4">
            <w:pPr>
              <w:overflowPunct w:val="0"/>
              <w:autoSpaceDE w:val="0"/>
              <w:autoSpaceDN w:val="0"/>
              <w:adjustRightInd w:val="0"/>
              <w:spacing w:before="40"/>
              <w:textAlignment w:val="baseline"/>
              <w:rPr>
                <w:rFonts w:cs="Arial"/>
                <w:szCs w:val="20"/>
                <w:lang w:val="en-GB" w:eastAsia="nl-NL"/>
              </w:rPr>
            </w:pPr>
            <w:r w:rsidRPr="00040BEC">
              <w:rPr>
                <w:rFonts w:cs="Arial"/>
                <w:szCs w:val="20"/>
                <w:lang w:val="en-GB" w:eastAsia="nl-NL"/>
              </w:rPr>
              <w:t>Not deployed</w:t>
            </w:r>
          </w:p>
        </w:tc>
        <w:tc>
          <w:tcPr>
            <w:tcW w:w="2693" w:type="dxa"/>
          </w:tcPr>
          <w:p w14:paraId="73F09EA3" w14:textId="77777777" w:rsidR="00B63017" w:rsidRPr="00040BEC" w:rsidRDefault="00B63017" w:rsidP="007007B4">
            <w:pPr>
              <w:overflowPunct w:val="0"/>
              <w:autoSpaceDE w:val="0"/>
              <w:autoSpaceDN w:val="0"/>
              <w:adjustRightInd w:val="0"/>
              <w:spacing w:before="40"/>
              <w:textAlignment w:val="baseline"/>
              <w:rPr>
                <w:rFonts w:cs="Arial"/>
                <w:szCs w:val="20"/>
                <w:lang w:val="en-GB" w:eastAsia="nl-NL"/>
              </w:rPr>
            </w:pPr>
            <w:r w:rsidRPr="00040BEC">
              <w:rPr>
                <w:rFonts w:cs="Arial"/>
                <w:szCs w:val="20"/>
                <w:lang w:val="en-GB" w:eastAsia="nl-NL"/>
              </w:rPr>
              <w:t>16.12.2000 – 31.12.2025</w:t>
            </w:r>
          </w:p>
          <w:p w14:paraId="7102BBD0" w14:textId="77777777" w:rsidR="00B63017" w:rsidRPr="00040BEC" w:rsidRDefault="00B63017" w:rsidP="007007B4">
            <w:pPr>
              <w:overflowPunct w:val="0"/>
              <w:autoSpaceDE w:val="0"/>
              <w:autoSpaceDN w:val="0"/>
              <w:adjustRightInd w:val="0"/>
              <w:spacing w:before="40"/>
              <w:textAlignment w:val="baseline"/>
              <w:rPr>
                <w:rFonts w:cs="Arial"/>
                <w:szCs w:val="20"/>
                <w:lang w:val="en-GB" w:eastAsia="nl-NL"/>
              </w:rPr>
            </w:pPr>
            <w:r w:rsidRPr="00040BEC">
              <w:rPr>
                <w:rFonts w:cs="Arial"/>
                <w:szCs w:val="20"/>
                <w:lang w:val="en-GB" w:eastAsia="nl-NL"/>
              </w:rPr>
              <w:t>tradable</w:t>
            </w:r>
          </w:p>
        </w:tc>
      </w:tr>
    </w:tbl>
    <w:p w14:paraId="4A533F67" w14:textId="77777777" w:rsidR="00B63017" w:rsidRPr="00040BEC" w:rsidRDefault="00B63017" w:rsidP="00B63017">
      <w:pPr>
        <w:overflowPunct w:val="0"/>
        <w:autoSpaceDE w:val="0"/>
        <w:autoSpaceDN w:val="0"/>
        <w:adjustRightInd w:val="0"/>
        <w:textAlignment w:val="baseline"/>
        <w:rPr>
          <w:rFonts w:cs="Arial"/>
          <w:szCs w:val="20"/>
          <w:lang w:val="en-GB" w:eastAsia="nl-NL"/>
        </w:rPr>
      </w:pPr>
    </w:p>
    <w:p w14:paraId="76B424B0" w14:textId="77777777" w:rsidR="00B63017" w:rsidRPr="00040BEC" w:rsidRDefault="00B63017" w:rsidP="00B63017">
      <w:pPr>
        <w:numPr>
          <w:ilvl w:val="0"/>
          <w:numId w:val="17"/>
        </w:numPr>
        <w:suppressAutoHyphens/>
        <w:overflowPunct w:val="0"/>
        <w:autoSpaceDE w:val="0"/>
        <w:autoSpaceDN w:val="0"/>
        <w:adjustRightInd w:val="0"/>
        <w:ind w:left="567" w:hanging="567"/>
        <w:textAlignment w:val="baseline"/>
        <w:rPr>
          <w:rFonts w:cs="Arial"/>
          <w:b/>
          <w:bCs/>
          <w:szCs w:val="20"/>
          <w:lang w:val="en-GB" w:eastAsia="en-IE"/>
        </w:rPr>
      </w:pPr>
      <w:r w:rsidRPr="00040BEC">
        <w:rPr>
          <w:rFonts w:cs="Arial"/>
          <w:b/>
          <w:bCs/>
          <w:szCs w:val="20"/>
          <w:lang w:val="en-GB" w:eastAsia="en-IE"/>
        </w:rPr>
        <w:t>Switzerland (</w:t>
      </w:r>
      <w:r w:rsidR="00BF201C" w:rsidRPr="00040BEC">
        <w:rPr>
          <w:rFonts w:cs="Arial"/>
          <w:b/>
          <w:bCs/>
          <w:szCs w:val="20"/>
          <w:lang w:val="en-GB" w:eastAsia="en-IE"/>
        </w:rPr>
        <w:t>February 2014</w:t>
      </w:r>
      <w:r w:rsidRPr="00040BEC">
        <w:rPr>
          <w:rFonts w:cs="Arial"/>
          <w:b/>
          <w:bCs/>
          <w:szCs w:val="20"/>
          <w:lang w:val="en-GB" w:eastAsia="en-IE"/>
        </w:rPr>
        <w:t>)</w:t>
      </w:r>
    </w:p>
    <w:p w14:paraId="77F05EB5" w14:textId="77777777" w:rsidR="00B63017" w:rsidRPr="00040BEC" w:rsidRDefault="00B63017" w:rsidP="00B63017">
      <w:pPr>
        <w:suppressAutoHyphens/>
        <w:overflowPunct w:val="0"/>
        <w:autoSpaceDE w:val="0"/>
        <w:autoSpaceDN w:val="0"/>
        <w:adjustRightInd w:val="0"/>
        <w:textAlignment w:val="baseline"/>
        <w:rPr>
          <w:rFonts w:cs="Arial"/>
          <w:b/>
          <w:bCs/>
          <w:szCs w:val="20"/>
          <w:lang w:val="en-GB" w:eastAsia="en-IE"/>
        </w:rPr>
      </w:pPr>
    </w:p>
    <w:p w14:paraId="5B6E3FD0" w14:textId="77777777" w:rsidR="00B63017" w:rsidRPr="00040BEC" w:rsidRDefault="00B63017" w:rsidP="00B63017">
      <w:pPr>
        <w:overflowPunct w:val="0"/>
        <w:autoSpaceDE w:val="0"/>
        <w:autoSpaceDN w:val="0"/>
        <w:adjustRightInd w:val="0"/>
        <w:textAlignment w:val="baseline"/>
        <w:rPr>
          <w:rFonts w:cs="Arial"/>
          <w:b/>
          <w:szCs w:val="20"/>
          <w:lang w:val="en-GB" w:eastAsia="nl-NL"/>
        </w:rPr>
      </w:pPr>
      <w:r w:rsidRPr="00040BEC">
        <w:rPr>
          <w:rFonts w:cs="Arial"/>
          <w:b/>
          <w:szCs w:val="20"/>
          <w:lang w:val="en-GB" w:eastAsia="nl-NL"/>
        </w:rPr>
        <w:t>1900-1920 MHz / 2010-2025 MHz (unpaired frequency arrangement)</w:t>
      </w: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02"/>
        <w:gridCol w:w="2268"/>
        <w:gridCol w:w="1984"/>
        <w:gridCol w:w="2410"/>
      </w:tblGrid>
      <w:tr w:rsidR="00B63017" w:rsidRPr="00040BEC" w14:paraId="2278A36A" w14:textId="77777777" w:rsidTr="007007B4">
        <w:trPr>
          <w:trHeight w:val="435"/>
        </w:trPr>
        <w:tc>
          <w:tcPr>
            <w:tcW w:w="2802" w:type="dxa"/>
            <w:vAlign w:val="center"/>
          </w:tcPr>
          <w:p w14:paraId="2F92E45B"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Operator</w:t>
            </w:r>
          </w:p>
          <w:p w14:paraId="314F5013"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p>
        </w:tc>
        <w:tc>
          <w:tcPr>
            <w:tcW w:w="2268" w:type="dxa"/>
            <w:vAlign w:val="center"/>
          </w:tcPr>
          <w:p w14:paraId="4ABFBAA6"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Frequencies</w:t>
            </w:r>
          </w:p>
        </w:tc>
        <w:tc>
          <w:tcPr>
            <w:tcW w:w="1984" w:type="dxa"/>
            <w:vAlign w:val="center"/>
          </w:tcPr>
          <w:p w14:paraId="386852AA"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Technology in use (optional)</w:t>
            </w:r>
          </w:p>
        </w:tc>
        <w:tc>
          <w:tcPr>
            <w:tcW w:w="2410" w:type="dxa"/>
            <w:vAlign w:val="center"/>
          </w:tcPr>
          <w:p w14:paraId="15380DDD"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Licence duration, tradability</w:t>
            </w:r>
          </w:p>
        </w:tc>
      </w:tr>
      <w:tr w:rsidR="00B63017" w:rsidRPr="00040BEC" w14:paraId="119A41DF" w14:textId="77777777" w:rsidTr="007007B4">
        <w:trPr>
          <w:trHeight w:val="390"/>
        </w:trPr>
        <w:tc>
          <w:tcPr>
            <w:tcW w:w="2802" w:type="dxa"/>
          </w:tcPr>
          <w:p w14:paraId="0921E1F8" w14:textId="77777777" w:rsidR="00B63017" w:rsidRPr="00040BEC" w:rsidRDefault="00B63017" w:rsidP="007007B4">
            <w:pPr>
              <w:overflowPunct w:val="0"/>
              <w:autoSpaceDE w:val="0"/>
              <w:autoSpaceDN w:val="0"/>
              <w:adjustRightInd w:val="0"/>
              <w:spacing w:before="40"/>
              <w:textAlignment w:val="baseline"/>
              <w:rPr>
                <w:rFonts w:cs="Arial"/>
                <w:szCs w:val="20"/>
                <w:lang w:val="en-GB" w:eastAsia="nl-NL"/>
              </w:rPr>
            </w:pPr>
            <w:r w:rsidRPr="00040BEC">
              <w:rPr>
                <w:rFonts w:cs="Arial"/>
                <w:szCs w:val="20"/>
                <w:lang w:val="en-GB" w:eastAsia="nl-NL"/>
              </w:rPr>
              <w:t>Orange Networks SA</w:t>
            </w:r>
          </w:p>
        </w:tc>
        <w:tc>
          <w:tcPr>
            <w:tcW w:w="2268" w:type="dxa"/>
          </w:tcPr>
          <w:p w14:paraId="73E68D01" w14:textId="77777777" w:rsidR="00B63017" w:rsidRPr="00040BEC" w:rsidRDefault="00B63017" w:rsidP="007007B4">
            <w:pPr>
              <w:overflowPunct w:val="0"/>
              <w:autoSpaceDE w:val="0"/>
              <w:autoSpaceDN w:val="0"/>
              <w:adjustRightInd w:val="0"/>
              <w:spacing w:before="40"/>
              <w:textAlignment w:val="baseline"/>
              <w:rPr>
                <w:rFonts w:cs="Arial"/>
                <w:szCs w:val="20"/>
                <w:lang w:val="en-GB" w:eastAsia="nl-NL"/>
              </w:rPr>
            </w:pPr>
            <w:r w:rsidRPr="00040BEC">
              <w:rPr>
                <w:rFonts w:cs="Arial"/>
                <w:szCs w:val="20"/>
                <w:lang w:val="en-GB" w:eastAsia="nl-NL"/>
              </w:rPr>
              <w:t>1905.5 – 1910.5 MHz</w:t>
            </w:r>
          </w:p>
        </w:tc>
        <w:tc>
          <w:tcPr>
            <w:tcW w:w="1984" w:type="dxa"/>
          </w:tcPr>
          <w:p w14:paraId="6EBC5C1E" w14:textId="77777777" w:rsidR="00B63017" w:rsidRPr="00040BEC" w:rsidRDefault="00B63017" w:rsidP="007007B4">
            <w:pPr>
              <w:overflowPunct w:val="0"/>
              <w:autoSpaceDE w:val="0"/>
              <w:autoSpaceDN w:val="0"/>
              <w:adjustRightInd w:val="0"/>
              <w:spacing w:before="40"/>
              <w:textAlignment w:val="baseline"/>
              <w:rPr>
                <w:rFonts w:cs="Arial"/>
                <w:szCs w:val="20"/>
                <w:lang w:val="en-GB" w:eastAsia="nl-NL"/>
              </w:rPr>
            </w:pPr>
            <w:r w:rsidRPr="00040BEC">
              <w:rPr>
                <w:rFonts w:cs="Arial"/>
                <w:szCs w:val="20"/>
                <w:lang w:val="en-GB" w:eastAsia="nl-NL"/>
              </w:rPr>
              <w:t>UTRA TDD</w:t>
            </w:r>
          </w:p>
        </w:tc>
        <w:tc>
          <w:tcPr>
            <w:tcW w:w="2410" w:type="dxa"/>
          </w:tcPr>
          <w:p w14:paraId="4B26D55F" w14:textId="77777777" w:rsidR="00B63017" w:rsidRPr="00040BEC" w:rsidRDefault="00B63017" w:rsidP="007007B4">
            <w:pPr>
              <w:overflowPunct w:val="0"/>
              <w:autoSpaceDE w:val="0"/>
              <w:autoSpaceDN w:val="0"/>
              <w:adjustRightInd w:val="0"/>
              <w:spacing w:before="40"/>
              <w:textAlignment w:val="baseline"/>
              <w:rPr>
                <w:rFonts w:cs="Arial"/>
                <w:szCs w:val="20"/>
                <w:lang w:val="en-GB" w:eastAsia="nl-NL"/>
              </w:rPr>
            </w:pPr>
            <w:r w:rsidRPr="00040BEC">
              <w:rPr>
                <w:rFonts w:cs="Arial"/>
                <w:szCs w:val="20"/>
                <w:lang w:val="en-GB" w:eastAsia="nl-NL"/>
              </w:rPr>
              <w:t>JAN 01 – DEC 16</w:t>
            </w:r>
          </w:p>
          <w:p w14:paraId="2BD47BB3" w14:textId="77777777" w:rsidR="00B63017" w:rsidRPr="00040BEC" w:rsidRDefault="00B63017" w:rsidP="007007B4">
            <w:pPr>
              <w:overflowPunct w:val="0"/>
              <w:autoSpaceDE w:val="0"/>
              <w:autoSpaceDN w:val="0"/>
              <w:adjustRightInd w:val="0"/>
              <w:spacing w:before="40"/>
              <w:textAlignment w:val="baseline"/>
              <w:rPr>
                <w:rFonts w:cs="Arial"/>
                <w:szCs w:val="20"/>
                <w:lang w:val="en-GB" w:eastAsia="nl-NL"/>
              </w:rPr>
            </w:pPr>
            <w:r w:rsidRPr="00040BEC">
              <w:rPr>
                <w:rFonts w:cs="Arial"/>
                <w:szCs w:val="20"/>
                <w:lang w:val="en-GB" w:eastAsia="nl-NL"/>
              </w:rPr>
              <w:t>Not Tradable</w:t>
            </w:r>
          </w:p>
        </w:tc>
      </w:tr>
      <w:tr w:rsidR="00B63017" w:rsidRPr="00040BEC" w14:paraId="1BBFEB55" w14:textId="77777777" w:rsidTr="007007B4">
        <w:trPr>
          <w:trHeight w:val="442"/>
        </w:trPr>
        <w:tc>
          <w:tcPr>
            <w:tcW w:w="2802" w:type="dxa"/>
          </w:tcPr>
          <w:p w14:paraId="65DDB232" w14:textId="77777777" w:rsidR="00B63017" w:rsidRPr="00040BEC" w:rsidRDefault="00B63017" w:rsidP="007007B4">
            <w:pPr>
              <w:overflowPunct w:val="0"/>
              <w:autoSpaceDE w:val="0"/>
              <w:autoSpaceDN w:val="0"/>
              <w:adjustRightInd w:val="0"/>
              <w:spacing w:before="40"/>
              <w:textAlignment w:val="baseline"/>
              <w:rPr>
                <w:rFonts w:cs="Arial"/>
                <w:szCs w:val="20"/>
                <w:lang w:val="en-GB" w:eastAsia="nl-NL"/>
              </w:rPr>
            </w:pPr>
            <w:r w:rsidRPr="00040BEC">
              <w:rPr>
                <w:rFonts w:cs="Arial"/>
                <w:szCs w:val="20"/>
                <w:lang w:val="en-GB" w:eastAsia="nl-NL"/>
              </w:rPr>
              <w:t>Sunrise Communications AG</w:t>
            </w:r>
          </w:p>
        </w:tc>
        <w:tc>
          <w:tcPr>
            <w:tcW w:w="2268" w:type="dxa"/>
          </w:tcPr>
          <w:p w14:paraId="050A0C1F" w14:textId="77777777" w:rsidR="00B63017" w:rsidRPr="00040BEC" w:rsidRDefault="00B63017" w:rsidP="007007B4">
            <w:pPr>
              <w:overflowPunct w:val="0"/>
              <w:autoSpaceDE w:val="0"/>
              <w:autoSpaceDN w:val="0"/>
              <w:adjustRightInd w:val="0"/>
              <w:spacing w:before="40"/>
              <w:textAlignment w:val="baseline"/>
              <w:rPr>
                <w:rFonts w:cs="Arial"/>
                <w:szCs w:val="20"/>
                <w:lang w:val="en-GB" w:eastAsia="nl-NL"/>
              </w:rPr>
            </w:pPr>
            <w:r w:rsidRPr="00040BEC">
              <w:rPr>
                <w:rFonts w:cs="Arial"/>
                <w:szCs w:val="20"/>
                <w:lang w:val="en-GB" w:eastAsia="nl-NL"/>
              </w:rPr>
              <w:t>1910.5 – 1915.5 MHz</w:t>
            </w:r>
          </w:p>
        </w:tc>
        <w:tc>
          <w:tcPr>
            <w:tcW w:w="1984" w:type="dxa"/>
          </w:tcPr>
          <w:p w14:paraId="6D7FC093" w14:textId="77777777" w:rsidR="00B63017" w:rsidRPr="00040BEC" w:rsidRDefault="00B63017" w:rsidP="007007B4">
            <w:pPr>
              <w:overflowPunct w:val="0"/>
              <w:autoSpaceDE w:val="0"/>
              <w:autoSpaceDN w:val="0"/>
              <w:adjustRightInd w:val="0"/>
              <w:spacing w:before="40"/>
              <w:textAlignment w:val="baseline"/>
              <w:rPr>
                <w:rFonts w:cs="Arial"/>
                <w:szCs w:val="20"/>
                <w:lang w:val="en-GB" w:eastAsia="nl-NL"/>
              </w:rPr>
            </w:pPr>
            <w:r w:rsidRPr="00040BEC">
              <w:rPr>
                <w:rFonts w:cs="Arial"/>
                <w:szCs w:val="20"/>
                <w:lang w:val="en-GB" w:eastAsia="nl-NL"/>
              </w:rPr>
              <w:t>UTRA TDD</w:t>
            </w:r>
          </w:p>
        </w:tc>
        <w:tc>
          <w:tcPr>
            <w:tcW w:w="2410" w:type="dxa"/>
          </w:tcPr>
          <w:p w14:paraId="590BB3E6" w14:textId="77777777" w:rsidR="00B63017" w:rsidRPr="00040BEC" w:rsidRDefault="00B63017" w:rsidP="007007B4">
            <w:pPr>
              <w:overflowPunct w:val="0"/>
              <w:autoSpaceDE w:val="0"/>
              <w:autoSpaceDN w:val="0"/>
              <w:adjustRightInd w:val="0"/>
              <w:spacing w:before="40"/>
              <w:textAlignment w:val="baseline"/>
              <w:rPr>
                <w:rFonts w:cs="Arial"/>
                <w:szCs w:val="20"/>
                <w:lang w:val="en-GB" w:eastAsia="nl-NL"/>
              </w:rPr>
            </w:pPr>
            <w:r w:rsidRPr="00040BEC">
              <w:rPr>
                <w:rFonts w:cs="Arial"/>
                <w:szCs w:val="20"/>
                <w:lang w:val="en-GB" w:eastAsia="nl-NL"/>
              </w:rPr>
              <w:t>JAN 01 – DEC 16</w:t>
            </w:r>
          </w:p>
          <w:p w14:paraId="310158FF" w14:textId="77777777" w:rsidR="00B63017" w:rsidRPr="00040BEC" w:rsidRDefault="00B63017" w:rsidP="007007B4">
            <w:pPr>
              <w:overflowPunct w:val="0"/>
              <w:autoSpaceDE w:val="0"/>
              <w:autoSpaceDN w:val="0"/>
              <w:adjustRightInd w:val="0"/>
              <w:spacing w:before="40"/>
              <w:textAlignment w:val="baseline"/>
              <w:rPr>
                <w:rFonts w:cs="Arial"/>
                <w:szCs w:val="20"/>
                <w:lang w:val="en-GB" w:eastAsia="nl-NL"/>
              </w:rPr>
            </w:pPr>
            <w:r w:rsidRPr="00040BEC">
              <w:rPr>
                <w:rFonts w:cs="Arial"/>
                <w:szCs w:val="20"/>
                <w:lang w:val="en-GB" w:eastAsia="nl-NL"/>
              </w:rPr>
              <w:t>Not Tradable</w:t>
            </w:r>
          </w:p>
        </w:tc>
      </w:tr>
      <w:tr w:rsidR="00B63017" w:rsidRPr="00040BEC" w14:paraId="01510014" w14:textId="77777777" w:rsidTr="007007B4">
        <w:trPr>
          <w:trHeight w:val="449"/>
        </w:trPr>
        <w:tc>
          <w:tcPr>
            <w:tcW w:w="2802" w:type="dxa"/>
          </w:tcPr>
          <w:p w14:paraId="2CB3D44D" w14:textId="77777777" w:rsidR="00B63017" w:rsidRPr="00040BEC" w:rsidRDefault="00B63017" w:rsidP="007007B4">
            <w:pPr>
              <w:overflowPunct w:val="0"/>
              <w:autoSpaceDE w:val="0"/>
              <w:autoSpaceDN w:val="0"/>
              <w:adjustRightInd w:val="0"/>
              <w:spacing w:before="40"/>
              <w:textAlignment w:val="baseline"/>
              <w:rPr>
                <w:rFonts w:cs="Arial"/>
                <w:szCs w:val="20"/>
                <w:lang w:val="en-GB" w:eastAsia="nl-NL"/>
              </w:rPr>
            </w:pPr>
            <w:r w:rsidRPr="00040BEC">
              <w:rPr>
                <w:rFonts w:cs="Arial"/>
                <w:szCs w:val="20"/>
                <w:lang w:val="en-GB" w:eastAsia="nl-NL"/>
              </w:rPr>
              <w:t>Swisscom (</w:t>
            </w:r>
            <w:proofErr w:type="spellStart"/>
            <w:r w:rsidRPr="00040BEC">
              <w:rPr>
                <w:rFonts w:cs="Arial"/>
                <w:szCs w:val="20"/>
                <w:lang w:val="en-GB" w:eastAsia="nl-NL"/>
              </w:rPr>
              <w:t>Schweiz</w:t>
            </w:r>
            <w:proofErr w:type="spellEnd"/>
            <w:r w:rsidRPr="00040BEC">
              <w:rPr>
                <w:rFonts w:cs="Arial"/>
                <w:szCs w:val="20"/>
                <w:lang w:val="en-GB" w:eastAsia="nl-NL"/>
              </w:rPr>
              <w:t>) AG</w:t>
            </w:r>
          </w:p>
        </w:tc>
        <w:tc>
          <w:tcPr>
            <w:tcW w:w="2268" w:type="dxa"/>
          </w:tcPr>
          <w:p w14:paraId="09E45F33" w14:textId="77777777" w:rsidR="00B63017" w:rsidRPr="00040BEC" w:rsidRDefault="00B63017" w:rsidP="007007B4">
            <w:pPr>
              <w:overflowPunct w:val="0"/>
              <w:autoSpaceDE w:val="0"/>
              <w:autoSpaceDN w:val="0"/>
              <w:adjustRightInd w:val="0"/>
              <w:spacing w:before="40"/>
              <w:textAlignment w:val="baseline"/>
              <w:rPr>
                <w:rFonts w:cs="Arial"/>
                <w:szCs w:val="20"/>
                <w:lang w:val="en-GB" w:eastAsia="nl-NL"/>
              </w:rPr>
            </w:pPr>
            <w:r w:rsidRPr="00040BEC">
              <w:rPr>
                <w:rFonts w:cs="Arial"/>
                <w:szCs w:val="20"/>
                <w:lang w:val="en-GB" w:eastAsia="nl-NL"/>
              </w:rPr>
              <w:t>1915.5 – 1920.5 MHz</w:t>
            </w:r>
          </w:p>
        </w:tc>
        <w:tc>
          <w:tcPr>
            <w:tcW w:w="1984" w:type="dxa"/>
          </w:tcPr>
          <w:p w14:paraId="1924D71C" w14:textId="77777777" w:rsidR="00B63017" w:rsidRPr="00040BEC" w:rsidRDefault="00B63017" w:rsidP="007007B4">
            <w:pPr>
              <w:overflowPunct w:val="0"/>
              <w:autoSpaceDE w:val="0"/>
              <w:autoSpaceDN w:val="0"/>
              <w:adjustRightInd w:val="0"/>
              <w:spacing w:before="40"/>
              <w:textAlignment w:val="baseline"/>
              <w:rPr>
                <w:rFonts w:cs="Arial"/>
                <w:szCs w:val="20"/>
                <w:lang w:val="en-GB" w:eastAsia="nl-NL"/>
              </w:rPr>
            </w:pPr>
            <w:r w:rsidRPr="00040BEC">
              <w:rPr>
                <w:rFonts w:cs="Arial"/>
                <w:szCs w:val="20"/>
                <w:lang w:val="en-GB" w:eastAsia="nl-NL"/>
              </w:rPr>
              <w:t>UTRA TDD</w:t>
            </w:r>
          </w:p>
        </w:tc>
        <w:tc>
          <w:tcPr>
            <w:tcW w:w="2410" w:type="dxa"/>
          </w:tcPr>
          <w:p w14:paraId="355D0DC3" w14:textId="77777777" w:rsidR="00B63017" w:rsidRPr="00040BEC" w:rsidRDefault="00B63017" w:rsidP="007007B4">
            <w:pPr>
              <w:overflowPunct w:val="0"/>
              <w:autoSpaceDE w:val="0"/>
              <w:autoSpaceDN w:val="0"/>
              <w:adjustRightInd w:val="0"/>
              <w:spacing w:before="40"/>
              <w:textAlignment w:val="baseline"/>
              <w:rPr>
                <w:rFonts w:cs="Arial"/>
                <w:szCs w:val="20"/>
                <w:lang w:val="en-GB" w:eastAsia="nl-NL"/>
              </w:rPr>
            </w:pPr>
            <w:r w:rsidRPr="00040BEC">
              <w:rPr>
                <w:rFonts w:cs="Arial"/>
                <w:szCs w:val="20"/>
                <w:lang w:val="en-GB" w:eastAsia="nl-NL"/>
              </w:rPr>
              <w:t>JAN 01 – DEC 16</w:t>
            </w:r>
          </w:p>
          <w:p w14:paraId="4DE5BB58" w14:textId="77777777" w:rsidR="00B63017" w:rsidRPr="00040BEC" w:rsidRDefault="00B63017" w:rsidP="007007B4">
            <w:pPr>
              <w:overflowPunct w:val="0"/>
              <w:autoSpaceDE w:val="0"/>
              <w:autoSpaceDN w:val="0"/>
              <w:adjustRightInd w:val="0"/>
              <w:spacing w:before="40"/>
              <w:textAlignment w:val="baseline"/>
              <w:rPr>
                <w:rFonts w:cs="Arial"/>
                <w:szCs w:val="20"/>
                <w:lang w:val="en-GB" w:eastAsia="nl-NL"/>
              </w:rPr>
            </w:pPr>
            <w:r w:rsidRPr="00040BEC">
              <w:rPr>
                <w:rFonts w:cs="Arial"/>
                <w:szCs w:val="20"/>
                <w:lang w:val="en-GB" w:eastAsia="nl-NL"/>
              </w:rPr>
              <w:t>Not Tradable</w:t>
            </w:r>
          </w:p>
        </w:tc>
      </w:tr>
      <w:tr w:rsidR="00B63017" w:rsidRPr="00040BEC" w14:paraId="2B8D6A9B" w14:textId="77777777" w:rsidTr="007007B4">
        <w:trPr>
          <w:trHeight w:val="449"/>
        </w:trPr>
        <w:tc>
          <w:tcPr>
            <w:tcW w:w="2802" w:type="dxa"/>
          </w:tcPr>
          <w:p w14:paraId="1B7CC254" w14:textId="77777777" w:rsidR="00B63017" w:rsidRPr="00040BEC" w:rsidRDefault="00B63017" w:rsidP="007007B4">
            <w:pPr>
              <w:overflowPunct w:val="0"/>
              <w:autoSpaceDE w:val="0"/>
              <w:autoSpaceDN w:val="0"/>
              <w:adjustRightInd w:val="0"/>
              <w:spacing w:before="40"/>
              <w:textAlignment w:val="baseline"/>
              <w:rPr>
                <w:rFonts w:cs="Arial"/>
                <w:szCs w:val="20"/>
                <w:lang w:val="en-GB" w:eastAsia="nl-NL"/>
              </w:rPr>
            </w:pPr>
            <w:r w:rsidRPr="00040BEC">
              <w:rPr>
                <w:rFonts w:cs="Arial"/>
                <w:szCs w:val="20"/>
                <w:lang w:val="en-GB" w:eastAsia="nl-NL"/>
              </w:rPr>
              <w:t>Not assigned</w:t>
            </w:r>
          </w:p>
        </w:tc>
        <w:tc>
          <w:tcPr>
            <w:tcW w:w="2268" w:type="dxa"/>
          </w:tcPr>
          <w:p w14:paraId="1C37D9CD" w14:textId="77777777" w:rsidR="00B63017" w:rsidRPr="00040BEC" w:rsidRDefault="00B63017" w:rsidP="007007B4">
            <w:pPr>
              <w:overflowPunct w:val="0"/>
              <w:autoSpaceDE w:val="0"/>
              <w:autoSpaceDN w:val="0"/>
              <w:adjustRightInd w:val="0"/>
              <w:spacing w:before="40"/>
              <w:textAlignment w:val="baseline"/>
              <w:rPr>
                <w:rFonts w:cs="Arial"/>
                <w:szCs w:val="20"/>
                <w:lang w:val="en-GB" w:eastAsia="nl-NL"/>
              </w:rPr>
            </w:pPr>
            <w:r w:rsidRPr="00040BEC">
              <w:rPr>
                <w:rFonts w:cs="Arial"/>
                <w:szCs w:val="20"/>
                <w:lang w:val="en-GB" w:eastAsia="nl-NL"/>
              </w:rPr>
              <w:t>1900.5 – 1905.5 MHz</w:t>
            </w:r>
          </w:p>
          <w:p w14:paraId="25AB3ED1" w14:textId="77777777" w:rsidR="00B63017" w:rsidRPr="00040BEC" w:rsidRDefault="00B63017" w:rsidP="007007B4">
            <w:pPr>
              <w:overflowPunct w:val="0"/>
              <w:autoSpaceDE w:val="0"/>
              <w:autoSpaceDN w:val="0"/>
              <w:adjustRightInd w:val="0"/>
              <w:spacing w:before="40"/>
              <w:textAlignment w:val="baseline"/>
              <w:rPr>
                <w:rFonts w:cs="Arial"/>
                <w:szCs w:val="20"/>
                <w:lang w:val="en-GB" w:eastAsia="nl-NL"/>
              </w:rPr>
            </w:pPr>
            <w:r w:rsidRPr="00040BEC">
              <w:rPr>
                <w:rFonts w:cs="Arial"/>
                <w:szCs w:val="20"/>
                <w:lang w:val="en-GB" w:eastAsia="nl-NL"/>
              </w:rPr>
              <w:t>2010.0 – 2025.0 MHz</w:t>
            </w:r>
          </w:p>
        </w:tc>
        <w:tc>
          <w:tcPr>
            <w:tcW w:w="1984" w:type="dxa"/>
          </w:tcPr>
          <w:p w14:paraId="35958FA3" w14:textId="77777777" w:rsidR="00B63017" w:rsidRPr="00040BEC" w:rsidRDefault="00B63017" w:rsidP="007007B4">
            <w:pPr>
              <w:overflowPunct w:val="0"/>
              <w:autoSpaceDE w:val="0"/>
              <w:autoSpaceDN w:val="0"/>
              <w:adjustRightInd w:val="0"/>
              <w:spacing w:before="40"/>
              <w:textAlignment w:val="baseline"/>
              <w:rPr>
                <w:rFonts w:cs="Arial"/>
                <w:szCs w:val="20"/>
                <w:lang w:val="en-GB" w:eastAsia="nl-NL"/>
              </w:rPr>
            </w:pPr>
          </w:p>
        </w:tc>
        <w:tc>
          <w:tcPr>
            <w:tcW w:w="2410" w:type="dxa"/>
          </w:tcPr>
          <w:p w14:paraId="45B428C8" w14:textId="77777777" w:rsidR="00B63017" w:rsidRPr="00040BEC" w:rsidRDefault="00B63017" w:rsidP="007007B4">
            <w:pPr>
              <w:overflowPunct w:val="0"/>
              <w:autoSpaceDE w:val="0"/>
              <w:autoSpaceDN w:val="0"/>
              <w:adjustRightInd w:val="0"/>
              <w:spacing w:before="40"/>
              <w:textAlignment w:val="baseline"/>
              <w:rPr>
                <w:rFonts w:cs="Arial"/>
                <w:szCs w:val="20"/>
                <w:lang w:val="en-GB" w:eastAsia="nl-NL"/>
              </w:rPr>
            </w:pPr>
          </w:p>
        </w:tc>
      </w:tr>
    </w:tbl>
    <w:p w14:paraId="6B3F9000" w14:textId="77777777" w:rsidR="00B63017" w:rsidRPr="00040BEC" w:rsidRDefault="00B63017" w:rsidP="00B63017">
      <w:pPr>
        <w:overflowPunct w:val="0"/>
        <w:autoSpaceDE w:val="0"/>
        <w:autoSpaceDN w:val="0"/>
        <w:adjustRightInd w:val="0"/>
        <w:textAlignment w:val="baseline"/>
        <w:rPr>
          <w:rFonts w:cs="Arial"/>
          <w:szCs w:val="20"/>
          <w:lang w:val="en-GB" w:eastAsia="nl-NL"/>
        </w:rPr>
      </w:pPr>
    </w:p>
    <w:p w14:paraId="00844C16" w14:textId="77777777" w:rsidR="00B63017" w:rsidRPr="00040BEC" w:rsidRDefault="00B63017" w:rsidP="00B63017">
      <w:pPr>
        <w:numPr>
          <w:ilvl w:val="0"/>
          <w:numId w:val="17"/>
        </w:numPr>
        <w:suppressAutoHyphens/>
        <w:overflowPunct w:val="0"/>
        <w:autoSpaceDE w:val="0"/>
        <w:autoSpaceDN w:val="0"/>
        <w:adjustRightInd w:val="0"/>
        <w:ind w:left="567" w:hanging="567"/>
        <w:textAlignment w:val="baseline"/>
        <w:rPr>
          <w:rFonts w:cs="Arial"/>
          <w:b/>
          <w:bCs/>
          <w:szCs w:val="20"/>
          <w:lang w:val="en-GB" w:eastAsia="en-IE"/>
        </w:rPr>
      </w:pPr>
      <w:r w:rsidRPr="00040BEC">
        <w:rPr>
          <w:rFonts w:cs="Arial"/>
          <w:b/>
          <w:bCs/>
          <w:szCs w:val="20"/>
          <w:lang w:val="en-GB" w:eastAsia="en-IE"/>
        </w:rPr>
        <w:t>Turkey (January 2010)</w:t>
      </w:r>
    </w:p>
    <w:p w14:paraId="6E6793AC" w14:textId="77777777" w:rsidR="00B63017" w:rsidRPr="00040BEC" w:rsidRDefault="00B63017" w:rsidP="00B63017">
      <w:pPr>
        <w:suppressAutoHyphens/>
        <w:overflowPunct w:val="0"/>
        <w:autoSpaceDE w:val="0"/>
        <w:autoSpaceDN w:val="0"/>
        <w:adjustRightInd w:val="0"/>
        <w:textAlignment w:val="baseline"/>
        <w:rPr>
          <w:rFonts w:cs="Arial"/>
          <w:b/>
          <w:bCs/>
          <w:szCs w:val="20"/>
          <w:lang w:val="en-GB" w:eastAsia="en-IE"/>
        </w:rPr>
      </w:pPr>
    </w:p>
    <w:p w14:paraId="169929B8" w14:textId="77777777" w:rsidR="00B63017" w:rsidRPr="00040BEC" w:rsidRDefault="00B63017" w:rsidP="00B63017">
      <w:pPr>
        <w:overflowPunct w:val="0"/>
        <w:autoSpaceDE w:val="0"/>
        <w:autoSpaceDN w:val="0"/>
        <w:adjustRightInd w:val="0"/>
        <w:textAlignment w:val="baseline"/>
        <w:rPr>
          <w:rFonts w:cs="Arial"/>
          <w:b/>
          <w:szCs w:val="20"/>
          <w:lang w:val="en-GB" w:eastAsia="nl-NL"/>
        </w:rPr>
      </w:pPr>
      <w:r w:rsidRPr="00040BEC">
        <w:rPr>
          <w:rFonts w:cs="Arial"/>
          <w:b/>
          <w:szCs w:val="20"/>
          <w:lang w:val="en-GB" w:eastAsia="nl-NL"/>
        </w:rPr>
        <w:t>1900-1920 MHz / 2010-2025 MHz (unpaired frequency arrangement)</w:t>
      </w: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02"/>
        <w:gridCol w:w="2268"/>
        <w:gridCol w:w="1984"/>
        <w:gridCol w:w="2410"/>
      </w:tblGrid>
      <w:tr w:rsidR="00B63017" w:rsidRPr="00040BEC" w14:paraId="03EE35BC" w14:textId="77777777" w:rsidTr="007007B4">
        <w:trPr>
          <w:trHeight w:val="435"/>
        </w:trPr>
        <w:tc>
          <w:tcPr>
            <w:tcW w:w="2802" w:type="dxa"/>
            <w:vAlign w:val="center"/>
          </w:tcPr>
          <w:p w14:paraId="0CE23D02"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Operator</w:t>
            </w:r>
          </w:p>
        </w:tc>
        <w:tc>
          <w:tcPr>
            <w:tcW w:w="2268" w:type="dxa"/>
            <w:vAlign w:val="center"/>
          </w:tcPr>
          <w:p w14:paraId="5E4B1BF0"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Frequencies</w:t>
            </w:r>
          </w:p>
        </w:tc>
        <w:tc>
          <w:tcPr>
            <w:tcW w:w="1984" w:type="dxa"/>
            <w:vAlign w:val="center"/>
          </w:tcPr>
          <w:p w14:paraId="027BB875"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Technology in use (optional)</w:t>
            </w:r>
          </w:p>
        </w:tc>
        <w:tc>
          <w:tcPr>
            <w:tcW w:w="2410" w:type="dxa"/>
            <w:vAlign w:val="center"/>
          </w:tcPr>
          <w:p w14:paraId="5F60140E"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Licence duration, tradability</w:t>
            </w:r>
          </w:p>
        </w:tc>
      </w:tr>
      <w:tr w:rsidR="00B63017" w:rsidRPr="00040BEC" w14:paraId="2133EEF1" w14:textId="77777777" w:rsidTr="007007B4">
        <w:trPr>
          <w:trHeight w:val="390"/>
        </w:trPr>
        <w:tc>
          <w:tcPr>
            <w:tcW w:w="2802" w:type="dxa"/>
            <w:vAlign w:val="center"/>
          </w:tcPr>
          <w:p w14:paraId="64900CD7" w14:textId="77777777" w:rsidR="00B63017" w:rsidRPr="00040BEC" w:rsidRDefault="00B63017" w:rsidP="00E72FF9">
            <w:pPr>
              <w:spacing w:before="60" w:after="60"/>
              <w:rPr>
                <w:rFonts w:cs="Arial"/>
                <w:szCs w:val="20"/>
                <w:lang w:val="en-GB"/>
              </w:rPr>
            </w:pPr>
            <w:r w:rsidRPr="00040BEC">
              <w:rPr>
                <w:rFonts w:cs="Arial"/>
                <w:szCs w:val="20"/>
                <w:lang w:val="en-GB"/>
              </w:rPr>
              <w:t>VODAFONE</w:t>
            </w:r>
          </w:p>
        </w:tc>
        <w:tc>
          <w:tcPr>
            <w:tcW w:w="2268" w:type="dxa"/>
            <w:vAlign w:val="center"/>
          </w:tcPr>
          <w:p w14:paraId="05498002" w14:textId="77777777" w:rsidR="00B63017" w:rsidRPr="00040BEC" w:rsidRDefault="00B63017" w:rsidP="00E72FF9">
            <w:pPr>
              <w:spacing w:before="60" w:after="60"/>
              <w:rPr>
                <w:rFonts w:cs="Arial"/>
                <w:szCs w:val="20"/>
                <w:lang w:val="en-GB"/>
              </w:rPr>
            </w:pPr>
            <w:r w:rsidRPr="00040BEC">
              <w:rPr>
                <w:rFonts w:cs="Arial"/>
                <w:szCs w:val="20"/>
                <w:lang w:val="en-GB"/>
              </w:rPr>
              <w:t>2010-2015 MHz</w:t>
            </w:r>
          </w:p>
        </w:tc>
        <w:tc>
          <w:tcPr>
            <w:tcW w:w="1984" w:type="dxa"/>
            <w:vAlign w:val="center"/>
          </w:tcPr>
          <w:p w14:paraId="6FC06F6A"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szCs w:val="20"/>
                <w:lang w:val="en-GB" w:eastAsia="nl-NL"/>
              </w:rPr>
              <w:t>IMT/UMTS</w:t>
            </w:r>
          </w:p>
        </w:tc>
        <w:tc>
          <w:tcPr>
            <w:tcW w:w="2410" w:type="dxa"/>
            <w:vAlign w:val="center"/>
          </w:tcPr>
          <w:p w14:paraId="447F3988" w14:textId="77777777" w:rsidR="00B63017" w:rsidRPr="00040BEC" w:rsidRDefault="00B63017" w:rsidP="00E72FF9">
            <w:pPr>
              <w:suppressAutoHyphens/>
              <w:rPr>
                <w:rFonts w:cs="Arial"/>
                <w:szCs w:val="20"/>
                <w:lang w:val="en-GB" w:eastAsia="en-IE"/>
              </w:rPr>
            </w:pPr>
            <w:r w:rsidRPr="00040BEC">
              <w:rPr>
                <w:rFonts w:cs="Arial"/>
                <w:szCs w:val="20"/>
                <w:lang w:val="en-GB" w:eastAsia="en-IE"/>
              </w:rPr>
              <w:t>30 April 2009-30 April 2029</w:t>
            </w:r>
          </w:p>
          <w:p w14:paraId="5FCEF257" w14:textId="77777777" w:rsidR="00B63017" w:rsidRPr="00040BEC" w:rsidRDefault="00B63017" w:rsidP="00E72FF9">
            <w:pPr>
              <w:overflowPunct w:val="0"/>
              <w:autoSpaceDE w:val="0"/>
              <w:autoSpaceDN w:val="0"/>
              <w:adjustRightInd w:val="0"/>
              <w:textAlignment w:val="baseline"/>
              <w:rPr>
                <w:rFonts w:cs="Arial"/>
                <w:szCs w:val="20"/>
                <w:lang w:val="en-GB" w:eastAsia="nl-NL"/>
              </w:rPr>
            </w:pPr>
            <w:r w:rsidRPr="00040BEC">
              <w:rPr>
                <w:rFonts w:cs="Arial"/>
                <w:bCs/>
                <w:szCs w:val="20"/>
                <w:lang w:val="en-GB" w:eastAsia="nl-NL"/>
              </w:rPr>
              <w:t>Not tradable</w:t>
            </w:r>
          </w:p>
        </w:tc>
      </w:tr>
    </w:tbl>
    <w:p w14:paraId="60624647" w14:textId="37C51560" w:rsidR="007007B4" w:rsidRDefault="007007B4" w:rsidP="00B63017">
      <w:pPr>
        <w:suppressAutoHyphens/>
        <w:ind w:left="180"/>
        <w:rPr>
          <w:rFonts w:cs="Arial"/>
          <w:b/>
          <w:bCs/>
          <w:szCs w:val="20"/>
          <w:lang w:val="en-GB" w:eastAsia="en-IE"/>
        </w:rPr>
      </w:pPr>
    </w:p>
    <w:p w14:paraId="1ED1C7EA" w14:textId="77777777" w:rsidR="007007B4" w:rsidRDefault="007007B4">
      <w:pPr>
        <w:rPr>
          <w:rFonts w:cs="Arial"/>
          <w:b/>
          <w:bCs/>
          <w:szCs w:val="20"/>
          <w:lang w:val="en-GB" w:eastAsia="en-IE"/>
        </w:rPr>
      </w:pPr>
      <w:r>
        <w:rPr>
          <w:rFonts w:cs="Arial"/>
          <w:b/>
          <w:bCs/>
          <w:szCs w:val="20"/>
          <w:lang w:val="en-GB" w:eastAsia="en-IE"/>
        </w:rPr>
        <w:br w:type="page"/>
      </w:r>
    </w:p>
    <w:p w14:paraId="464DF537" w14:textId="77777777" w:rsidR="00B63017" w:rsidRPr="00040BEC" w:rsidRDefault="00B63017" w:rsidP="00B63017">
      <w:pPr>
        <w:suppressAutoHyphens/>
        <w:ind w:left="180"/>
        <w:rPr>
          <w:rFonts w:cs="Arial"/>
          <w:b/>
          <w:bCs/>
          <w:szCs w:val="20"/>
          <w:lang w:val="en-GB" w:eastAsia="en-IE"/>
        </w:rPr>
      </w:pPr>
    </w:p>
    <w:p w14:paraId="352EEA82" w14:textId="77777777" w:rsidR="00B63017" w:rsidRPr="00040BEC" w:rsidRDefault="00B63017" w:rsidP="00B63017">
      <w:pPr>
        <w:keepNext/>
        <w:numPr>
          <w:ilvl w:val="0"/>
          <w:numId w:val="17"/>
        </w:numPr>
        <w:suppressAutoHyphens/>
        <w:overflowPunct w:val="0"/>
        <w:autoSpaceDE w:val="0"/>
        <w:autoSpaceDN w:val="0"/>
        <w:adjustRightInd w:val="0"/>
        <w:ind w:left="567" w:hanging="567"/>
        <w:textAlignment w:val="baseline"/>
        <w:rPr>
          <w:rFonts w:cs="Arial"/>
          <w:b/>
          <w:bCs/>
          <w:szCs w:val="20"/>
          <w:lang w:val="en-GB" w:eastAsia="en-IE"/>
        </w:rPr>
      </w:pPr>
      <w:r w:rsidRPr="00040BEC">
        <w:rPr>
          <w:rFonts w:cs="Arial"/>
          <w:b/>
          <w:bCs/>
          <w:szCs w:val="20"/>
          <w:lang w:val="en-GB" w:eastAsia="en-IE"/>
        </w:rPr>
        <w:t>Ukraine (March 2010)</w:t>
      </w:r>
    </w:p>
    <w:p w14:paraId="63E75976" w14:textId="77777777" w:rsidR="00B63017" w:rsidRPr="00040BEC" w:rsidRDefault="00B63017" w:rsidP="00B63017">
      <w:pPr>
        <w:overflowPunct w:val="0"/>
        <w:autoSpaceDE w:val="0"/>
        <w:autoSpaceDN w:val="0"/>
        <w:adjustRightInd w:val="0"/>
        <w:jc w:val="both"/>
        <w:textAlignment w:val="baseline"/>
        <w:rPr>
          <w:rFonts w:cs="Arial"/>
          <w:b/>
          <w:szCs w:val="20"/>
          <w:lang w:val="en-GB" w:eastAsia="nl-NL"/>
        </w:rPr>
      </w:pPr>
    </w:p>
    <w:p w14:paraId="3D5FF4B6" w14:textId="77777777" w:rsidR="00B63017" w:rsidRPr="00040BEC" w:rsidRDefault="00B63017" w:rsidP="00B63017">
      <w:pPr>
        <w:overflowPunct w:val="0"/>
        <w:autoSpaceDE w:val="0"/>
        <w:autoSpaceDN w:val="0"/>
        <w:adjustRightInd w:val="0"/>
        <w:textAlignment w:val="baseline"/>
        <w:rPr>
          <w:rFonts w:cs="Arial"/>
          <w:b/>
          <w:szCs w:val="20"/>
          <w:lang w:val="en-GB" w:eastAsia="nl-NL"/>
        </w:rPr>
      </w:pPr>
      <w:r w:rsidRPr="00040BEC">
        <w:rPr>
          <w:rFonts w:cs="Arial"/>
          <w:b/>
          <w:szCs w:val="20"/>
          <w:lang w:val="en-GB" w:eastAsia="nl-NL"/>
        </w:rPr>
        <w:t>1900-1920 MHz / 2010-2025 MHz (unpaired frequency arrangement)</w:t>
      </w: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19"/>
        <w:gridCol w:w="2268"/>
        <w:gridCol w:w="2125"/>
        <w:gridCol w:w="2552"/>
      </w:tblGrid>
      <w:tr w:rsidR="00B63017" w:rsidRPr="00040BEC" w14:paraId="0E983DB9" w14:textId="77777777" w:rsidTr="007007B4">
        <w:trPr>
          <w:trHeight w:val="435"/>
        </w:trPr>
        <w:tc>
          <w:tcPr>
            <w:tcW w:w="2519" w:type="dxa"/>
            <w:vAlign w:val="center"/>
          </w:tcPr>
          <w:p w14:paraId="253BB2BA"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Operator</w:t>
            </w:r>
          </w:p>
        </w:tc>
        <w:tc>
          <w:tcPr>
            <w:tcW w:w="2268" w:type="dxa"/>
            <w:vAlign w:val="center"/>
          </w:tcPr>
          <w:p w14:paraId="7E443D6B"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Frequencies</w:t>
            </w:r>
          </w:p>
        </w:tc>
        <w:tc>
          <w:tcPr>
            <w:tcW w:w="2125" w:type="dxa"/>
            <w:vAlign w:val="center"/>
          </w:tcPr>
          <w:p w14:paraId="1AF52663"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Technology in use (optional)</w:t>
            </w:r>
          </w:p>
        </w:tc>
        <w:tc>
          <w:tcPr>
            <w:tcW w:w="2552" w:type="dxa"/>
            <w:vAlign w:val="center"/>
          </w:tcPr>
          <w:p w14:paraId="49CE68D3"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Licence duration, tradability</w:t>
            </w:r>
          </w:p>
        </w:tc>
      </w:tr>
      <w:tr w:rsidR="00B63017" w:rsidRPr="00040BEC" w14:paraId="14B20A5B" w14:textId="77777777" w:rsidTr="007007B4">
        <w:trPr>
          <w:trHeight w:val="390"/>
        </w:trPr>
        <w:tc>
          <w:tcPr>
            <w:tcW w:w="2519" w:type="dxa"/>
          </w:tcPr>
          <w:p w14:paraId="0184983C" w14:textId="77777777" w:rsidR="00B63017" w:rsidRPr="00040BEC" w:rsidRDefault="00B63017" w:rsidP="007007B4">
            <w:pPr>
              <w:overflowPunct w:val="0"/>
              <w:autoSpaceDE w:val="0"/>
              <w:autoSpaceDN w:val="0"/>
              <w:adjustRightInd w:val="0"/>
              <w:spacing w:before="40"/>
              <w:textAlignment w:val="baseline"/>
              <w:rPr>
                <w:rFonts w:cs="Arial"/>
                <w:szCs w:val="20"/>
                <w:lang w:val="en-GB" w:eastAsia="nl-NL"/>
              </w:rPr>
            </w:pPr>
            <w:proofErr w:type="spellStart"/>
            <w:r w:rsidRPr="00040BEC">
              <w:rPr>
                <w:rFonts w:cs="Arial"/>
                <w:szCs w:val="20"/>
                <w:lang w:val="en-GB" w:eastAsia="nl-NL"/>
              </w:rPr>
              <w:t>Ukrtelecom</w:t>
            </w:r>
            <w:proofErr w:type="spellEnd"/>
          </w:p>
        </w:tc>
        <w:tc>
          <w:tcPr>
            <w:tcW w:w="2268" w:type="dxa"/>
          </w:tcPr>
          <w:p w14:paraId="56D0E7D9" w14:textId="77777777" w:rsidR="00B63017" w:rsidRPr="00040BEC" w:rsidRDefault="00B63017" w:rsidP="007007B4">
            <w:pPr>
              <w:overflowPunct w:val="0"/>
              <w:autoSpaceDE w:val="0"/>
              <w:autoSpaceDN w:val="0"/>
              <w:adjustRightInd w:val="0"/>
              <w:spacing w:before="40"/>
              <w:textAlignment w:val="baseline"/>
              <w:rPr>
                <w:rFonts w:cs="Arial"/>
                <w:szCs w:val="20"/>
                <w:lang w:val="en-GB" w:eastAsia="nl-NL"/>
              </w:rPr>
            </w:pPr>
            <w:r w:rsidRPr="00040BEC">
              <w:rPr>
                <w:rFonts w:cs="Arial"/>
                <w:szCs w:val="20"/>
                <w:lang w:val="en-GB" w:eastAsia="nl-NL"/>
              </w:rPr>
              <w:t>2015-2020 MHz</w:t>
            </w:r>
          </w:p>
        </w:tc>
        <w:tc>
          <w:tcPr>
            <w:tcW w:w="2125" w:type="dxa"/>
          </w:tcPr>
          <w:p w14:paraId="275B5690" w14:textId="77777777" w:rsidR="00B63017" w:rsidRPr="00040BEC" w:rsidRDefault="00B63017" w:rsidP="007007B4">
            <w:pPr>
              <w:overflowPunct w:val="0"/>
              <w:autoSpaceDE w:val="0"/>
              <w:autoSpaceDN w:val="0"/>
              <w:adjustRightInd w:val="0"/>
              <w:spacing w:before="40"/>
              <w:textAlignment w:val="baseline"/>
              <w:rPr>
                <w:rFonts w:cs="Arial"/>
                <w:szCs w:val="20"/>
                <w:lang w:val="en-GB" w:eastAsia="nl-NL"/>
              </w:rPr>
            </w:pPr>
            <w:r w:rsidRPr="00040BEC">
              <w:rPr>
                <w:rFonts w:cs="Arial"/>
                <w:szCs w:val="20"/>
                <w:lang w:val="en-GB" w:eastAsia="nl-NL"/>
              </w:rPr>
              <w:t>IMT-2000</w:t>
            </w:r>
          </w:p>
          <w:p w14:paraId="76149260" w14:textId="77777777" w:rsidR="00B63017" w:rsidRPr="00040BEC" w:rsidRDefault="00B63017" w:rsidP="007007B4">
            <w:pPr>
              <w:overflowPunct w:val="0"/>
              <w:autoSpaceDE w:val="0"/>
              <w:autoSpaceDN w:val="0"/>
              <w:adjustRightInd w:val="0"/>
              <w:spacing w:before="40"/>
              <w:textAlignment w:val="baseline"/>
              <w:rPr>
                <w:rFonts w:cs="Arial"/>
                <w:szCs w:val="20"/>
                <w:lang w:val="en-GB" w:eastAsia="nl-NL"/>
              </w:rPr>
            </w:pPr>
            <w:r w:rsidRPr="00040BEC">
              <w:rPr>
                <w:rFonts w:cs="Arial"/>
                <w:szCs w:val="20"/>
                <w:lang w:val="en-GB" w:eastAsia="nl-NL"/>
              </w:rPr>
              <w:t>CDMA</w:t>
            </w:r>
          </w:p>
          <w:p w14:paraId="0E405255" w14:textId="77777777" w:rsidR="00B63017" w:rsidRPr="00040BEC" w:rsidRDefault="00B63017" w:rsidP="007007B4">
            <w:pPr>
              <w:overflowPunct w:val="0"/>
              <w:autoSpaceDE w:val="0"/>
              <w:autoSpaceDN w:val="0"/>
              <w:adjustRightInd w:val="0"/>
              <w:spacing w:before="40"/>
              <w:textAlignment w:val="baseline"/>
              <w:rPr>
                <w:rFonts w:cs="Arial"/>
                <w:szCs w:val="20"/>
                <w:lang w:val="en-GB" w:eastAsia="nl-NL"/>
              </w:rPr>
            </w:pPr>
            <w:r w:rsidRPr="00040BEC">
              <w:rPr>
                <w:rFonts w:cs="Arial"/>
                <w:szCs w:val="20"/>
                <w:lang w:val="en-GB" w:eastAsia="nl-NL"/>
              </w:rPr>
              <w:t>UMTS/WCDMA</w:t>
            </w:r>
          </w:p>
        </w:tc>
        <w:tc>
          <w:tcPr>
            <w:tcW w:w="2552" w:type="dxa"/>
          </w:tcPr>
          <w:p w14:paraId="2553A466" w14:textId="77777777" w:rsidR="00B63017" w:rsidRPr="00040BEC" w:rsidRDefault="00B63017" w:rsidP="007007B4">
            <w:pPr>
              <w:overflowPunct w:val="0"/>
              <w:autoSpaceDE w:val="0"/>
              <w:autoSpaceDN w:val="0"/>
              <w:adjustRightInd w:val="0"/>
              <w:spacing w:before="40"/>
              <w:textAlignment w:val="baseline"/>
              <w:rPr>
                <w:rFonts w:cs="Arial"/>
                <w:szCs w:val="20"/>
                <w:lang w:val="en-GB" w:eastAsia="nl-NL"/>
              </w:rPr>
            </w:pPr>
            <w:r w:rsidRPr="00040BEC">
              <w:rPr>
                <w:rFonts w:cs="Arial"/>
                <w:szCs w:val="20"/>
                <w:lang w:val="en-GB" w:eastAsia="nl-NL"/>
              </w:rPr>
              <w:t>Dec 2005 – Dec 2020</w:t>
            </w:r>
          </w:p>
          <w:p w14:paraId="54A33841" w14:textId="14D6B194" w:rsidR="001243CA" w:rsidRPr="00040BEC" w:rsidRDefault="001243CA" w:rsidP="007007B4">
            <w:pPr>
              <w:overflowPunct w:val="0"/>
              <w:autoSpaceDE w:val="0"/>
              <w:autoSpaceDN w:val="0"/>
              <w:adjustRightInd w:val="0"/>
              <w:spacing w:before="40"/>
              <w:textAlignment w:val="baseline"/>
              <w:rPr>
                <w:rFonts w:cs="Arial"/>
                <w:szCs w:val="20"/>
                <w:lang w:val="en-GB" w:eastAsia="nl-NL"/>
              </w:rPr>
            </w:pPr>
            <w:r w:rsidRPr="00040BEC">
              <w:rPr>
                <w:rFonts w:cs="Arial"/>
                <w:szCs w:val="20"/>
                <w:lang w:val="en-GB" w:eastAsia="nl-NL"/>
              </w:rPr>
              <w:t>Not tradable</w:t>
            </w:r>
          </w:p>
        </w:tc>
      </w:tr>
    </w:tbl>
    <w:p w14:paraId="0D43F863" w14:textId="4F45EB00" w:rsidR="007007B4" w:rsidRDefault="007007B4" w:rsidP="00B63017">
      <w:pPr>
        <w:overflowPunct w:val="0"/>
        <w:autoSpaceDE w:val="0"/>
        <w:autoSpaceDN w:val="0"/>
        <w:adjustRightInd w:val="0"/>
        <w:textAlignment w:val="baseline"/>
        <w:rPr>
          <w:rFonts w:cs="Arial"/>
          <w:b/>
          <w:szCs w:val="20"/>
          <w:lang w:val="en-GB" w:eastAsia="nl-NL"/>
        </w:rPr>
      </w:pPr>
    </w:p>
    <w:p w14:paraId="039CB1B4" w14:textId="77777777" w:rsidR="00B63017" w:rsidRPr="00040BEC" w:rsidRDefault="000C6788" w:rsidP="00B63017">
      <w:pPr>
        <w:numPr>
          <w:ilvl w:val="0"/>
          <w:numId w:val="17"/>
        </w:numPr>
        <w:suppressAutoHyphens/>
        <w:overflowPunct w:val="0"/>
        <w:autoSpaceDE w:val="0"/>
        <w:autoSpaceDN w:val="0"/>
        <w:adjustRightInd w:val="0"/>
        <w:ind w:left="567" w:hanging="567"/>
        <w:textAlignment w:val="baseline"/>
        <w:rPr>
          <w:rFonts w:cs="Arial"/>
          <w:b/>
          <w:bCs/>
          <w:szCs w:val="20"/>
          <w:lang w:val="en-GB" w:eastAsia="en-IE"/>
        </w:rPr>
      </w:pPr>
      <w:r w:rsidRPr="00040BEC">
        <w:rPr>
          <w:rFonts w:cs="Arial"/>
          <w:b/>
          <w:bCs/>
          <w:szCs w:val="20"/>
          <w:lang w:val="en-GB" w:eastAsia="en-IE"/>
        </w:rPr>
        <w:t>United Kingdom (Ma</w:t>
      </w:r>
      <w:r w:rsidR="00B63017" w:rsidRPr="00040BEC">
        <w:rPr>
          <w:rFonts w:cs="Arial"/>
          <w:b/>
          <w:bCs/>
          <w:szCs w:val="20"/>
          <w:lang w:val="en-GB" w:eastAsia="en-IE"/>
        </w:rPr>
        <w:t>rch 2013)</w:t>
      </w:r>
    </w:p>
    <w:p w14:paraId="2D5A01A9" w14:textId="77777777" w:rsidR="00B63017" w:rsidRPr="00040BEC" w:rsidRDefault="00B63017" w:rsidP="00B63017">
      <w:pPr>
        <w:suppressAutoHyphens/>
        <w:rPr>
          <w:rFonts w:cs="Arial"/>
          <w:szCs w:val="20"/>
          <w:lang w:val="en-GB" w:eastAsia="en-IE"/>
        </w:rPr>
      </w:pPr>
    </w:p>
    <w:p w14:paraId="70FE7DDE" w14:textId="77777777" w:rsidR="00B63017" w:rsidRPr="00040BEC" w:rsidRDefault="00B63017" w:rsidP="00B63017">
      <w:pPr>
        <w:overflowPunct w:val="0"/>
        <w:autoSpaceDE w:val="0"/>
        <w:autoSpaceDN w:val="0"/>
        <w:adjustRightInd w:val="0"/>
        <w:textAlignment w:val="baseline"/>
        <w:rPr>
          <w:rFonts w:cs="Arial"/>
          <w:b/>
          <w:szCs w:val="20"/>
          <w:lang w:val="en-GB" w:eastAsia="nl-NL"/>
        </w:rPr>
      </w:pPr>
      <w:r w:rsidRPr="00040BEC">
        <w:rPr>
          <w:rFonts w:cs="Arial"/>
          <w:b/>
          <w:szCs w:val="20"/>
          <w:lang w:val="en-GB" w:eastAsia="nl-NL"/>
        </w:rPr>
        <w:t>1900-1920 MHz / 2010-2025 MHz (unpaired frequency arrangement)</w:t>
      </w: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19"/>
        <w:gridCol w:w="2268"/>
        <w:gridCol w:w="2127"/>
        <w:gridCol w:w="2550"/>
      </w:tblGrid>
      <w:tr w:rsidR="00B63017" w:rsidRPr="00040BEC" w14:paraId="5EF79915" w14:textId="77777777" w:rsidTr="007007B4">
        <w:trPr>
          <w:trHeight w:val="435"/>
        </w:trPr>
        <w:tc>
          <w:tcPr>
            <w:tcW w:w="2519" w:type="dxa"/>
            <w:vAlign w:val="center"/>
          </w:tcPr>
          <w:p w14:paraId="6E2FA6CE"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Operator</w:t>
            </w:r>
          </w:p>
        </w:tc>
        <w:tc>
          <w:tcPr>
            <w:tcW w:w="2268" w:type="dxa"/>
            <w:vAlign w:val="center"/>
          </w:tcPr>
          <w:p w14:paraId="351F221A"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Frequencies</w:t>
            </w:r>
          </w:p>
        </w:tc>
        <w:tc>
          <w:tcPr>
            <w:tcW w:w="2127" w:type="dxa"/>
            <w:vAlign w:val="center"/>
          </w:tcPr>
          <w:p w14:paraId="066BFD44"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 xml:space="preserve">Technology in use (optional) </w:t>
            </w:r>
          </w:p>
        </w:tc>
        <w:tc>
          <w:tcPr>
            <w:tcW w:w="2550" w:type="dxa"/>
            <w:vAlign w:val="center"/>
          </w:tcPr>
          <w:p w14:paraId="77DFC78E" w14:textId="77777777" w:rsidR="00B63017" w:rsidRPr="00040BEC" w:rsidRDefault="00B63017" w:rsidP="00E72FF9">
            <w:pPr>
              <w:overflowPunct w:val="0"/>
              <w:autoSpaceDE w:val="0"/>
              <w:autoSpaceDN w:val="0"/>
              <w:adjustRightInd w:val="0"/>
              <w:jc w:val="center"/>
              <w:textAlignment w:val="baseline"/>
              <w:rPr>
                <w:rFonts w:cs="Arial"/>
                <w:b/>
                <w:szCs w:val="20"/>
                <w:lang w:val="en-GB" w:eastAsia="nl-NL"/>
              </w:rPr>
            </w:pPr>
            <w:r w:rsidRPr="00040BEC">
              <w:rPr>
                <w:rFonts w:cs="Arial"/>
                <w:b/>
                <w:szCs w:val="20"/>
                <w:lang w:val="en-GB" w:eastAsia="nl-NL"/>
              </w:rPr>
              <w:t>Licence duration, tradability</w:t>
            </w:r>
          </w:p>
        </w:tc>
      </w:tr>
      <w:tr w:rsidR="00B63017" w:rsidRPr="00040BEC" w14:paraId="7F6BCDD9" w14:textId="77777777" w:rsidTr="007007B4">
        <w:trPr>
          <w:trHeight w:val="390"/>
        </w:trPr>
        <w:tc>
          <w:tcPr>
            <w:tcW w:w="2519" w:type="dxa"/>
          </w:tcPr>
          <w:p w14:paraId="5BB89644" w14:textId="77777777" w:rsidR="00B63017" w:rsidRPr="00040BEC" w:rsidRDefault="00B63017" w:rsidP="007007B4">
            <w:pPr>
              <w:overflowPunct w:val="0"/>
              <w:autoSpaceDE w:val="0"/>
              <w:autoSpaceDN w:val="0"/>
              <w:adjustRightInd w:val="0"/>
              <w:spacing w:before="40"/>
              <w:textAlignment w:val="baseline"/>
              <w:rPr>
                <w:rFonts w:cs="Arial"/>
                <w:szCs w:val="20"/>
                <w:lang w:val="en-GB" w:eastAsia="nl-NL"/>
              </w:rPr>
            </w:pPr>
            <w:proofErr w:type="spellStart"/>
            <w:r w:rsidRPr="00040BEC">
              <w:rPr>
                <w:rFonts w:cs="Arial"/>
                <w:szCs w:val="20"/>
                <w:lang w:val="en-GB" w:eastAsia="en-GB"/>
              </w:rPr>
              <w:t>Telefónica</w:t>
            </w:r>
            <w:proofErr w:type="spellEnd"/>
            <w:r w:rsidRPr="00040BEC">
              <w:rPr>
                <w:rFonts w:cs="Arial"/>
                <w:szCs w:val="20"/>
                <w:lang w:val="en-GB" w:eastAsia="en-GB"/>
              </w:rPr>
              <w:t xml:space="preserve"> UK Ltd</w:t>
            </w:r>
          </w:p>
        </w:tc>
        <w:tc>
          <w:tcPr>
            <w:tcW w:w="2268" w:type="dxa"/>
          </w:tcPr>
          <w:p w14:paraId="53698E29" w14:textId="77777777" w:rsidR="00B63017" w:rsidRPr="00040BEC" w:rsidRDefault="00B63017" w:rsidP="007007B4">
            <w:pPr>
              <w:overflowPunct w:val="0"/>
              <w:autoSpaceDE w:val="0"/>
              <w:autoSpaceDN w:val="0"/>
              <w:adjustRightInd w:val="0"/>
              <w:spacing w:before="40"/>
              <w:textAlignment w:val="baseline"/>
              <w:rPr>
                <w:rFonts w:cs="Arial"/>
                <w:szCs w:val="20"/>
                <w:lang w:val="en-GB" w:eastAsia="nl-NL"/>
              </w:rPr>
            </w:pPr>
            <w:r w:rsidRPr="00040BEC">
              <w:rPr>
                <w:rFonts w:cs="Arial"/>
                <w:szCs w:val="20"/>
                <w:lang w:val="en-GB" w:eastAsia="nl-NL"/>
              </w:rPr>
              <w:t>1909.9-1914.9 MHz</w:t>
            </w:r>
          </w:p>
        </w:tc>
        <w:tc>
          <w:tcPr>
            <w:tcW w:w="2127" w:type="dxa"/>
          </w:tcPr>
          <w:p w14:paraId="137FA479" w14:textId="77777777" w:rsidR="00B63017" w:rsidRPr="00040BEC" w:rsidRDefault="00B63017" w:rsidP="007007B4">
            <w:pPr>
              <w:overflowPunct w:val="0"/>
              <w:autoSpaceDE w:val="0"/>
              <w:autoSpaceDN w:val="0"/>
              <w:adjustRightInd w:val="0"/>
              <w:spacing w:before="40"/>
              <w:textAlignment w:val="baseline"/>
              <w:rPr>
                <w:rFonts w:cs="Arial"/>
                <w:szCs w:val="20"/>
                <w:lang w:val="en-GB" w:eastAsia="nl-NL"/>
              </w:rPr>
            </w:pPr>
            <w:r w:rsidRPr="00040BEC">
              <w:rPr>
                <w:rFonts w:cs="Arial"/>
                <w:szCs w:val="20"/>
                <w:lang w:val="en-GB" w:eastAsia="nl-NL"/>
              </w:rPr>
              <w:t>UTRA TDD</w:t>
            </w:r>
          </w:p>
        </w:tc>
        <w:tc>
          <w:tcPr>
            <w:tcW w:w="2550" w:type="dxa"/>
          </w:tcPr>
          <w:p w14:paraId="6FD5FD85" w14:textId="1DCA5E60" w:rsidR="00B63017" w:rsidRPr="00040BEC" w:rsidRDefault="00B63017" w:rsidP="007007B4">
            <w:pPr>
              <w:overflowPunct w:val="0"/>
              <w:autoSpaceDE w:val="0"/>
              <w:autoSpaceDN w:val="0"/>
              <w:adjustRightInd w:val="0"/>
              <w:spacing w:before="40"/>
              <w:textAlignment w:val="baseline"/>
              <w:rPr>
                <w:rFonts w:cs="Arial"/>
                <w:szCs w:val="20"/>
                <w:lang w:val="en-GB" w:eastAsia="nl-NL"/>
              </w:rPr>
            </w:pPr>
            <w:r w:rsidRPr="00040BEC">
              <w:rPr>
                <w:rFonts w:cs="Arial"/>
                <w:szCs w:val="20"/>
                <w:lang w:val="en-GB" w:eastAsia="nl-NL"/>
              </w:rPr>
              <w:t xml:space="preserve">1/4/2000 – </w:t>
            </w:r>
            <w:r w:rsidR="00405F5E" w:rsidRPr="00040BEC">
              <w:rPr>
                <w:rFonts w:cs="Arial"/>
                <w:szCs w:val="20"/>
                <w:lang w:val="en-GB" w:eastAsia="nl-NL"/>
              </w:rPr>
              <w:t>No expiration date; Tradable</w:t>
            </w:r>
          </w:p>
        </w:tc>
      </w:tr>
      <w:tr w:rsidR="00B63017" w:rsidRPr="00040BEC" w14:paraId="5CE46F24" w14:textId="77777777" w:rsidTr="007007B4">
        <w:trPr>
          <w:trHeight w:val="390"/>
        </w:trPr>
        <w:tc>
          <w:tcPr>
            <w:tcW w:w="2519" w:type="dxa"/>
          </w:tcPr>
          <w:p w14:paraId="65C50BD2" w14:textId="77777777" w:rsidR="00B63017" w:rsidRPr="00040BEC" w:rsidRDefault="00B63017" w:rsidP="007007B4">
            <w:pPr>
              <w:overflowPunct w:val="0"/>
              <w:autoSpaceDE w:val="0"/>
              <w:autoSpaceDN w:val="0"/>
              <w:adjustRightInd w:val="0"/>
              <w:spacing w:before="40"/>
              <w:textAlignment w:val="baseline"/>
              <w:rPr>
                <w:rFonts w:cs="Arial"/>
                <w:szCs w:val="20"/>
                <w:lang w:val="en-GB" w:eastAsia="nl-NL"/>
              </w:rPr>
            </w:pPr>
            <w:r w:rsidRPr="00040BEC">
              <w:rPr>
                <w:rFonts w:cs="Arial"/>
                <w:szCs w:val="20"/>
                <w:lang w:val="en-GB" w:eastAsia="en-GB"/>
              </w:rPr>
              <w:t>Everything Everywhere Limited</w:t>
            </w:r>
          </w:p>
        </w:tc>
        <w:tc>
          <w:tcPr>
            <w:tcW w:w="2268" w:type="dxa"/>
          </w:tcPr>
          <w:p w14:paraId="53635938" w14:textId="77777777" w:rsidR="00B63017" w:rsidRPr="00040BEC" w:rsidRDefault="00B63017" w:rsidP="007007B4">
            <w:pPr>
              <w:overflowPunct w:val="0"/>
              <w:autoSpaceDE w:val="0"/>
              <w:autoSpaceDN w:val="0"/>
              <w:adjustRightInd w:val="0"/>
              <w:spacing w:before="40"/>
              <w:textAlignment w:val="baseline"/>
              <w:rPr>
                <w:rFonts w:cs="Arial"/>
                <w:szCs w:val="20"/>
                <w:lang w:val="en-GB" w:eastAsia="nl-NL"/>
              </w:rPr>
            </w:pPr>
            <w:r w:rsidRPr="00040BEC">
              <w:rPr>
                <w:rFonts w:cs="Arial"/>
                <w:szCs w:val="20"/>
                <w:lang w:val="en-GB" w:eastAsia="nl-NL"/>
              </w:rPr>
              <w:t>1899.9-1904.9 MHz</w:t>
            </w:r>
          </w:p>
        </w:tc>
        <w:tc>
          <w:tcPr>
            <w:tcW w:w="2127" w:type="dxa"/>
          </w:tcPr>
          <w:p w14:paraId="2562A2B2" w14:textId="77777777" w:rsidR="00B63017" w:rsidRPr="00040BEC" w:rsidRDefault="00B63017" w:rsidP="007007B4">
            <w:pPr>
              <w:overflowPunct w:val="0"/>
              <w:autoSpaceDE w:val="0"/>
              <w:autoSpaceDN w:val="0"/>
              <w:adjustRightInd w:val="0"/>
              <w:spacing w:before="40"/>
              <w:textAlignment w:val="baseline"/>
              <w:rPr>
                <w:rFonts w:cs="Arial"/>
                <w:szCs w:val="20"/>
                <w:lang w:val="en-GB" w:eastAsia="nl-NL"/>
              </w:rPr>
            </w:pPr>
            <w:r w:rsidRPr="00040BEC">
              <w:rPr>
                <w:rFonts w:cs="Arial"/>
                <w:szCs w:val="20"/>
                <w:lang w:val="en-GB" w:eastAsia="nl-NL"/>
              </w:rPr>
              <w:t>UTRA TDD</w:t>
            </w:r>
          </w:p>
        </w:tc>
        <w:tc>
          <w:tcPr>
            <w:tcW w:w="2550" w:type="dxa"/>
          </w:tcPr>
          <w:p w14:paraId="540848FA" w14:textId="77777777" w:rsidR="00B63017" w:rsidRPr="00040BEC" w:rsidRDefault="00B63017" w:rsidP="007007B4">
            <w:pPr>
              <w:overflowPunct w:val="0"/>
              <w:autoSpaceDE w:val="0"/>
              <w:autoSpaceDN w:val="0"/>
              <w:adjustRightInd w:val="0"/>
              <w:spacing w:before="40"/>
              <w:textAlignment w:val="baseline"/>
              <w:rPr>
                <w:rFonts w:cs="Arial"/>
                <w:szCs w:val="20"/>
                <w:lang w:val="en-GB" w:eastAsia="nl-NL"/>
              </w:rPr>
            </w:pPr>
            <w:r w:rsidRPr="00040BEC">
              <w:rPr>
                <w:rFonts w:cs="Arial"/>
                <w:szCs w:val="20"/>
                <w:lang w:val="en-GB" w:eastAsia="nl-NL"/>
              </w:rPr>
              <w:t xml:space="preserve">1/4/2000 – </w:t>
            </w:r>
            <w:r w:rsidR="00405F5E" w:rsidRPr="00040BEC">
              <w:rPr>
                <w:rFonts w:cs="Arial"/>
                <w:szCs w:val="20"/>
                <w:lang w:val="en-GB" w:eastAsia="nl-NL"/>
              </w:rPr>
              <w:t>No expiration date; Tradable</w:t>
            </w:r>
          </w:p>
        </w:tc>
      </w:tr>
      <w:tr w:rsidR="00B63017" w:rsidRPr="00040BEC" w14:paraId="269E9458" w14:textId="77777777" w:rsidTr="007007B4">
        <w:trPr>
          <w:trHeight w:val="527"/>
        </w:trPr>
        <w:tc>
          <w:tcPr>
            <w:tcW w:w="2519" w:type="dxa"/>
          </w:tcPr>
          <w:p w14:paraId="4288AD7E" w14:textId="77777777" w:rsidR="00B63017" w:rsidRPr="00040BEC" w:rsidRDefault="00B63017" w:rsidP="007007B4">
            <w:pPr>
              <w:overflowPunct w:val="0"/>
              <w:autoSpaceDE w:val="0"/>
              <w:autoSpaceDN w:val="0"/>
              <w:adjustRightInd w:val="0"/>
              <w:spacing w:before="40"/>
              <w:textAlignment w:val="baseline"/>
              <w:rPr>
                <w:rFonts w:cs="Arial"/>
                <w:szCs w:val="20"/>
                <w:lang w:val="en-GB" w:eastAsia="nl-NL"/>
              </w:rPr>
            </w:pPr>
            <w:r w:rsidRPr="00040BEC">
              <w:rPr>
                <w:rFonts w:cs="Arial"/>
                <w:szCs w:val="20"/>
                <w:lang w:val="en-GB" w:eastAsia="en-GB"/>
              </w:rPr>
              <w:t>Everything Everywhere Limited</w:t>
            </w:r>
          </w:p>
        </w:tc>
        <w:tc>
          <w:tcPr>
            <w:tcW w:w="2268" w:type="dxa"/>
          </w:tcPr>
          <w:p w14:paraId="10748674" w14:textId="77777777" w:rsidR="00B63017" w:rsidRPr="00040BEC" w:rsidRDefault="00B63017" w:rsidP="007007B4">
            <w:pPr>
              <w:overflowPunct w:val="0"/>
              <w:autoSpaceDE w:val="0"/>
              <w:autoSpaceDN w:val="0"/>
              <w:adjustRightInd w:val="0"/>
              <w:spacing w:before="40"/>
              <w:textAlignment w:val="baseline"/>
              <w:rPr>
                <w:rFonts w:cs="Arial"/>
                <w:szCs w:val="20"/>
                <w:lang w:val="en-GB" w:eastAsia="nl-NL"/>
              </w:rPr>
            </w:pPr>
            <w:r w:rsidRPr="00040BEC">
              <w:rPr>
                <w:rFonts w:cs="Arial"/>
                <w:szCs w:val="20"/>
                <w:lang w:val="en-GB" w:eastAsia="nl-NL"/>
              </w:rPr>
              <w:t>1904.9-1909.9 MHz</w:t>
            </w:r>
          </w:p>
        </w:tc>
        <w:tc>
          <w:tcPr>
            <w:tcW w:w="2127" w:type="dxa"/>
          </w:tcPr>
          <w:p w14:paraId="6156D526" w14:textId="77777777" w:rsidR="00B63017" w:rsidRPr="00040BEC" w:rsidRDefault="00B63017" w:rsidP="007007B4">
            <w:pPr>
              <w:overflowPunct w:val="0"/>
              <w:autoSpaceDE w:val="0"/>
              <w:autoSpaceDN w:val="0"/>
              <w:adjustRightInd w:val="0"/>
              <w:spacing w:before="40"/>
              <w:textAlignment w:val="baseline"/>
              <w:rPr>
                <w:rFonts w:cs="Arial"/>
                <w:szCs w:val="20"/>
                <w:lang w:val="en-GB" w:eastAsia="nl-NL"/>
              </w:rPr>
            </w:pPr>
            <w:r w:rsidRPr="00040BEC">
              <w:rPr>
                <w:rFonts w:cs="Arial"/>
                <w:szCs w:val="20"/>
                <w:lang w:val="en-GB" w:eastAsia="nl-NL"/>
              </w:rPr>
              <w:t>UTRA TDD</w:t>
            </w:r>
          </w:p>
        </w:tc>
        <w:tc>
          <w:tcPr>
            <w:tcW w:w="2550" w:type="dxa"/>
          </w:tcPr>
          <w:p w14:paraId="5B3BF7CF" w14:textId="77777777" w:rsidR="00B63017" w:rsidRPr="00040BEC" w:rsidRDefault="00B63017" w:rsidP="007007B4">
            <w:pPr>
              <w:overflowPunct w:val="0"/>
              <w:autoSpaceDE w:val="0"/>
              <w:autoSpaceDN w:val="0"/>
              <w:adjustRightInd w:val="0"/>
              <w:spacing w:before="40"/>
              <w:textAlignment w:val="baseline"/>
              <w:rPr>
                <w:rFonts w:cs="Arial"/>
                <w:szCs w:val="20"/>
                <w:lang w:val="en-GB" w:eastAsia="nl-NL"/>
              </w:rPr>
            </w:pPr>
            <w:r w:rsidRPr="00040BEC">
              <w:rPr>
                <w:rFonts w:cs="Arial"/>
                <w:szCs w:val="20"/>
                <w:lang w:val="en-GB" w:eastAsia="nl-NL"/>
              </w:rPr>
              <w:t xml:space="preserve">1/4/2000 – </w:t>
            </w:r>
            <w:r w:rsidR="00405F5E" w:rsidRPr="00040BEC">
              <w:rPr>
                <w:rFonts w:cs="Arial"/>
                <w:szCs w:val="20"/>
                <w:lang w:val="en-GB" w:eastAsia="nl-NL"/>
              </w:rPr>
              <w:t>No expiration date; Tradable</w:t>
            </w:r>
          </w:p>
        </w:tc>
      </w:tr>
      <w:tr w:rsidR="00B63017" w:rsidRPr="00040BEC" w14:paraId="55C00B72" w14:textId="77777777" w:rsidTr="007007B4">
        <w:trPr>
          <w:trHeight w:val="449"/>
        </w:trPr>
        <w:tc>
          <w:tcPr>
            <w:tcW w:w="2519" w:type="dxa"/>
          </w:tcPr>
          <w:p w14:paraId="2CADCD23" w14:textId="77777777" w:rsidR="00B63017" w:rsidRPr="00040BEC" w:rsidRDefault="00B63017" w:rsidP="007007B4">
            <w:pPr>
              <w:overflowPunct w:val="0"/>
              <w:autoSpaceDE w:val="0"/>
              <w:autoSpaceDN w:val="0"/>
              <w:adjustRightInd w:val="0"/>
              <w:spacing w:before="40"/>
              <w:textAlignment w:val="baseline"/>
              <w:rPr>
                <w:rFonts w:cs="Arial"/>
                <w:szCs w:val="20"/>
                <w:lang w:val="en-GB" w:eastAsia="en-GB"/>
              </w:rPr>
            </w:pPr>
            <w:r w:rsidRPr="00040BEC">
              <w:rPr>
                <w:rFonts w:cs="Arial"/>
                <w:szCs w:val="20"/>
                <w:lang w:val="en-GB" w:eastAsia="en-GB"/>
              </w:rPr>
              <w:t>Hutchison 3G UK Ltd.</w:t>
            </w:r>
          </w:p>
        </w:tc>
        <w:tc>
          <w:tcPr>
            <w:tcW w:w="2268" w:type="dxa"/>
          </w:tcPr>
          <w:p w14:paraId="22A37109" w14:textId="77777777" w:rsidR="00B63017" w:rsidRPr="00040BEC" w:rsidRDefault="00B63017" w:rsidP="007007B4">
            <w:pPr>
              <w:overflowPunct w:val="0"/>
              <w:autoSpaceDE w:val="0"/>
              <w:autoSpaceDN w:val="0"/>
              <w:adjustRightInd w:val="0"/>
              <w:spacing w:before="40"/>
              <w:textAlignment w:val="baseline"/>
              <w:rPr>
                <w:rFonts w:cs="Arial"/>
                <w:szCs w:val="20"/>
                <w:lang w:val="en-GB" w:eastAsia="nl-NL"/>
              </w:rPr>
            </w:pPr>
            <w:r w:rsidRPr="00040BEC">
              <w:rPr>
                <w:rFonts w:cs="Arial"/>
                <w:szCs w:val="20"/>
                <w:lang w:val="en-GB" w:eastAsia="en-GB"/>
              </w:rPr>
              <w:t>1914.9 - 1920.0 MHz</w:t>
            </w:r>
          </w:p>
        </w:tc>
        <w:tc>
          <w:tcPr>
            <w:tcW w:w="2127" w:type="dxa"/>
          </w:tcPr>
          <w:p w14:paraId="73343E62" w14:textId="77777777" w:rsidR="00B63017" w:rsidRPr="00040BEC" w:rsidRDefault="00B63017" w:rsidP="007007B4">
            <w:pPr>
              <w:overflowPunct w:val="0"/>
              <w:autoSpaceDE w:val="0"/>
              <w:autoSpaceDN w:val="0"/>
              <w:adjustRightInd w:val="0"/>
              <w:spacing w:before="40"/>
              <w:textAlignment w:val="baseline"/>
              <w:rPr>
                <w:rFonts w:cs="Arial"/>
                <w:szCs w:val="20"/>
                <w:lang w:val="en-GB" w:eastAsia="nl-NL"/>
              </w:rPr>
            </w:pPr>
            <w:r w:rsidRPr="00040BEC">
              <w:rPr>
                <w:rFonts w:cs="Arial"/>
                <w:szCs w:val="20"/>
                <w:lang w:val="en-GB" w:eastAsia="nl-NL"/>
              </w:rPr>
              <w:t>UTRA TDD</w:t>
            </w:r>
          </w:p>
        </w:tc>
        <w:tc>
          <w:tcPr>
            <w:tcW w:w="2550" w:type="dxa"/>
          </w:tcPr>
          <w:p w14:paraId="364A26D2" w14:textId="77777777" w:rsidR="00B63017" w:rsidRPr="00040BEC" w:rsidRDefault="00B63017" w:rsidP="007007B4">
            <w:pPr>
              <w:overflowPunct w:val="0"/>
              <w:autoSpaceDE w:val="0"/>
              <w:autoSpaceDN w:val="0"/>
              <w:adjustRightInd w:val="0"/>
              <w:spacing w:before="40"/>
              <w:textAlignment w:val="baseline"/>
              <w:rPr>
                <w:rFonts w:cs="Arial"/>
                <w:szCs w:val="20"/>
                <w:lang w:val="en-GB" w:eastAsia="nl-NL"/>
              </w:rPr>
            </w:pPr>
            <w:r w:rsidRPr="00040BEC">
              <w:rPr>
                <w:rFonts w:cs="Arial"/>
                <w:szCs w:val="20"/>
                <w:lang w:val="en-GB" w:eastAsia="nl-NL"/>
              </w:rPr>
              <w:t xml:space="preserve">1/4/2000 – </w:t>
            </w:r>
            <w:r w:rsidR="00405F5E" w:rsidRPr="00040BEC">
              <w:rPr>
                <w:rFonts w:cs="Arial"/>
                <w:szCs w:val="20"/>
                <w:lang w:val="en-GB" w:eastAsia="nl-NL"/>
              </w:rPr>
              <w:t>No expiration date; Tradable</w:t>
            </w:r>
          </w:p>
        </w:tc>
      </w:tr>
    </w:tbl>
    <w:p w14:paraId="4384075B" w14:textId="77777777" w:rsidR="00B63017" w:rsidRPr="00040BEC" w:rsidRDefault="00B63017" w:rsidP="00B63017">
      <w:pPr>
        <w:pStyle w:val="ECCParagraph"/>
      </w:pPr>
    </w:p>
    <w:p w14:paraId="3B1AF9F6" w14:textId="77777777" w:rsidR="00B63017" w:rsidRPr="00040BEC" w:rsidRDefault="00C55CB6" w:rsidP="00C55CB6">
      <w:pPr>
        <w:rPr>
          <w:lang w:val="en-GB"/>
        </w:rPr>
      </w:pPr>
      <w:r w:rsidRPr="00040BEC">
        <w:rPr>
          <w:lang w:val="en-GB"/>
        </w:rPr>
        <w:br w:type="page"/>
      </w:r>
    </w:p>
    <w:p w14:paraId="14F42C49" w14:textId="1D88C7C1" w:rsidR="00C55CB6" w:rsidRPr="00040BEC" w:rsidRDefault="00C55CB6" w:rsidP="00176CF0">
      <w:pPr>
        <w:pStyle w:val="ECCAnnexheading1"/>
      </w:pPr>
      <w:bookmarkStart w:id="156" w:name="_Ref386366877"/>
      <w:bookmarkStart w:id="157" w:name="_Toc396904026"/>
      <w:bookmarkStart w:id="158" w:name="_Ref424638588"/>
      <w:bookmarkStart w:id="159" w:name="_Ref424638608"/>
      <w:bookmarkStart w:id="160" w:name="_Toc445129338"/>
      <w:r w:rsidRPr="00040BEC">
        <w:lastRenderedPageBreak/>
        <w:t xml:space="preserve">Regulatory parameters </w:t>
      </w:r>
      <w:bookmarkEnd w:id="156"/>
      <w:bookmarkEnd w:id="157"/>
      <w:r w:rsidR="00337457" w:rsidRPr="00040BEC">
        <w:t xml:space="preserve"> (</w:t>
      </w:r>
      <w:r w:rsidR="00337457" w:rsidRPr="00040BEC">
        <w:rPr>
          <w:szCs w:val="20"/>
        </w:rPr>
        <w:t>TECHNICAL AND OPERATIONAL REQUIREMENTS) FOR DA2GC SYSTEMS IN THE BAND 1900-1920 MHZ WITH TDD OPERATION MODE</w:t>
      </w:r>
      <w:r w:rsidR="00A9349D" w:rsidRPr="00040BEC">
        <w:rPr>
          <w:rStyle w:val="FootnoteReference"/>
          <w:szCs w:val="20"/>
        </w:rPr>
        <w:footnoteReference w:id="25"/>
      </w:r>
      <w:bookmarkEnd w:id="158"/>
      <w:bookmarkEnd w:id="159"/>
      <w:bookmarkEnd w:id="160"/>
    </w:p>
    <w:p w14:paraId="00157155" w14:textId="66649A2D" w:rsidR="00A9349D" w:rsidRPr="00040BEC" w:rsidRDefault="00AD12E6" w:rsidP="00A9349D">
      <w:pPr>
        <w:pStyle w:val="ECCParagraph"/>
        <w:rPr>
          <w:rFonts w:cs="Arial"/>
          <w:szCs w:val="20"/>
        </w:rPr>
      </w:pPr>
      <w:r w:rsidRPr="001A5059">
        <w:rPr>
          <w:rFonts w:cs="Arial"/>
          <w:szCs w:val="20"/>
        </w:rPr>
        <w:t xml:space="preserve">A </w:t>
      </w:r>
      <w:r>
        <w:rPr>
          <w:rFonts w:cs="Arial"/>
          <w:szCs w:val="20"/>
        </w:rPr>
        <w:t>DA2GC g</w:t>
      </w:r>
      <w:r w:rsidRPr="001A5059">
        <w:rPr>
          <w:rFonts w:cs="Arial"/>
          <w:szCs w:val="20"/>
        </w:rPr>
        <w:t xml:space="preserve">round station </w:t>
      </w:r>
      <w:r>
        <w:rPr>
          <w:rFonts w:cs="Arial"/>
          <w:szCs w:val="20"/>
        </w:rPr>
        <w:t xml:space="preserve">may </w:t>
      </w:r>
      <w:r w:rsidRPr="001A5059">
        <w:rPr>
          <w:rFonts w:cs="Arial"/>
          <w:szCs w:val="20"/>
        </w:rPr>
        <w:t xml:space="preserve">use multiple sector antennas with fixed azimuth and elevation patterns. </w:t>
      </w:r>
      <w:r>
        <w:rPr>
          <w:rFonts w:cs="Arial"/>
          <w:szCs w:val="20"/>
        </w:rPr>
        <w:t>For such a GS, a</w:t>
      </w:r>
      <w:r w:rsidRPr="001A5059">
        <w:rPr>
          <w:rFonts w:cs="Arial"/>
          <w:szCs w:val="20"/>
        </w:rPr>
        <w:t xml:space="preserve"> fixed elevation up-tilt </w:t>
      </w:r>
      <w:proofErr w:type="gramStart"/>
      <w:r w:rsidRPr="001A5059">
        <w:rPr>
          <w:rFonts w:cs="Arial"/>
          <w:szCs w:val="20"/>
        </w:rPr>
        <w:t>is introduced</w:t>
      </w:r>
      <w:proofErr w:type="gramEnd"/>
      <w:r w:rsidRPr="001A5059">
        <w:rPr>
          <w:rFonts w:cs="Arial"/>
          <w:szCs w:val="20"/>
        </w:rPr>
        <w:t xml:space="preserve"> to maximise reception at normal cruising altitudes of </w:t>
      </w:r>
      <w:r>
        <w:rPr>
          <w:rFonts w:cs="Arial"/>
          <w:szCs w:val="20"/>
        </w:rPr>
        <w:t xml:space="preserve">a </w:t>
      </w:r>
      <w:r w:rsidRPr="001A5059">
        <w:rPr>
          <w:rFonts w:cs="Arial"/>
          <w:szCs w:val="20"/>
        </w:rPr>
        <w:t>commercial aircraft.</w:t>
      </w:r>
      <w:r w:rsidR="00A9349D" w:rsidRPr="00040BEC">
        <w:rPr>
          <w:rFonts w:cs="Arial"/>
          <w:szCs w:val="20"/>
        </w:rPr>
        <w:t xml:space="preserve"> </w:t>
      </w:r>
    </w:p>
    <w:p w14:paraId="51A9806D" w14:textId="3C7B9008" w:rsidR="00A9349D" w:rsidRPr="00040BEC" w:rsidRDefault="00465CB0" w:rsidP="00A9349D">
      <w:pPr>
        <w:pStyle w:val="ECCParagraph"/>
        <w:rPr>
          <w:rFonts w:cs="Arial"/>
          <w:szCs w:val="20"/>
        </w:rPr>
      </w:pPr>
      <w:r w:rsidRPr="001A5059">
        <w:rPr>
          <w:rFonts w:cs="Arial"/>
          <w:szCs w:val="20"/>
        </w:rPr>
        <w:t xml:space="preserve">The aircraft station antenna </w:t>
      </w:r>
      <w:proofErr w:type="gramStart"/>
      <w:r>
        <w:rPr>
          <w:rFonts w:cs="Arial"/>
          <w:szCs w:val="20"/>
        </w:rPr>
        <w:t xml:space="preserve">may be </w:t>
      </w:r>
      <w:r w:rsidRPr="001A5059">
        <w:rPr>
          <w:rFonts w:cs="Arial"/>
          <w:szCs w:val="20"/>
        </w:rPr>
        <w:t>based</w:t>
      </w:r>
      <w:proofErr w:type="gramEnd"/>
      <w:r w:rsidRPr="001A5059">
        <w:rPr>
          <w:rFonts w:cs="Arial"/>
          <w:szCs w:val="20"/>
        </w:rPr>
        <w:t xml:space="preserve"> on an existing commercial aircraft antenna, which has been enhanced to support operation in the allocated frequency band, and so facilitates retrofit while not creating any additional drag for the aircraft.</w:t>
      </w:r>
    </w:p>
    <w:p w14:paraId="74F4FC62" w14:textId="6B515B05" w:rsidR="00465CB0" w:rsidRDefault="00465CB0" w:rsidP="00465CB0">
      <w:pPr>
        <w:pStyle w:val="ECCParagraph"/>
        <w:rPr>
          <w:rFonts w:cs="Arial"/>
          <w:szCs w:val="20"/>
        </w:rPr>
      </w:pPr>
      <w:r>
        <w:rPr>
          <w:rFonts w:cs="Arial"/>
          <w:szCs w:val="20"/>
        </w:rPr>
        <w:t>A</w:t>
      </w:r>
      <w:r w:rsidRPr="001A5059">
        <w:rPr>
          <w:rFonts w:cs="Arial"/>
          <w:szCs w:val="20"/>
        </w:rPr>
        <w:t xml:space="preserve"> beamforming system </w:t>
      </w:r>
      <w:proofErr w:type="gramStart"/>
      <w:r>
        <w:rPr>
          <w:rFonts w:cs="Arial"/>
          <w:szCs w:val="20"/>
        </w:rPr>
        <w:t>can be implemented</w:t>
      </w:r>
      <w:proofErr w:type="gramEnd"/>
      <w:r>
        <w:rPr>
          <w:rFonts w:cs="Arial"/>
          <w:szCs w:val="20"/>
        </w:rPr>
        <w:t xml:space="preserve"> which </w:t>
      </w:r>
      <w:r w:rsidRPr="001A5059">
        <w:rPr>
          <w:rFonts w:cs="Arial"/>
          <w:szCs w:val="20"/>
        </w:rPr>
        <w:t xml:space="preserve">uses advanced phased array and signal processing technology on the aircraft and at the </w:t>
      </w:r>
      <w:r>
        <w:rPr>
          <w:rFonts w:cs="Arial"/>
          <w:szCs w:val="20"/>
        </w:rPr>
        <w:t>g</w:t>
      </w:r>
      <w:r w:rsidRPr="001A5059">
        <w:rPr>
          <w:rFonts w:cs="Arial"/>
          <w:szCs w:val="20"/>
        </w:rPr>
        <w:t xml:space="preserve">round </w:t>
      </w:r>
      <w:r>
        <w:rPr>
          <w:rFonts w:cs="Arial"/>
          <w:szCs w:val="20"/>
        </w:rPr>
        <w:t>s</w:t>
      </w:r>
      <w:r w:rsidRPr="001A5059">
        <w:rPr>
          <w:rFonts w:cs="Arial"/>
          <w:szCs w:val="20"/>
        </w:rPr>
        <w:t xml:space="preserve">tation, to produce shaped and steerable beams.  This enables dynamic beam pointing at both ends of the link such that the </w:t>
      </w:r>
      <w:r>
        <w:rPr>
          <w:rFonts w:cs="Arial"/>
          <w:szCs w:val="20"/>
        </w:rPr>
        <w:t>g</w:t>
      </w:r>
      <w:r w:rsidRPr="001A5059">
        <w:rPr>
          <w:rFonts w:cs="Arial"/>
          <w:szCs w:val="20"/>
        </w:rPr>
        <w:t xml:space="preserve">round </w:t>
      </w:r>
      <w:r>
        <w:rPr>
          <w:rFonts w:cs="Arial"/>
          <w:szCs w:val="20"/>
        </w:rPr>
        <w:t>s</w:t>
      </w:r>
      <w:r w:rsidRPr="001A5059">
        <w:rPr>
          <w:rFonts w:cs="Arial"/>
          <w:szCs w:val="20"/>
        </w:rPr>
        <w:t>tation and the aircraft mutually track each other.</w:t>
      </w:r>
      <w:r>
        <w:rPr>
          <w:rFonts w:cs="Arial"/>
          <w:szCs w:val="20"/>
        </w:rPr>
        <w:t xml:space="preserve"> </w:t>
      </w:r>
      <w:r w:rsidRPr="001A5059">
        <w:rPr>
          <w:rFonts w:cs="Arial"/>
          <w:szCs w:val="20"/>
        </w:rPr>
        <w:t>The use of beamforming helps to reduce co-channel interference and improves both the DA2GC link performance and its frequency sharing capabilities.</w:t>
      </w:r>
    </w:p>
    <w:p w14:paraId="0CA02B7B" w14:textId="758326D2" w:rsidR="00A9349D" w:rsidRPr="00040BEC" w:rsidRDefault="00465CB0" w:rsidP="00465CB0">
      <w:pPr>
        <w:pStyle w:val="ECCParagraph"/>
        <w:rPr>
          <w:rFonts w:cs="Arial"/>
          <w:szCs w:val="20"/>
        </w:rPr>
      </w:pPr>
      <w:r w:rsidRPr="00F67F82">
        <w:rPr>
          <w:rFonts w:cs="Arial"/>
          <w:szCs w:val="20"/>
        </w:rPr>
        <w:t xml:space="preserve">Power control </w:t>
      </w:r>
      <w:proofErr w:type="gramStart"/>
      <w:r w:rsidRPr="00F67F82">
        <w:rPr>
          <w:rFonts w:cs="Arial"/>
          <w:szCs w:val="20"/>
        </w:rPr>
        <w:t>is used</w:t>
      </w:r>
      <w:proofErr w:type="gramEnd"/>
      <w:r w:rsidRPr="00F67F82">
        <w:rPr>
          <w:rFonts w:cs="Arial"/>
          <w:szCs w:val="20"/>
        </w:rPr>
        <w:t xml:space="preserve"> in both directions, to maintain the required receive</w:t>
      </w:r>
      <w:r>
        <w:rPr>
          <w:rFonts w:cs="Arial"/>
          <w:szCs w:val="20"/>
        </w:rPr>
        <w:t>d</w:t>
      </w:r>
      <w:r w:rsidRPr="00F67F82">
        <w:rPr>
          <w:rFonts w:cs="Arial"/>
          <w:szCs w:val="20"/>
        </w:rPr>
        <w:t xml:space="preserve"> power level at the GS and AS receivers</w:t>
      </w:r>
      <w:r>
        <w:rPr>
          <w:rFonts w:cs="Arial"/>
          <w:szCs w:val="20"/>
        </w:rPr>
        <w:t>.</w:t>
      </w:r>
    </w:p>
    <w:p w14:paraId="77B0C727" w14:textId="77777777" w:rsidR="00A9349D" w:rsidRPr="00040BEC" w:rsidRDefault="00A9349D" w:rsidP="00A9349D">
      <w:pPr>
        <w:pStyle w:val="ECCParagraph"/>
        <w:rPr>
          <w:rFonts w:cs="Arial"/>
          <w:szCs w:val="20"/>
        </w:rPr>
      </w:pPr>
      <w:r w:rsidRPr="00040BEC">
        <w:rPr>
          <w:rFonts w:cs="Arial"/>
          <w:szCs w:val="20"/>
        </w:rPr>
        <w:t>ECC Reports 209, 214 and 220 provide detailed technical information.</w:t>
      </w:r>
    </w:p>
    <w:p w14:paraId="53D50938" w14:textId="62F89188" w:rsidR="00A9349D" w:rsidRPr="00040BEC" w:rsidRDefault="00A9349D" w:rsidP="00BE115C">
      <w:pPr>
        <w:pStyle w:val="ECCTabletitle"/>
        <w:keepNext/>
        <w:numPr>
          <w:ilvl w:val="0"/>
          <w:numId w:val="50"/>
        </w:numPr>
        <w:ind w:left="1560" w:hanging="851"/>
        <w:jc w:val="center"/>
      </w:pPr>
      <w:r w:rsidRPr="00040BEC">
        <w:t>Main parameters for Ground Stations</w:t>
      </w:r>
      <w:r w:rsidR="00465CB0">
        <w:t xml:space="preserve"> (GS)</w:t>
      </w:r>
    </w:p>
    <w:tbl>
      <w:tblPr>
        <w:tblW w:w="0" w:type="auto"/>
        <w:tblInd w:w="675"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5670"/>
        <w:gridCol w:w="2410"/>
      </w:tblGrid>
      <w:tr w:rsidR="00A9349D" w:rsidRPr="00040BEC" w14:paraId="75C9A178" w14:textId="77777777" w:rsidTr="00543E20">
        <w:trPr>
          <w:tblHeader/>
        </w:trPr>
        <w:tc>
          <w:tcPr>
            <w:tcW w:w="5670" w:type="dxa"/>
            <w:tcBorders>
              <w:top w:val="single" w:sz="4" w:space="0" w:color="FFFFFF"/>
              <w:right w:val="single" w:sz="4" w:space="0" w:color="FFFFFF"/>
            </w:tcBorders>
            <w:shd w:val="clear" w:color="auto" w:fill="D2232A"/>
            <w:vAlign w:val="center"/>
          </w:tcPr>
          <w:p w14:paraId="2ECF9278" w14:textId="77777777" w:rsidR="00A9349D" w:rsidRPr="00040BEC" w:rsidRDefault="00A9349D" w:rsidP="004A48A8">
            <w:pPr>
              <w:spacing w:line="288" w:lineRule="auto"/>
              <w:jc w:val="center"/>
              <w:rPr>
                <w:rFonts w:cs="Arial"/>
                <w:b/>
                <w:color w:val="FFFFFF"/>
                <w:szCs w:val="20"/>
                <w:lang w:val="en-GB"/>
              </w:rPr>
            </w:pPr>
            <w:r w:rsidRPr="00040BEC">
              <w:rPr>
                <w:rFonts w:cs="Arial"/>
                <w:b/>
                <w:color w:val="FFFFFF"/>
                <w:szCs w:val="20"/>
                <w:lang w:val="en-GB"/>
              </w:rPr>
              <w:t>Parameter</w:t>
            </w:r>
          </w:p>
        </w:tc>
        <w:tc>
          <w:tcPr>
            <w:tcW w:w="2410" w:type="dxa"/>
            <w:tcBorders>
              <w:top w:val="single" w:sz="4" w:space="0" w:color="FFFFFF"/>
              <w:left w:val="single" w:sz="4" w:space="0" w:color="FFFFFF"/>
              <w:right w:val="single" w:sz="4" w:space="0" w:color="FFFFFF"/>
            </w:tcBorders>
            <w:shd w:val="clear" w:color="auto" w:fill="D2232A"/>
            <w:vAlign w:val="center"/>
          </w:tcPr>
          <w:p w14:paraId="6C32D95C" w14:textId="77777777" w:rsidR="00A9349D" w:rsidRPr="00040BEC" w:rsidRDefault="00A9349D" w:rsidP="004A48A8">
            <w:pPr>
              <w:spacing w:line="288" w:lineRule="auto"/>
              <w:jc w:val="center"/>
              <w:rPr>
                <w:rFonts w:cs="Arial"/>
                <w:b/>
                <w:color w:val="FFFFFF"/>
                <w:szCs w:val="20"/>
                <w:lang w:val="en-GB"/>
              </w:rPr>
            </w:pPr>
            <w:r w:rsidRPr="00040BEC">
              <w:rPr>
                <w:rFonts w:cs="Arial"/>
                <w:b/>
                <w:color w:val="FFFFFF"/>
                <w:szCs w:val="20"/>
                <w:lang w:val="en-GB"/>
              </w:rPr>
              <w:t>Value</w:t>
            </w:r>
          </w:p>
        </w:tc>
      </w:tr>
      <w:tr w:rsidR="00A9349D" w:rsidRPr="00040BEC" w14:paraId="50878631" w14:textId="77777777" w:rsidTr="00543E20">
        <w:tc>
          <w:tcPr>
            <w:tcW w:w="5670" w:type="dxa"/>
            <w:tcBorders>
              <w:top w:val="single" w:sz="4" w:space="0" w:color="D2232A"/>
              <w:left w:val="single" w:sz="4" w:space="0" w:color="D2232A"/>
              <w:bottom w:val="single" w:sz="4" w:space="0" w:color="D2232A"/>
              <w:right w:val="single" w:sz="4" w:space="0" w:color="D2232A"/>
            </w:tcBorders>
            <w:vAlign w:val="center"/>
          </w:tcPr>
          <w:p w14:paraId="53446CF5" w14:textId="77777777" w:rsidR="00A9349D" w:rsidRPr="00040BEC" w:rsidRDefault="00A9349D" w:rsidP="004A48A8">
            <w:pPr>
              <w:spacing w:line="288" w:lineRule="auto"/>
              <w:ind w:left="34"/>
              <w:rPr>
                <w:rFonts w:cs="Arial"/>
                <w:color w:val="000000" w:themeColor="text1"/>
                <w:kern w:val="28"/>
                <w:szCs w:val="20"/>
                <w:lang w:val="en-GB"/>
              </w:rPr>
            </w:pPr>
            <w:r w:rsidRPr="00040BEC">
              <w:rPr>
                <w:rFonts w:cs="Arial"/>
                <w:color w:val="000000" w:themeColor="text1"/>
                <w:kern w:val="28"/>
                <w:szCs w:val="20"/>
                <w:lang w:val="en-GB"/>
              </w:rPr>
              <w:t>Maximum channel bandwidth</w:t>
            </w:r>
          </w:p>
        </w:tc>
        <w:tc>
          <w:tcPr>
            <w:tcW w:w="2410" w:type="dxa"/>
            <w:tcBorders>
              <w:top w:val="single" w:sz="4" w:space="0" w:color="D2232A"/>
              <w:left w:val="single" w:sz="4" w:space="0" w:color="D2232A"/>
              <w:bottom w:val="single" w:sz="4" w:space="0" w:color="D2232A"/>
              <w:right w:val="single" w:sz="4" w:space="0" w:color="D2232A"/>
            </w:tcBorders>
            <w:vAlign w:val="center"/>
          </w:tcPr>
          <w:p w14:paraId="0314D04B" w14:textId="77777777" w:rsidR="00A9349D" w:rsidRPr="00040BEC" w:rsidRDefault="00A9349D" w:rsidP="007007B4">
            <w:pPr>
              <w:spacing w:line="288" w:lineRule="auto"/>
              <w:ind w:left="-108"/>
              <w:rPr>
                <w:rFonts w:cs="Arial"/>
                <w:color w:val="000000" w:themeColor="text1"/>
                <w:kern w:val="28"/>
                <w:szCs w:val="20"/>
                <w:lang w:val="en-GB"/>
              </w:rPr>
            </w:pPr>
            <w:r w:rsidRPr="00040BEC">
              <w:rPr>
                <w:rFonts w:cs="Arial"/>
                <w:color w:val="000000" w:themeColor="text1"/>
                <w:kern w:val="28"/>
                <w:szCs w:val="20"/>
                <w:lang w:val="en-GB"/>
              </w:rPr>
              <w:t>20 MHz</w:t>
            </w:r>
          </w:p>
        </w:tc>
      </w:tr>
      <w:tr w:rsidR="00A9349D" w:rsidRPr="00040BEC" w14:paraId="7E139E62" w14:textId="77777777" w:rsidTr="00543E20">
        <w:tc>
          <w:tcPr>
            <w:tcW w:w="5670" w:type="dxa"/>
            <w:tcBorders>
              <w:top w:val="single" w:sz="4" w:space="0" w:color="D2232A"/>
              <w:left w:val="single" w:sz="4" w:space="0" w:color="D2232A"/>
              <w:bottom w:val="single" w:sz="4" w:space="0" w:color="D2232A"/>
              <w:right w:val="single" w:sz="4" w:space="0" w:color="D2232A"/>
            </w:tcBorders>
            <w:vAlign w:val="center"/>
          </w:tcPr>
          <w:p w14:paraId="7A33E170" w14:textId="77777777" w:rsidR="00A9349D" w:rsidRPr="00040BEC" w:rsidRDefault="00A9349D" w:rsidP="004A48A8">
            <w:pPr>
              <w:spacing w:line="288" w:lineRule="auto"/>
              <w:ind w:left="34"/>
              <w:rPr>
                <w:rFonts w:cs="Arial"/>
                <w:color w:val="000000" w:themeColor="text1"/>
                <w:kern w:val="28"/>
                <w:szCs w:val="20"/>
                <w:lang w:val="en-GB"/>
              </w:rPr>
            </w:pPr>
            <w:r w:rsidRPr="00040BEC">
              <w:rPr>
                <w:rFonts w:cs="Arial"/>
                <w:szCs w:val="20"/>
                <w:lang w:val="en-GB"/>
              </w:rPr>
              <w:t xml:space="preserve">Maximum </w:t>
            </w:r>
            <w:proofErr w:type="spellStart"/>
            <w:r w:rsidRPr="00040BEC">
              <w:rPr>
                <w:rFonts w:cs="Arial"/>
                <w:szCs w:val="20"/>
                <w:lang w:val="en-GB"/>
              </w:rPr>
              <w:t>e.i.r.p</w:t>
            </w:r>
            <w:proofErr w:type="spellEnd"/>
            <w:r w:rsidRPr="00040BEC">
              <w:rPr>
                <w:rFonts w:cs="Arial"/>
                <w:szCs w:val="20"/>
                <w:lang w:val="en-GB"/>
              </w:rPr>
              <w:t xml:space="preserve">. </w:t>
            </w:r>
          </w:p>
        </w:tc>
        <w:tc>
          <w:tcPr>
            <w:tcW w:w="2410" w:type="dxa"/>
            <w:tcBorders>
              <w:top w:val="single" w:sz="4" w:space="0" w:color="D2232A"/>
              <w:left w:val="single" w:sz="4" w:space="0" w:color="D2232A"/>
              <w:bottom w:val="single" w:sz="4" w:space="0" w:color="D2232A"/>
              <w:right w:val="single" w:sz="4" w:space="0" w:color="D2232A"/>
            </w:tcBorders>
            <w:vAlign w:val="center"/>
          </w:tcPr>
          <w:p w14:paraId="335C7C26" w14:textId="77777777" w:rsidR="00A9349D" w:rsidRPr="00040BEC" w:rsidRDefault="00A9349D" w:rsidP="007007B4">
            <w:pPr>
              <w:spacing w:line="288" w:lineRule="auto"/>
              <w:ind w:left="-108"/>
              <w:rPr>
                <w:rFonts w:cs="Arial"/>
                <w:color w:val="000000" w:themeColor="text1"/>
                <w:kern w:val="28"/>
                <w:szCs w:val="20"/>
                <w:lang w:val="en-GB"/>
              </w:rPr>
            </w:pPr>
            <w:r w:rsidRPr="00040BEC">
              <w:rPr>
                <w:rFonts w:cs="Arial"/>
                <w:szCs w:val="20"/>
                <w:lang w:val="en-GB"/>
              </w:rPr>
              <w:t xml:space="preserve">50 </w:t>
            </w:r>
            <w:proofErr w:type="spellStart"/>
            <w:r w:rsidRPr="00040BEC">
              <w:rPr>
                <w:rFonts w:cs="Arial"/>
                <w:szCs w:val="20"/>
                <w:lang w:val="en-GB"/>
              </w:rPr>
              <w:t>dBm</w:t>
            </w:r>
            <w:proofErr w:type="spellEnd"/>
            <w:r w:rsidRPr="00040BEC">
              <w:rPr>
                <w:rFonts w:cs="Arial"/>
                <w:szCs w:val="20"/>
                <w:lang w:val="en-GB"/>
              </w:rPr>
              <w:t>/MHz</w:t>
            </w:r>
          </w:p>
        </w:tc>
      </w:tr>
      <w:tr w:rsidR="00465CB0" w:rsidRPr="00040BEC" w14:paraId="55DD948F" w14:textId="77777777" w:rsidTr="00543E20">
        <w:tc>
          <w:tcPr>
            <w:tcW w:w="5670" w:type="dxa"/>
            <w:tcBorders>
              <w:top w:val="single" w:sz="4" w:space="0" w:color="D2232A"/>
              <w:left w:val="single" w:sz="4" w:space="0" w:color="D2232A"/>
              <w:bottom w:val="single" w:sz="4" w:space="0" w:color="D2232A"/>
              <w:right w:val="single" w:sz="4" w:space="0" w:color="D2232A"/>
            </w:tcBorders>
            <w:vAlign w:val="center"/>
          </w:tcPr>
          <w:p w14:paraId="6E11E79C" w14:textId="7F8CFC94" w:rsidR="00465CB0" w:rsidRPr="00040BEC" w:rsidRDefault="00465CB0" w:rsidP="00465CB0">
            <w:pPr>
              <w:spacing w:line="288" w:lineRule="auto"/>
              <w:ind w:left="34"/>
              <w:rPr>
                <w:rFonts w:cs="Arial"/>
                <w:szCs w:val="20"/>
                <w:lang w:val="en-GB"/>
              </w:rPr>
            </w:pPr>
            <w:r>
              <w:rPr>
                <w:rFonts w:cs="Arial"/>
                <w:szCs w:val="20"/>
                <w:lang w:val="en-GB"/>
              </w:rPr>
              <w:t xml:space="preserve">Minimum operational elevation angle of antenna main lobe </w:t>
            </w:r>
          </w:p>
        </w:tc>
        <w:tc>
          <w:tcPr>
            <w:tcW w:w="2410" w:type="dxa"/>
            <w:tcBorders>
              <w:top w:val="single" w:sz="4" w:space="0" w:color="D2232A"/>
              <w:left w:val="single" w:sz="4" w:space="0" w:color="D2232A"/>
              <w:bottom w:val="single" w:sz="4" w:space="0" w:color="D2232A"/>
              <w:right w:val="single" w:sz="4" w:space="0" w:color="D2232A"/>
            </w:tcBorders>
            <w:vAlign w:val="center"/>
          </w:tcPr>
          <w:p w14:paraId="3FEF2EA7" w14:textId="5EC2B4DF" w:rsidR="00465CB0" w:rsidRPr="00040BEC" w:rsidRDefault="00465CB0" w:rsidP="00465CB0">
            <w:pPr>
              <w:spacing w:line="288" w:lineRule="auto"/>
              <w:ind w:left="-108"/>
              <w:rPr>
                <w:rFonts w:cs="Arial"/>
                <w:szCs w:val="20"/>
                <w:lang w:val="en-GB"/>
              </w:rPr>
            </w:pPr>
            <w:r>
              <w:rPr>
                <w:rFonts w:cs="Arial"/>
                <w:szCs w:val="20"/>
                <w:lang w:val="en-GB"/>
              </w:rPr>
              <w:t>+5</w:t>
            </w:r>
            <w:r w:rsidRPr="00465CB0">
              <w:rPr>
                <w:rFonts w:cs="Arial"/>
                <w:szCs w:val="20"/>
                <w:lang w:val="en-GB"/>
              </w:rPr>
              <w:t>°</w:t>
            </w:r>
          </w:p>
        </w:tc>
      </w:tr>
      <w:tr w:rsidR="00A9349D" w:rsidRPr="00040BEC" w14:paraId="6C07A895" w14:textId="77777777" w:rsidTr="007007B4">
        <w:tc>
          <w:tcPr>
            <w:tcW w:w="8080" w:type="dxa"/>
            <w:gridSpan w:val="2"/>
            <w:tcBorders>
              <w:top w:val="single" w:sz="4" w:space="0" w:color="D2232A"/>
              <w:left w:val="single" w:sz="4" w:space="0" w:color="D2232A"/>
              <w:bottom w:val="single" w:sz="4" w:space="0" w:color="D2232A"/>
              <w:right w:val="single" w:sz="4" w:space="0" w:color="D2232A"/>
            </w:tcBorders>
            <w:vAlign w:val="center"/>
          </w:tcPr>
          <w:p w14:paraId="51B01AF9" w14:textId="77777777" w:rsidR="00A9349D" w:rsidRPr="00040BEC" w:rsidRDefault="00A9349D" w:rsidP="004A48A8">
            <w:pPr>
              <w:spacing w:line="288" w:lineRule="auto"/>
              <w:ind w:left="34"/>
              <w:rPr>
                <w:rFonts w:cs="Arial"/>
                <w:szCs w:val="20"/>
                <w:lang w:val="en-GB"/>
              </w:rPr>
            </w:pPr>
            <w:r w:rsidRPr="00040BEC">
              <w:rPr>
                <w:rFonts w:cs="Arial"/>
                <w:szCs w:val="20"/>
                <w:lang w:val="en-GB"/>
              </w:rPr>
              <w:t xml:space="preserve">NOTE: The </w:t>
            </w:r>
            <w:proofErr w:type="spellStart"/>
            <w:r w:rsidRPr="00040BEC">
              <w:rPr>
                <w:rFonts w:cs="Arial"/>
                <w:szCs w:val="20"/>
                <w:lang w:val="en-GB"/>
              </w:rPr>
              <w:t>e.i.r.p</w:t>
            </w:r>
            <w:proofErr w:type="spellEnd"/>
            <w:r w:rsidRPr="00040BEC">
              <w:rPr>
                <w:rFonts w:cs="Arial"/>
                <w:szCs w:val="20"/>
                <w:lang w:val="en-GB"/>
              </w:rPr>
              <w:t>. level in this table represents the maximum operational level at all times for a single beam, in the direction of the aircraft</w:t>
            </w:r>
          </w:p>
        </w:tc>
      </w:tr>
    </w:tbl>
    <w:p w14:paraId="7CDB4C12" w14:textId="77777777" w:rsidR="00A9349D" w:rsidRPr="00040BEC" w:rsidRDefault="00A9349D" w:rsidP="00A9349D">
      <w:pPr>
        <w:rPr>
          <w:rFonts w:cs="Arial"/>
          <w:szCs w:val="20"/>
          <w:lang w:val="en-GB"/>
        </w:rPr>
      </w:pPr>
    </w:p>
    <w:p w14:paraId="040236C5" w14:textId="74F3F8A7" w:rsidR="00A9349D" w:rsidRPr="00040BEC" w:rsidRDefault="00A9349D" w:rsidP="00BE115C">
      <w:pPr>
        <w:pStyle w:val="ECCTabletitle"/>
        <w:keepNext/>
        <w:numPr>
          <w:ilvl w:val="0"/>
          <w:numId w:val="50"/>
        </w:numPr>
        <w:ind w:left="1560" w:hanging="851"/>
        <w:jc w:val="center"/>
      </w:pPr>
      <w:r w:rsidRPr="00040BEC">
        <w:t>Main parameters for Aircraft Stations</w:t>
      </w:r>
      <w:r w:rsidR="00465CB0">
        <w:t xml:space="preserve"> (AS)</w:t>
      </w:r>
    </w:p>
    <w:tbl>
      <w:tblPr>
        <w:tblW w:w="0" w:type="auto"/>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5638"/>
        <w:gridCol w:w="2377"/>
      </w:tblGrid>
      <w:tr w:rsidR="00A9349D" w:rsidRPr="00040BEC" w14:paraId="55395E51" w14:textId="77777777" w:rsidTr="0019256B">
        <w:trPr>
          <w:tblHeader/>
          <w:jc w:val="center"/>
        </w:trPr>
        <w:tc>
          <w:tcPr>
            <w:tcW w:w="5638" w:type="dxa"/>
            <w:tcBorders>
              <w:top w:val="single" w:sz="4" w:space="0" w:color="FFFFFF" w:themeColor="background1"/>
              <w:left w:val="single" w:sz="4" w:space="0" w:color="D2232A"/>
              <w:bottom w:val="single" w:sz="4" w:space="0" w:color="D2232A"/>
              <w:right w:val="single" w:sz="4" w:space="0" w:color="FFFFFF"/>
            </w:tcBorders>
            <w:shd w:val="clear" w:color="auto" w:fill="D2232A"/>
            <w:vAlign w:val="center"/>
            <w:hideMark/>
          </w:tcPr>
          <w:p w14:paraId="63FBCA27" w14:textId="77777777" w:rsidR="00A9349D" w:rsidRPr="00040BEC" w:rsidRDefault="00A9349D" w:rsidP="004A48A8">
            <w:pPr>
              <w:spacing w:line="288" w:lineRule="auto"/>
              <w:jc w:val="center"/>
              <w:rPr>
                <w:b/>
                <w:color w:val="FFFFFF"/>
                <w:lang w:val="en-GB"/>
              </w:rPr>
            </w:pPr>
            <w:r w:rsidRPr="00040BEC">
              <w:rPr>
                <w:b/>
                <w:color w:val="FFFFFF"/>
                <w:szCs w:val="22"/>
                <w:lang w:val="en-GB"/>
              </w:rPr>
              <w:t>Parameter</w:t>
            </w:r>
          </w:p>
        </w:tc>
        <w:tc>
          <w:tcPr>
            <w:tcW w:w="2377" w:type="dxa"/>
            <w:tcBorders>
              <w:top w:val="single" w:sz="4" w:space="0" w:color="FFFFFF" w:themeColor="background1"/>
              <w:left w:val="single" w:sz="4" w:space="0" w:color="FFFFFF"/>
              <w:bottom w:val="single" w:sz="4" w:space="0" w:color="D2232A"/>
              <w:right w:val="single" w:sz="4" w:space="0" w:color="FFFFFF" w:themeColor="background1"/>
            </w:tcBorders>
            <w:shd w:val="clear" w:color="auto" w:fill="D2232A"/>
            <w:vAlign w:val="center"/>
            <w:hideMark/>
          </w:tcPr>
          <w:p w14:paraId="4D8728E9" w14:textId="00EB651A" w:rsidR="00A9349D" w:rsidRPr="00040BEC" w:rsidRDefault="00A9349D" w:rsidP="004A48A8">
            <w:pPr>
              <w:spacing w:line="288" w:lineRule="auto"/>
              <w:jc w:val="center"/>
              <w:rPr>
                <w:b/>
                <w:color w:val="FFFFFF"/>
                <w:lang w:val="en-GB"/>
              </w:rPr>
            </w:pPr>
            <w:r w:rsidRPr="00040BEC">
              <w:rPr>
                <w:b/>
                <w:color w:val="FFFFFF"/>
                <w:szCs w:val="22"/>
                <w:lang w:val="en-GB"/>
              </w:rPr>
              <w:t>Value</w:t>
            </w:r>
          </w:p>
        </w:tc>
      </w:tr>
      <w:tr w:rsidR="00A9349D" w:rsidRPr="00040BEC" w14:paraId="2F332A48" w14:textId="77777777" w:rsidTr="0019256B">
        <w:trPr>
          <w:jc w:val="center"/>
        </w:trPr>
        <w:tc>
          <w:tcPr>
            <w:tcW w:w="5638" w:type="dxa"/>
            <w:tcBorders>
              <w:top w:val="single" w:sz="4" w:space="0" w:color="D2232A"/>
              <w:left w:val="single" w:sz="4" w:space="0" w:color="D2232A"/>
              <w:bottom w:val="single" w:sz="4" w:space="0" w:color="D2232A"/>
              <w:right w:val="single" w:sz="4" w:space="0" w:color="D2232A"/>
            </w:tcBorders>
            <w:vAlign w:val="center"/>
          </w:tcPr>
          <w:p w14:paraId="14E423F1" w14:textId="77777777" w:rsidR="00A9349D" w:rsidRPr="00040BEC" w:rsidRDefault="00A9349D" w:rsidP="004A48A8">
            <w:pPr>
              <w:spacing w:line="288" w:lineRule="auto"/>
              <w:rPr>
                <w:szCs w:val="22"/>
                <w:lang w:val="en-GB"/>
              </w:rPr>
            </w:pPr>
            <w:r w:rsidRPr="00040BEC">
              <w:rPr>
                <w:szCs w:val="22"/>
                <w:lang w:val="en-GB"/>
              </w:rPr>
              <w:t>Maximum channel bandwidth</w:t>
            </w:r>
          </w:p>
        </w:tc>
        <w:tc>
          <w:tcPr>
            <w:tcW w:w="2377" w:type="dxa"/>
            <w:tcBorders>
              <w:top w:val="single" w:sz="4" w:space="0" w:color="D2232A"/>
              <w:left w:val="single" w:sz="4" w:space="0" w:color="D2232A"/>
              <w:bottom w:val="single" w:sz="4" w:space="0" w:color="D2232A"/>
              <w:right w:val="single" w:sz="4" w:space="0" w:color="D2232A"/>
            </w:tcBorders>
            <w:vAlign w:val="center"/>
          </w:tcPr>
          <w:p w14:paraId="0F439837" w14:textId="77777777" w:rsidR="00A9349D" w:rsidRPr="00040BEC" w:rsidRDefault="00A9349D" w:rsidP="007007B4">
            <w:pPr>
              <w:spacing w:line="288" w:lineRule="auto"/>
              <w:rPr>
                <w:szCs w:val="22"/>
                <w:lang w:val="en-GB"/>
              </w:rPr>
            </w:pPr>
            <w:r w:rsidRPr="00040BEC">
              <w:rPr>
                <w:szCs w:val="22"/>
                <w:lang w:val="en-GB"/>
              </w:rPr>
              <w:t>20 MHz</w:t>
            </w:r>
          </w:p>
        </w:tc>
      </w:tr>
      <w:tr w:rsidR="00465CB0" w:rsidRPr="00040BEC" w14:paraId="0646E51F" w14:textId="77777777" w:rsidTr="0019256B">
        <w:trPr>
          <w:jc w:val="center"/>
        </w:trPr>
        <w:tc>
          <w:tcPr>
            <w:tcW w:w="5638" w:type="dxa"/>
            <w:tcBorders>
              <w:top w:val="single" w:sz="4" w:space="0" w:color="D2232A"/>
              <w:left w:val="single" w:sz="4" w:space="0" w:color="D2232A"/>
              <w:bottom w:val="single" w:sz="4" w:space="0" w:color="D2232A"/>
              <w:right w:val="single" w:sz="4" w:space="0" w:color="D2232A"/>
            </w:tcBorders>
            <w:vAlign w:val="center"/>
            <w:hideMark/>
          </w:tcPr>
          <w:p w14:paraId="58E9DDC1" w14:textId="359E6040" w:rsidR="00465CB0" w:rsidRPr="00040BEC" w:rsidRDefault="00465CB0" w:rsidP="004A48A8">
            <w:pPr>
              <w:spacing w:line="288" w:lineRule="auto"/>
              <w:rPr>
                <w:lang w:val="en-GB"/>
              </w:rPr>
            </w:pPr>
            <w:r>
              <w:rPr>
                <w:szCs w:val="22"/>
                <w:lang w:val="en-GB"/>
              </w:rPr>
              <w:t xml:space="preserve">Maximum </w:t>
            </w:r>
            <w:proofErr w:type="spellStart"/>
            <w:r>
              <w:rPr>
                <w:szCs w:val="22"/>
                <w:lang w:val="en-GB"/>
              </w:rPr>
              <w:t>e.i.r.p</w:t>
            </w:r>
            <w:proofErr w:type="spellEnd"/>
            <w:r>
              <w:rPr>
                <w:szCs w:val="22"/>
                <w:lang w:val="en-GB"/>
              </w:rPr>
              <w:t>. spectral density</w:t>
            </w:r>
          </w:p>
        </w:tc>
        <w:tc>
          <w:tcPr>
            <w:tcW w:w="2377" w:type="dxa"/>
            <w:tcBorders>
              <w:top w:val="single" w:sz="4" w:space="0" w:color="D2232A"/>
              <w:left w:val="single" w:sz="4" w:space="0" w:color="D2232A"/>
              <w:bottom w:val="single" w:sz="4" w:space="0" w:color="D2232A"/>
              <w:right w:val="single" w:sz="4" w:space="0" w:color="D2232A"/>
            </w:tcBorders>
            <w:vAlign w:val="center"/>
            <w:hideMark/>
          </w:tcPr>
          <w:p w14:paraId="1EED0789" w14:textId="77777777" w:rsidR="00465CB0" w:rsidRPr="00040BEC" w:rsidRDefault="00465CB0" w:rsidP="007007B4">
            <w:pPr>
              <w:spacing w:line="288" w:lineRule="auto"/>
              <w:rPr>
                <w:lang w:val="en-GB"/>
              </w:rPr>
            </w:pPr>
            <w:r w:rsidRPr="00040BEC">
              <w:rPr>
                <w:szCs w:val="22"/>
                <w:lang w:val="en-GB"/>
              </w:rPr>
              <w:t xml:space="preserve">34 </w:t>
            </w:r>
            <w:proofErr w:type="spellStart"/>
            <w:r w:rsidRPr="00040BEC">
              <w:rPr>
                <w:szCs w:val="22"/>
                <w:lang w:val="en-GB"/>
              </w:rPr>
              <w:t>dBm</w:t>
            </w:r>
            <w:proofErr w:type="spellEnd"/>
            <w:r w:rsidRPr="00040BEC">
              <w:rPr>
                <w:szCs w:val="22"/>
                <w:lang w:val="en-GB"/>
              </w:rPr>
              <w:t>/MHz</w:t>
            </w:r>
          </w:p>
        </w:tc>
      </w:tr>
      <w:tr w:rsidR="00465CB0" w:rsidRPr="00040BEC" w14:paraId="692E665E" w14:textId="77777777" w:rsidTr="0019256B">
        <w:trPr>
          <w:jc w:val="center"/>
        </w:trPr>
        <w:tc>
          <w:tcPr>
            <w:tcW w:w="5638" w:type="dxa"/>
            <w:tcBorders>
              <w:top w:val="single" w:sz="4" w:space="0" w:color="D2232A"/>
              <w:left w:val="single" w:sz="4" w:space="0" w:color="D2232A"/>
              <w:bottom w:val="single" w:sz="4" w:space="0" w:color="D2232A"/>
              <w:right w:val="single" w:sz="4" w:space="0" w:color="D2232A"/>
            </w:tcBorders>
            <w:vAlign w:val="center"/>
          </w:tcPr>
          <w:p w14:paraId="68D07B46" w14:textId="6B6505FA" w:rsidR="00465CB0" w:rsidRPr="00040BEC" w:rsidRDefault="00465CB0" w:rsidP="004A48A8">
            <w:pPr>
              <w:spacing w:line="288" w:lineRule="auto"/>
              <w:rPr>
                <w:szCs w:val="22"/>
                <w:lang w:val="en-GB"/>
              </w:rPr>
            </w:pPr>
            <w:r>
              <w:rPr>
                <w:szCs w:val="22"/>
                <w:lang w:val="en-GB"/>
              </w:rPr>
              <w:t>Minimum ATPC (adaptive transmitter power control) range</w:t>
            </w:r>
          </w:p>
        </w:tc>
        <w:tc>
          <w:tcPr>
            <w:tcW w:w="2377" w:type="dxa"/>
            <w:tcBorders>
              <w:top w:val="single" w:sz="4" w:space="0" w:color="D2232A"/>
              <w:left w:val="single" w:sz="4" w:space="0" w:color="D2232A"/>
              <w:bottom w:val="single" w:sz="4" w:space="0" w:color="D2232A"/>
              <w:right w:val="single" w:sz="4" w:space="0" w:color="D2232A"/>
            </w:tcBorders>
            <w:vAlign w:val="center"/>
          </w:tcPr>
          <w:p w14:paraId="2116224B" w14:textId="77777777" w:rsidR="00465CB0" w:rsidRPr="00040BEC" w:rsidRDefault="00465CB0" w:rsidP="007007B4">
            <w:pPr>
              <w:spacing w:line="288" w:lineRule="auto"/>
              <w:rPr>
                <w:szCs w:val="22"/>
                <w:lang w:val="en-GB"/>
              </w:rPr>
            </w:pPr>
            <w:r w:rsidRPr="00040BEC">
              <w:rPr>
                <w:szCs w:val="22"/>
                <w:lang w:val="en-GB"/>
              </w:rPr>
              <w:t>10 dB</w:t>
            </w:r>
          </w:p>
        </w:tc>
      </w:tr>
      <w:tr w:rsidR="00A9349D" w:rsidRPr="00040BEC" w14:paraId="11EFD40A" w14:textId="77777777" w:rsidTr="0019256B">
        <w:trPr>
          <w:jc w:val="center"/>
        </w:trPr>
        <w:tc>
          <w:tcPr>
            <w:tcW w:w="5638" w:type="dxa"/>
            <w:tcBorders>
              <w:top w:val="single" w:sz="4" w:space="0" w:color="D2232A"/>
              <w:left w:val="single" w:sz="4" w:space="0" w:color="D2232A"/>
              <w:bottom w:val="single" w:sz="4" w:space="0" w:color="D2232A"/>
              <w:right w:val="single" w:sz="4" w:space="0" w:color="D2232A"/>
            </w:tcBorders>
            <w:vAlign w:val="center"/>
            <w:hideMark/>
          </w:tcPr>
          <w:p w14:paraId="341A1D29" w14:textId="77777777" w:rsidR="00A9349D" w:rsidRPr="00040BEC" w:rsidRDefault="00A9349D" w:rsidP="004A48A8">
            <w:pPr>
              <w:spacing w:line="288" w:lineRule="auto"/>
              <w:rPr>
                <w:lang w:val="en-GB"/>
              </w:rPr>
            </w:pPr>
            <w:r w:rsidRPr="00040BEC">
              <w:rPr>
                <w:szCs w:val="22"/>
                <w:lang w:val="en-GB"/>
              </w:rPr>
              <w:t>Minimum operational height above ground</w:t>
            </w:r>
          </w:p>
        </w:tc>
        <w:tc>
          <w:tcPr>
            <w:tcW w:w="2377" w:type="dxa"/>
            <w:tcBorders>
              <w:top w:val="single" w:sz="4" w:space="0" w:color="D2232A"/>
              <w:left w:val="single" w:sz="4" w:space="0" w:color="D2232A"/>
              <w:bottom w:val="single" w:sz="4" w:space="0" w:color="D2232A"/>
              <w:right w:val="single" w:sz="4" w:space="0" w:color="D2232A"/>
            </w:tcBorders>
            <w:vAlign w:val="center"/>
            <w:hideMark/>
          </w:tcPr>
          <w:p w14:paraId="68DD6EC8" w14:textId="77777777" w:rsidR="00A9349D" w:rsidRPr="00040BEC" w:rsidRDefault="00A9349D" w:rsidP="007007B4">
            <w:pPr>
              <w:spacing w:line="288" w:lineRule="auto"/>
              <w:rPr>
                <w:lang w:val="en-GB"/>
              </w:rPr>
            </w:pPr>
            <w:r w:rsidRPr="00040BEC">
              <w:rPr>
                <w:szCs w:val="22"/>
                <w:lang w:val="en-GB"/>
              </w:rPr>
              <w:t>3 000 m</w:t>
            </w:r>
          </w:p>
        </w:tc>
      </w:tr>
    </w:tbl>
    <w:p w14:paraId="38A62DE5" w14:textId="77777777" w:rsidR="00A9349D" w:rsidRPr="00040BEC" w:rsidRDefault="00A9349D" w:rsidP="00A9349D">
      <w:pPr>
        <w:rPr>
          <w:rFonts w:cs="Arial"/>
          <w:kern w:val="32"/>
          <w:szCs w:val="20"/>
          <w:lang w:val="en-GB"/>
        </w:rPr>
      </w:pPr>
    </w:p>
    <w:p w14:paraId="5A3B6EC0" w14:textId="1DA330A6" w:rsidR="007007B4" w:rsidRDefault="00A9349D" w:rsidP="00A9349D">
      <w:pPr>
        <w:rPr>
          <w:rFonts w:cs="Arial"/>
          <w:kern w:val="32"/>
          <w:szCs w:val="20"/>
          <w:lang w:val="en-GB"/>
        </w:rPr>
      </w:pPr>
      <w:r w:rsidRPr="00040BEC">
        <w:rPr>
          <w:rFonts w:cs="Arial"/>
          <w:kern w:val="32"/>
          <w:szCs w:val="20"/>
          <w:lang w:val="en-GB"/>
        </w:rPr>
        <w:t>For the protection of DECT systems below 1900 MHz and MFCN above 1920 MHz, the requirements for the out-of-block</w:t>
      </w:r>
      <w:r w:rsidR="00465CB0">
        <w:rPr>
          <w:rStyle w:val="FootnoteReference"/>
          <w:rFonts w:cs="Arial"/>
          <w:kern w:val="32"/>
          <w:szCs w:val="20"/>
          <w:lang w:val="en-GB"/>
        </w:rPr>
        <w:footnoteReference w:id="26"/>
      </w:r>
      <w:r w:rsidRPr="00040BEC">
        <w:rPr>
          <w:rFonts w:cs="Arial"/>
          <w:kern w:val="32"/>
          <w:szCs w:val="20"/>
          <w:lang w:val="en-GB"/>
        </w:rPr>
        <w:t xml:space="preserve"> </w:t>
      </w:r>
      <w:proofErr w:type="spellStart"/>
      <w:r w:rsidRPr="00040BEC">
        <w:rPr>
          <w:rFonts w:cs="Arial"/>
          <w:kern w:val="32"/>
          <w:szCs w:val="20"/>
          <w:lang w:val="en-GB"/>
        </w:rPr>
        <w:t>e.i.r.p</w:t>
      </w:r>
      <w:proofErr w:type="spellEnd"/>
      <w:r w:rsidRPr="00040BEC">
        <w:rPr>
          <w:rFonts w:cs="Arial"/>
          <w:kern w:val="32"/>
          <w:szCs w:val="20"/>
          <w:lang w:val="en-GB"/>
        </w:rPr>
        <w:t>. limits for the DA2GC ground stations and aircraft stations in Table 3 shall apply.</w:t>
      </w:r>
    </w:p>
    <w:p w14:paraId="2D29EFF1" w14:textId="77777777" w:rsidR="007007B4" w:rsidRDefault="007007B4">
      <w:pPr>
        <w:rPr>
          <w:rFonts w:cs="Arial"/>
          <w:kern w:val="32"/>
          <w:szCs w:val="20"/>
          <w:lang w:val="en-GB"/>
        </w:rPr>
      </w:pPr>
      <w:r>
        <w:rPr>
          <w:rFonts w:cs="Arial"/>
          <w:kern w:val="32"/>
          <w:szCs w:val="20"/>
          <w:lang w:val="en-GB"/>
        </w:rPr>
        <w:br w:type="page"/>
      </w:r>
    </w:p>
    <w:p w14:paraId="00F83DC0" w14:textId="77777777" w:rsidR="00A9349D" w:rsidRPr="00040BEC" w:rsidRDefault="00A9349D" w:rsidP="00A9349D">
      <w:pPr>
        <w:rPr>
          <w:rFonts w:cs="Arial"/>
          <w:kern w:val="32"/>
          <w:szCs w:val="20"/>
          <w:lang w:val="en-GB"/>
        </w:rPr>
      </w:pPr>
    </w:p>
    <w:p w14:paraId="35149D4F" w14:textId="77777777" w:rsidR="00A9349D" w:rsidRPr="00040BEC" w:rsidRDefault="00A9349D" w:rsidP="00BE115C">
      <w:pPr>
        <w:pStyle w:val="ECCTabletitle"/>
        <w:keepNext/>
        <w:numPr>
          <w:ilvl w:val="0"/>
          <w:numId w:val="50"/>
        </w:numPr>
        <w:ind w:left="1560" w:hanging="851"/>
        <w:jc w:val="center"/>
      </w:pPr>
      <w:r w:rsidRPr="00040BEC">
        <w:t xml:space="preserve">Out-of-block </w:t>
      </w:r>
      <w:proofErr w:type="spellStart"/>
      <w:r w:rsidRPr="00040BEC">
        <w:t>e.i.r.p</w:t>
      </w:r>
      <w:proofErr w:type="spellEnd"/>
      <w:r w:rsidRPr="00040BEC">
        <w:t>. limits for GS and AS</w:t>
      </w:r>
    </w:p>
    <w:tbl>
      <w:tblPr>
        <w:tblW w:w="0" w:type="auto"/>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3037"/>
        <w:gridCol w:w="2373"/>
        <w:gridCol w:w="2589"/>
      </w:tblGrid>
      <w:tr w:rsidR="00A9349D" w:rsidRPr="00040BEC" w14:paraId="252CA3E7" w14:textId="77777777" w:rsidTr="0019256B">
        <w:trPr>
          <w:tblHeader/>
          <w:jc w:val="center"/>
        </w:trPr>
        <w:tc>
          <w:tcPr>
            <w:tcW w:w="3037" w:type="dxa"/>
            <w:tcBorders>
              <w:top w:val="single" w:sz="4" w:space="0" w:color="FFFFFF"/>
              <w:left w:val="single" w:sz="4" w:space="0" w:color="D2232A"/>
              <w:bottom w:val="single" w:sz="4" w:space="0" w:color="D2232A"/>
              <w:right w:val="single" w:sz="4" w:space="0" w:color="FFFFFF"/>
            </w:tcBorders>
            <w:shd w:val="clear" w:color="auto" w:fill="D2232A"/>
            <w:vAlign w:val="center"/>
            <w:hideMark/>
          </w:tcPr>
          <w:p w14:paraId="72E3A634" w14:textId="77777777" w:rsidR="00A9349D" w:rsidRPr="007007B4" w:rsidRDefault="00A9349D" w:rsidP="007007B4">
            <w:pPr>
              <w:spacing w:before="120"/>
              <w:jc w:val="center"/>
              <w:rPr>
                <w:b/>
                <w:color w:val="FFFFFF"/>
                <w:szCs w:val="20"/>
                <w:lang w:val="en-GB" w:eastAsia="de-DE"/>
              </w:rPr>
            </w:pPr>
            <w:r w:rsidRPr="007007B4">
              <w:rPr>
                <w:b/>
                <w:color w:val="FFFFFF"/>
                <w:szCs w:val="20"/>
                <w:lang w:val="en-GB" w:eastAsia="de-DE"/>
              </w:rPr>
              <w:t>Frequency range of out-of-block emissions</w:t>
            </w:r>
          </w:p>
        </w:tc>
        <w:tc>
          <w:tcPr>
            <w:tcW w:w="2373" w:type="dxa"/>
            <w:tcBorders>
              <w:top w:val="single" w:sz="4" w:space="0" w:color="FFFFFF"/>
              <w:left w:val="single" w:sz="4" w:space="0" w:color="FFFFFF"/>
              <w:bottom w:val="single" w:sz="4" w:space="0" w:color="D2232A"/>
              <w:right w:val="single" w:sz="4" w:space="0" w:color="FFFFFF"/>
            </w:tcBorders>
            <w:shd w:val="clear" w:color="auto" w:fill="D2232A"/>
          </w:tcPr>
          <w:p w14:paraId="226C162C" w14:textId="77777777" w:rsidR="00A9349D" w:rsidRPr="007007B4" w:rsidRDefault="00A9349D" w:rsidP="007007B4">
            <w:pPr>
              <w:spacing w:before="120"/>
              <w:jc w:val="center"/>
              <w:rPr>
                <w:b/>
                <w:color w:val="FFFFFF"/>
                <w:szCs w:val="20"/>
                <w:lang w:val="en-GB" w:eastAsia="de-DE"/>
              </w:rPr>
            </w:pPr>
            <w:r w:rsidRPr="007007B4">
              <w:rPr>
                <w:b/>
                <w:color w:val="FFFFFF"/>
                <w:szCs w:val="20"/>
                <w:lang w:val="en-GB" w:eastAsia="de-DE"/>
              </w:rPr>
              <w:t xml:space="preserve">Maximum  </w:t>
            </w:r>
          </w:p>
          <w:p w14:paraId="279B6470" w14:textId="4E970E3C" w:rsidR="00A9349D" w:rsidRPr="007007B4" w:rsidRDefault="00A9349D" w:rsidP="007007B4">
            <w:pPr>
              <w:spacing w:after="120"/>
              <w:jc w:val="center"/>
              <w:rPr>
                <w:b/>
                <w:color w:val="FFFFFF"/>
                <w:szCs w:val="20"/>
                <w:lang w:val="en-GB" w:eastAsia="de-DE"/>
              </w:rPr>
            </w:pPr>
            <w:r w:rsidRPr="007007B4">
              <w:rPr>
                <w:b/>
                <w:color w:val="FFFFFF"/>
                <w:szCs w:val="20"/>
                <w:lang w:val="en-GB" w:eastAsia="de-DE"/>
              </w:rPr>
              <w:t xml:space="preserve">out-of-block </w:t>
            </w:r>
            <w:proofErr w:type="spellStart"/>
            <w:r w:rsidRPr="007007B4">
              <w:rPr>
                <w:b/>
                <w:color w:val="FFFFFF"/>
                <w:szCs w:val="20"/>
                <w:lang w:val="en-GB" w:eastAsia="de-DE"/>
              </w:rPr>
              <w:t>e.i.r.p</w:t>
            </w:r>
            <w:proofErr w:type="spellEnd"/>
            <w:r w:rsidRPr="007007B4">
              <w:rPr>
                <w:b/>
                <w:color w:val="FFFFFF"/>
                <w:szCs w:val="20"/>
                <w:lang w:val="en-GB" w:eastAsia="de-DE"/>
              </w:rPr>
              <w:t xml:space="preserve">. </w:t>
            </w:r>
            <w:r w:rsidR="00465CB0">
              <w:rPr>
                <w:b/>
                <w:color w:val="FFFFFF"/>
                <w:szCs w:val="20"/>
                <w:lang w:val="en-GB" w:eastAsia="de-DE"/>
              </w:rPr>
              <w:t xml:space="preserve">spectral density </w:t>
            </w:r>
            <w:r w:rsidRPr="007007B4">
              <w:rPr>
                <w:b/>
                <w:color w:val="FFFFFF"/>
                <w:szCs w:val="20"/>
                <w:lang w:val="en-GB" w:eastAsia="de-DE"/>
              </w:rPr>
              <w:t>GS</w:t>
            </w:r>
          </w:p>
        </w:tc>
        <w:tc>
          <w:tcPr>
            <w:tcW w:w="2589" w:type="dxa"/>
            <w:tcBorders>
              <w:top w:val="single" w:sz="4" w:space="0" w:color="FFFFFF"/>
              <w:left w:val="single" w:sz="4" w:space="0" w:color="FFFFFF"/>
              <w:bottom w:val="single" w:sz="4" w:space="0" w:color="D2232A"/>
              <w:right w:val="single" w:sz="4" w:space="0" w:color="FFFFFF"/>
            </w:tcBorders>
            <w:shd w:val="clear" w:color="auto" w:fill="D2232A"/>
          </w:tcPr>
          <w:p w14:paraId="0F68D6FC" w14:textId="77777777" w:rsidR="00A9349D" w:rsidRPr="007007B4" w:rsidRDefault="00A9349D" w:rsidP="007007B4">
            <w:pPr>
              <w:spacing w:before="120"/>
              <w:jc w:val="center"/>
              <w:rPr>
                <w:b/>
                <w:color w:val="FFFFFF"/>
                <w:szCs w:val="20"/>
                <w:lang w:val="en-GB" w:eastAsia="de-DE"/>
              </w:rPr>
            </w:pPr>
            <w:r w:rsidRPr="007007B4">
              <w:rPr>
                <w:b/>
                <w:color w:val="FFFFFF"/>
                <w:szCs w:val="20"/>
                <w:lang w:val="en-GB" w:eastAsia="de-DE"/>
              </w:rPr>
              <w:t xml:space="preserve">Maximum  </w:t>
            </w:r>
          </w:p>
          <w:p w14:paraId="440C4129" w14:textId="1409FF79" w:rsidR="00A9349D" w:rsidRPr="007007B4" w:rsidRDefault="00A9349D" w:rsidP="007007B4">
            <w:pPr>
              <w:spacing w:after="120"/>
              <w:jc w:val="center"/>
              <w:rPr>
                <w:b/>
                <w:color w:val="FFFFFF"/>
                <w:szCs w:val="20"/>
                <w:lang w:val="en-GB" w:eastAsia="de-DE"/>
              </w:rPr>
            </w:pPr>
            <w:r w:rsidRPr="007007B4">
              <w:rPr>
                <w:b/>
                <w:color w:val="FFFFFF"/>
                <w:szCs w:val="20"/>
                <w:lang w:val="en-GB" w:eastAsia="de-DE"/>
              </w:rPr>
              <w:t xml:space="preserve">out-of-block </w:t>
            </w:r>
            <w:proofErr w:type="spellStart"/>
            <w:r w:rsidRPr="007007B4">
              <w:rPr>
                <w:b/>
                <w:color w:val="FFFFFF"/>
                <w:szCs w:val="20"/>
                <w:lang w:val="en-GB" w:eastAsia="de-DE"/>
              </w:rPr>
              <w:t>e.i.r.p</w:t>
            </w:r>
            <w:proofErr w:type="spellEnd"/>
            <w:r w:rsidRPr="007007B4">
              <w:rPr>
                <w:b/>
                <w:color w:val="FFFFFF"/>
                <w:szCs w:val="20"/>
                <w:lang w:val="en-GB" w:eastAsia="de-DE"/>
              </w:rPr>
              <w:t xml:space="preserve">. </w:t>
            </w:r>
            <w:r w:rsidR="00465CB0">
              <w:rPr>
                <w:b/>
                <w:color w:val="FFFFFF"/>
                <w:szCs w:val="20"/>
                <w:lang w:val="en-GB" w:eastAsia="de-DE"/>
              </w:rPr>
              <w:t>spectral density</w:t>
            </w:r>
            <w:r w:rsidRPr="007007B4">
              <w:rPr>
                <w:b/>
                <w:color w:val="FFFFFF"/>
                <w:szCs w:val="20"/>
                <w:lang w:val="en-GB" w:eastAsia="de-DE"/>
              </w:rPr>
              <w:t xml:space="preserve"> AS</w:t>
            </w:r>
          </w:p>
        </w:tc>
      </w:tr>
      <w:tr w:rsidR="00A9349D" w:rsidRPr="007007B4" w14:paraId="3463CA67" w14:textId="77777777" w:rsidTr="004A48A8">
        <w:trPr>
          <w:jc w:val="center"/>
        </w:trPr>
        <w:tc>
          <w:tcPr>
            <w:tcW w:w="3037" w:type="dxa"/>
            <w:tcBorders>
              <w:top w:val="single" w:sz="4" w:space="0" w:color="D2232A"/>
              <w:left w:val="single" w:sz="4" w:space="0" w:color="D2232A"/>
              <w:bottom w:val="single" w:sz="4" w:space="0" w:color="D2232A"/>
              <w:right w:val="single" w:sz="4" w:space="0" w:color="D2232A"/>
            </w:tcBorders>
            <w:vAlign w:val="center"/>
            <w:hideMark/>
          </w:tcPr>
          <w:p w14:paraId="3C989EDF" w14:textId="77777777" w:rsidR="00A9349D" w:rsidRPr="007007B4" w:rsidRDefault="00A9349D" w:rsidP="007007B4">
            <w:pPr>
              <w:spacing w:after="120" w:line="288" w:lineRule="auto"/>
              <w:rPr>
                <w:szCs w:val="20"/>
                <w:lang w:val="en-GB" w:eastAsia="de-DE"/>
              </w:rPr>
            </w:pPr>
            <w:r w:rsidRPr="007007B4">
              <w:rPr>
                <w:szCs w:val="20"/>
                <w:lang w:val="en-GB" w:eastAsia="de-DE"/>
              </w:rPr>
              <w:t>1880 - 1900 MHz</w:t>
            </w:r>
          </w:p>
        </w:tc>
        <w:tc>
          <w:tcPr>
            <w:tcW w:w="2373" w:type="dxa"/>
            <w:tcBorders>
              <w:top w:val="single" w:sz="4" w:space="0" w:color="D2232A"/>
              <w:left w:val="single" w:sz="4" w:space="0" w:color="D2232A"/>
              <w:bottom w:val="single" w:sz="4" w:space="0" w:color="D2232A"/>
              <w:right w:val="single" w:sz="4" w:space="0" w:color="D2232A"/>
            </w:tcBorders>
          </w:tcPr>
          <w:p w14:paraId="4613B591" w14:textId="77777777" w:rsidR="00A9349D" w:rsidRPr="007007B4" w:rsidRDefault="00A9349D" w:rsidP="007007B4">
            <w:pPr>
              <w:spacing w:after="120" w:line="288" w:lineRule="auto"/>
              <w:rPr>
                <w:szCs w:val="20"/>
                <w:lang w:val="en-GB" w:eastAsia="de-DE"/>
              </w:rPr>
            </w:pPr>
            <w:r w:rsidRPr="007007B4">
              <w:rPr>
                <w:szCs w:val="20"/>
                <w:lang w:val="en-GB" w:eastAsia="de-DE"/>
              </w:rPr>
              <w:t xml:space="preserve">-12 </w:t>
            </w:r>
            <w:proofErr w:type="spellStart"/>
            <w:r w:rsidRPr="007007B4">
              <w:rPr>
                <w:szCs w:val="20"/>
                <w:lang w:val="en-GB" w:eastAsia="de-DE"/>
              </w:rPr>
              <w:t>dBm</w:t>
            </w:r>
            <w:proofErr w:type="spellEnd"/>
            <w:r w:rsidRPr="007007B4">
              <w:rPr>
                <w:szCs w:val="20"/>
                <w:lang w:val="en-GB" w:eastAsia="de-DE"/>
              </w:rPr>
              <w:t>/MHz</w:t>
            </w:r>
          </w:p>
        </w:tc>
        <w:tc>
          <w:tcPr>
            <w:tcW w:w="2589" w:type="dxa"/>
            <w:tcBorders>
              <w:top w:val="single" w:sz="4" w:space="0" w:color="D2232A"/>
              <w:left w:val="single" w:sz="4" w:space="0" w:color="D2232A"/>
              <w:bottom w:val="single" w:sz="4" w:space="0" w:color="D2232A"/>
              <w:right w:val="single" w:sz="4" w:space="0" w:color="D2232A"/>
            </w:tcBorders>
          </w:tcPr>
          <w:p w14:paraId="7D294C5F" w14:textId="77777777" w:rsidR="00A9349D" w:rsidRPr="007007B4" w:rsidRDefault="00A9349D" w:rsidP="007007B4">
            <w:pPr>
              <w:spacing w:after="120" w:line="288" w:lineRule="auto"/>
              <w:rPr>
                <w:szCs w:val="20"/>
                <w:lang w:val="en-GB" w:eastAsia="de-DE"/>
              </w:rPr>
            </w:pPr>
            <w:r w:rsidRPr="007007B4">
              <w:rPr>
                <w:szCs w:val="20"/>
                <w:lang w:val="en-GB" w:eastAsia="de-DE"/>
              </w:rPr>
              <w:t xml:space="preserve">-3 </w:t>
            </w:r>
            <w:proofErr w:type="spellStart"/>
            <w:r w:rsidRPr="007007B4">
              <w:rPr>
                <w:szCs w:val="20"/>
                <w:lang w:val="en-GB" w:eastAsia="de-DE"/>
              </w:rPr>
              <w:t>dBm</w:t>
            </w:r>
            <w:proofErr w:type="spellEnd"/>
            <w:r w:rsidRPr="007007B4">
              <w:rPr>
                <w:szCs w:val="20"/>
                <w:lang w:val="en-GB" w:eastAsia="de-DE"/>
              </w:rPr>
              <w:t>/MHz</w:t>
            </w:r>
          </w:p>
        </w:tc>
      </w:tr>
      <w:tr w:rsidR="00A9349D" w:rsidRPr="007007B4" w14:paraId="3A6EED5D" w14:textId="77777777" w:rsidTr="004A48A8">
        <w:trPr>
          <w:jc w:val="center"/>
        </w:trPr>
        <w:tc>
          <w:tcPr>
            <w:tcW w:w="3037" w:type="dxa"/>
            <w:tcBorders>
              <w:top w:val="single" w:sz="4" w:space="0" w:color="D2232A"/>
              <w:left w:val="single" w:sz="4" w:space="0" w:color="D2232A"/>
              <w:bottom w:val="single" w:sz="4" w:space="0" w:color="D2232A"/>
              <w:right w:val="single" w:sz="4" w:space="0" w:color="D2232A"/>
            </w:tcBorders>
            <w:vAlign w:val="center"/>
            <w:hideMark/>
          </w:tcPr>
          <w:p w14:paraId="7358AEDA" w14:textId="7AEF8704" w:rsidR="00A9349D" w:rsidRPr="007007B4" w:rsidRDefault="00A9349D" w:rsidP="007007B4">
            <w:pPr>
              <w:spacing w:after="120" w:line="288" w:lineRule="auto"/>
              <w:rPr>
                <w:szCs w:val="20"/>
                <w:lang w:val="en-GB" w:eastAsia="de-DE"/>
              </w:rPr>
            </w:pPr>
            <w:r w:rsidRPr="007007B4">
              <w:rPr>
                <w:szCs w:val="20"/>
                <w:lang w:val="en-GB" w:eastAsia="de-DE"/>
              </w:rPr>
              <w:t xml:space="preserve">1920 </w:t>
            </w:r>
            <w:r w:rsidR="007007B4">
              <w:rPr>
                <w:szCs w:val="20"/>
                <w:lang w:val="en-GB" w:eastAsia="de-DE"/>
              </w:rPr>
              <w:t>-</w:t>
            </w:r>
            <w:r w:rsidRPr="007007B4">
              <w:rPr>
                <w:szCs w:val="20"/>
                <w:lang w:val="en-GB" w:eastAsia="de-DE"/>
              </w:rPr>
              <w:t xml:space="preserve"> 1980 MHz</w:t>
            </w:r>
          </w:p>
        </w:tc>
        <w:tc>
          <w:tcPr>
            <w:tcW w:w="2373" w:type="dxa"/>
            <w:tcBorders>
              <w:top w:val="single" w:sz="4" w:space="0" w:color="D2232A"/>
              <w:left w:val="single" w:sz="4" w:space="0" w:color="D2232A"/>
              <w:bottom w:val="single" w:sz="4" w:space="0" w:color="D2232A"/>
              <w:right w:val="single" w:sz="4" w:space="0" w:color="D2232A"/>
            </w:tcBorders>
          </w:tcPr>
          <w:p w14:paraId="2C38CE71" w14:textId="77777777" w:rsidR="00A9349D" w:rsidRPr="007007B4" w:rsidRDefault="00A9349D" w:rsidP="007007B4">
            <w:pPr>
              <w:spacing w:after="120" w:line="288" w:lineRule="auto"/>
              <w:rPr>
                <w:szCs w:val="20"/>
                <w:lang w:val="en-GB" w:eastAsia="de-DE"/>
              </w:rPr>
            </w:pPr>
            <w:r w:rsidRPr="007007B4">
              <w:rPr>
                <w:szCs w:val="20"/>
                <w:lang w:val="en-GB" w:eastAsia="de-DE"/>
              </w:rPr>
              <w:t xml:space="preserve">-23 </w:t>
            </w:r>
            <w:proofErr w:type="spellStart"/>
            <w:r w:rsidRPr="007007B4">
              <w:rPr>
                <w:szCs w:val="20"/>
                <w:lang w:val="en-GB" w:eastAsia="de-DE"/>
              </w:rPr>
              <w:t>dBm</w:t>
            </w:r>
            <w:proofErr w:type="spellEnd"/>
            <w:r w:rsidRPr="007007B4">
              <w:rPr>
                <w:szCs w:val="20"/>
                <w:lang w:val="en-GB" w:eastAsia="de-DE"/>
              </w:rPr>
              <w:t>/MHz</w:t>
            </w:r>
          </w:p>
        </w:tc>
        <w:tc>
          <w:tcPr>
            <w:tcW w:w="2589" w:type="dxa"/>
            <w:tcBorders>
              <w:top w:val="single" w:sz="4" w:space="0" w:color="D2232A"/>
              <w:left w:val="single" w:sz="4" w:space="0" w:color="D2232A"/>
              <w:bottom w:val="single" w:sz="4" w:space="0" w:color="D2232A"/>
              <w:right w:val="single" w:sz="4" w:space="0" w:color="D2232A"/>
            </w:tcBorders>
          </w:tcPr>
          <w:p w14:paraId="1A549899" w14:textId="77777777" w:rsidR="00A9349D" w:rsidRPr="007007B4" w:rsidRDefault="00A9349D" w:rsidP="007007B4">
            <w:pPr>
              <w:spacing w:after="120" w:line="288" w:lineRule="auto"/>
              <w:rPr>
                <w:szCs w:val="20"/>
                <w:lang w:val="en-GB" w:eastAsia="de-DE"/>
              </w:rPr>
            </w:pPr>
            <w:r w:rsidRPr="007007B4">
              <w:rPr>
                <w:szCs w:val="20"/>
                <w:lang w:val="en-GB" w:eastAsia="de-DE"/>
              </w:rPr>
              <w:t xml:space="preserve">-3 </w:t>
            </w:r>
            <w:proofErr w:type="spellStart"/>
            <w:r w:rsidRPr="007007B4">
              <w:rPr>
                <w:szCs w:val="20"/>
                <w:lang w:val="en-GB" w:eastAsia="de-DE"/>
              </w:rPr>
              <w:t>dBm</w:t>
            </w:r>
            <w:proofErr w:type="spellEnd"/>
            <w:r w:rsidRPr="007007B4">
              <w:rPr>
                <w:szCs w:val="20"/>
                <w:lang w:val="en-GB" w:eastAsia="de-DE"/>
              </w:rPr>
              <w:t>/MHz</w:t>
            </w:r>
          </w:p>
        </w:tc>
      </w:tr>
      <w:tr w:rsidR="00A9349D" w:rsidRPr="007007B4" w14:paraId="06D82506" w14:textId="77777777" w:rsidTr="004A48A8">
        <w:trPr>
          <w:jc w:val="center"/>
        </w:trPr>
        <w:tc>
          <w:tcPr>
            <w:tcW w:w="7999" w:type="dxa"/>
            <w:gridSpan w:val="3"/>
            <w:tcBorders>
              <w:top w:val="single" w:sz="4" w:space="0" w:color="D2232A"/>
              <w:left w:val="single" w:sz="4" w:space="0" w:color="D2232A"/>
              <w:bottom w:val="single" w:sz="4" w:space="0" w:color="D2232A"/>
              <w:right w:val="single" w:sz="4" w:space="0" w:color="D2232A"/>
            </w:tcBorders>
            <w:vAlign w:val="center"/>
          </w:tcPr>
          <w:p w14:paraId="4C94E313" w14:textId="0E51C80C" w:rsidR="00A9349D" w:rsidRPr="007007B4" w:rsidRDefault="00A9349D" w:rsidP="004A48A8">
            <w:pPr>
              <w:spacing w:after="120" w:line="288" w:lineRule="auto"/>
              <w:rPr>
                <w:szCs w:val="20"/>
                <w:lang w:val="en-GB" w:eastAsia="de-DE"/>
              </w:rPr>
            </w:pPr>
            <w:r w:rsidRPr="007007B4">
              <w:rPr>
                <w:szCs w:val="20"/>
                <w:lang w:val="en-GB" w:eastAsia="de-DE"/>
              </w:rPr>
              <w:t xml:space="preserve">The limits for the GS </w:t>
            </w:r>
            <w:proofErr w:type="gramStart"/>
            <w:r w:rsidRPr="007007B4">
              <w:rPr>
                <w:szCs w:val="20"/>
                <w:lang w:val="en-GB" w:eastAsia="de-DE"/>
              </w:rPr>
              <w:t>are specified</w:t>
            </w:r>
            <w:proofErr w:type="gramEnd"/>
            <w:r w:rsidRPr="007007B4">
              <w:rPr>
                <w:szCs w:val="20"/>
                <w:lang w:val="en-GB" w:eastAsia="de-DE"/>
              </w:rPr>
              <w:t xml:space="preserve"> for the </w:t>
            </w:r>
            <w:r w:rsidR="00465CB0" w:rsidRPr="00A84040">
              <w:rPr>
                <w:szCs w:val="20"/>
                <w:lang w:val="en-GB" w:eastAsia="de-DE"/>
              </w:rPr>
              <w:t xml:space="preserve">entire hemisphere below the </w:t>
            </w:r>
            <w:r w:rsidRPr="007007B4">
              <w:rPr>
                <w:szCs w:val="20"/>
                <w:lang w:val="en-GB" w:eastAsia="de-DE"/>
              </w:rPr>
              <w:t>horizontal plane of any installation.</w:t>
            </w:r>
          </w:p>
        </w:tc>
      </w:tr>
    </w:tbl>
    <w:p w14:paraId="2D1117D8" w14:textId="77777777" w:rsidR="00A9349D" w:rsidRPr="007007B4" w:rsidRDefault="00A9349D" w:rsidP="00A9349D">
      <w:pPr>
        <w:pStyle w:val="ECCParagraph"/>
        <w:rPr>
          <w:szCs w:val="20"/>
        </w:rPr>
      </w:pPr>
    </w:p>
    <w:p w14:paraId="74C4D491" w14:textId="77777777" w:rsidR="00A9349D" w:rsidRPr="007007B4" w:rsidRDefault="00A9349D" w:rsidP="00BE115C">
      <w:pPr>
        <w:pStyle w:val="ECCTabletitle"/>
        <w:keepNext/>
        <w:numPr>
          <w:ilvl w:val="0"/>
          <w:numId w:val="50"/>
        </w:numPr>
        <w:ind w:left="1560" w:hanging="851"/>
        <w:jc w:val="center"/>
        <w:rPr>
          <w:szCs w:val="20"/>
        </w:rPr>
      </w:pPr>
      <w:r w:rsidRPr="007007B4">
        <w:rPr>
          <w:szCs w:val="20"/>
        </w:rPr>
        <w:t>Other Co-existence requirements</w:t>
      </w:r>
    </w:p>
    <w:tbl>
      <w:tblPr>
        <w:tblW w:w="0" w:type="auto"/>
        <w:tblInd w:w="677"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8079"/>
      </w:tblGrid>
      <w:tr w:rsidR="00A9349D" w:rsidRPr="007007B4" w14:paraId="46743225" w14:textId="77777777" w:rsidTr="007007B4">
        <w:trPr>
          <w:tblHeader/>
        </w:trPr>
        <w:tc>
          <w:tcPr>
            <w:tcW w:w="8079" w:type="dxa"/>
            <w:tcBorders>
              <w:right w:val="single" w:sz="4" w:space="0" w:color="FFFFFF"/>
            </w:tcBorders>
            <w:shd w:val="clear" w:color="auto" w:fill="D2232A"/>
            <w:vAlign w:val="center"/>
          </w:tcPr>
          <w:p w14:paraId="3E1BAACC" w14:textId="77777777" w:rsidR="00A9349D" w:rsidRPr="007007B4" w:rsidRDefault="00A9349D" w:rsidP="004A48A8">
            <w:pPr>
              <w:spacing w:line="288" w:lineRule="auto"/>
              <w:jc w:val="center"/>
              <w:rPr>
                <w:rFonts w:cs="Arial"/>
                <w:b/>
                <w:color w:val="FFFFFF"/>
                <w:szCs w:val="20"/>
                <w:lang w:val="en-GB"/>
              </w:rPr>
            </w:pPr>
            <w:r w:rsidRPr="007007B4">
              <w:rPr>
                <w:rFonts w:cs="Arial"/>
                <w:b/>
                <w:color w:val="FFFFFF"/>
                <w:szCs w:val="20"/>
                <w:lang w:val="en-GB"/>
              </w:rPr>
              <w:t>Ground Station</w:t>
            </w:r>
          </w:p>
        </w:tc>
      </w:tr>
      <w:tr w:rsidR="00A9349D" w:rsidRPr="007007B4" w14:paraId="13AD318C" w14:textId="77777777" w:rsidTr="007007B4">
        <w:tc>
          <w:tcPr>
            <w:tcW w:w="8079" w:type="dxa"/>
            <w:tcBorders>
              <w:top w:val="single" w:sz="4" w:space="0" w:color="D2232A"/>
              <w:left w:val="single" w:sz="4" w:space="0" w:color="D2232A"/>
              <w:bottom w:val="single" w:sz="4" w:space="0" w:color="D2232A"/>
              <w:right w:val="single" w:sz="4" w:space="0" w:color="D2232A"/>
            </w:tcBorders>
          </w:tcPr>
          <w:p w14:paraId="72B48DB4" w14:textId="2B1DC009" w:rsidR="00A9349D" w:rsidRPr="007007B4" w:rsidRDefault="008A0E0C" w:rsidP="004A48A8">
            <w:pPr>
              <w:rPr>
                <w:rFonts w:cs="Arial"/>
                <w:szCs w:val="20"/>
                <w:lang w:val="en-GB"/>
              </w:rPr>
            </w:pPr>
            <w:r w:rsidRPr="00E739E7">
              <w:rPr>
                <w:szCs w:val="20"/>
                <w:lang w:val="nb-NO" w:eastAsia="de-DE"/>
              </w:rPr>
              <w:t xml:space="preserve">Coordination with MFCN base stations operating in the 1920-1980 MHz band is </w:t>
            </w:r>
            <w:r w:rsidRPr="00582C37">
              <w:rPr>
                <w:szCs w:val="20"/>
                <w:lang w:val="nb-NO" w:eastAsia="de-DE"/>
              </w:rPr>
              <w:t xml:space="preserve">required </w:t>
            </w:r>
            <w:r>
              <w:rPr>
                <w:szCs w:val="20"/>
                <w:lang w:val="nb-NO" w:eastAsia="de-DE"/>
              </w:rPr>
              <w:t xml:space="preserve"> (</w:t>
            </w:r>
            <w:r w:rsidRPr="00E739E7">
              <w:rPr>
                <w:rFonts w:cs="Arial"/>
                <w:kern w:val="32"/>
                <w:szCs w:val="20"/>
                <w:lang w:val="en-GB"/>
              </w:rPr>
              <w:t xml:space="preserve">See Annex 2 </w:t>
            </w:r>
            <w:r>
              <w:rPr>
                <w:rFonts w:cs="Arial"/>
                <w:kern w:val="32"/>
                <w:szCs w:val="20"/>
                <w:lang w:val="en-GB"/>
              </w:rPr>
              <w:t>for</w:t>
            </w:r>
            <w:r w:rsidRPr="00E739E7">
              <w:rPr>
                <w:rFonts w:cs="Arial"/>
                <w:kern w:val="32"/>
                <w:szCs w:val="20"/>
                <w:lang w:val="en-GB"/>
              </w:rPr>
              <w:t xml:space="preserve"> guidelines</w:t>
            </w:r>
            <w:r>
              <w:rPr>
                <w:szCs w:val="20"/>
                <w:lang w:val="nb-NO" w:eastAsia="de-DE"/>
              </w:rPr>
              <w:t>).</w:t>
            </w:r>
          </w:p>
        </w:tc>
      </w:tr>
      <w:tr w:rsidR="00A9349D" w:rsidRPr="007007B4" w14:paraId="56BC939E" w14:textId="77777777" w:rsidTr="007007B4">
        <w:tc>
          <w:tcPr>
            <w:tcW w:w="8079" w:type="dxa"/>
            <w:tcBorders>
              <w:top w:val="single" w:sz="4" w:space="0" w:color="D2232A"/>
              <w:left w:val="single" w:sz="4" w:space="0" w:color="D2232A"/>
              <w:bottom w:val="single" w:sz="4" w:space="0" w:color="D2232A"/>
              <w:right w:val="single" w:sz="4" w:space="0" w:color="D2232A"/>
            </w:tcBorders>
          </w:tcPr>
          <w:p w14:paraId="765284C6" w14:textId="77777777" w:rsidR="00A9349D" w:rsidRPr="007007B4" w:rsidRDefault="00A9349D" w:rsidP="004A48A8">
            <w:pPr>
              <w:rPr>
                <w:rFonts w:cs="Arial"/>
                <w:kern w:val="32"/>
                <w:szCs w:val="20"/>
                <w:lang w:val="en-GB"/>
              </w:rPr>
            </w:pPr>
            <w:r w:rsidRPr="007007B4">
              <w:rPr>
                <w:rFonts w:cs="Arial"/>
                <w:kern w:val="32"/>
                <w:szCs w:val="20"/>
                <w:lang w:val="en-GB"/>
              </w:rPr>
              <w:t>See Annex 2 with guidelines for CEPT administrations to ensure co-existence with other services.</w:t>
            </w:r>
          </w:p>
        </w:tc>
      </w:tr>
    </w:tbl>
    <w:p w14:paraId="76539ECB" w14:textId="77777777" w:rsidR="00337457" w:rsidRPr="00040BEC" w:rsidRDefault="00337457" w:rsidP="00C55CB6">
      <w:pPr>
        <w:rPr>
          <w:lang w:val="en-GB"/>
        </w:rPr>
      </w:pPr>
    </w:p>
    <w:p w14:paraId="39D8F04C" w14:textId="77777777" w:rsidR="00337457" w:rsidRPr="00040BEC" w:rsidRDefault="00337457" w:rsidP="00F41943">
      <w:pPr>
        <w:rPr>
          <w:lang w:val="en-GB"/>
        </w:rPr>
      </w:pPr>
    </w:p>
    <w:p w14:paraId="7902BDC5" w14:textId="39F84CC7" w:rsidR="00337457" w:rsidRPr="00040BEC" w:rsidRDefault="00337457" w:rsidP="00337457">
      <w:pPr>
        <w:pStyle w:val="ECCAnnexheading1"/>
      </w:pPr>
      <w:bookmarkStart w:id="161" w:name="_Toc445129339"/>
      <w:r w:rsidRPr="00040BEC">
        <w:lastRenderedPageBreak/>
        <w:t>GUIDELINES FOR CEPT ADMINISTRATIONS TO ENSURE CO-EXISTENCE WITH OTHER SERVICES THAN BROADBAND DA2GC</w:t>
      </w:r>
      <w:r w:rsidR="00A9349D" w:rsidRPr="00040BEC">
        <w:rPr>
          <w:rStyle w:val="FootnoteReference"/>
        </w:rPr>
        <w:footnoteReference w:id="27"/>
      </w:r>
      <w:bookmarkEnd w:id="161"/>
    </w:p>
    <w:p w14:paraId="3A1BE585" w14:textId="77777777" w:rsidR="00A9349D" w:rsidRPr="00040BEC" w:rsidRDefault="00A9349D" w:rsidP="00A9349D">
      <w:pPr>
        <w:pStyle w:val="ECCAnnexheading2"/>
        <w:numPr>
          <w:ilvl w:val="0"/>
          <w:numId w:val="0"/>
        </w:numPr>
        <w:ind w:left="3261" w:hanging="3261"/>
        <w:rPr>
          <w:rFonts w:cs="Arial"/>
          <w:szCs w:val="20"/>
          <w:lang w:val="en-GB"/>
        </w:rPr>
      </w:pPr>
      <w:r w:rsidRPr="00040BEC">
        <w:rPr>
          <w:rFonts w:cs="Arial"/>
          <w:szCs w:val="20"/>
          <w:lang w:val="en-GB"/>
        </w:rPr>
        <w:t>background</w:t>
      </w:r>
    </w:p>
    <w:p w14:paraId="5B40F1BC" w14:textId="02B96330" w:rsidR="00A9349D" w:rsidRPr="00040BEC" w:rsidRDefault="00A56EE8" w:rsidP="00A9349D">
      <w:pPr>
        <w:pStyle w:val="ECCParagraph"/>
        <w:rPr>
          <w:rFonts w:eastAsia="MS Mincho" w:cs="Arial"/>
          <w:szCs w:val="20"/>
          <w:lang w:eastAsia="ja-JP"/>
        </w:rPr>
      </w:pPr>
      <w:r w:rsidRPr="00C23331">
        <w:rPr>
          <w:rFonts w:eastAsia="MS Mincho" w:cs="Arial"/>
          <w:szCs w:val="20"/>
          <w:lang w:eastAsia="ja-JP"/>
        </w:rPr>
        <w:t xml:space="preserve">According to ECC Report 209, for most situations the </w:t>
      </w:r>
      <w:r>
        <w:rPr>
          <w:rFonts w:eastAsia="MS Mincho" w:cs="Arial"/>
          <w:szCs w:val="20"/>
          <w:lang w:eastAsia="ja-JP"/>
        </w:rPr>
        <w:t xml:space="preserve">calculated </w:t>
      </w:r>
      <w:r w:rsidRPr="00C23331">
        <w:rPr>
          <w:rFonts w:eastAsia="MS Mincho" w:cs="Arial"/>
          <w:szCs w:val="20"/>
          <w:lang w:eastAsia="ja-JP"/>
        </w:rPr>
        <w:t>separation distance between DA2GC GS and MFCN BS</w:t>
      </w:r>
      <w:r>
        <w:rPr>
          <w:rFonts w:eastAsia="MS Mincho" w:cs="Arial"/>
          <w:szCs w:val="20"/>
          <w:lang w:eastAsia="ja-JP"/>
        </w:rPr>
        <w:t xml:space="preserve"> in order to avoid interference</w:t>
      </w:r>
      <w:r w:rsidRPr="00C23331">
        <w:rPr>
          <w:rFonts w:eastAsia="MS Mincho" w:cs="Arial"/>
          <w:szCs w:val="20"/>
          <w:lang w:eastAsia="ja-JP"/>
        </w:rPr>
        <w:t xml:space="preserve"> will be less than 2 km</w:t>
      </w:r>
      <w:r>
        <w:rPr>
          <w:rFonts w:eastAsia="MS Mincho" w:cs="Arial"/>
          <w:szCs w:val="20"/>
          <w:lang w:eastAsia="ja-JP"/>
        </w:rPr>
        <w:t xml:space="preserve"> for rural areas and 600 m for urban areas</w:t>
      </w:r>
      <w:r w:rsidRPr="00C23331">
        <w:rPr>
          <w:rFonts w:eastAsia="MS Mincho" w:cs="Arial"/>
          <w:szCs w:val="20"/>
          <w:lang w:eastAsia="ja-JP"/>
        </w:rPr>
        <w:t xml:space="preserve">. </w:t>
      </w:r>
      <w:r>
        <w:rPr>
          <w:rFonts w:eastAsia="MS Mincho" w:cs="Arial"/>
          <w:szCs w:val="20"/>
          <w:lang w:eastAsia="ja-JP"/>
        </w:rPr>
        <w:t xml:space="preserve">These separation distances correspond to the limits in Table 3 of Annex 4, and in </w:t>
      </w:r>
      <w:proofErr w:type="gramStart"/>
      <w:r>
        <w:rPr>
          <w:rFonts w:eastAsia="MS Mincho" w:cs="Arial"/>
          <w:szCs w:val="20"/>
          <w:lang w:eastAsia="ja-JP"/>
        </w:rPr>
        <w:t>addition</w:t>
      </w:r>
      <w:proofErr w:type="gramEnd"/>
      <w:r>
        <w:rPr>
          <w:rFonts w:eastAsia="MS Mincho" w:cs="Arial"/>
          <w:szCs w:val="20"/>
          <w:lang w:eastAsia="ja-JP"/>
        </w:rPr>
        <w:t xml:space="preserve"> ECC Report 209 also assumes a case when the MFCN BS is at higher altitude than the DA2GC GS (10 m difference in height). Only in the </w:t>
      </w:r>
      <w:r w:rsidRPr="00C23331">
        <w:rPr>
          <w:rFonts w:eastAsia="MS Mincho" w:cs="Arial"/>
          <w:szCs w:val="20"/>
          <w:lang w:eastAsia="ja-JP"/>
        </w:rPr>
        <w:t>situations where the MFCN B</w:t>
      </w:r>
      <w:r>
        <w:rPr>
          <w:rFonts w:eastAsia="MS Mincho" w:cs="Arial"/>
          <w:szCs w:val="20"/>
          <w:lang w:eastAsia="ja-JP"/>
        </w:rPr>
        <w:t>S</w:t>
      </w:r>
      <w:r w:rsidRPr="00C23331">
        <w:rPr>
          <w:rFonts w:eastAsia="MS Mincho" w:cs="Arial"/>
          <w:szCs w:val="20"/>
          <w:lang w:eastAsia="ja-JP"/>
        </w:rPr>
        <w:t xml:space="preserve"> is </w:t>
      </w:r>
      <w:r>
        <w:rPr>
          <w:rFonts w:eastAsia="MS Mincho" w:cs="Arial"/>
          <w:szCs w:val="20"/>
          <w:lang w:eastAsia="ja-JP"/>
        </w:rPr>
        <w:t>at</w:t>
      </w:r>
      <w:r w:rsidRPr="00C23331">
        <w:rPr>
          <w:rFonts w:eastAsia="MS Mincho" w:cs="Arial"/>
          <w:szCs w:val="20"/>
          <w:lang w:eastAsia="ja-JP"/>
        </w:rPr>
        <w:t xml:space="preserve"> a significantly higher </w:t>
      </w:r>
      <w:r>
        <w:rPr>
          <w:rFonts w:eastAsia="MS Mincho" w:cs="Arial"/>
          <w:szCs w:val="20"/>
          <w:lang w:eastAsia="ja-JP"/>
        </w:rPr>
        <w:t xml:space="preserve">altitude </w:t>
      </w:r>
      <w:r w:rsidRPr="00C23331">
        <w:rPr>
          <w:rFonts w:eastAsia="MS Mincho" w:cs="Arial"/>
          <w:szCs w:val="20"/>
          <w:lang w:eastAsia="ja-JP"/>
        </w:rPr>
        <w:t>than the DA2GC GS there may be a need for greater separation distances.</w:t>
      </w:r>
      <w:r w:rsidR="00A9349D" w:rsidRPr="00040BEC">
        <w:rPr>
          <w:rFonts w:eastAsia="MS Mincho" w:cs="Arial"/>
          <w:szCs w:val="20"/>
          <w:lang w:eastAsia="ja-JP"/>
        </w:rPr>
        <w:t xml:space="preserve"> </w:t>
      </w:r>
    </w:p>
    <w:p w14:paraId="6B25A13B" w14:textId="43B973C0" w:rsidR="00A56EE8" w:rsidRPr="00C23331" w:rsidRDefault="00A56EE8" w:rsidP="00A56EE8">
      <w:pPr>
        <w:pStyle w:val="ECCParagraph"/>
        <w:rPr>
          <w:rFonts w:eastAsia="MS Mincho" w:cs="Arial"/>
          <w:szCs w:val="20"/>
          <w:lang w:eastAsia="ja-JP"/>
        </w:rPr>
      </w:pPr>
      <w:r>
        <w:rPr>
          <w:rFonts w:eastAsia="MS Mincho" w:cs="Arial"/>
          <w:szCs w:val="20"/>
          <w:lang w:eastAsia="ja-JP"/>
        </w:rPr>
        <w:t>C</w:t>
      </w:r>
      <w:r w:rsidRPr="009C6BA3">
        <w:rPr>
          <w:rFonts w:eastAsia="MS Mincho" w:cs="Arial"/>
          <w:szCs w:val="20"/>
          <w:lang w:eastAsia="ja-JP"/>
        </w:rPr>
        <w:t xml:space="preserve">oordination and registration </w:t>
      </w:r>
      <w:proofErr w:type="gramStart"/>
      <w:r w:rsidRPr="009C6BA3">
        <w:rPr>
          <w:rFonts w:eastAsia="MS Mincho" w:cs="Arial"/>
          <w:szCs w:val="20"/>
          <w:lang w:eastAsia="ja-JP"/>
        </w:rPr>
        <w:t>will be needed</w:t>
      </w:r>
      <w:proofErr w:type="gramEnd"/>
      <w:r w:rsidRPr="009C6BA3">
        <w:rPr>
          <w:rFonts w:eastAsia="MS Mincho" w:cs="Arial"/>
          <w:szCs w:val="20"/>
          <w:lang w:eastAsia="ja-JP"/>
        </w:rPr>
        <w:t xml:space="preserve"> for the DA2GC GS. Co-location of DA2GC GS and MFCN BS is not possible.</w:t>
      </w:r>
    </w:p>
    <w:p w14:paraId="7B67C21A" w14:textId="3C9A725A" w:rsidR="00A9349D" w:rsidRDefault="00A56EE8" w:rsidP="00A56EE8">
      <w:pPr>
        <w:pStyle w:val="ECCParagraph"/>
        <w:rPr>
          <w:rFonts w:eastAsia="MS Mincho" w:cs="Arial"/>
          <w:szCs w:val="20"/>
          <w:lang w:eastAsia="ja-JP"/>
        </w:rPr>
      </w:pPr>
      <w:r w:rsidRPr="00C23331">
        <w:rPr>
          <w:rFonts w:eastAsia="MS Mincho" w:cs="Arial"/>
          <w:szCs w:val="20"/>
          <w:lang w:eastAsia="ja-JP"/>
        </w:rPr>
        <w:t xml:space="preserve">This coordination would also support that a pan-European </w:t>
      </w:r>
      <w:r>
        <w:rPr>
          <w:rFonts w:eastAsia="MS Mincho" w:cs="Arial"/>
          <w:szCs w:val="20"/>
          <w:lang w:eastAsia="ja-JP"/>
        </w:rPr>
        <w:t>b</w:t>
      </w:r>
      <w:r w:rsidRPr="00C23331">
        <w:rPr>
          <w:rFonts w:eastAsia="MS Mincho" w:cs="Arial"/>
          <w:szCs w:val="20"/>
          <w:lang w:eastAsia="ja-JP"/>
        </w:rPr>
        <w:t xml:space="preserve">roadband DA2GC </w:t>
      </w:r>
      <w:r>
        <w:rPr>
          <w:rFonts w:eastAsia="MS Mincho" w:cs="Arial"/>
          <w:szCs w:val="20"/>
          <w:lang w:eastAsia="ja-JP"/>
        </w:rPr>
        <w:t xml:space="preserve">system </w:t>
      </w:r>
      <w:r w:rsidRPr="00C23331">
        <w:rPr>
          <w:rFonts w:eastAsia="MS Mincho" w:cs="Arial"/>
          <w:szCs w:val="20"/>
          <w:lang w:eastAsia="ja-JP"/>
        </w:rPr>
        <w:t>would not be subject to operational restrictions at border areas in the future.</w:t>
      </w:r>
    </w:p>
    <w:p w14:paraId="0D126FF0" w14:textId="00B7771D" w:rsidR="00A56EE8" w:rsidRPr="00E227C7" w:rsidRDefault="00A56EE8" w:rsidP="00A56EE8">
      <w:pPr>
        <w:jc w:val="both"/>
        <w:rPr>
          <w:rFonts w:eastAsia="MS Mincho" w:cs="Arial"/>
          <w:szCs w:val="20"/>
          <w:lang w:eastAsia="ja-JP"/>
        </w:rPr>
      </w:pPr>
      <w:r w:rsidRPr="003E7F3B">
        <w:rPr>
          <w:rFonts w:eastAsia="MS Mincho" w:cs="Arial"/>
          <w:szCs w:val="20"/>
          <w:lang w:eastAsia="ja-JP"/>
        </w:rPr>
        <w:t>A</w:t>
      </w:r>
      <w:r w:rsidRPr="00A56EE8">
        <w:rPr>
          <w:rFonts w:eastAsia="MS Mincho" w:cs="Arial"/>
          <w:szCs w:val="20"/>
          <w:lang w:eastAsia="ja-JP"/>
        </w:rPr>
        <w:t xml:space="preserve"> </w:t>
      </w:r>
      <w:r>
        <w:rPr>
          <w:rFonts w:cs="Arial"/>
          <w:szCs w:val="20"/>
        </w:rPr>
        <w:t>b</w:t>
      </w:r>
      <w:r w:rsidRPr="00C23331">
        <w:rPr>
          <w:rFonts w:cs="Arial"/>
          <w:szCs w:val="20"/>
        </w:rPr>
        <w:t xml:space="preserve">roadband </w:t>
      </w:r>
      <w:r w:rsidRPr="00A56EE8">
        <w:rPr>
          <w:rFonts w:eastAsia="MS Mincho" w:cs="Arial"/>
          <w:szCs w:val="20"/>
          <w:lang w:eastAsia="ja-JP"/>
        </w:rPr>
        <w:t xml:space="preserve">DA2GC </w:t>
      </w:r>
      <w:r w:rsidRPr="003E7F3B">
        <w:rPr>
          <w:rFonts w:eastAsia="MS Mincho" w:cs="Arial"/>
          <w:szCs w:val="20"/>
          <w:lang w:eastAsia="ja-JP"/>
        </w:rPr>
        <w:t xml:space="preserve">system </w:t>
      </w:r>
      <w:r w:rsidRPr="00A56EE8">
        <w:rPr>
          <w:rFonts w:eastAsia="MS Mincho" w:cs="Arial"/>
          <w:szCs w:val="20"/>
          <w:lang w:eastAsia="ja-JP"/>
        </w:rPr>
        <w:t>in the 1</w:t>
      </w:r>
      <w:r w:rsidRPr="003E7F3B">
        <w:rPr>
          <w:rFonts w:eastAsia="MS Mincho" w:cs="Arial"/>
          <w:szCs w:val="20"/>
          <w:lang w:eastAsia="ja-JP"/>
        </w:rPr>
        <w:t>9</w:t>
      </w:r>
      <w:r w:rsidRPr="00A56EE8">
        <w:rPr>
          <w:rFonts w:eastAsia="MS Mincho" w:cs="Arial"/>
          <w:szCs w:val="20"/>
          <w:lang w:eastAsia="ja-JP"/>
        </w:rPr>
        <w:t>00-1920 M</w:t>
      </w:r>
      <w:r w:rsidRPr="003E7F3B">
        <w:rPr>
          <w:rFonts w:eastAsia="MS Mincho" w:cs="Arial"/>
          <w:szCs w:val="20"/>
          <w:lang w:eastAsia="ja-JP"/>
        </w:rPr>
        <w:t xml:space="preserve">Hz band is </w:t>
      </w:r>
      <w:r w:rsidRPr="00A56EE8">
        <w:rPr>
          <w:rFonts w:eastAsia="MS Mincho" w:cs="Arial"/>
          <w:szCs w:val="20"/>
          <w:lang w:eastAsia="ja-JP"/>
        </w:rPr>
        <w:t xml:space="preserve">expected to be </w:t>
      </w:r>
      <w:r w:rsidRPr="003E7F3B">
        <w:rPr>
          <w:rFonts w:eastAsia="MS Mincho" w:cs="Arial"/>
          <w:szCs w:val="20"/>
          <w:lang w:eastAsia="ja-JP"/>
        </w:rPr>
        <w:t xml:space="preserve">able to cover the </w:t>
      </w:r>
      <w:r w:rsidRPr="00A56EE8">
        <w:rPr>
          <w:rFonts w:eastAsia="MS Mincho" w:cs="Arial"/>
          <w:szCs w:val="20"/>
          <w:lang w:eastAsia="ja-JP"/>
        </w:rPr>
        <w:t xml:space="preserve">whole </w:t>
      </w:r>
      <w:r w:rsidRPr="003E7F3B">
        <w:rPr>
          <w:rFonts w:eastAsia="MS Mincho" w:cs="Arial"/>
          <w:szCs w:val="20"/>
          <w:lang w:eastAsia="ja-JP"/>
        </w:rPr>
        <w:t>European airspace with less than 500 GS</w:t>
      </w:r>
      <w:r w:rsidRPr="00A56EE8">
        <w:rPr>
          <w:rFonts w:eastAsia="MS Mincho" w:cs="Arial"/>
          <w:szCs w:val="20"/>
          <w:lang w:eastAsia="ja-JP"/>
        </w:rPr>
        <w:t xml:space="preserve"> (e.g.  </w:t>
      </w:r>
      <w:proofErr w:type="gramStart"/>
      <w:r w:rsidRPr="00A56EE8">
        <w:rPr>
          <w:rFonts w:eastAsia="MS Mincho" w:cs="Arial"/>
          <w:szCs w:val="20"/>
          <w:lang w:eastAsia="ja-JP"/>
        </w:rPr>
        <w:t>approx.</w:t>
      </w:r>
      <w:proofErr w:type="gramEnd"/>
      <w:r w:rsidRPr="00A56EE8">
        <w:rPr>
          <w:rFonts w:eastAsia="MS Mincho" w:cs="Arial"/>
          <w:szCs w:val="20"/>
          <w:lang w:eastAsia="ja-JP"/>
        </w:rPr>
        <w:t xml:space="preserve">  </w:t>
      </w:r>
      <w:proofErr w:type="gramStart"/>
      <w:r w:rsidRPr="00A56EE8">
        <w:rPr>
          <w:rFonts w:eastAsia="MS Mincho" w:cs="Arial"/>
          <w:szCs w:val="20"/>
          <w:lang w:eastAsia="ja-JP"/>
        </w:rPr>
        <w:t>number</w:t>
      </w:r>
      <w:proofErr w:type="gramEnd"/>
      <w:r w:rsidRPr="00A56EE8">
        <w:rPr>
          <w:rFonts w:eastAsia="MS Mincho" w:cs="Arial"/>
          <w:szCs w:val="20"/>
          <w:lang w:eastAsia="ja-JP"/>
        </w:rPr>
        <w:t xml:space="preserve"> of DA2GC ground stations for Germany is 20, Italy  - 25, France -  35 and Spain - 30)</w:t>
      </w:r>
      <w:r w:rsidRPr="003E7F3B">
        <w:rPr>
          <w:rFonts w:eastAsia="MS Mincho" w:cs="Arial"/>
          <w:szCs w:val="20"/>
          <w:lang w:eastAsia="ja-JP"/>
        </w:rPr>
        <w:t>.</w:t>
      </w:r>
      <w:r w:rsidRPr="00A56EE8">
        <w:rPr>
          <w:rFonts w:eastAsia="MS Mincho" w:cs="Arial"/>
          <w:szCs w:val="20"/>
          <w:lang w:eastAsia="ja-JP"/>
        </w:rPr>
        <w:t xml:space="preserve"> </w:t>
      </w:r>
      <w:r w:rsidRPr="003E7F3B">
        <w:rPr>
          <w:rFonts w:eastAsia="MS Mincho" w:cs="Arial"/>
          <w:szCs w:val="20"/>
          <w:lang w:eastAsia="ja-JP"/>
        </w:rPr>
        <w:t xml:space="preserve">Thus the number of GS in each country to be coordinated with MFCN base stations being operated in </w:t>
      </w:r>
      <w:r w:rsidRPr="00A56EE8">
        <w:rPr>
          <w:rFonts w:eastAsia="MS Mincho" w:cs="Arial"/>
          <w:szCs w:val="20"/>
          <w:lang w:eastAsia="ja-JP"/>
        </w:rPr>
        <w:t xml:space="preserve">the </w:t>
      </w:r>
      <w:r w:rsidRPr="003E7F3B">
        <w:rPr>
          <w:rFonts w:eastAsia="MS Mincho" w:cs="Arial"/>
          <w:szCs w:val="20"/>
          <w:lang w:eastAsia="ja-JP"/>
        </w:rPr>
        <w:t>band adjacent to 1900</w:t>
      </w:r>
      <w:r w:rsidR="0019256B">
        <w:rPr>
          <w:rFonts w:eastAsia="MS Mincho" w:cs="Arial"/>
          <w:szCs w:val="20"/>
          <w:lang w:eastAsia="ja-JP"/>
        </w:rPr>
        <w:t>-</w:t>
      </w:r>
      <w:r w:rsidRPr="00A56EE8">
        <w:rPr>
          <w:rFonts w:eastAsia="MS Mincho" w:cs="Arial"/>
          <w:szCs w:val="20"/>
          <w:lang w:eastAsia="ja-JP"/>
        </w:rPr>
        <w:t>1</w:t>
      </w:r>
      <w:r w:rsidRPr="003E7F3B">
        <w:rPr>
          <w:rFonts w:eastAsia="MS Mincho" w:cs="Arial"/>
          <w:szCs w:val="20"/>
          <w:lang w:eastAsia="ja-JP"/>
        </w:rPr>
        <w:t>920 MHz</w:t>
      </w:r>
      <w:proofErr w:type="gramStart"/>
      <w:r w:rsidRPr="003E7F3B">
        <w:rPr>
          <w:rFonts w:eastAsia="MS Mincho" w:cs="Arial"/>
          <w:szCs w:val="20"/>
          <w:lang w:eastAsia="ja-JP"/>
        </w:rPr>
        <w:t>  is</w:t>
      </w:r>
      <w:proofErr w:type="gramEnd"/>
      <w:r w:rsidRPr="003E7F3B">
        <w:rPr>
          <w:rFonts w:eastAsia="MS Mincho" w:cs="Arial"/>
          <w:szCs w:val="20"/>
          <w:lang w:eastAsia="ja-JP"/>
        </w:rPr>
        <w:t xml:space="preserve"> rather low. </w:t>
      </w:r>
    </w:p>
    <w:p w14:paraId="175CF978" w14:textId="77777777" w:rsidR="00A56EE8" w:rsidRPr="007E379F" w:rsidRDefault="00A56EE8" w:rsidP="00A56EE8">
      <w:pPr>
        <w:tabs>
          <w:tab w:val="left" w:pos="4239"/>
        </w:tabs>
        <w:jc w:val="both"/>
        <w:rPr>
          <w:rFonts w:eastAsia="MS Mincho" w:cs="Arial"/>
          <w:szCs w:val="20"/>
          <w:lang w:eastAsia="ja-JP"/>
        </w:rPr>
      </w:pPr>
    </w:p>
    <w:p w14:paraId="364D0FA3" w14:textId="64DB3BAC" w:rsidR="00A56EE8" w:rsidRPr="00040BEC" w:rsidRDefault="00A56EE8" w:rsidP="00A56EE8">
      <w:pPr>
        <w:pStyle w:val="ECCParagraph"/>
        <w:rPr>
          <w:rFonts w:eastAsia="MS Mincho" w:cs="Arial"/>
          <w:szCs w:val="20"/>
          <w:lang w:eastAsia="ja-JP"/>
        </w:rPr>
      </w:pPr>
      <w:r w:rsidRPr="00A56EE8">
        <w:rPr>
          <w:rFonts w:cs="Arial"/>
          <w:szCs w:val="20"/>
        </w:rPr>
        <w:t xml:space="preserve">Based on the results of the compatibility studies included in ECC Report 209 relevant mitigation measures and careful radio network planning in combination with site coordination is required. </w:t>
      </w:r>
      <w:r w:rsidRPr="005436CD">
        <w:rPr>
          <w:rFonts w:cs="Arial"/>
          <w:szCs w:val="20"/>
        </w:rPr>
        <w:t xml:space="preserve"> </w:t>
      </w:r>
      <w:proofErr w:type="gramStart"/>
      <w:r w:rsidRPr="005436CD">
        <w:rPr>
          <w:rFonts w:cs="Arial"/>
          <w:szCs w:val="20"/>
        </w:rPr>
        <w:t>Also</w:t>
      </w:r>
      <w:proofErr w:type="gramEnd"/>
      <w:r w:rsidRPr="005436CD">
        <w:rPr>
          <w:rFonts w:cs="Arial"/>
          <w:szCs w:val="20"/>
        </w:rPr>
        <w:t xml:space="preserve"> Report ECC 209 </w:t>
      </w:r>
      <w:r w:rsidRPr="00A56EE8">
        <w:rPr>
          <w:rFonts w:cs="Arial"/>
          <w:szCs w:val="20"/>
        </w:rPr>
        <w:t xml:space="preserve">concludes </w:t>
      </w:r>
      <w:r w:rsidRPr="005436CD">
        <w:rPr>
          <w:rFonts w:cs="Arial"/>
          <w:szCs w:val="20"/>
        </w:rPr>
        <w:t xml:space="preserve">that a 10 MHz guard band would be sufficient to protect MFCN BS, i.e. that coordination is </w:t>
      </w:r>
      <w:r w:rsidRPr="00A56EE8">
        <w:rPr>
          <w:rFonts w:cs="Arial"/>
          <w:szCs w:val="20"/>
        </w:rPr>
        <w:t>a priori</w:t>
      </w:r>
      <w:r w:rsidRPr="005436CD">
        <w:rPr>
          <w:rFonts w:cs="Arial"/>
          <w:szCs w:val="20"/>
        </w:rPr>
        <w:t xml:space="preserve"> needed with MFCN BS operating in 1920-1930 </w:t>
      </w:r>
      <w:proofErr w:type="spellStart"/>
      <w:r w:rsidRPr="005436CD">
        <w:rPr>
          <w:rFonts w:cs="Arial"/>
          <w:szCs w:val="20"/>
        </w:rPr>
        <w:t>MHz.</w:t>
      </w:r>
      <w:proofErr w:type="spellEnd"/>
    </w:p>
    <w:p w14:paraId="568E554E" w14:textId="77777777" w:rsidR="00A9349D" w:rsidRPr="00040BEC" w:rsidRDefault="00A9349D" w:rsidP="00A9349D">
      <w:pPr>
        <w:pStyle w:val="ECCAnnexheading2"/>
        <w:numPr>
          <w:ilvl w:val="0"/>
          <w:numId w:val="0"/>
        </w:numPr>
        <w:ind w:left="3261" w:hanging="3261"/>
        <w:rPr>
          <w:rFonts w:eastAsia="MS Mincho" w:cs="Arial"/>
          <w:szCs w:val="20"/>
          <w:lang w:val="en-GB" w:eastAsia="ja-JP"/>
        </w:rPr>
      </w:pPr>
      <w:r w:rsidRPr="00040BEC">
        <w:rPr>
          <w:rFonts w:eastAsia="MS Mincho" w:cs="Arial"/>
          <w:szCs w:val="20"/>
          <w:lang w:val="en-GB" w:eastAsia="ja-JP"/>
        </w:rPr>
        <w:t xml:space="preserve">Guidelines </w:t>
      </w:r>
    </w:p>
    <w:p w14:paraId="2D6B86E6" w14:textId="77777777" w:rsidR="00A9349D" w:rsidRPr="00040BEC" w:rsidRDefault="00A9349D" w:rsidP="00A9349D">
      <w:pPr>
        <w:pStyle w:val="ECCParagraph"/>
        <w:rPr>
          <w:rFonts w:eastAsia="MS Mincho" w:cs="Arial"/>
          <w:szCs w:val="20"/>
          <w:lang w:eastAsia="ja-JP"/>
        </w:rPr>
      </w:pPr>
      <w:r w:rsidRPr="00040BEC">
        <w:rPr>
          <w:rFonts w:eastAsia="MS Mincho" w:cs="Arial"/>
          <w:szCs w:val="20"/>
          <w:lang w:eastAsia="ja-JP"/>
        </w:rPr>
        <w:t xml:space="preserve">Coordination with services in adjacent bands - either within a country or between neighbouring countries </w:t>
      </w:r>
      <w:proofErr w:type="gramStart"/>
      <w:r w:rsidRPr="00040BEC">
        <w:rPr>
          <w:rFonts w:eastAsia="MS Mincho" w:cs="Arial"/>
          <w:szCs w:val="20"/>
          <w:lang w:eastAsia="ja-JP"/>
        </w:rPr>
        <w:t>should be carried out</w:t>
      </w:r>
      <w:proofErr w:type="gramEnd"/>
      <w:r w:rsidRPr="00040BEC">
        <w:rPr>
          <w:rFonts w:eastAsia="MS Mincho" w:cs="Arial"/>
          <w:szCs w:val="20"/>
          <w:lang w:eastAsia="ja-JP"/>
        </w:rPr>
        <w:t xml:space="preserve">. </w:t>
      </w:r>
    </w:p>
    <w:p w14:paraId="1122FF2C" w14:textId="77777777" w:rsidR="00A9349D" w:rsidRPr="00040BEC" w:rsidRDefault="00A9349D" w:rsidP="00A9349D">
      <w:pPr>
        <w:pStyle w:val="ECCParagraph"/>
        <w:rPr>
          <w:rFonts w:eastAsia="MS Mincho" w:cs="Arial"/>
          <w:szCs w:val="20"/>
          <w:lang w:eastAsia="ja-JP"/>
        </w:rPr>
      </w:pPr>
      <w:r w:rsidRPr="00040BEC">
        <w:rPr>
          <w:rFonts w:eastAsia="MS Mincho" w:cs="Arial"/>
          <w:szCs w:val="20"/>
          <w:lang w:eastAsia="ja-JP"/>
        </w:rPr>
        <w:t>These guidelines primarily relate to co-ordination within national boundaries. For the situation where stations are within the territories of different administrations, the use of these guidelines within bilateral agreements may help to expedite cross border co-ordination.</w:t>
      </w:r>
    </w:p>
    <w:p w14:paraId="06A3F7C1" w14:textId="77777777" w:rsidR="00A9349D" w:rsidRPr="00040BEC" w:rsidRDefault="00A9349D" w:rsidP="00A9349D">
      <w:pPr>
        <w:pStyle w:val="ECCParagraph"/>
        <w:rPr>
          <w:rFonts w:eastAsia="MS Mincho" w:cs="Arial"/>
          <w:szCs w:val="20"/>
          <w:lang w:eastAsia="ja-JP"/>
        </w:rPr>
      </w:pPr>
      <w:r w:rsidRPr="00040BEC">
        <w:rPr>
          <w:rFonts w:eastAsia="MS Mincho" w:cs="Arial"/>
          <w:szCs w:val="20"/>
          <w:lang w:eastAsia="ja-JP"/>
        </w:rPr>
        <w:t xml:space="preserve">In deploying new stations, administrations and operators should be cognisant of the need to minimise constraints on other services and </w:t>
      </w:r>
      <w:proofErr w:type="gramStart"/>
      <w:r w:rsidRPr="00040BEC">
        <w:rPr>
          <w:rFonts w:eastAsia="MS Mincho" w:cs="Arial"/>
          <w:szCs w:val="20"/>
          <w:lang w:eastAsia="ja-JP"/>
        </w:rPr>
        <w:t>this should be ensured by the coordination process</w:t>
      </w:r>
      <w:proofErr w:type="gramEnd"/>
      <w:r w:rsidRPr="00040BEC">
        <w:rPr>
          <w:rFonts w:eastAsia="MS Mincho" w:cs="Arial"/>
          <w:szCs w:val="20"/>
          <w:lang w:eastAsia="ja-JP"/>
        </w:rPr>
        <w:t>.</w:t>
      </w:r>
    </w:p>
    <w:p w14:paraId="35BD2FF7" w14:textId="77777777" w:rsidR="00A9349D" w:rsidRPr="00040BEC" w:rsidRDefault="00A9349D" w:rsidP="00A9349D">
      <w:pPr>
        <w:pStyle w:val="ECCAnnexheading2"/>
        <w:numPr>
          <w:ilvl w:val="0"/>
          <w:numId w:val="0"/>
        </w:numPr>
        <w:ind w:left="3261" w:hanging="3261"/>
        <w:rPr>
          <w:rFonts w:eastAsia="MS Mincho" w:cs="Arial"/>
          <w:szCs w:val="20"/>
          <w:lang w:val="en-GB" w:eastAsia="ja-JP"/>
        </w:rPr>
      </w:pPr>
      <w:r w:rsidRPr="00040BEC">
        <w:rPr>
          <w:rFonts w:eastAsia="MS Mincho" w:cs="Arial"/>
          <w:szCs w:val="20"/>
          <w:lang w:val="en-GB" w:eastAsia="ja-JP"/>
        </w:rPr>
        <w:t>coordination principles</w:t>
      </w:r>
    </w:p>
    <w:p w14:paraId="21484DC1" w14:textId="77777777" w:rsidR="003947F9" w:rsidRPr="00C23331" w:rsidRDefault="003947F9" w:rsidP="003947F9">
      <w:pPr>
        <w:pStyle w:val="ECCParagraph"/>
        <w:rPr>
          <w:rFonts w:eastAsia="MS Mincho" w:cs="Arial"/>
          <w:szCs w:val="20"/>
          <w:lang w:eastAsia="ja-JP"/>
        </w:rPr>
      </w:pPr>
      <w:r w:rsidRPr="00C23331">
        <w:rPr>
          <w:rFonts w:eastAsia="MS Mincho" w:cs="Arial"/>
          <w:szCs w:val="20"/>
          <w:lang w:eastAsia="ja-JP"/>
        </w:rPr>
        <w:t xml:space="preserve">Coordination of DA2GC GS with other stations </w:t>
      </w:r>
      <w:proofErr w:type="gramStart"/>
      <w:r w:rsidRPr="00C23331">
        <w:rPr>
          <w:rFonts w:eastAsia="MS Mincho" w:cs="Arial"/>
          <w:szCs w:val="20"/>
          <w:lang w:eastAsia="ja-JP"/>
        </w:rPr>
        <w:t>should be carried out</w:t>
      </w:r>
      <w:proofErr w:type="gramEnd"/>
      <w:r w:rsidRPr="00C23331">
        <w:rPr>
          <w:rFonts w:eastAsia="MS Mincho" w:cs="Arial"/>
          <w:szCs w:val="20"/>
          <w:lang w:eastAsia="ja-JP"/>
        </w:rPr>
        <w:t xml:space="preserve"> on a case-by-case basis, since no single separation distance, guard band or signal strength limit can be provided. This could be achieved based on similar principles to </w:t>
      </w:r>
      <w:proofErr w:type="gramStart"/>
      <w:r w:rsidRPr="00C23331">
        <w:rPr>
          <w:rFonts w:eastAsia="MS Mincho" w:cs="Arial"/>
          <w:szCs w:val="20"/>
          <w:lang w:eastAsia="ja-JP"/>
        </w:rPr>
        <w:t>those which</w:t>
      </w:r>
      <w:proofErr w:type="gramEnd"/>
      <w:r w:rsidRPr="00C23331">
        <w:rPr>
          <w:rFonts w:eastAsia="MS Mincho" w:cs="Arial"/>
          <w:szCs w:val="20"/>
          <w:lang w:eastAsia="ja-JP"/>
        </w:rPr>
        <w:t xml:space="preserve"> have been used for coordination between land mobile networks. </w:t>
      </w:r>
    </w:p>
    <w:p w14:paraId="6DDB9F41" w14:textId="0C21CC3A" w:rsidR="003947F9" w:rsidRPr="00C23331" w:rsidRDefault="003947F9" w:rsidP="0019256B">
      <w:pPr>
        <w:pStyle w:val="ECCParagraph"/>
        <w:keepNext/>
        <w:rPr>
          <w:rFonts w:eastAsia="MS Mincho" w:cs="Arial"/>
          <w:szCs w:val="20"/>
          <w:lang w:eastAsia="ja-JP"/>
        </w:rPr>
      </w:pPr>
      <w:r w:rsidRPr="00C23331">
        <w:rPr>
          <w:rFonts w:eastAsia="MS Mincho" w:cs="Arial"/>
          <w:szCs w:val="20"/>
          <w:lang w:eastAsia="ja-JP"/>
        </w:rPr>
        <w:lastRenderedPageBreak/>
        <w:t xml:space="preserve">The following key principles related to the coordination between DA2GC GS and </w:t>
      </w:r>
      <w:r>
        <w:rPr>
          <w:rFonts w:eastAsia="MS Mincho" w:cs="Arial"/>
          <w:szCs w:val="20"/>
          <w:lang w:eastAsia="ja-JP"/>
        </w:rPr>
        <w:t xml:space="preserve">MFCN base </w:t>
      </w:r>
      <w:r w:rsidRPr="00C23331">
        <w:rPr>
          <w:rFonts w:eastAsia="MS Mincho" w:cs="Arial"/>
          <w:szCs w:val="20"/>
          <w:lang w:eastAsia="ja-JP"/>
        </w:rPr>
        <w:t xml:space="preserve">stations </w:t>
      </w:r>
      <w:proofErr w:type="gramStart"/>
      <w:r w:rsidRPr="00C23331">
        <w:rPr>
          <w:rFonts w:eastAsia="MS Mincho" w:cs="Arial"/>
          <w:szCs w:val="20"/>
          <w:lang w:eastAsia="ja-JP"/>
        </w:rPr>
        <w:t>should be considered</w:t>
      </w:r>
      <w:proofErr w:type="gramEnd"/>
      <w:r w:rsidRPr="00C23331">
        <w:rPr>
          <w:rFonts w:eastAsia="MS Mincho" w:cs="Arial"/>
          <w:szCs w:val="20"/>
          <w:lang w:eastAsia="ja-JP"/>
        </w:rPr>
        <w:t xml:space="preserve"> at national level or between neighbouring countries in order to ensure co-existence: </w:t>
      </w:r>
    </w:p>
    <w:p w14:paraId="1D797F05" w14:textId="10ACE5E9" w:rsidR="003947F9" w:rsidRPr="00C23331" w:rsidRDefault="003947F9" w:rsidP="0019256B">
      <w:pPr>
        <w:keepNext/>
        <w:numPr>
          <w:ilvl w:val="0"/>
          <w:numId w:val="51"/>
        </w:numPr>
        <w:suppressAutoHyphens/>
        <w:spacing w:after="120" w:line="276" w:lineRule="auto"/>
        <w:jc w:val="both"/>
        <w:rPr>
          <w:rFonts w:eastAsia="MS Mincho" w:cs="Arial"/>
          <w:szCs w:val="20"/>
          <w:lang w:val="en-GB" w:eastAsia="ja-JP"/>
        </w:rPr>
      </w:pPr>
      <w:r>
        <w:rPr>
          <w:rFonts w:eastAsia="MS Mincho" w:cs="Arial"/>
          <w:szCs w:val="20"/>
          <w:lang w:val="en-GB" w:eastAsia="ja-JP"/>
        </w:rPr>
        <w:t>C</w:t>
      </w:r>
      <w:r w:rsidRPr="00C23331">
        <w:rPr>
          <w:rFonts w:eastAsia="MS Mincho" w:cs="Arial"/>
          <w:szCs w:val="20"/>
          <w:lang w:val="en-GB" w:eastAsia="ja-JP"/>
        </w:rPr>
        <w:t xml:space="preserve">oordination is primarily </w:t>
      </w:r>
      <w:r>
        <w:rPr>
          <w:rFonts w:eastAsia="MS Mincho" w:cs="Arial"/>
          <w:szCs w:val="20"/>
          <w:lang w:val="en-GB" w:eastAsia="ja-JP"/>
        </w:rPr>
        <w:t>about</w:t>
      </w:r>
      <w:r w:rsidRPr="00C23331">
        <w:rPr>
          <w:rFonts w:eastAsia="MS Mincho" w:cs="Arial"/>
          <w:szCs w:val="20"/>
          <w:lang w:val="en-GB" w:eastAsia="ja-JP"/>
        </w:rPr>
        <w:t xml:space="preserve"> national implementation, local propagation conditions and national licensed use</w:t>
      </w:r>
      <w:r>
        <w:rPr>
          <w:rFonts w:eastAsia="MS Mincho" w:cs="Arial"/>
          <w:szCs w:val="20"/>
          <w:lang w:val="en-GB" w:eastAsia="ja-JP"/>
        </w:rPr>
        <w:t>, which</w:t>
      </w:r>
      <w:r w:rsidRPr="00C23331">
        <w:rPr>
          <w:rFonts w:eastAsia="MS Mincho" w:cs="Arial"/>
          <w:szCs w:val="20"/>
          <w:lang w:val="en-GB" w:eastAsia="ja-JP"/>
        </w:rPr>
        <w:t xml:space="preserve"> is best dealt with by national administrations;</w:t>
      </w:r>
    </w:p>
    <w:p w14:paraId="590AA6C6" w14:textId="53FCDB1C" w:rsidR="003947F9" w:rsidRPr="00C23331" w:rsidRDefault="003947F9" w:rsidP="003947F9">
      <w:pPr>
        <w:pStyle w:val="ListParagraph"/>
        <w:numPr>
          <w:ilvl w:val="0"/>
          <w:numId w:val="51"/>
        </w:numPr>
        <w:suppressAutoHyphens/>
        <w:spacing w:after="240"/>
        <w:jc w:val="both"/>
        <w:rPr>
          <w:rFonts w:eastAsia="MS Mincho" w:cs="Arial"/>
          <w:szCs w:val="20"/>
          <w:lang w:val="en-GB" w:eastAsia="ja-JP"/>
        </w:rPr>
      </w:pPr>
      <w:r w:rsidRPr="00C23331">
        <w:rPr>
          <w:rFonts w:eastAsia="MS Mincho" w:cs="Arial"/>
          <w:szCs w:val="20"/>
          <w:lang w:val="en-GB" w:eastAsia="ja-JP"/>
        </w:rPr>
        <w:t>The principle should be that the operator who introduces changes to his network has to trigger a coordination process</w:t>
      </w:r>
      <w:r>
        <w:rPr>
          <w:rFonts w:eastAsia="MS Mincho" w:cs="Arial"/>
          <w:szCs w:val="20"/>
          <w:lang w:val="en-GB" w:eastAsia="ja-JP"/>
        </w:rPr>
        <w:t xml:space="preserve"> </w:t>
      </w:r>
      <w:r w:rsidRPr="00CA2BF6">
        <w:rPr>
          <w:rFonts w:eastAsia="MS Mincho" w:cs="Arial"/>
          <w:szCs w:val="20"/>
          <w:lang w:val="en-GB" w:eastAsia="ja-JP"/>
        </w:rPr>
        <w:t xml:space="preserve">(e.g. </w:t>
      </w:r>
      <w:r>
        <w:rPr>
          <w:rFonts w:eastAsia="MS Mincho" w:cs="Arial"/>
          <w:szCs w:val="20"/>
          <w:lang w:val="en-GB" w:eastAsia="ja-JP"/>
        </w:rPr>
        <w:t>rollout of a new station or network modification</w:t>
      </w:r>
      <w:r w:rsidRPr="00CA2BF6">
        <w:rPr>
          <w:rFonts w:eastAsia="MS Mincho" w:cs="Arial"/>
          <w:szCs w:val="20"/>
          <w:lang w:val="en-GB" w:eastAsia="ja-JP"/>
        </w:rPr>
        <w:t>)</w:t>
      </w:r>
      <w:r>
        <w:rPr>
          <w:rFonts w:eastAsia="MS Mincho" w:cs="Arial"/>
          <w:szCs w:val="20"/>
          <w:lang w:val="en-GB" w:eastAsia="ja-JP"/>
        </w:rPr>
        <w:t>;</w:t>
      </w:r>
      <w:r w:rsidRPr="00C23331">
        <w:rPr>
          <w:rFonts w:eastAsia="MS Mincho" w:cs="Arial"/>
          <w:szCs w:val="20"/>
          <w:lang w:val="en-GB" w:eastAsia="ja-JP"/>
        </w:rPr>
        <w:t xml:space="preserve">  </w:t>
      </w:r>
    </w:p>
    <w:p w14:paraId="08ACF078" w14:textId="77777777" w:rsidR="003947F9" w:rsidRPr="00C23331" w:rsidRDefault="003947F9" w:rsidP="003947F9">
      <w:pPr>
        <w:numPr>
          <w:ilvl w:val="0"/>
          <w:numId w:val="51"/>
        </w:numPr>
        <w:suppressAutoHyphens/>
        <w:spacing w:after="120" w:line="276" w:lineRule="auto"/>
        <w:jc w:val="both"/>
        <w:rPr>
          <w:rFonts w:eastAsia="MS Mincho" w:cs="Arial"/>
          <w:szCs w:val="20"/>
          <w:lang w:val="en-GB" w:eastAsia="ja-JP"/>
        </w:rPr>
      </w:pPr>
      <w:r w:rsidRPr="00C23331">
        <w:rPr>
          <w:rFonts w:eastAsia="MS Mincho" w:cs="Arial"/>
          <w:szCs w:val="20"/>
          <w:lang w:val="en-GB" w:eastAsia="ja-JP"/>
        </w:rPr>
        <w:t>The implementation of these guidelines is at the discretion of the national administrations to the extent this may help them;</w:t>
      </w:r>
    </w:p>
    <w:p w14:paraId="1232AFAD" w14:textId="77777777" w:rsidR="003947F9" w:rsidRPr="00C23331" w:rsidRDefault="003947F9" w:rsidP="003947F9">
      <w:pPr>
        <w:numPr>
          <w:ilvl w:val="0"/>
          <w:numId w:val="51"/>
        </w:numPr>
        <w:suppressAutoHyphens/>
        <w:spacing w:after="120" w:line="276" w:lineRule="auto"/>
        <w:jc w:val="both"/>
        <w:rPr>
          <w:rFonts w:eastAsia="MS Mincho" w:cs="Arial"/>
          <w:szCs w:val="20"/>
          <w:lang w:val="en-GB" w:eastAsia="ja-JP"/>
        </w:rPr>
      </w:pPr>
      <w:r w:rsidRPr="00C23331">
        <w:rPr>
          <w:rFonts w:eastAsia="MS Mincho" w:cs="Arial"/>
          <w:szCs w:val="20"/>
          <w:lang w:val="en-GB" w:eastAsia="ja-JP"/>
        </w:rPr>
        <w:t>Coordination processes and associated protection should only apply to registered/licensed spectrum users;</w:t>
      </w:r>
    </w:p>
    <w:p w14:paraId="3D8A441C" w14:textId="77777777" w:rsidR="003947F9" w:rsidRPr="00E739E7" w:rsidRDefault="003947F9" w:rsidP="003947F9">
      <w:pPr>
        <w:numPr>
          <w:ilvl w:val="0"/>
          <w:numId w:val="51"/>
        </w:numPr>
        <w:suppressAutoHyphens/>
        <w:spacing w:after="120" w:line="276" w:lineRule="auto"/>
        <w:jc w:val="both"/>
        <w:rPr>
          <w:rFonts w:cs="Arial"/>
          <w:szCs w:val="20"/>
          <w:lang w:val="en-GB"/>
        </w:rPr>
      </w:pPr>
      <w:r w:rsidRPr="00E739E7">
        <w:rPr>
          <w:rFonts w:eastAsia="MS Mincho" w:cs="Arial"/>
          <w:szCs w:val="20"/>
          <w:lang w:val="en-GB" w:eastAsia="ja-JP"/>
        </w:rPr>
        <w:t xml:space="preserve">The coordination process should be both accurate and fast to enable all operators </w:t>
      </w:r>
      <w:proofErr w:type="gramStart"/>
      <w:r w:rsidRPr="00E739E7">
        <w:rPr>
          <w:rFonts w:eastAsia="MS Mincho" w:cs="Arial"/>
          <w:szCs w:val="20"/>
          <w:lang w:val="en-GB" w:eastAsia="ja-JP"/>
        </w:rPr>
        <w:t>to efficiently plan</w:t>
      </w:r>
      <w:proofErr w:type="gramEnd"/>
      <w:r w:rsidRPr="00E739E7">
        <w:rPr>
          <w:rFonts w:eastAsia="MS Mincho" w:cs="Arial"/>
          <w:szCs w:val="20"/>
          <w:lang w:val="en-GB" w:eastAsia="ja-JP"/>
        </w:rPr>
        <w:t xml:space="preserve"> spectrum utilisation and network deployments.</w:t>
      </w:r>
    </w:p>
    <w:p w14:paraId="5E112AC6" w14:textId="672F6BD2" w:rsidR="00A9349D" w:rsidRPr="00040BEC" w:rsidRDefault="00A9349D" w:rsidP="000E2436">
      <w:pPr>
        <w:jc w:val="both"/>
        <w:rPr>
          <w:i/>
          <w:color w:val="000000" w:themeColor="text1"/>
          <w:highlight w:val="yellow"/>
          <w:lang w:val="en-GB"/>
        </w:rPr>
      </w:pPr>
    </w:p>
    <w:p w14:paraId="62EBEF02" w14:textId="13B8BEAB" w:rsidR="0037312B" w:rsidRPr="00040BEC" w:rsidRDefault="0037312B" w:rsidP="00176CF0">
      <w:pPr>
        <w:pStyle w:val="ECCAnnexheading1"/>
      </w:pPr>
      <w:bookmarkStart w:id="162" w:name="_Toc337473061"/>
      <w:bookmarkStart w:id="163" w:name="_Ref338661910"/>
      <w:bookmarkStart w:id="164" w:name="_Toc350516788"/>
      <w:bookmarkStart w:id="165" w:name="_Toc396904029"/>
      <w:bookmarkStart w:id="166" w:name="_Toc445129340"/>
      <w:bookmarkEnd w:id="147"/>
      <w:bookmarkEnd w:id="148"/>
      <w:r w:rsidRPr="00040BEC">
        <w:lastRenderedPageBreak/>
        <w:t>List of references</w:t>
      </w:r>
      <w:bookmarkEnd w:id="162"/>
      <w:bookmarkEnd w:id="163"/>
      <w:bookmarkEnd w:id="164"/>
      <w:bookmarkEnd w:id="165"/>
      <w:bookmarkEnd w:id="166"/>
    </w:p>
    <w:p w14:paraId="103D11C5" w14:textId="77777777" w:rsidR="003752B5" w:rsidRPr="00040BEC" w:rsidRDefault="003752B5" w:rsidP="004E7E9D">
      <w:pPr>
        <w:pStyle w:val="reference"/>
        <w:numPr>
          <w:ilvl w:val="0"/>
          <w:numId w:val="16"/>
        </w:numPr>
        <w:rPr>
          <w:rFonts w:cs="Arial"/>
          <w:szCs w:val="20"/>
          <w:lang w:val="en-GB"/>
        </w:rPr>
      </w:pPr>
      <w:bookmarkStart w:id="167" w:name="_Ref356388320"/>
      <w:bookmarkStart w:id="168" w:name="_Ref387908922"/>
      <w:bookmarkStart w:id="169" w:name="_Ref335290506"/>
      <w:r w:rsidRPr="00040BEC">
        <w:rPr>
          <w:rFonts w:cs="Arial"/>
          <w:szCs w:val="20"/>
          <w:lang w:val="en-GB"/>
        </w:rPr>
        <w:t>CEPT Report 014</w:t>
      </w:r>
      <w:bookmarkEnd w:id="167"/>
      <w:r w:rsidR="00A2647D" w:rsidRPr="00040BEC">
        <w:rPr>
          <w:rFonts w:cs="Arial"/>
          <w:szCs w:val="20"/>
          <w:lang w:val="en-GB"/>
        </w:rPr>
        <w:t xml:space="preserve"> Report from CEPT to the European Commission in response to the Mandate to: Develop a strategy to improve the effectiveness and flexibility of spectrum availability for Short Range Devices (SRDs)</w:t>
      </w:r>
      <w:bookmarkEnd w:id="168"/>
    </w:p>
    <w:p w14:paraId="11DF7794" w14:textId="77777777" w:rsidR="003752B5" w:rsidRPr="00040BEC" w:rsidRDefault="003752B5" w:rsidP="004E7E9D">
      <w:pPr>
        <w:pStyle w:val="reference"/>
        <w:numPr>
          <w:ilvl w:val="0"/>
          <w:numId w:val="16"/>
        </w:numPr>
        <w:rPr>
          <w:rFonts w:cs="Arial"/>
          <w:szCs w:val="20"/>
          <w:lang w:val="en-GB"/>
        </w:rPr>
      </w:pPr>
      <w:bookmarkStart w:id="170" w:name="_Ref356388337"/>
      <w:bookmarkStart w:id="171" w:name="_Ref387908941"/>
      <w:r w:rsidRPr="00040BEC">
        <w:rPr>
          <w:rFonts w:cs="Arial"/>
          <w:szCs w:val="20"/>
          <w:lang w:val="en-GB"/>
        </w:rPr>
        <w:t>CEPT Report 044</w:t>
      </w:r>
      <w:bookmarkEnd w:id="170"/>
      <w:r w:rsidR="00A2647D" w:rsidRPr="00040BEC">
        <w:rPr>
          <w:rFonts w:cs="Arial"/>
          <w:szCs w:val="20"/>
          <w:lang w:val="en-GB"/>
        </w:rPr>
        <w:t xml:space="preserve"> In response to the EC Permanent Mandate on the ”Annual update of the technical annex of the Commission Decision on the technical harmonisation of radio spectrum for use by short range devices”</w:t>
      </w:r>
      <w:bookmarkEnd w:id="171"/>
    </w:p>
    <w:p w14:paraId="44FB2768" w14:textId="77777777" w:rsidR="004B74DF" w:rsidRPr="00040BEC" w:rsidRDefault="004B74DF" w:rsidP="004E7E9D">
      <w:pPr>
        <w:pStyle w:val="reference"/>
        <w:numPr>
          <w:ilvl w:val="0"/>
          <w:numId w:val="16"/>
        </w:numPr>
        <w:rPr>
          <w:rFonts w:cs="Arial"/>
          <w:szCs w:val="20"/>
          <w:lang w:val="en-GB"/>
        </w:rPr>
      </w:pPr>
      <w:bookmarkStart w:id="172" w:name="_Ref356388536"/>
      <w:r w:rsidRPr="00040BEC">
        <w:rPr>
          <w:rFonts w:cs="Arial"/>
          <w:szCs w:val="20"/>
          <w:lang w:val="en-GB"/>
        </w:rPr>
        <w:t>ERC Decision (99)25</w:t>
      </w:r>
      <w:bookmarkEnd w:id="172"/>
      <w:r w:rsidR="00A2647D" w:rsidRPr="00040BEC">
        <w:rPr>
          <w:rFonts w:cs="Arial"/>
          <w:szCs w:val="20"/>
          <w:lang w:val="en-GB"/>
        </w:rPr>
        <w:t xml:space="preserve"> on the harmonised utilisation of spectrum for terrestrial Universal Mobile Telecommunications System (UMTS) operating within the bands 1900 - 1980 MHz, 2010 - 2025 MHz and 2110 - 2170 MHz</w:t>
      </w:r>
    </w:p>
    <w:p w14:paraId="722394EC" w14:textId="77777777" w:rsidR="004B74DF" w:rsidRPr="00040BEC" w:rsidRDefault="004B74DF" w:rsidP="004E7E9D">
      <w:pPr>
        <w:pStyle w:val="reference"/>
        <w:numPr>
          <w:ilvl w:val="0"/>
          <w:numId w:val="16"/>
        </w:numPr>
        <w:rPr>
          <w:rFonts w:cs="Arial"/>
          <w:szCs w:val="20"/>
          <w:lang w:val="en-GB"/>
        </w:rPr>
      </w:pPr>
      <w:bookmarkStart w:id="173" w:name="_Ref356388551"/>
      <w:r w:rsidRPr="00040BEC">
        <w:rPr>
          <w:rFonts w:cs="Arial"/>
          <w:szCs w:val="20"/>
          <w:lang w:val="en-GB"/>
        </w:rPr>
        <w:t>ERC Decision (00)01</w:t>
      </w:r>
      <w:bookmarkEnd w:id="173"/>
      <w:r w:rsidR="00A2647D" w:rsidRPr="00040BEC">
        <w:rPr>
          <w:rFonts w:cs="Arial"/>
          <w:szCs w:val="20"/>
          <w:lang w:val="en-GB"/>
        </w:rPr>
        <w:t xml:space="preserve"> on the frequency bands for the introduction of terrestrial Un</w:t>
      </w:r>
      <w:r w:rsidR="00880D25" w:rsidRPr="00040BEC">
        <w:rPr>
          <w:rFonts w:cs="Arial"/>
          <w:szCs w:val="20"/>
          <w:lang w:val="en-GB"/>
        </w:rPr>
        <w:t>i</w:t>
      </w:r>
      <w:r w:rsidR="00A2647D" w:rsidRPr="00040BEC">
        <w:rPr>
          <w:rFonts w:cs="Arial"/>
          <w:szCs w:val="20"/>
          <w:lang w:val="en-GB"/>
        </w:rPr>
        <w:t>versal Mobile Telecommunications System (UMTS)</w:t>
      </w:r>
    </w:p>
    <w:p w14:paraId="5A152143" w14:textId="77777777" w:rsidR="004B74DF" w:rsidRPr="00040BEC" w:rsidRDefault="004B74DF" w:rsidP="004E7E9D">
      <w:pPr>
        <w:pStyle w:val="reference"/>
        <w:numPr>
          <w:ilvl w:val="0"/>
          <w:numId w:val="16"/>
        </w:numPr>
        <w:rPr>
          <w:rFonts w:cs="Arial"/>
          <w:szCs w:val="20"/>
          <w:lang w:val="en-GB"/>
        </w:rPr>
      </w:pPr>
      <w:bookmarkStart w:id="174" w:name="_Ref356388427"/>
      <w:r w:rsidRPr="00040BEC">
        <w:rPr>
          <w:rFonts w:cs="Arial"/>
          <w:szCs w:val="20"/>
          <w:lang w:val="en-GB"/>
        </w:rPr>
        <w:t>ERC Decision (97)07</w:t>
      </w:r>
      <w:bookmarkEnd w:id="174"/>
      <w:r w:rsidR="00A2647D" w:rsidRPr="00040BEC">
        <w:rPr>
          <w:rFonts w:cs="Arial"/>
          <w:szCs w:val="20"/>
          <w:lang w:val="en-GB"/>
        </w:rPr>
        <w:t xml:space="preserve"> on the frequency bands for the introduction of the Universal Mobile Telecommunications System (UMTS)</w:t>
      </w:r>
    </w:p>
    <w:p w14:paraId="77A9E72C" w14:textId="77777777" w:rsidR="004B74DF" w:rsidRPr="00040BEC" w:rsidRDefault="004B74DF" w:rsidP="004E7E9D">
      <w:pPr>
        <w:pStyle w:val="reference"/>
        <w:numPr>
          <w:ilvl w:val="0"/>
          <w:numId w:val="16"/>
        </w:numPr>
        <w:rPr>
          <w:rFonts w:cs="Arial"/>
          <w:szCs w:val="20"/>
          <w:lang w:val="en-GB"/>
        </w:rPr>
      </w:pPr>
      <w:bookmarkStart w:id="175" w:name="_Ref356388591"/>
      <w:r w:rsidRPr="00040BEC">
        <w:rPr>
          <w:rFonts w:cs="Arial"/>
          <w:szCs w:val="20"/>
          <w:lang w:val="en-GB"/>
        </w:rPr>
        <w:t>ECC Decision (06)01</w:t>
      </w:r>
      <w:bookmarkEnd w:id="175"/>
      <w:r w:rsidR="00A2647D" w:rsidRPr="00040BEC">
        <w:rPr>
          <w:rFonts w:cs="Arial"/>
          <w:szCs w:val="20"/>
          <w:lang w:val="en-GB"/>
        </w:rPr>
        <w:t xml:space="preserve"> on the harmonised utilisation of spectrum for terrestrial IMT-2000/UMTS systems operating within the bands1900-1980 MHz, 2010-2025 MHz and 2110-2170 MHz</w:t>
      </w:r>
    </w:p>
    <w:p w14:paraId="4C166909" w14:textId="77777777" w:rsidR="004B74DF" w:rsidRPr="00040BEC" w:rsidRDefault="004B74DF" w:rsidP="004E7E9D">
      <w:pPr>
        <w:pStyle w:val="reference"/>
        <w:numPr>
          <w:ilvl w:val="0"/>
          <w:numId w:val="16"/>
        </w:numPr>
        <w:rPr>
          <w:rFonts w:cs="Arial"/>
          <w:szCs w:val="20"/>
          <w:lang w:val="en-GB"/>
        </w:rPr>
      </w:pPr>
      <w:bookmarkStart w:id="176" w:name="_Ref356389108"/>
      <w:r w:rsidRPr="00040BEC">
        <w:rPr>
          <w:rFonts w:cs="Arial"/>
          <w:szCs w:val="20"/>
          <w:lang w:val="en-GB"/>
        </w:rPr>
        <w:t>ECC Decision (13)01</w:t>
      </w:r>
      <w:bookmarkEnd w:id="176"/>
      <w:r w:rsidR="00A2647D" w:rsidRPr="00040BEC">
        <w:rPr>
          <w:rFonts w:cs="Arial"/>
          <w:szCs w:val="20"/>
          <w:lang w:val="en-GB"/>
        </w:rPr>
        <w:t xml:space="preserve"> on the use, free circulation, and exemption from individual licensing of Earth stations on mobile platforms (ESOMPs) in the frequency bands available for use by uncoordinated FSS Earth stations within the ranges 17.3-20.2 GHz and 27.5-30.0 GHz</w:t>
      </w:r>
    </w:p>
    <w:p w14:paraId="12C86766" w14:textId="77777777" w:rsidR="004B74DF" w:rsidRPr="00040BEC" w:rsidRDefault="004B74DF" w:rsidP="00E24C09">
      <w:pPr>
        <w:pStyle w:val="reference"/>
        <w:numPr>
          <w:ilvl w:val="0"/>
          <w:numId w:val="16"/>
        </w:numPr>
        <w:rPr>
          <w:rFonts w:cs="Arial"/>
          <w:szCs w:val="20"/>
          <w:lang w:val="en-GB"/>
        </w:rPr>
      </w:pPr>
      <w:bookmarkStart w:id="177" w:name="_Ref356388490"/>
      <w:bookmarkStart w:id="178" w:name="_Ref388512350"/>
      <w:r w:rsidRPr="00040BEC">
        <w:rPr>
          <w:rFonts w:cs="Arial"/>
          <w:szCs w:val="20"/>
          <w:lang w:val="en-GB"/>
        </w:rPr>
        <w:t>Decision 128/1999/EC</w:t>
      </w:r>
      <w:bookmarkEnd w:id="177"/>
      <w:r w:rsidR="00E24C09" w:rsidRPr="00040BEC">
        <w:rPr>
          <w:rFonts w:cs="Arial"/>
          <w:szCs w:val="20"/>
          <w:lang w:val="en-GB"/>
        </w:rPr>
        <w:t xml:space="preserve"> of the European Parliament and the Council, dated 14 December 1998, on the coordinated introduction of a third-generation mobile and wireless communications system (UMTS) in the Community</w:t>
      </w:r>
      <w:bookmarkEnd w:id="178"/>
    </w:p>
    <w:p w14:paraId="2D336176" w14:textId="77777777" w:rsidR="004B74DF" w:rsidRPr="00040BEC" w:rsidRDefault="00B62EBB" w:rsidP="004E7E9D">
      <w:pPr>
        <w:pStyle w:val="reference"/>
        <w:numPr>
          <w:ilvl w:val="0"/>
          <w:numId w:val="16"/>
        </w:numPr>
        <w:rPr>
          <w:rFonts w:cs="Arial"/>
          <w:szCs w:val="20"/>
          <w:lang w:val="en-GB"/>
        </w:rPr>
      </w:pPr>
      <w:bookmarkStart w:id="179" w:name="_Ref356388747"/>
      <w:r w:rsidRPr="00040BEC">
        <w:rPr>
          <w:rFonts w:cs="Arial"/>
          <w:lang w:val="en-GB"/>
        </w:rPr>
        <w:t xml:space="preserve">ECO Report </w:t>
      </w:r>
      <w:r w:rsidRPr="00040BEC">
        <w:rPr>
          <w:rFonts w:cs="Arial"/>
          <w:szCs w:val="20"/>
          <w:lang w:val="en-GB"/>
        </w:rPr>
        <w:t>03: The licensing of 'Mobile bands' in CEPT</w:t>
      </w:r>
      <w:bookmarkEnd w:id="179"/>
    </w:p>
    <w:p w14:paraId="272EC88E" w14:textId="77777777" w:rsidR="004B74DF" w:rsidRPr="00040BEC" w:rsidRDefault="00B62EBB" w:rsidP="004E7E9D">
      <w:pPr>
        <w:pStyle w:val="reference"/>
        <w:numPr>
          <w:ilvl w:val="0"/>
          <w:numId w:val="16"/>
        </w:numPr>
        <w:rPr>
          <w:rFonts w:cs="Arial"/>
          <w:szCs w:val="20"/>
          <w:lang w:val="en-GB"/>
        </w:rPr>
      </w:pPr>
      <w:bookmarkStart w:id="180" w:name="_Ref356388900"/>
      <w:r w:rsidRPr="00040BEC">
        <w:rPr>
          <w:rFonts w:cs="Arial"/>
          <w:szCs w:val="20"/>
          <w:lang w:val="en-GB"/>
        </w:rPr>
        <w:t xml:space="preserve">CEPT Report </w:t>
      </w:r>
      <w:r w:rsidR="003752B5" w:rsidRPr="00040BEC">
        <w:rPr>
          <w:rFonts w:cs="Arial"/>
          <w:szCs w:val="20"/>
          <w:lang w:val="en-GB"/>
        </w:rPr>
        <w:t>0</w:t>
      </w:r>
      <w:r w:rsidRPr="00040BEC">
        <w:rPr>
          <w:rFonts w:cs="Arial"/>
          <w:szCs w:val="20"/>
          <w:lang w:val="en-GB"/>
        </w:rPr>
        <w:t>1</w:t>
      </w:r>
      <w:r w:rsidR="004B74DF" w:rsidRPr="00040BEC">
        <w:rPr>
          <w:rFonts w:cs="Arial"/>
          <w:szCs w:val="20"/>
          <w:lang w:val="en-GB"/>
        </w:rPr>
        <w:t>9</w:t>
      </w:r>
      <w:bookmarkEnd w:id="180"/>
      <w:r w:rsidR="00A2647D" w:rsidRPr="00040BEC">
        <w:rPr>
          <w:rFonts w:cs="Arial"/>
          <w:szCs w:val="20"/>
          <w:lang w:val="en-GB"/>
        </w:rPr>
        <w:t xml:space="preserve"> Report from CEPT to the European Commission in response to </w:t>
      </w:r>
      <w:r w:rsidR="00A2647D" w:rsidRPr="00040BEC">
        <w:rPr>
          <w:rFonts w:cs="Arial"/>
          <w:szCs w:val="20"/>
          <w:lang w:val="en-GB"/>
        </w:rPr>
        <w:br/>
        <w:t>EC Mandate to develop least restrictive technical conditions for frequency bands addressed in the context of WAPECS</w:t>
      </w:r>
    </w:p>
    <w:p w14:paraId="48D0BD83" w14:textId="77777777" w:rsidR="00B62EBB" w:rsidRPr="00040BEC" w:rsidRDefault="00B62EBB" w:rsidP="004E7E9D">
      <w:pPr>
        <w:pStyle w:val="reference"/>
        <w:numPr>
          <w:ilvl w:val="0"/>
          <w:numId w:val="16"/>
        </w:numPr>
        <w:rPr>
          <w:rFonts w:cs="Arial"/>
          <w:szCs w:val="20"/>
          <w:lang w:val="en-GB"/>
        </w:rPr>
      </w:pPr>
      <w:bookmarkStart w:id="181" w:name="_Ref356388784"/>
      <w:bookmarkStart w:id="182" w:name="_Ref387907986"/>
      <w:r w:rsidRPr="00040BEC">
        <w:rPr>
          <w:rFonts w:cs="Arial"/>
          <w:szCs w:val="20"/>
          <w:lang w:val="en-GB"/>
        </w:rPr>
        <w:t xml:space="preserve">CEPT Report </w:t>
      </w:r>
      <w:r w:rsidR="003752B5" w:rsidRPr="00040BEC">
        <w:rPr>
          <w:rFonts w:cs="Arial"/>
          <w:szCs w:val="20"/>
          <w:lang w:val="en-GB"/>
        </w:rPr>
        <w:t>0</w:t>
      </w:r>
      <w:r w:rsidRPr="00040BEC">
        <w:rPr>
          <w:rFonts w:cs="Arial"/>
          <w:szCs w:val="20"/>
          <w:lang w:val="en-GB"/>
        </w:rPr>
        <w:t>39</w:t>
      </w:r>
      <w:bookmarkEnd w:id="181"/>
      <w:r w:rsidR="00A2647D" w:rsidRPr="00040BEC">
        <w:rPr>
          <w:rFonts w:cs="Arial"/>
          <w:szCs w:val="20"/>
          <w:lang w:val="en-GB"/>
        </w:rPr>
        <w:t xml:space="preserve"> Report from CEPT to the European Commission in response to the Mandate to develop least restrictive technical conditions for 2 GHz bands</w:t>
      </w:r>
      <w:bookmarkEnd w:id="182"/>
    </w:p>
    <w:p w14:paraId="0B0320D6" w14:textId="77777777" w:rsidR="00B62EBB" w:rsidRPr="00040BEC" w:rsidRDefault="00B62EBB" w:rsidP="004E7E9D">
      <w:pPr>
        <w:pStyle w:val="reference"/>
        <w:numPr>
          <w:ilvl w:val="0"/>
          <w:numId w:val="16"/>
        </w:numPr>
        <w:rPr>
          <w:rFonts w:cs="Arial"/>
          <w:szCs w:val="20"/>
          <w:lang w:val="en-GB"/>
        </w:rPr>
      </w:pPr>
      <w:bookmarkStart w:id="183" w:name="_Ref356388868"/>
      <w:r w:rsidRPr="00040BEC">
        <w:rPr>
          <w:rFonts w:cs="Arial"/>
          <w:szCs w:val="20"/>
          <w:lang w:val="en-GB"/>
        </w:rPr>
        <w:t>ERC Report 64</w:t>
      </w:r>
      <w:bookmarkEnd w:id="183"/>
      <w:r w:rsidR="007C5C70" w:rsidRPr="00040BEC">
        <w:rPr>
          <w:rFonts w:cs="Arial"/>
          <w:szCs w:val="20"/>
          <w:lang w:val="en-GB"/>
        </w:rPr>
        <w:t xml:space="preserve"> </w:t>
      </w:r>
      <w:r w:rsidR="00E93828" w:rsidRPr="00040BEC">
        <w:rPr>
          <w:rFonts w:cs="Arial"/>
          <w:szCs w:val="20"/>
          <w:lang w:val="en-GB"/>
        </w:rPr>
        <w:t>Sharing between UMTS and existing fixed services</w:t>
      </w:r>
    </w:p>
    <w:p w14:paraId="120F67D8" w14:textId="77777777" w:rsidR="00B62EBB" w:rsidRPr="00040BEC" w:rsidRDefault="00B62EBB" w:rsidP="004E7E9D">
      <w:pPr>
        <w:pStyle w:val="reference"/>
        <w:numPr>
          <w:ilvl w:val="0"/>
          <w:numId w:val="16"/>
        </w:numPr>
        <w:rPr>
          <w:rFonts w:cs="Arial"/>
          <w:szCs w:val="20"/>
          <w:lang w:val="en-GB"/>
        </w:rPr>
      </w:pPr>
      <w:bookmarkStart w:id="184" w:name="_Ref356388677"/>
      <w:bookmarkStart w:id="185" w:name="_Ref387907962"/>
      <w:r w:rsidRPr="00040BEC">
        <w:rPr>
          <w:rFonts w:cs="Arial"/>
          <w:szCs w:val="20"/>
          <w:lang w:val="en-GB"/>
        </w:rPr>
        <w:t>ERC Report 65</w:t>
      </w:r>
      <w:bookmarkEnd w:id="184"/>
      <w:r w:rsidR="007C5C70" w:rsidRPr="00040BEC">
        <w:rPr>
          <w:rFonts w:cs="Arial"/>
          <w:szCs w:val="20"/>
          <w:lang w:val="en-GB"/>
        </w:rPr>
        <w:t xml:space="preserve"> </w:t>
      </w:r>
      <w:r w:rsidR="00E93828" w:rsidRPr="00040BEC">
        <w:rPr>
          <w:rFonts w:cs="Arial"/>
          <w:szCs w:val="20"/>
          <w:lang w:val="en-GB"/>
        </w:rPr>
        <w:t>Adjacent band compatibility between UMTS and other 2 GHz services</w:t>
      </w:r>
      <w:bookmarkEnd w:id="185"/>
    </w:p>
    <w:p w14:paraId="740F827D" w14:textId="77777777" w:rsidR="00B62EBB" w:rsidRPr="00040BEC" w:rsidRDefault="00B62EBB" w:rsidP="004E7E9D">
      <w:pPr>
        <w:pStyle w:val="reference"/>
        <w:numPr>
          <w:ilvl w:val="0"/>
          <w:numId w:val="16"/>
        </w:numPr>
        <w:rPr>
          <w:rFonts w:cs="Arial"/>
          <w:szCs w:val="20"/>
          <w:lang w:val="en-GB"/>
        </w:rPr>
      </w:pPr>
      <w:bookmarkStart w:id="186" w:name="_Ref356388705"/>
      <w:bookmarkStart w:id="187" w:name="_Ref401577328"/>
      <w:r w:rsidRPr="00040BEC">
        <w:rPr>
          <w:rFonts w:cs="Arial"/>
          <w:szCs w:val="20"/>
          <w:lang w:val="en-GB"/>
        </w:rPr>
        <w:t>ERC Report 25</w:t>
      </w:r>
      <w:bookmarkEnd w:id="186"/>
      <w:r w:rsidR="003752B5" w:rsidRPr="00040BEC">
        <w:rPr>
          <w:rFonts w:cs="Arial"/>
          <w:szCs w:val="20"/>
          <w:lang w:val="en-GB"/>
        </w:rPr>
        <w:t xml:space="preserve"> </w:t>
      </w:r>
      <w:r w:rsidR="003752B5" w:rsidRPr="00040BEC">
        <w:rPr>
          <w:rFonts w:cs="Arial"/>
          <w:lang w:val="en-GB"/>
        </w:rPr>
        <w:t>European Common Allocation Table</w:t>
      </w:r>
      <w:bookmarkEnd w:id="187"/>
    </w:p>
    <w:p w14:paraId="120DD805" w14:textId="77777777" w:rsidR="00B62EBB" w:rsidRPr="00040BEC" w:rsidRDefault="00B62EBB" w:rsidP="004E7E9D">
      <w:pPr>
        <w:pStyle w:val="reference"/>
        <w:numPr>
          <w:ilvl w:val="0"/>
          <w:numId w:val="16"/>
        </w:numPr>
        <w:rPr>
          <w:rFonts w:cs="Arial"/>
          <w:szCs w:val="20"/>
          <w:lang w:val="en-GB"/>
        </w:rPr>
      </w:pPr>
      <w:bookmarkStart w:id="188" w:name="_Ref356390438"/>
      <w:r w:rsidRPr="00040BEC">
        <w:rPr>
          <w:rFonts w:cs="Arial"/>
          <w:szCs w:val="20"/>
          <w:lang w:val="en-GB"/>
        </w:rPr>
        <w:t>ETSI EN 301 908-10</w:t>
      </w:r>
      <w:bookmarkEnd w:id="188"/>
      <w:r w:rsidR="00E72505" w:rsidRPr="00040BEC">
        <w:rPr>
          <w:rFonts w:cs="Arial"/>
          <w:szCs w:val="20"/>
          <w:lang w:val="en-GB"/>
        </w:rPr>
        <w:t xml:space="preserve"> </w:t>
      </w:r>
      <w:r w:rsidR="00E72505" w:rsidRPr="00040BEC">
        <w:rPr>
          <w:lang w:val="en-GB"/>
        </w:rPr>
        <w:t>Electromagnetic compatibility and Radio spectrum Matters (ERM);Base Stations (BS), Repeaters and User Equipment (UE) for IMT-2000 Third-Generation cellular networks;</w:t>
      </w:r>
      <w:r w:rsidR="008F7F7C" w:rsidRPr="00040BEC">
        <w:rPr>
          <w:lang w:val="en-GB"/>
        </w:rPr>
        <w:t xml:space="preserve"> </w:t>
      </w:r>
      <w:r w:rsidR="00E72505" w:rsidRPr="00040BEC">
        <w:rPr>
          <w:lang w:val="en-GB"/>
        </w:rPr>
        <w:t>Part 10: Harmoni</w:t>
      </w:r>
      <w:r w:rsidR="0056016E" w:rsidRPr="00040BEC">
        <w:rPr>
          <w:lang w:val="en-GB"/>
        </w:rPr>
        <w:t>s</w:t>
      </w:r>
      <w:r w:rsidR="00E72505" w:rsidRPr="00040BEC">
        <w:rPr>
          <w:lang w:val="en-GB"/>
        </w:rPr>
        <w:t>ed EN for IMT-2000, FDMA/TDMA (DECT) covering essential requirements of article 3.2 of the R&amp;TTE Directive</w:t>
      </w:r>
    </w:p>
    <w:p w14:paraId="3824ECCB" w14:textId="77777777" w:rsidR="00B62EBB" w:rsidRPr="00040BEC" w:rsidRDefault="00B62EBB" w:rsidP="004E7E9D">
      <w:pPr>
        <w:pStyle w:val="reference"/>
        <w:numPr>
          <w:ilvl w:val="0"/>
          <w:numId w:val="16"/>
        </w:numPr>
        <w:rPr>
          <w:rFonts w:cs="Arial"/>
          <w:szCs w:val="20"/>
          <w:lang w:val="en-GB"/>
        </w:rPr>
      </w:pPr>
      <w:bookmarkStart w:id="189" w:name="_Ref356389916"/>
      <w:r w:rsidRPr="00040BEC">
        <w:rPr>
          <w:rFonts w:cs="Arial"/>
          <w:szCs w:val="20"/>
          <w:lang w:val="en-GB"/>
        </w:rPr>
        <w:t>ETSI EN 300</w:t>
      </w:r>
      <w:r w:rsidR="00E72505" w:rsidRPr="00040BEC">
        <w:rPr>
          <w:rFonts w:cs="Arial"/>
          <w:szCs w:val="20"/>
          <w:lang w:val="en-GB"/>
        </w:rPr>
        <w:t> </w:t>
      </w:r>
      <w:r w:rsidRPr="00040BEC">
        <w:rPr>
          <w:rFonts w:cs="Arial"/>
          <w:szCs w:val="20"/>
          <w:lang w:val="en-GB"/>
        </w:rPr>
        <w:t>175</w:t>
      </w:r>
      <w:bookmarkEnd w:id="189"/>
      <w:r w:rsidR="00E72505" w:rsidRPr="00040BEC">
        <w:rPr>
          <w:rFonts w:cs="Arial"/>
          <w:szCs w:val="20"/>
          <w:lang w:val="en-GB"/>
        </w:rPr>
        <w:t xml:space="preserve"> </w:t>
      </w:r>
      <w:r w:rsidR="00E72505" w:rsidRPr="00040BEC">
        <w:rPr>
          <w:lang w:val="en-GB"/>
        </w:rPr>
        <w:t>(several parts): Digital Enhanced Cordless Telecommunications (DECT);Common Interface (CI)</w:t>
      </w:r>
    </w:p>
    <w:p w14:paraId="7B9CEB54" w14:textId="77777777" w:rsidR="003752B5" w:rsidRPr="00040BEC" w:rsidRDefault="003752B5" w:rsidP="004E7E9D">
      <w:pPr>
        <w:pStyle w:val="reference"/>
        <w:numPr>
          <w:ilvl w:val="0"/>
          <w:numId w:val="16"/>
        </w:numPr>
        <w:rPr>
          <w:rFonts w:cs="Arial"/>
          <w:szCs w:val="20"/>
          <w:lang w:val="en-GB"/>
        </w:rPr>
      </w:pPr>
      <w:bookmarkStart w:id="190" w:name="_Ref356389398"/>
      <w:r w:rsidRPr="00040BEC">
        <w:rPr>
          <w:lang w:val="en-GB"/>
        </w:rPr>
        <w:t>ERC Recommendation 25-10</w:t>
      </w:r>
      <w:r w:rsidRPr="00040BEC">
        <w:rPr>
          <w:rFonts w:cs="Arial"/>
          <w:lang w:val="en-GB"/>
        </w:rPr>
        <w:t xml:space="preserve"> on frequency ranges for the use of temporary terrestrial audio and video SAP/SAB links (incl. ENG/OB)</w:t>
      </w:r>
      <w:bookmarkEnd w:id="190"/>
    </w:p>
    <w:p w14:paraId="4DFCEF93" w14:textId="77777777" w:rsidR="003752B5" w:rsidRPr="00040BEC" w:rsidRDefault="00EA23D4" w:rsidP="004E7E9D">
      <w:pPr>
        <w:pStyle w:val="reference"/>
        <w:numPr>
          <w:ilvl w:val="0"/>
          <w:numId w:val="16"/>
        </w:numPr>
        <w:rPr>
          <w:rFonts w:cs="Arial"/>
          <w:szCs w:val="20"/>
          <w:lang w:val="en-GB"/>
        </w:rPr>
      </w:pPr>
      <w:bookmarkStart w:id="191" w:name="_Ref356389604"/>
      <w:r w:rsidRPr="00040BEC">
        <w:rPr>
          <w:lang w:val="en-GB"/>
        </w:rPr>
        <w:t xml:space="preserve">ECC Report </w:t>
      </w:r>
      <w:bookmarkEnd w:id="191"/>
      <w:r w:rsidRPr="00040BEC">
        <w:rPr>
          <w:rFonts w:cs="Arial"/>
          <w:lang w:val="en-GB"/>
        </w:rPr>
        <w:t xml:space="preserve">204 </w:t>
      </w:r>
      <w:r w:rsidRPr="00040BEC">
        <w:rPr>
          <w:rFonts w:cs="Arial"/>
          <w:szCs w:val="20"/>
          <w:lang w:val="en-GB"/>
        </w:rPr>
        <w:t>Spectrum use and future requirements</w:t>
      </w:r>
      <w:r w:rsidRPr="00040BEC">
        <w:rPr>
          <w:lang w:val="en-GB"/>
        </w:rPr>
        <w:t xml:space="preserve"> </w:t>
      </w:r>
      <w:r w:rsidRPr="00040BEC">
        <w:rPr>
          <w:rFonts w:cs="Arial"/>
          <w:szCs w:val="20"/>
          <w:lang w:val="en-GB"/>
        </w:rPr>
        <w:t>for PMSE</w:t>
      </w:r>
    </w:p>
    <w:p w14:paraId="7B7FB031" w14:textId="77777777" w:rsidR="003752B5" w:rsidRPr="00040BEC" w:rsidRDefault="003752B5" w:rsidP="004E7E9D">
      <w:pPr>
        <w:pStyle w:val="reference"/>
        <w:numPr>
          <w:ilvl w:val="0"/>
          <w:numId w:val="16"/>
        </w:numPr>
        <w:rPr>
          <w:rFonts w:cs="Arial"/>
          <w:szCs w:val="20"/>
          <w:lang w:val="en-GB"/>
        </w:rPr>
      </w:pPr>
      <w:bookmarkStart w:id="192" w:name="_Ref356389796"/>
      <w:r w:rsidRPr="00040BEC">
        <w:rPr>
          <w:rFonts w:cs="Arial"/>
          <w:lang w:val="en-GB"/>
        </w:rPr>
        <w:t>ERC Report 38</w:t>
      </w:r>
      <w:bookmarkEnd w:id="192"/>
      <w:r w:rsidR="007C5C70" w:rsidRPr="00040BEC">
        <w:rPr>
          <w:rFonts w:cs="Arial"/>
          <w:lang w:val="en-GB"/>
        </w:rPr>
        <w:t xml:space="preserve"> </w:t>
      </w:r>
      <w:r w:rsidR="00E54D4A" w:rsidRPr="00040BEC">
        <w:rPr>
          <w:rFonts w:cs="Arial"/>
          <w:lang w:val="en-GB"/>
        </w:rPr>
        <w:t>Handbook on radio equipment and systems video links for ENG/OB use</w:t>
      </w:r>
    </w:p>
    <w:p w14:paraId="6C97472D" w14:textId="77777777" w:rsidR="003752B5" w:rsidRPr="00040BEC" w:rsidRDefault="003752B5" w:rsidP="004E7E9D">
      <w:pPr>
        <w:pStyle w:val="reference"/>
        <w:numPr>
          <w:ilvl w:val="0"/>
          <w:numId w:val="16"/>
        </w:numPr>
        <w:rPr>
          <w:rFonts w:cs="Arial"/>
          <w:szCs w:val="20"/>
          <w:lang w:val="en-GB"/>
        </w:rPr>
      </w:pPr>
      <w:bookmarkStart w:id="193" w:name="_Ref356390025"/>
      <w:r w:rsidRPr="00040BEC">
        <w:rPr>
          <w:rFonts w:cs="Arial"/>
          <w:lang w:val="en-GB" w:eastAsia="de-DE"/>
        </w:rPr>
        <w:t>ERC Recommendation T/R 22-02</w:t>
      </w:r>
      <w:bookmarkEnd w:id="193"/>
      <w:r w:rsidR="00137811" w:rsidRPr="00040BEC">
        <w:rPr>
          <w:rFonts w:cs="Arial"/>
          <w:lang w:val="en-GB" w:eastAsia="de-DE"/>
        </w:rPr>
        <w:t xml:space="preserve"> on f</w:t>
      </w:r>
      <w:r w:rsidR="00137811" w:rsidRPr="00040BEC">
        <w:rPr>
          <w:rFonts w:cs="Arial"/>
          <w:szCs w:val="20"/>
          <w:lang w:val="en-GB"/>
        </w:rPr>
        <w:t>requency band to be designated for the European digital cordless telecommunication system (DECT)</w:t>
      </w:r>
    </w:p>
    <w:p w14:paraId="02928176" w14:textId="34317983" w:rsidR="003752B5" w:rsidRPr="00040BEC" w:rsidRDefault="00286183" w:rsidP="004E7E9D">
      <w:pPr>
        <w:pStyle w:val="reference"/>
        <w:numPr>
          <w:ilvl w:val="0"/>
          <w:numId w:val="16"/>
        </w:numPr>
        <w:rPr>
          <w:rFonts w:cs="Arial"/>
          <w:szCs w:val="20"/>
          <w:lang w:val="en-GB"/>
        </w:rPr>
      </w:pPr>
      <w:bookmarkStart w:id="194" w:name="_Ref356390212"/>
      <w:r>
        <w:rPr>
          <w:rFonts w:cs="Arial"/>
          <w:lang w:val="en-GB" w:eastAsia="de-DE"/>
        </w:rPr>
        <w:t xml:space="preserve">ERC </w:t>
      </w:r>
      <w:r w:rsidR="003752B5" w:rsidRPr="00040BEC">
        <w:rPr>
          <w:rFonts w:cs="Arial"/>
          <w:lang w:val="en-GB" w:eastAsia="de-DE"/>
        </w:rPr>
        <w:t>Decision (94)03 on the frequency band to be designated for the coordinated introduction of the Digital European Cordless Telecommunications system</w:t>
      </w:r>
      <w:bookmarkEnd w:id="194"/>
    </w:p>
    <w:p w14:paraId="497D45F0" w14:textId="2F24127D" w:rsidR="003752B5" w:rsidRPr="00040BEC" w:rsidRDefault="00286183" w:rsidP="004E7E9D">
      <w:pPr>
        <w:pStyle w:val="reference"/>
        <w:numPr>
          <w:ilvl w:val="0"/>
          <w:numId w:val="16"/>
        </w:numPr>
        <w:rPr>
          <w:rFonts w:cs="Arial"/>
          <w:szCs w:val="20"/>
          <w:lang w:val="en-GB"/>
        </w:rPr>
      </w:pPr>
      <w:bookmarkStart w:id="195" w:name="_Ref356390229"/>
      <w:r>
        <w:rPr>
          <w:rFonts w:cs="Arial"/>
          <w:szCs w:val="20"/>
          <w:lang w:val="en-GB"/>
        </w:rPr>
        <w:t xml:space="preserve">ERC </w:t>
      </w:r>
      <w:r w:rsidR="007C5C70" w:rsidRPr="00040BEC">
        <w:rPr>
          <w:rFonts w:cs="Arial"/>
          <w:szCs w:val="20"/>
          <w:lang w:val="en-GB"/>
        </w:rPr>
        <w:t xml:space="preserve">Decision (98)22 </w:t>
      </w:r>
      <w:r w:rsidR="007C5C70" w:rsidRPr="00040BEC">
        <w:rPr>
          <w:rFonts w:cs="Arial"/>
          <w:lang w:val="en-GB" w:eastAsia="de-DE"/>
        </w:rPr>
        <w:t>on Exemption from Individual Licensing of DECT equipment, except fixed parts which provide for public access (Corrected 30 March 2007); this decision is currently under revision in CEPT</w:t>
      </w:r>
    </w:p>
    <w:p w14:paraId="65F0D943" w14:textId="77777777" w:rsidR="007C5C70" w:rsidRPr="00040BEC" w:rsidRDefault="007C5C70" w:rsidP="004E7E9D">
      <w:pPr>
        <w:pStyle w:val="reference"/>
        <w:numPr>
          <w:ilvl w:val="0"/>
          <w:numId w:val="16"/>
        </w:numPr>
        <w:rPr>
          <w:rFonts w:cs="Arial"/>
          <w:szCs w:val="20"/>
          <w:lang w:val="en-GB"/>
        </w:rPr>
      </w:pPr>
      <w:bookmarkStart w:id="196" w:name="_Ref356390588"/>
      <w:r w:rsidRPr="00040BEC">
        <w:rPr>
          <w:rFonts w:cs="Arial"/>
          <w:lang w:val="en-GB" w:eastAsia="de-DE"/>
        </w:rPr>
        <w:t>ECC Report 199</w:t>
      </w:r>
      <w:bookmarkEnd w:id="196"/>
      <w:r w:rsidR="00A2647D" w:rsidRPr="00040BEC">
        <w:rPr>
          <w:rFonts w:cs="Arial"/>
          <w:lang w:val="en-GB" w:eastAsia="de-DE"/>
        </w:rPr>
        <w:t xml:space="preserve"> </w:t>
      </w:r>
      <w:r w:rsidR="00A2647D" w:rsidRPr="00040BEC">
        <w:rPr>
          <w:rFonts w:cs="Arial"/>
          <w:szCs w:val="20"/>
          <w:lang w:val="en-GB"/>
        </w:rPr>
        <w:t>user requirements and spectrum needs for the future European broadband PPDR system (Wide Area Network)</w:t>
      </w:r>
    </w:p>
    <w:bookmarkEnd w:id="195"/>
    <w:p w14:paraId="63CBBE59" w14:textId="77777777" w:rsidR="007C5C70" w:rsidRPr="00040BEC" w:rsidRDefault="00345CF7" w:rsidP="00345CF7">
      <w:pPr>
        <w:pStyle w:val="reference"/>
        <w:numPr>
          <w:ilvl w:val="0"/>
          <w:numId w:val="16"/>
        </w:numPr>
        <w:rPr>
          <w:rFonts w:cs="Arial"/>
          <w:szCs w:val="20"/>
          <w:lang w:val="en-GB"/>
        </w:rPr>
      </w:pPr>
      <w:r w:rsidRPr="00040BEC">
        <w:rPr>
          <w:rFonts w:cs="Arial"/>
          <w:szCs w:val="20"/>
          <w:lang w:val="en-GB"/>
        </w:rPr>
        <w:t>FM(14)183 Annex 1: Results of the PC of draft CEPT Report 52, Unpaired 2 GHz band</w:t>
      </w:r>
    </w:p>
    <w:p w14:paraId="1A524276" w14:textId="77777777" w:rsidR="007C5C70" w:rsidRPr="00040BEC" w:rsidRDefault="0077609E" w:rsidP="00C14173">
      <w:pPr>
        <w:pStyle w:val="reference"/>
        <w:numPr>
          <w:ilvl w:val="0"/>
          <w:numId w:val="16"/>
        </w:numPr>
        <w:rPr>
          <w:rFonts w:cs="Arial"/>
          <w:szCs w:val="20"/>
          <w:lang w:val="en-GB"/>
        </w:rPr>
      </w:pPr>
      <w:bookmarkStart w:id="197" w:name="_Ref388515174"/>
      <w:r w:rsidRPr="00040BEC">
        <w:rPr>
          <w:rFonts w:cs="Arial"/>
          <w:lang w:val="en-GB" w:eastAsia="de-DE"/>
        </w:rPr>
        <w:t>ITU-R Recommendation P.452-15</w:t>
      </w:r>
      <w:bookmarkEnd w:id="197"/>
      <w:r w:rsidR="00C14173" w:rsidRPr="00040BEC">
        <w:rPr>
          <w:rFonts w:cs="Arial"/>
          <w:lang w:val="en-GB" w:eastAsia="de-DE"/>
        </w:rPr>
        <w:t>: Prediction procedure for the evaluation of interference between stations on the surface of the Earth at frequencies above about 0.1 GHz</w:t>
      </w:r>
    </w:p>
    <w:p w14:paraId="60CC7272" w14:textId="77777777" w:rsidR="00CD3057" w:rsidRPr="00040BEC" w:rsidRDefault="00CD3057" w:rsidP="00E24C09">
      <w:pPr>
        <w:pStyle w:val="reference"/>
        <w:numPr>
          <w:ilvl w:val="0"/>
          <w:numId w:val="16"/>
        </w:numPr>
        <w:rPr>
          <w:rFonts w:cs="Arial"/>
          <w:szCs w:val="20"/>
          <w:lang w:val="en-GB"/>
        </w:rPr>
      </w:pPr>
      <w:bookmarkStart w:id="198" w:name="_Ref365920771"/>
      <w:r w:rsidRPr="00040BEC">
        <w:rPr>
          <w:rFonts w:cs="Arial"/>
          <w:szCs w:val="20"/>
          <w:lang w:val="en-GB"/>
        </w:rPr>
        <w:t xml:space="preserve">ECC Report </w:t>
      </w:r>
      <w:r w:rsidR="008A2021" w:rsidRPr="00040BEC">
        <w:rPr>
          <w:rFonts w:cs="Arial"/>
          <w:szCs w:val="20"/>
          <w:lang w:val="en-GB"/>
        </w:rPr>
        <w:t xml:space="preserve">214 </w:t>
      </w:r>
      <w:r w:rsidR="004735DB" w:rsidRPr="00040BEC">
        <w:rPr>
          <w:rFonts w:cs="Arial"/>
          <w:szCs w:val="20"/>
          <w:lang w:val="en-GB"/>
        </w:rPr>
        <w:t>on Broadband Direct-Air-to-Ground Communications (DA2GC)</w:t>
      </w:r>
      <w:bookmarkEnd w:id="198"/>
    </w:p>
    <w:p w14:paraId="1E4F677E" w14:textId="77777777" w:rsidR="00CD3057" w:rsidRPr="00040BEC" w:rsidRDefault="00CD3057" w:rsidP="004E7E9D">
      <w:pPr>
        <w:pStyle w:val="reference"/>
        <w:numPr>
          <w:ilvl w:val="0"/>
          <w:numId w:val="16"/>
        </w:numPr>
        <w:rPr>
          <w:rFonts w:cs="Arial"/>
          <w:szCs w:val="20"/>
          <w:lang w:val="en-GB"/>
        </w:rPr>
      </w:pPr>
      <w:bookmarkStart w:id="199" w:name="_Ref365920775"/>
      <w:r w:rsidRPr="00040BEC">
        <w:rPr>
          <w:rFonts w:cs="Arial"/>
          <w:szCs w:val="20"/>
          <w:lang w:val="en-GB"/>
        </w:rPr>
        <w:t xml:space="preserve">ECC Report </w:t>
      </w:r>
      <w:r w:rsidR="00CE43B3" w:rsidRPr="00040BEC">
        <w:rPr>
          <w:rFonts w:cs="Arial"/>
          <w:szCs w:val="20"/>
          <w:lang w:val="en-GB"/>
        </w:rPr>
        <w:t>209</w:t>
      </w:r>
      <w:r w:rsidR="0056016E" w:rsidRPr="00040BEC">
        <w:rPr>
          <w:rFonts w:cs="Arial"/>
          <w:szCs w:val="20"/>
          <w:lang w:val="en-GB"/>
        </w:rPr>
        <w:t>: C</w:t>
      </w:r>
      <w:r w:rsidR="00403CE3" w:rsidRPr="00040BEC">
        <w:rPr>
          <w:rFonts w:cs="Arial"/>
          <w:szCs w:val="20"/>
          <w:lang w:val="en-GB"/>
        </w:rPr>
        <w:t>ompatibility/sharing studies related to Broadband Direct-Air-to-Ground Communications (DA2GC) in the frequency bands 1900 – 1920 MHz / 2010 – 2025 MHz and services/applications in the adjacent bands</w:t>
      </w:r>
      <w:bookmarkEnd w:id="199"/>
    </w:p>
    <w:p w14:paraId="67420BB6" w14:textId="77777777" w:rsidR="00CD3057" w:rsidRPr="00040BEC" w:rsidRDefault="00CD3057" w:rsidP="004E7E9D">
      <w:pPr>
        <w:pStyle w:val="reference"/>
        <w:numPr>
          <w:ilvl w:val="0"/>
          <w:numId w:val="16"/>
        </w:numPr>
        <w:rPr>
          <w:rFonts w:cs="Arial"/>
          <w:szCs w:val="20"/>
          <w:lang w:val="en-GB"/>
        </w:rPr>
      </w:pPr>
      <w:bookmarkStart w:id="200" w:name="_Ref365920777"/>
      <w:r w:rsidRPr="00040BEC">
        <w:rPr>
          <w:rFonts w:cs="Arial"/>
          <w:szCs w:val="20"/>
          <w:lang w:val="en-GB"/>
        </w:rPr>
        <w:lastRenderedPageBreak/>
        <w:t xml:space="preserve">ECC Report </w:t>
      </w:r>
      <w:r w:rsidR="00CE43B3" w:rsidRPr="00040BEC">
        <w:rPr>
          <w:rFonts w:cs="Arial"/>
          <w:szCs w:val="20"/>
          <w:lang w:val="en-GB"/>
        </w:rPr>
        <w:t xml:space="preserve">210 </w:t>
      </w:r>
      <w:r w:rsidR="00403CE3" w:rsidRPr="00040BEC">
        <w:rPr>
          <w:rFonts w:cs="Arial"/>
          <w:szCs w:val="20"/>
          <w:lang w:val="en-GB"/>
        </w:rPr>
        <w:t>on Compatibility/sharing studies related to Broadband Direct-Air-to-Ground Communications (DA2GC) in the frequency bands 5855-5875 MHz, 2400-2483.5 MHz and 3400 – 3600 MHz</w:t>
      </w:r>
      <w:bookmarkEnd w:id="200"/>
    </w:p>
    <w:p w14:paraId="6BC83522" w14:textId="77777777" w:rsidR="00A56349" w:rsidRPr="00040BEC" w:rsidRDefault="00A56349" w:rsidP="00A56349">
      <w:pPr>
        <w:pStyle w:val="reference"/>
        <w:numPr>
          <w:ilvl w:val="0"/>
          <w:numId w:val="16"/>
        </w:numPr>
        <w:rPr>
          <w:rFonts w:cs="Arial"/>
          <w:szCs w:val="20"/>
          <w:lang w:val="en-GB"/>
        </w:rPr>
      </w:pPr>
      <w:bookmarkStart w:id="201" w:name="_Ref388514212"/>
      <w:r w:rsidRPr="00040BEC">
        <w:rPr>
          <w:rFonts w:cs="Arial"/>
          <w:szCs w:val="20"/>
          <w:lang w:val="en-GB"/>
        </w:rPr>
        <w:t xml:space="preserve">ECC Report </w:t>
      </w:r>
      <w:r w:rsidR="006D602F" w:rsidRPr="00040BEC">
        <w:rPr>
          <w:rFonts w:cs="Arial"/>
          <w:szCs w:val="20"/>
          <w:lang w:val="en-GB"/>
        </w:rPr>
        <w:t>220</w:t>
      </w:r>
      <w:r w:rsidRPr="00040BEC">
        <w:rPr>
          <w:rFonts w:cs="Arial"/>
          <w:szCs w:val="20"/>
          <w:lang w:val="en-GB"/>
        </w:rPr>
        <w:t xml:space="preserve"> on the compatibility and sharing studies of DA2GC, PMSE video links, SRD and DECT in the 2 GHz unpaired bands (in public consultation</w:t>
      </w:r>
      <w:r w:rsidR="00B3425C" w:rsidRPr="00040BEC">
        <w:rPr>
          <w:rFonts w:cs="Arial"/>
          <w:szCs w:val="20"/>
          <w:lang w:val="en-GB"/>
        </w:rPr>
        <w:t>)</w:t>
      </w:r>
      <w:bookmarkEnd w:id="201"/>
    </w:p>
    <w:p w14:paraId="7AAB4864" w14:textId="77777777" w:rsidR="00E24C09" w:rsidRPr="00040BEC" w:rsidRDefault="00E24C09" w:rsidP="00E24C09">
      <w:pPr>
        <w:pStyle w:val="reference"/>
        <w:numPr>
          <w:ilvl w:val="0"/>
          <w:numId w:val="16"/>
        </w:numPr>
        <w:rPr>
          <w:rFonts w:cs="Arial"/>
          <w:szCs w:val="20"/>
          <w:lang w:val="en-GB"/>
        </w:rPr>
      </w:pPr>
      <w:bookmarkStart w:id="202" w:name="_Ref412024151"/>
      <w:r w:rsidRPr="00040BEC">
        <w:rPr>
          <w:rFonts w:cs="Arial"/>
          <w:szCs w:val="20"/>
          <w:lang w:val="en-GB"/>
        </w:rPr>
        <w:t>ECC Report 189: Future Spectrum Demand for Short Range Devices in the UHF Frequency Bands</w:t>
      </w:r>
      <w:bookmarkEnd w:id="202"/>
    </w:p>
    <w:p w14:paraId="18052C07" w14:textId="77777777" w:rsidR="0084262B" w:rsidRPr="00040BEC" w:rsidRDefault="0084262B" w:rsidP="0084262B">
      <w:pPr>
        <w:pStyle w:val="reference"/>
        <w:numPr>
          <w:ilvl w:val="0"/>
          <w:numId w:val="16"/>
        </w:numPr>
        <w:rPr>
          <w:rFonts w:cs="Arial"/>
          <w:szCs w:val="20"/>
          <w:lang w:val="en-GB"/>
        </w:rPr>
      </w:pPr>
      <w:bookmarkStart w:id="203" w:name="_Ref388513496"/>
      <w:r w:rsidRPr="00040BEC">
        <w:rPr>
          <w:rFonts w:cs="Arial"/>
          <w:szCs w:val="20"/>
          <w:lang w:val="en-GB"/>
        </w:rPr>
        <w:t>ETSI TR 103 054 V1.1.1 (2010-07), System Reference Document on Broadband Direct-Air-to-Ground Communications operating in part of the frequency range from 790 MHz to 5150 MHz; FM48(10)003</w:t>
      </w:r>
      <w:bookmarkEnd w:id="203"/>
    </w:p>
    <w:p w14:paraId="1976BA39" w14:textId="77777777" w:rsidR="0084262B" w:rsidRPr="00040BEC" w:rsidRDefault="0084262B" w:rsidP="0084262B">
      <w:pPr>
        <w:pStyle w:val="reference"/>
        <w:numPr>
          <w:ilvl w:val="0"/>
          <w:numId w:val="16"/>
        </w:numPr>
        <w:rPr>
          <w:rFonts w:cs="Arial"/>
          <w:szCs w:val="20"/>
          <w:lang w:val="en-GB"/>
        </w:rPr>
      </w:pPr>
      <w:bookmarkStart w:id="204" w:name="_Ref388513504"/>
      <w:r w:rsidRPr="00040BEC">
        <w:rPr>
          <w:rFonts w:cs="Arial"/>
          <w:szCs w:val="20"/>
          <w:lang w:val="en-GB"/>
        </w:rPr>
        <w:t>ETSI TR 101 599 V1.1.3 (2012-09), System Reference Document on Broadband Direct-Air-to-Ground Communications System employing beamforming antennas, operating in the 2.4 GHz and 5.8 GHz bands; FM48(12)036</w:t>
      </w:r>
      <w:bookmarkEnd w:id="204"/>
    </w:p>
    <w:p w14:paraId="7AD2E097" w14:textId="77777777" w:rsidR="0084262B" w:rsidRPr="00040BEC" w:rsidRDefault="0084262B" w:rsidP="00E24C09">
      <w:pPr>
        <w:pStyle w:val="reference"/>
        <w:numPr>
          <w:ilvl w:val="0"/>
          <w:numId w:val="16"/>
        </w:numPr>
        <w:rPr>
          <w:rFonts w:cs="Arial"/>
          <w:szCs w:val="20"/>
          <w:lang w:val="en-GB"/>
        </w:rPr>
      </w:pPr>
      <w:bookmarkStart w:id="205" w:name="_Ref388513513"/>
      <w:r w:rsidRPr="00040BEC">
        <w:rPr>
          <w:rFonts w:cs="Arial"/>
          <w:szCs w:val="20"/>
          <w:lang w:val="en-GB"/>
        </w:rPr>
        <w:t>ETSI TR 103 108 V1.1.1 (2013-07), System Reference Document on Broadband Direct-Air-to-Ground Communications System operating in the 5.855 GHz to 5.875 GHz band using 3G technology</w:t>
      </w:r>
      <w:bookmarkEnd w:id="205"/>
    </w:p>
    <w:p w14:paraId="06FEF06D" w14:textId="77777777" w:rsidR="0084262B" w:rsidRPr="00040BEC" w:rsidRDefault="002676E2" w:rsidP="002676E2">
      <w:pPr>
        <w:pStyle w:val="reference"/>
        <w:numPr>
          <w:ilvl w:val="0"/>
          <w:numId w:val="16"/>
        </w:numPr>
        <w:rPr>
          <w:rFonts w:cs="Arial"/>
          <w:szCs w:val="20"/>
          <w:lang w:val="en-GB"/>
        </w:rPr>
      </w:pPr>
      <w:r w:rsidRPr="00040BEC">
        <w:rPr>
          <w:rFonts w:cs="Arial"/>
          <w:szCs w:val="20"/>
          <w:lang w:val="en-GB"/>
        </w:rPr>
        <w:t>ETSI TR 103 149 V1.1.1 (2013-09): System Reference Document on DECT operating in the 1 900 MHz - 1 920 MHz band</w:t>
      </w:r>
    </w:p>
    <w:bookmarkEnd w:id="169"/>
    <w:p w14:paraId="7D5A4AE7" w14:textId="77777777" w:rsidR="00EA23D4" w:rsidRPr="00040BEC" w:rsidRDefault="00EA23D4" w:rsidP="00EA23D4">
      <w:pPr>
        <w:pStyle w:val="reference"/>
        <w:numPr>
          <w:ilvl w:val="0"/>
          <w:numId w:val="16"/>
        </w:numPr>
        <w:rPr>
          <w:rFonts w:cs="Arial"/>
          <w:szCs w:val="20"/>
          <w:lang w:val="en-GB"/>
        </w:rPr>
      </w:pPr>
      <w:r w:rsidRPr="00040BEC">
        <w:rPr>
          <w:rFonts w:cs="Arial"/>
          <w:szCs w:val="20"/>
          <w:lang w:val="en-GB"/>
        </w:rPr>
        <w:t>FM(14)021_ECO Summary of Consultation of the Call for Inputs for the 2 GHz Unpaired Bands</w:t>
      </w:r>
    </w:p>
    <w:p w14:paraId="0BF880CC" w14:textId="77777777" w:rsidR="00EA23D4" w:rsidRPr="00040BEC" w:rsidRDefault="00EA23D4" w:rsidP="00EA23D4">
      <w:pPr>
        <w:pStyle w:val="reference"/>
        <w:numPr>
          <w:ilvl w:val="0"/>
          <w:numId w:val="16"/>
        </w:numPr>
        <w:rPr>
          <w:rFonts w:cs="Arial"/>
          <w:szCs w:val="20"/>
          <w:lang w:val="en-GB"/>
        </w:rPr>
      </w:pPr>
      <w:r w:rsidRPr="00040BEC">
        <w:rPr>
          <w:rFonts w:cs="Arial"/>
          <w:szCs w:val="20"/>
          <w:lang w:val="en-GB"/>
        </w:rPr>
        <w:t xml:space="preserve">CEPT Report </w:t>
      </w:r>
      <w:r w:rsidR="00246BF0" w:rsidRPr="00040BEC">
        <w:rPr>
          <w:rFonts w:cs="Arial"/>
          <w:szCs w:val="20"/>
          <w:lang w:val="en-GB"/>
        </w:rPr>
        <w:t>0</w:t>
      </w:r>
      <w:r w:rsidRPr="00040BEC">
        <w:rPr>
          <w:rFonts w:cs="Arial"/>
          <w:szCs w:val="20"/>
          <w:lang w:val="en-GB"/>
        </w:rPr>
        <w:t>51 Technical conditions for ensuring the sustainable operation of cordless video-cameras</w:t>
      </w:r>
    </w:p>
    <w:p w14:paraId="5771D5C5" w14:textId="77777777" w:rsidR="00137811" w:rsidRPr="00040BEC" w:rsidRDefault="00137811" w:rsidP="006B6417">
      <w:pPr>
        <w:pStyle w:val="reference"/>
        <w:numPr>
          <w:ilvl w:val="0"/>
          <w:numId w:val="16"/>
        </w:numPr>
        <w:rPr>
          <w:rFonts w:cs="Arial"/>
          <w:szCs w:val="20"/>
          <w:lang w:val="en-GB"/>
        </w:rPr>
      </w:pPr>
      <w:bookmarkStart w:id="206" w:name="_Ref387908099"/>
      <w:r w:rsidRPr="00040BEC">
        <w:rPr>
          <w:lang w:val="en-GB"/>
        </w:rPr>
        <w:t>ETSI TR 103 089</w:t>
      </w:r>
      <w:bookmarkEnd w:id="206"/>
      <w:r w:rsidR="006B6417" w:rsidRPr="00040BEC">
        <w:rPr>
          <w:lang w:val="en-GB"/>
        </w:rPr>
        <w:t>: Digital Enhanced Cordless Telecommunications (DECT); DECT properties and radio parameters relevant for studies on compatibility with cellular technologies operating on frequency blocks adjacent to the DECT frequency band</w:t>
      </w:r>
    </w:p>
    <w:p w14:paraId="4522C13B" w14:textId="77777777" w:rsidR="00137811" w:rsidRPr="00040BEC" w:rsidRDefault="00137811" w:rsidP="00EA23D4">
      <w:pPr>
        <w:pStyle w:val="reference"/>
        <w:numPr>
          <w:ilvl w:val="0"/>
          <w:numId w:val="16"/>
        </w:numPr>
        <w:rPr>
          <w:rFonts w:cs="Arial"/>
          <w:szCs w:val="20"/>
          <w:lang w:val="en-GB"/>
        </w:rPr>
      </w:pPr>
      <w:bookmarkStart w:id="207" w:name="_Ref387908880"/>
      <w:r w:rsidRPr="00040BEC">
        <w:rPr>
          <w:lang w:val="en-GB"/>
        </w:rPr>
        <w:t xml:space="preserve">ERC Recommendation 70-03 </w:t>
      </w:r>
      <w:r w:rsidRPr="00040BEC">
        <w:rPr>
          <w:rFonts w:cs="Arial"/>
          <w:szCs w:val="20"/>
          <w:lang w:val="en-GB"/>
        </w:rPr>
        <w:t>Relating to the use of Short Range Devices (SRD)</w:t>
      </w:r>
      <w:bookmarkEnd w:id="207"/>
    </w:p>
    <w:p w14:paraId="615BC607" w14:textId="77777777" w:rsidR="00137811" w:rsidRPr="00040BEC" w:rsidRDefault="006B6417" w:rsidP="006B6417">
      <w:pPr>
        <w:pStyle w:val="reference"/>
        <w:numPr>
          <w:ilvl w:val="0"/>
          <w:numId w:val="16"/>
        </w:numPr>
        <w:rPr>
          <w:rFonts w:cs="Arial"/>
          <w:szCs w:val="20"/>
          <w:lang w:val="en-GB"/>
        </w:rPr>
      </w:pPr>
      <w:r w:rsidRPr="00040BEC">
        <w:rPr>
          <w:lang w:val="en-GB"/>
        </w:rPr>
        <w:t xml:space="preserve">Draft </w:t>
      </w:r>
      <w:r w:rsidR="00137811" w:rsidRPr="00040BEC">
        <w:rPr>
          <w:lang w:val="en-GB"/>
        </w:rPr>
        <w:t>IEEE 802.11ah</w:t>
      </w:r>
      <w:r w:rsidRPr="00040BEC">
        <w:rPr>
          <w:lang w:val="en-GB"/>
        </w:rPr>
        <w:t>: IEEE 802.11ah is an emerging standard that defines a WLAN system operating at sub 1 GHz license-exempt bands, with final approval slated for March 2016</w:t>
      </w:r>
    </w:p>
    <w:p w14:paraId="18C8F355" w14:textId="77777777" w:rsidR="00E2014B" w:rsidRPr="00040BEC" w:rsidRDefault="00E2014B" w:rsidP="00EA23D4">
      <w:pPr>
        <w:pStyle w:val="reference"/>
        <w:numPr>
          <w:ilvl w:val="0"/>
          <w:numId w:val="16"/>
        </w:numPr>
        <w:rPr>
          <w:rFonts w:cs="Arial"/>
          <w:szCs w:val="20"/>
          <w:lang w:val="en-GB"/>
        </w:rPr>
      </w:pPr>
      <w:bookmarkStart w:id="208" w:name="_Ref387910749"/>
      <w:r w:rsidRPr="00040BEC">
        <w:rPr>
          <w:lang w:val="en-GB"/>
        </w:rPr>
        <w:t>CEPT Report 043</w:t>
      </w:r>
      <w:bookmarkEnd w:id="208"/>
      <w:r w:rsidR="00B3425C" w:rsidRPr="00040BEC">
        <w:rPr>
          <w:lang w:val="en-GB"/>
        </w:rPr>
        <w:t xml:space="preserve"> </w:t>
      </w:r>
      <w:r w:rsidR="00B3425C" w:rsidRPr="00040BEC">
        <w:rPr>
          <w:rFonts w:cs="Arial"/>
          <w:szCs w:val="20"/>
          <w:lang w:val="en-GB"/>
        </w:rPr>
        <w:t>To undertake technical studies on the efficient use of the harmonised 169.4-169.8125 MHz frequency band (169 MHz – Review Mandate</w:t>
      </w:r>
    </w:p>
    <w:p w14:paraId="702BAFDC" w14:textId="77777777" w:rsidR="00E2014B" w:rsidRPr="00040BEC" w:rsidRDefault="00E2014B" w:rsidP="00EA23D4">
      <w:pPr>
        <w:pStyle w:val="reference"/>
        <w:numPr>
          <w:ilvl w:val="0"/>
          <w:numId w:val="16"/>
        </w:numPr>
        <w:rPr>
          <w:rFonts w:cs="Arial"/>
          <w:szCs w:val="20"/>
          <w:lang w:val="en-GB"/>
        </w:rPr>
      </w:pPr>
      <w:bookmarkStart w:id="209" w:name="_Ref387911510"/>
      <w:r w:rsidRPr="00040BEC">
        <w:rPr>
          <w:rFonts w:cs="Arial"/>
          <w:lang w:val="en-GB"/>
        </w:rPr>
        <w:t>ECC Report 096</w:t>
      </w:r>
      <w:bookmarkEnd w:id="209"/>
      <w:r w:rsidR="00B3425C" w:rsidRPr="00040BEC">
        <w:rPr>
          <w:rFonts w:cs="Arial"/>
          <w:lang w:val="en-GB"/>
        </w:rPr>
        <w:t xml:space="preserve"> </w:t>
      </w:r>
      <w:r w:rsidR="00B3425C" w:rsidRPr="00040BEC">
        <w:rPr>
          <w:rFonts w:cs="Arial"/>
          <w:szCs w:val="20"/>
          <w:lang w:val="en-GB"/>
        </w:rPr>
        <w:t>Compatibility between UMTS 900/1800 and systems operating in adjacent bands</w:t>
      </w:r>
    </w:p>
    <w:p w14:paraId="57067CA9" w14:textId="77777777" w:rsidR="00454BBF" w:rsidRPr="00040BEC" w:rsidRDefault="00454BBF" w:rsidP="00EA23D4">
      <w:pPr>
        <w:pStyle w:val="reference"/>
        <w:numPr>
          <w:ilvl w:val="0"/>
          <w:numId w:val="16"/>
        </w:numPr>
        <w:rPr>
          <w:rFonts w:cs="Arial"/>
          <w:szCs w:val="20"/>
          <w:lang w:val="en-GB"/>
        </w:rPr>
      </w:pPr>
      <w:bookmarkStart w:id="210" w:name="_Ref388513154"/>
      <w:r w:rsidRPr="00040BEC">
        <w:rPr>
          <w:rFonts w:cs="Arial"/>
          <w:szCs w:val="20"/>
          <w:lang w:val="en-GB"/>
        </w:rPr>
        <w:t>ERC Recommendation 74-01 on</w:t>
      </w:r>
      <w:bookmarkEnd w:id="210"/>
      <w:r w:rsidRPr="00040BEC">
        <w:rPr>
          <w:rFonts w:cs="Arial"/>
          <w:szCs w:val="20"/>
          <w:lang w:val="en-GB"/>
        </w:rPr>
        <w:t xml:space="preserve"> </w:t>
      </w:r>
      <w:r w:rsidR="00E17B98" w:rsidRPr="00040BEC">
        <w:rPr>
          <w:rFonts w:cs="Arial"/>
          <w:szCs w:val="20"/>
          <w:lang w:val="en-GB"/>
        </w:rPr>
        <w:t>Unwanted Emissions in the Spurious Domain</w:t>
      </w:r>
    </w:p>
    <w:p w14:paraId="2EE95568" w14:textId="77777777" w:rsidR="00454BBF" w:rsidRPr="00040BEC" w:rsidRDefault="00454BBF" w:rsidP="00EA23D4">
      <w:pPr>
        <w:pStyle w:val="reference"/>
        <w:numPr>
          <w:ilvl w:val="0"/>
          <w:numId w:val="16"/>
        </w:numPr>
        <w:rPr>
          <w:rFonts w:cs="Arial"/>
          <w:szCs w:val="20"/>
          <w:lang w:val="en-GB"/>
        </w:rPr>
      </w:pPr>
      <w:bookmarkStart w:id="211" w:name="_Ref388514269"/>
      <w:r w:rsidRPr="00040BEC">
        <w:rPr>
          <w:rFonts w:cs="Arial"/>
          <w:szCs w:val="20"/>
          <w:lang w:val="en-GB"/>
        </w:rPr>
        <w:t>ECC Report 172</w:t>
      </w:r>
      <w:bookmarkEnd w:id="211"/>
      <w:r w:rsidR="00E17B98" w:rsidRPr="00040BEC">
        <w:rPr>
          <w:rFonts w:cs="Arial"/>
          <w:szCs w:val="20"/>
          <w:lang w:val="en-GB"/>
        </w:rPr>
        <w:t xml:space="preserve"> on Broadband Wireless Systems Usage in 2300-2400 MHz</w:t>
      </w:r>
    </w:p>
    <w:p w14:paraId="487E53D8" w14:textId="77777777" w:rsidR="0077609E" w:rsidRPr="00040BEC" w:rsidRDefault="0077609E" w:rsidP="00EA23D4">
      <w:pPr>
        <w:pStyle w:val="reference"/>
        <w:numPr>
          <w:ilvl w:val="0"/>
          <w:numId w:val="16"/>
        </w:numPr>
        <w:rPr>
          <w:rFonts w:cs="Arial"/>
          <w:szCs w:val="20"/>
          <w:lang w:val="en-GB"/>
        </w:rPr>
      </w:pPr>
      <w:bookmarkStart w:id="212" w:name="_Ref388516081"/>
      <w:r w:rsidRPr="00040BEC">
        <w:rPr>
          <w:rFonts w:cs="Arial"/>
          <w:szCs w:val="20"/>
          <w:lang w:val="en-GB"/>
        </w:rPr>
        <w:t>ECC Report 181</w:t>
      </w:r>
      <w:bookmarkEnd w:id="212"/>
      <w:r w:rsidR="00E17B98" w:rsidRPr="00040BEC">
        <w:rPr>
          <w:rFonts w:cs="Arial"/>
          <w:szCs w:val="20"/>
          <w:lang w:val="en-GB"/>
        </w:rPr>
        <w:t xml:space="preserve"> on Improving spectrum efficiency in SRD bands</w:t>
      </w:r>
    </w:p>
    <w:p w14:paraId="31634FE0" w14:textId="77777777" w:rsidR="0077609E" w:rsidRPr="00040BEC" w:rsidRDefault="0077609E" w:rsidP="00EA23D4">
      <w:pPr>
        <w:pStyle w:val="reference"/>
        <w:numPr>
          <w:ilvl w:val="0"/>
          <w:numId w:val="16"/>
        </w:numPr>
        <w:rPr>
          <w:rFonts w:cs="Arial"/>
          <w:szCs w:val="20"/>
          <w:lang w:val="en-GB"/>
        </w:rPr>
      </w:pPr>
      <w:bookmarkStart w:id="213" w:name="_Ref388516053"/>
      <w:r w:rsidRPr="00040BEC">
        <w:rPr>
          <w:rFonts w:cs="Arial"/>
          <w:szCs w:val="20"/>
          <w:lang w:val="en-GB"/>
        </w:rPr>
        <w:t>ECC Report 182</w:t>
      </w:r>
      <w:bookmarkEnd w:id="213"/>
      <w:r w:rsidR="00E17B98" w:rsidRPr="00040BEC">
        <w:rPr>
          <w:rFonts w:cs="Arial"/>
          <w:szCs w:val="20"/>
          <w:lang w:val="en-GB"/>
        </w:rPr>
        <w:t xml:space="preserve"> on Survey about the use of the frequency band 863-870 MHz</w:t>
      </w:r>
    </w:p>
    <w:p w14:paraId="49FC0603" w14:textId="77777777" w:rsidR="0077609E" w:rsidRPr="00040BEC" w:rsidRDefault="0077609E" w:rsidP="00EA23D4">
      <w:pPr>
        <w:pStyle w:val="reference"/>
        <w:numPr>
          <w:ilvl w:val="0"/>
          <w:numId w:val="16"/>
        </w:numPr>
        <w:rPr>
          <w:rFonts w:cs="Arial"/>
          <w:szCs w:val="20"/>
          <w:lang w:val="en-GB"/>
        </w:rPr>
      </w:pPr>
      <w:bookmarkStart w:id="214" w:name="_Ref388516068"/>
      <w:bookmarkStart w:id="215" w:name="_Ref401577068"/>
      <w:r w:rsidRPr="00040BEC">
        <w:rPr>
          <w:rFonts w:cs="Arial"/>
          <w:szCs w:val="20"/>
          <w:lang w:val="en-GB"/>
        </w:rPr>
        <w:t>ECC Report 200</w:t>
      </w:r>
      <w:bookmarkEnd w:id="214"/>
      <w:r w:rsidR="00E17B98" w:rsidRPr="00040BEC">
        <w:rPr>
          <w:rFonts w:cs="Arial"/>
          <w:szCs w:val="20"/>
          <w:lang w:val="en-GB"/>
        </w:rPr>
        <w:t xml:space="preserve"> on Co-existence studies for proposed SRD and RFID applications in the frequency 870-876 MHz/915-921 MHz</w:t>
      </w:r>
      <w:bookmarkEnd w:id="215"/>
    </w:p>
    <w:p w14:paraId="647F7F6C" w14:textId="77777777" w:rsidR="009B1F09" w:rsidRPr="00040BEC" w:rsidRDefault="00D96078" w:rsidP="00AC266D">
      <w:pPr>
        <w:pStyle w:val="reference"/>
        <w:numPr>
          <w:ilvl w:val="0"/>
          <w:numId w:val="16"/>
        </w:numPr>
        <w:rPr>
          <w:rFonts w:cs="Arial"/>
          <w:szCs w:val="20"/>
          <w:lang w:val="en-GB"/>
        </w:rPr>
      </w:pPr>
      <w:bookmarkStart w:id="216" w:name="_Ref401577139"/>
      <w:r w:rsidRPr="00040BEC">
        <w:rPr>
          <w:rFonts w:cs="Arial"/>
          <w:szCs w:val="20"/>
          <w:lang w:val="en-GB"/>
        </w:rPr>
        <w:t>ETSI TR 103 245 V1.1.1 (2014-10): System Reference Document; Technical characteristics and spectrum requirements of wideband SRDs with advanced spectrum sharing capability for operation in the UHF 870 - 876 MHz and 915 - 921 MHz frequency bands</w:t>
      </w:r>
      <w:bookmarkEnd w:id="216"/>
    </w:p>
    <w:p w14:paraId="6085484E" w14:textId="68F57B0B" w:rsidR="003C7843" w:rsidRPr="00040BEC" w:rsidRDefault="003C7843" w:rsidP="003C7843">
      <w:pPr>
        <w:pStyle w:val="reference"/>
        <w:numPr>
          <w:ilvl w:val="0"/>
          <w:numId w:val="16"/>
        </w:numPr>
        <w:rPr>
          <w:rFonts w:cs="Arial"/>
          <w:szCs w:val="20"/>
          <w:lang w:val="en-GB"/>
        </w:rPr>
      </w:pPr>
      <w:bookmarkStart w:id="217" w:name="_Ref411331680"/>
      <w:r w:rsidRPr="00040BEC">
        <w:rPr>
          <w:rFonts w:cs="Arial"/>
          <w:szCs w:val="20"/>
          <w:lang w:val="en-GB"/>
        </w:rPr>
        <w:t>ECC Decision</w:t>
      </w:r>
      <w:r w:rsidR="00EA66D0">
        <w:rPr>
          <w:rFonts w:cs="Arial"/>
          <w:szCs w:val="20"/>
          <w:lang w:val="en-GB"/>
        </w:rPr>
        <w:t xml:space="preserve"> (15)</w:t>
      </w:r>
      <w:r w:rsidR="00FB555C">
        <w:rPr>
          <w:rFonts w:cs="Arial"/>
          <w:szCs w:val="20"/>
          <w:lang w:val="en-GB"/>
        </w:rPr>
        <w:t>02</w:t>
      </w:r>
      <w:r w:rsidR="00FB555C" w:rsidRPr="00040BEC">
        <w:rPr>
          <w:rFonts w:cs="Arial"/>
          <w:szCs w:val="20"/>
          <w:lang w:val="en-GB"/>
        </w:rPr>
        <w:t xml:space="preserve"> </w:t>
      </w:r>
      <w:r w:rsidRPr="00040BEC">
        <w:rPr>
          <w:rFonts w:cs="Arial"/>
          <w:szCs w:val="20"/>
          <w:lang w:val="en-GB"/>
        </w:rPr>
        <w:t>on the harmonised use of broadband Direct Air-to-Ground Communications (DA2GC) systems in the frequency band 1900-1920 MHz</w:t>
      </w:r>
      <w:bookmarkEnd w:id="217"/>
    </w:p>
    <w:p w14:paraId="5FE75BAD" w14:textId="03DF8AFD" w:rsidR="003C7843" w:rsidRPr="00040BEC" w:rsidRDefault="003C7843" w:rsidP="003C7843">
      <w:pPr>
        <w:pStyle w:val="reference"/>
        <w:numPr>
          <w:ilvl w:val="0"/>
          <w:numId w:val="16"/>
        </w:numPr>
        <w:rPr>
          <w:rFonts w:cs="Arial"/>
          <w:szCs w:val="20"/>
          <w:lang w:val="en-GB"/>
        </w:rPr>
      </w:pPr>
      <w:bookmarkStart w:id="218" w:name="_Ref411331956"/>
      <w:r w:rsidRPr="00040BEC">
        <w:rPr>
          <w:rFonts w:cs="Arial"/>
          <w:szCs w:val="20"/>
          <w:lang w:val="en-GB"/>
        </w:rPr>
        <w:t xml:space="preserve">ECC Decision </w:t>
      </w:r>
      <w:r w:rsidR="00EA66D0">
        <w:rPr>
          <w:rFonts w:cs="Arial"/>
          <w:szCs w:val="20"/>
          <w:lang w:val="en-GB"/>
        </w:rPr>
        <w:t>(15)</w:t>
      </w:r>
      <w:r w:rsidR="00FB555C">
        <w:rPr>
          <w:rFonts w:cs="Arial"/>
          <w:szCs w:val="20"/>
          <w:lang w:val="en-GB"/>
        </w:rPr>
        <w:t xml:space="preserve">03 </w:t>
      </w:r>
      <w:r w:rsidRPr="00040BEC">
        <w:rPr>
          <w:rFonts w:cs="Arial"/>
          <w:szCs w:val="20"/>
          <w:lang w:val="en-GB"/>
        </w:rPr>
        <w:t xml:space="preserve">on the harmonised use of broadband Direct Air-to-Ground Communications (DA2GC) systems in the frequency band </w:t>
      </w:r>
      <w:r w:rsidR="00F62584" w:rsidRPr="00040BEC">
        <w:rPr>
          <w:rFonts w:cs="Arial"/>
          <w:szCs w:val="20"/>
          <w:lang w:val="en-GB"/>
        </w:rPr>
        <w:t>5</w:t>
      </w:r>
      <w:r w:rsidRPr="00040BEC">
        <w:rPr>
          <w:rFonts w:cs="Arial"/>
          <w:szCs w:val="20"/>
          <w:lang w:val="en-GB"/>
        </w:rPr>
        <w:t>855-5875 MHz</w:t>
      </w:r>
      <w:bookmarkEnd w:id="218"/>
    </w:p>
    <w:p w14:paraId="1E03DD37" w14:textId="77777777" w:rsidR="003C7843" w:rsidRPr="00040BEC" w:rsidRDefault="003C7843" w:rsidP="003C7843">
      <w:pPr>
        <w:pStyle w:val="reference"/>
        <w:numPr>
          <w:ilvl w:val="0"/>
          <w:numId w:val="0"/>
        </w:numPr>
        <w:ind w:left="397" w:hanging="397"/>
        <w:rPr>
          <w:rFonts w:cs="Arial"/>
          <w:szCs w:val="20"/>
          <w:lang w:val="en-GB"/>
        </w:rPr>
      </w:pPr>
    </w:p>
    <w:p w14:paraId="0A484660" w14:textId="75C04797" w:rsidR="00B62D75" w:rsidRPr="00040BEC" w:rsidRDefault="00B62D75" w:rsidP="003C7843">
      <w:pPr>
        <w:pStyle w:val="reference"/>
        <w:numPr>
          <w:ilvl w:val="0"/>
          <w:numId w:val="0"/>
        </w:numPr>
        <w:rPr>
          <w:rFonts w:cs="Arial"/>
          <w:szCs w:val="20"/>
          <w:lang w:val="en-GB"/>
        </w:rPr>
      </w:pPr>
    </w:p>
    <w:sectPr w:rsidR="00B62D75" w:rsidRPr="00040BEC" w:rsidSect="00662240">
      <w:headerReference w:type="default" r:id="rId34"/>
      <w:footerReference w:type="even" r:id="rId35"/>
      <w:headerReference w:type="first" r:id="rId36"/>
      <w:pgSz w:w="11907" w:h="16839" w:code="9"/>
      <w:pgMar w:top="1418" w:right="1275" w:bottom="1418"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5CD3330" w14:textId="77777777" w:rsidR="00DA7779" w:rsidRDefault="00DA7779" w:rsidP="008A54FC">
      <w:r>
        <w:separator/>
      </w:r>
    </w:p>
  </w:endnote>
  <w:endnote w:type="continuationSeparator" w:id="0">
    <w:p w14:paraId="7C3A01E1" w14:textId="77777777" w:rsidR="00DA7779" w:rsidRDefault="00DA7779" w:rsidP="008A54FC">
      <w:r>
        <w:continuationSeparator/>
      </w:r>
    </w:p>
  </w:endnote>
  <w:endnote w:type="continuationNotice" w:id="1">
    <w:p w14:paraId="041724B0" w14:textId="77777777" w:rsidR="00DA7779" w:rsidRDefault="00DA777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Bold">
    <w:charset w:val="00"/>
    <w:family w:val="auto"/>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Lucida Grande">
    <w:altName w:val="Times New Roman"/>
    <w:charset w:val="00"/>
    <w:family w:val="auto"/>
    <w:pitch w:val="variable"/>
    <w:sig w:usb0="00000000" w:usb1="5000A1FF" w:usb2="00000000" w:usb3="00000000" w:csb0="000001BF" w:csb1="00000000"/>
  </w:font>
  <w:font w:name="Verdana">
    <w:panose1 w:val="020B0604030504040204"/>
    <w:charset w:val="00"/>
    <w:family w:val="swiss"/>
    <w:pitch w:val="variable"/>
    <w:sig w:usb0="A10006FF" w:usb1="4000205B" w:usb2="00000010" w:usb3="00000000" w:csb0="0000019F" w:csb1="00000000"/>
  </w:font>
  <w:font w:name="WenQuanYi Micro Hei">
    <w:altName w:val="Arial Unicode MS"/>
    <w:panose1 w:val="00000000000000000000"/>
    <w:charset w:val="80"/>
    <w:family w:val="auto"/>
    <w:notTrueType/>
    <w:pitch w:val="variable"/>
    <w:sig w:usb0="00000001" w:usb1="08070000" w:usb2="00000010" w:usb3="00000000" w:csb0="00020000" w:csb1="00000000"/>
  </w:font>
  <w:font w:name="Lohit Hindi">
    <w:altName w:val="Times New Roman"/>
    <w:charset w:val="00"/>
    <w:family w:val="auto"/>
    <w:pitch w:val="variable"/>
  </w:font>
  <w:font w:name="Cambria">
    <w:panose1 w:val="02040503050406030204"/>
    <w:charset w:val="00"/>
    <w:family w:val="roman"/>
    <w:pitch w:val="variable"/>
    <w:sig w:usb0="E00002FF" w:usb1="400004FF" w:usb2="00000000" w:usb3="00000000" w:csb0="0000019F" w:csb1="00000000"/>
  </w:font>
  <w:font w:name="Times">
    <w:panose1 w:val="02020603050405020304"/>
    <w:charset w:val="00"/>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Times New Roman Bold">
    <w:altName w:val="Times New Roman"/>
    <w:charset w:val="00"/>
    <w:family w:val="roman"/>
    <w:pitch w:val="variable"/>
    <w:sig w:usb0="00003A87" w:usb1="00000000" w:usb2="00000000" w:usb3="00000000" w:csb0="000000FF"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80AE496" w14:textId="77777777" w:rsidR="00DA7779" w:rsidRDefault="00DA7779">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2783AC6" w14:textId="77777777" w:rsidR="00DA7779" w:rsidRDefault="00DA7779" w:rsidP="008A54FC">
      <w:r>
        <w:separator/>
      </w:r>
    </w:p>
  </w:footnote>
  <w:footnote w:type="continuationSeparator" w:id="0">
    <w:p w14:paraId="35C28D96" w14:textId="77777777" w:rsidR="00DA7779" w:rsidRDefault="00DA7779" w:rsidP="008A54FC">
      <w:r>
        <w:continuationSeparator/>
      </w:r>
    </w:p>
  </w:footnote>
  <w:footnote w:type="continuationNotice" w:id="1">
    <w:p w14:paraId="3E4F7DED" w14:textId="77777777" w:rsidR="00DA7779" w:rsidRDefault="00DA7779"/>
  </w:footnote>
  <w:footnote w:id="2">
    <w:p w14:paraId="594B3BAA" w14:textId="77777777" w:rsidR="00DA7779" w:rsidRPr="00907340" w:rsidRDefault="00DA7779" w:rsidP="00040BEC">
      <w:pPr>
        <w:pStyle w:val="ECCFootnote"/>
      </w:pPr>
      <w:r w:rsidRPr="00907340">
        <w:rPr>
          <w:rStyle w:val="FootnoteReference"/>
          <w:szCs w:val="18"/>
        </w:rPr>
        <w:footnoteRef/>
      </w:r>
      <w:r w:rsidRPr="00907340">
        <w:t xml:space="preserve"> </w:t>
      </w:r>
      <w:r w:rsidRPr="0031267D">
        <w:t xml:space="preserve">Decision 128/1999/EC [8] of the European Parliament and of the </w:t>
      </w:r>
      <w:r w:rsidRPr="00040BEC">
        <w:t>Council</w:t>
      </w:r>
      <w:r w:rsidRPr="0031267D">
        <w:t xml:space="preserve"> of 14 December 1998 on the coordinated introduction of a third-generation mobile and wireless communications system (UMTS) in the Community</w:t>
      </w:r>
    </w:p>
  </w:footnote>
  <w:footnote w:id="3">
    <w:p w14:paraId="363CC6F2" w14:textId="77777777" w:rsidR="00DA7779" w:rsidRPr="00011441" w:rsidRDefault="00DA7779" w:rsidP="004B74DF">
      <w:pPr>
        <w:pStyle w:val="ECCFootnote"/>
      </w:pPr>
      <w:r w:rsidRPr="00CD14C0">
        <w:rPr>
          <w:rStyle w:val="FootnoteReference"/>
        </w:rPr>
        <w:footnoteRef/>
      </w:r>
      <w:r w:rsidRPr="00CD14C0">
        <w:t xml:space="preserve"> </w:t>
      </w:r>
      <w:r w:rsidRPr="00011441">
        <w:t>http://www.eurocontrol.int/statfor</w:t>
      </w:r>
    </w:p>
  </w:footnote>
  <w:footnote w:id="4">
    <w:p w14:paraId="54A8F1C1" w14:textId="77777777" w:rsidR="00DA7779" w:rsidRPr="002104CC" w:rsidRDefault="00DA7779" w:rsidP="004B74DF">
      <w:pPr>
        <w:pStyle w:val="ECCFootnote"/>
      </w:pPr>
      <w:r w:rsidRPr="00CD14C0">
        <w:rPr>
          <w:rStyle w:val="FootnoteReference"/>
        </w:rPr>
        <w:footnoteRef/>
      </w:r>
      <w:r w:rsidRPr="0092126B">
        <w:t xml:space="preserve"> from </w:t>
      </w:r>
      <w:hyperlink r:id="rId1" w:history="1">
        <w:r w:rsidRPr="0092126B">
          <w:rPr>
            <w:rStyle w:val="Hyperlink"/>
          </w:rPr>
          <w:t>http://imsresearch.com</w:t>
        </w:r>
      </w:hyperlink>
    </w:p>
  </w:footnote>
  <w:footnote w:id="5">
    <w:p w14:paraId="164FD271" w14:textId="44BA1958" w:rsidR="00DA7779" w:rsidRPr="00A629C2" w:rsidRDefault="00DA7779">
      <w:pPr>
        <w:pStyle w:val="FootnoteText"/>
      </w:pPr>
      <w:r>
        <w:rPr>
          <w:rStyle w:val="FootnoteReference"/>
        </w:rPr>
        <w:footnoteRef/>
      </w:r>
      <w:r>
        <w:t xml:space="preserve"> </w:t>
      </w:r>
      <w:r>
        <w:rPr>
          <w:sz w:val="16"/>
          <w:szCs w:val="24"/>
        </w:rPr>
        <w:t>ECC/DEC</w:t>
      </w:r>
      <w:proofErr w:type="gramStart"/>
      <w:r>
        <w:rPr>
          <w:sz w:val="16"/>
          <w:szCs w:val="24"/>
        </w:rPr>
        <w:t>/(</w:t>
      </w:r>
      <w:proofErr w:type="gramEnd"/>
      <w:r>
        <w:rPr>
          <w:sz w:val="16"/>
          <w:szCs w:val="24"/>
        </w:rPr>
        <w:t>15)0</w:t>
      </w:r>
      <w:r w:rsidR="00EE1B6E">
        <w:rPr>
          <w:sz w:val="16"/>
          <w:szCs w:val="24"/>
        </w:rPr>
        <w:t>3</w:t>
      </w:r>
      <w:r w:rsidRPr="003F0431">
        <w:rPr>
          <w:sz w:val="16"/>
          <w:szCs w:val="24"/>
        </w:rPr>
        <w:t xml:space="preserve"> </w:t>
      </w:r>
      <w:r w:rsidRPr="003F0431">
        <w:rPr>
          <w:sz w:val="16"/>
          <w:szCs w:val="24"/>
        </w:rPr>
        <w:fldChar w:fldCharType="begin"/>
      </w:r>
      <w:r w:rsidRPr="003F0431">
        <w:rPr>
          <w:sz w:val="16"/>
          <w:szCs w:val="24"/>
        </w:rPr>
        <w:instrText xml:space="preserve"> REF _Ref411331956 \n \h </w:instrText>
      </w:r>
      <w:r>
        <w:rPr>
          <w:sz w:val="16"/>
          <w:szCs w:val="24"/>
        </w:rPr>
        <w:instrText xml:space="preserve"> \* MERGEFORMAT </w:instrText>
      </w:r>
      <w:r w:rsidRPr="003F0431">
        <w:rPr>
          <w:sz w:val="16"/>
          <w:szCs w:val="24"/>
        </w:rPr>
      </w:r>
      <w:r w:rsidRPr="003F0431">
        <w:rPr>
          <w:sz w:val="16"/>
          <w:szCs w:val="24"/>
        </w:rPr>
        <w:fldChar w:fldCharType="separate"/>
      </w:r>
      <w:bookmarkStart w:id="29" w:name="_GoBack"/>
      <w:r>
        <w:rPr>
          <w:sz w:val="16"/>
          <w:szCs w:val="24"/>
        </w:rPr>
        <w:t>[49]</w:t>
      </w:r>
      <w:bookmarkEnd w:id="29"/>
      <w:r w:rsidRPr="003F0431">
        <w:rPr>
          <w:sz w:val="16"/>
          <w:szCs w:val="24"/>
        </w:rPr>
        <w:fldChar w:fldCharType="end"/>
      </w:r>
      <w:r w:rsidRPr="003F0431">
        <w:rPr>
          <w:sz w:val="16"/>
          <w:szCs w:val="24"/>
        </w:rPr>
        <w:t>.</w:t>
      </w:r>
    </w:p>
  </w:footnote>
  <w:footnote w:id="6">
    <w:p w14:paraId="704F49A9" w14:textId="77777777" w:rsidR="00DA7779" w:rsidRDefault="00DA7779" w:rsidP="004B74DF">
      <w:pPr>
        <w:pStyle w:val="ECCFootnote"/>
      </w:pPr>
      <w:r>
        <w:rPr>
          <w:rStyle w:val="FootnoteReference"/>
        </w:rPr>
        <w:footnoteRef/>
      </w:r>
      <w:r w:rsidRPr="008F044F">
        <w:rPr>
          <w:rStyle w:val="FootnoteReference"/>
        </w:rPr>
        <w:t xml:space="preserve"> </w:t>
      </w:r>
      <w:r w:rsidRPr="008F044F">
        <w:t>Programme</w:t>
      </w:r>
      <w:r w:rsidRPr="00854295">
        <w:t xml:space="preserve"> Making includes the making of a</w:t>
      </w:r>
      <w:r w:rsidRPr="008F044F">
        <w:t xml:space="preserve"> programme</w:t>
      </w:r>
      <w:r w:rsidRPr="00854295">
        <w:t xml:space="preserve"> for broadcast, the making of a film, presentation, advertisement or audio or video recordings, and the staging or performance of an entertainment, sporting or other public event.</w:t>
      </w:r>
    </w:p>
  </w:footnote>
  <w:footnote w:id="7">
    <w:p w14:paraId="2CC9BC5A" w14:textId="77777777" w:rsidR="00DA7779" w:rsidRDefault="00DA7779" w:rsidP="004B74DF">
      <w:pPr>
        <w:pStyle w:val="ECCFootnote"/>
      </w:pPr>
      <w:r>
        <w:rPr>
          <w:rStyle w:val="FootnoteReference"/>
        </w:rPr>
        <w:footnoteRef/>
      </w:r>
      <w:r w:rsidRPr="00825CB8">
        <w:rPr>
          <w:rStyle w:val="FootnoteReference"/>
        </w:rPr>
        <w:t xml:space="preserve"> </w:t>
      </w:r>
      <w:r w:rsidRPr="00854295">
        <w:t>A Special Event is an occurrence of limited duration, typically between one day and a few weeks, which take place on specifically defined locations. Examples include large cultural, sport, entertainment, religious and other festivals, conferences and trade fairs. In the entertainment industry, theatrical productions may run for considerably longer.</w:t>
      </w:r>
    </w:p>
  </w:footnote>
  <w:footnote w:id="8">
    <w:p w14:paraId="524B8829" w14:textId="77777777" w:rsidR="00DA7779" w:rsidRDefault="00DA7779" w:rsidP="00F66726">
      <w:pPr>
        <w:pStyle w:val="ECCFootnote"/>
      </w:pPr>
      <w:r>
        <w:rPr>
          <w:rStyle w:val="FootnoteReference"/>
        </w:rPr>
        <w:footnoteRef/>
      </w:r>
      <w:r w:rsidRPr="00825CB8">
        <w:rPr>
          <w:rStyle w:val="FootnoteReference"/>
        </w:rPr>
        <w:t xml:space="preserve"> </w:t>
      </w:r>
      <w:r w:rsidRPr="00854295">
        <w:t>For further</w:t>
      </w:r>
      <w:r>
        <w:t xml:space="preserve"> </w:t>
      </w:r>
      <w:proofErr w:type="gramStart"/>
      <w:r>
        <w:t>information</w:t>
      </w:r>
      <w:proofErr w:type="gramEnd"/>
      <w:r w:rsidRPr="00854295">
        <w:t xml:space="preserve"> see the </w:t>
      </w:r>
      <w:r>
        <w:t xml:space="preserve">ECC Report 204 </w:t>
      </w:r>
      <w:r>
        <w:fldChar w:fldCharType="begin"/>
      </w:r>
      <w:r>
        <w:instrText xml:space="preserve"> REF _Ref356389604 \n \h </w:instrText>
      </w:r>
      <w:r>
        <w:fldChar w:fldCharType="separate"/>
      </w:r>
      <w:r>
        <w:t>[18]</w:t>
      </w:r>
      <w:r>
        <w:fldChar w:fldCharType="end"/>
      </w:r>
      <w:r>
        <w:t>.</w:t>
      </w:r>
    </w:p>
  </w:footnote>
  <w:footnote w:id="9">
    <w:p w14:paraId="36B360F7" w14:textId="77777777" w:rsidR="00DA7779" w:rsidRPr="009F7CAC" w:rsidRDefault="00DA7779" w:rsidP="004B74DF">
      <w:pPr>
        <w:pStyle w:val="ECCFootnote"/>
      </w:pPr>
      <w:r>
        <w:rPr>
          <w:rStyle w:val="FootnoteReference"/>
        </w:rPr>
        <w:footnoteRef/>
      </w:r>
      <w:r>
        <w:t xml:space="preserve"> Council Directive on the frequency band to be designated for the coordinated introduction of digital European cordless telecommunications (DECT) into the Community (91/287/EEC) (Annex 1 to ERC/DEC</w:t>
      </w:r>
      <w:proofErr w:type="gramStart"/>
      <w:r>
        <w:t>/(</w:t>
      </w:r>
      <w:proofErr w:type="gramEnd"/>
      <w:r>
        <w:t xml:space="preserve">94)03) </w:t>
      </w:r>
      <w:r>
        <w:fldChar w:fldCharType="begin"/>
      </w:r>
      <w:r>
        <w:instrText xml:space="preserve"> REF _Ref356390212 \n \h </w:instrText>
      </w:r>
      <w:r>
        <w:fldChar w:fldCharType="separate"/>
      </w:r>
      <w:r>
        <w:t>[21]</w:t>
      </w:r>
      <w:r>
        <w:fldChar w:fldCharType="end"/>
      </w:r>
      <w:r>
        <w:t>.</w:t>
      </w:r>
    </w:p>
  </w:footnote>
  <w:footnote w:id="10">
    <w:p w14:paraId="1A9BB5EE" w14:textId="12B1BC34" w:rsidR="00DA7779" w:rsidRPr="004C6A33" w:rsidRDefault="00DA7779" w:rsidP="00B63017">
      <w:pPr>
        <w:pStyle w:val="FootnoteText"/>
        <w:ind w:left="240" w:hanging="240"/>
        <w:rPr>
          <w:rFonts w:ascii="Times New Roman" w:hAnsi="Times New Roman"/>
          <w:sz w:val="18"/>
          <w:szCs w:val="18"/>
        </w:rPr>
      </w:pPr>
      <w:r w:rsidRPr="004C6A33">
        <w:rPr>
          <w:rStyle w:val="FootnoteReference"/>
          <w:rFonts w:ascii="Times New Roman" w:hAnsi="Times New Roman"/>
          <w:sz w:val="18"/>
          <w:szCs w:val="18"/>
        </w:rPr>
        <w:footnoteRef/>
      </w:r>
      <w:r w:rsidRPr="004C6A33">
        <w:rPr>
          <w:rFonts w:ascii="Times New Roman" w:hAnsi="Times New Roman"/>
          <w:sz w:val="18"/>
          <w:szCs w:val="18"/>
        </w:rPr>
        <w:t xml:space="preserve"> Decision 128/1999/EC </w:t>
      </w:r>
      <w:r w:rsidRPr="004C6A33">
        <w:rPr>
          <w:rFonts w:ascii="Times New Roman" w:hAnsi="Times New Roman"/>
          <w:sz w:val="18"/>
          <w:szCs w:val="18"/>
        </w:rPr>
        <w:fldChar w:fldCharType="begin"/>
      </w:r>
      <w:r w:rsidRPr="004C6A33">
        <w:rPr>
          <w:rFonts w:ascii="Times New Roman" w:hAnsi="Times New Roman"/>
          <w:sz w:val="18"/>
          <w:szCs w:val="18"/>
        </w:rPr>
        <w:instrText xml:space="preserve"> REF _Ref388512350 \r \h  \* MERGEFORMAT </w:instrText>
      </w:r>
      <w:r w:rsidRPr="004C6A33">
        <w:rPr>
          <w:rFonts w:ascii="Times New Roman" w:hAnsi="Times New Roman"/>
          <w:sz w:val="18"/>
          <w:szCs w:val="18"/>
        </w:rPr>
      </w:r>
      <w:r w:rsidRPr="004C6A33">
        <w:rPr>
          <w:rFonts w:ascii="Times New Roman" w:hAnsi="Times New Roman"/>
          <w:sz w:val="18"/>
          <w:szCs w:val="18"/>
        </w:rPr>
        <w:fldChar w:fldCharType="separate"/>
      </w:r>
      <w:r>
        <w:rPr>
          <w:rFonts w:ascii="Times New Roman" w:hAnsi="Times New Roman"/>
          <w:sz w:val="18"/>
          <w:szCs w:val="18"/>
        </w:rPr>
        <w:t>[8]</w:t>
      </w:r>
      <w:r w:rsidRPr="004C6A33">
        <w:rPr>
          <w:rFonts w:ascii="Times New Roman" w:hAnsi="Times New Roman"/>
          <w:sz w:val="18"/>
          <w:szCs w:val="18"/>
        </w:rPr>
        <w:fldChar w:fldCharType="end"/>
      </w:r>
      <w:r w:rsidRPr="004C6A33">
        <w:rPr>
          <w:rFonts w:ascii="Times New Roman" w:hAnsi="Times New Roman"/>
          <w:sz w:val="18"/>
          <w:szCs w:val="18"/>
        </w:rPr>
        <w:t xml:space="preserve"> of the European Parliament and of the Council of 14 December 1998 on the coordinated introduction of a third-generation mobile and wireless communications system (UMTS) in the Community </w:t>
      </w:r>
    </w:p>
  </w:footnote>
  <w:footnote w:id="11">
    <w:p w14:paraId="629F28E6" w14:textId="77777777" w:rsidR="00DA7779" w:rsidRPr="004C6A33" w:rsidRDefault="00DA7779" w:rsidP="00B63017">
      <w:pPr>
        <w:pStyle w:val="FootnoteText"/>
        <w:rPr>
          <w:rFonts w:ascii="Times New Roman" w:hAnsi="Times New Roman"/>
          <w:sz w:val="18"/>
          <w:szCs w:val="18"/>
        </w:rPr>
      </w:pPr>
      <w:r w:rsidRPr="004C6A33">
        <w:rPr>
          <w:rStyle w:val="FootnoteReference"/>
          <w:rFonts w:ascii="Times New Roman" w:hAnsi="Times New Roman"/>
          <w:sz w:val="18"/>
          <w:szCs w:val="18"/>
        </w:rPr>
        <w:footnoteRef/>
      </w:r>
      <w:r w:rsidRPr="004C6A33">
        <w:rPr>
          <w:rFonts w:ascii="Times New Roman" w:hAnsi="Times New Roman"/>
          <w:sz w:val="18"/>
          <w:szCs w:val="18"/>
        </w:rPr>
        <w:t xml:space="preserve"> Mandate to CEPT on the 2 GHz bands: </w:t>
      </w:r>
      <w:hyperlink r:id="rId2" w:history="1">
        <w:r w:rsidRPr="004C6A33">
          <w:rPr>
            <w:rStyle w:val="Hyperlink"/>
            <w:rFonts w:ascii="Times New Roman" w:hAnsi="Times New Roman"/>
            <w:sz w:val="18"/>
            <w:szCs w:val="18"/>
          </w:rPr>
          <w:t>http://ec.europa.eu/information_society/policy/ecomm/radio_spectrum/_document_storage/mandates/2009mandate_2ghz.pdf</w:t>
        </w:r>
      </w:hyperlink>
      <w:r w:rsidRPr="004C6A33">
        <w:rPr>
          <w:rFonts w:ascii="Times New Roman" w:hAnsi="Times New Roman"/>
          <w:sz w:val="18"/>
          <w:szCs w:val="18"/>
        </w:rPr>
        <w:t xml:space="preserve"> </w:t>
      </w:r>
    </w:p>
  </w:footnote>
  <w:footnote w:id="12">
    <w:p w14:paraId="0EF0FDAA" w14:textId="77777777" w:rsidR="00DA7779" w:rsidRPr="004C6A33" w:rsidRDefault="00DA7779" w:rsidP="00B63017">
      <w:pPr>
        <w:pStyle w:val="FootnoteText"/>
        <w:rPr>
          <w:rFonts w:ascii="Times New Roman" w:hAnsi="Times New Roman"/>
          <w:sz w:val="18"/>
          <w:szCs w:val="18"/>
        </w:rPr>
      </w:pPr>
      <w:r w:rsidRPr="004C6A33">
        <w:rPr>
          <w:rStyle w:val="FootnoteReference"/>
          <w:rFonts w:ascii="Times New Roman" w:hAnsi="Times New Roman"/>
          <w:sz w:val="18"/>
          <w:szCs w:val="18"/>
        </w:rPr>
        <w:footnoteRef/>
      </w:r>
      <w:r w:rsidRPr="004C6A33">
        <w:rPr>
          <w:rFonts w:ascii="Times New Roman" w:hAnsi="Times New Roman"/>
          <w:sz w:val="18"/>
          <w:szCs w:val="18"/>
        </w:rPr>
        <w:t xml:space="preserve"> Document RSCOM10-25</w:t>
      </w:r>
    </w:p>
  </w:footnote>
  <w:footnote w:id="13">
    <w:p w14:paraId="4E400AC5" w14:textId="77777777" w:rsidR="00DA7779" w:rsidRPr="004C6A33" w:rsidRDefault="00DA7779" w:rsidP="00B63017">
      <w:pPr>
        <w:pStyle w:val="FootnoteText"/>
        <w:ind w:left="142" w:hanging="142"/>
        <w:rPr>
          <w:rFonts w:ascii="Times New Roman" w:hAnsi="Times New Roman"/>
          <w:sz w:val="18"/>
          <w:szCs w:val="18"/>
        </w:rPr>
      </w:pPr>
      <w:r w:rsidRPr="004C6A33">
        <w:rPr>
          <w:rStyle w:val="FootnoteReference"/>
          <w:rFonts w:ascii="Times New Roman" w:hAnsi="Times New Roman"/>
          <w:sz w:val="18"/>
          <w:szCs w:val="18"/>
        </w:rPr>
        <w:footnoteRef/>
      </w:r>
      <w:r w:rsidRPr="004C6A33">
        <w:rPr>
          <w:rFonts w:ascii="Times New Roman" w:hAnsi="Times New Roman"/>
          <w:sz w:val="18"/>
          <w:szCs w:val="18"/>
        </w:rPr>
        <w:t xml:space="preserve"> Decision 676/2002/EC of the European Parliament and of the Council of 7 March 2002 on a regulatory framework for radio spectrum policy in the European Community, OJL 108 of 24.4.2002</w:t>
      </w:r>
    </w:p>
  </w:footnote>
  <w:footnote w:id="14">
    <w:p w14:paraId="09EA0142" w14:textId="77777777" w:rsidR="00DA7779" w:rsidRPr="004C6A33" w:rsidRDefault="00DA7779" w:rsidP="00B63017">
      <w:pPr>
        <w:pStyle w:val="FootnoteText"/>
        <w:ind w:left="120" w:hanging="120"/>
        <w:rPr>
          <w:rFonts w:ascii="Times New Roman" w:hAnsi="Times New Roman"/>
          <w:sz w:val="18"/>
          <w:szCs w:val="18"/>
        </w:rPr>
      </w:pPr>
      <w:r w:rsidRPr="004C6A33">
        <w:rPr>
          <w:rStyle w:val="FootnoteReference"/>
          <w:rFonts w:ascii="Times New Roman" w:hAnsi="Times New Roman"/>
          <w:sz w:val="18"/>
          <w:szCs w:val="18"/>
        </w:rPr>
        <w:footnoteRef/>
      </w:r>
      <w:r w:rsidRPr="004C6A33">
        <w:rPr>
          <w:rFonts w:ascii="Times New Roman" w:hAnsi="Times New Roman"/>
          <w:sz w:val="18"/>
          <w:szCs w:val="18"/>
        </w:rPr>
        <w:t xml:space="preserve"> Only the </w:t>
      </w:r>
      <w:proofErr w:type="spellStart"/>
      <w:r w:rsidRPr="004C6A33">
        <w:rPr>
          <w:rFonts w:ascii="Times New Roman" w:hAnsi="Times New Roman"/>
          <w:sz w:val="18"/>
          <w:szCs w:val="18"/>
        </w:rPr>
        <w:t>licence</w:t>
      </w:r>
      <w:proofErr w:type="spellEnd"/>
      <w:r w:rsidRPr="004C6A33">
        <w:rPr>
          <w:rFonts w:ascii="Times New Roman" w:hAnsi="Times New Roman"/>
          <w:sz w:val="18"/>
          <w:szCs w:val="18"/>
        </w:rPr>
        <w:t xml:space="preserve"> conditions of operators in Austria (upon request), Germany, the Netherlands, and Sweden allow technology neutral use of the terrestrial 2 GHz band or parts thereof (see RSCOM12-05)</w:t>
      </w:r>
    </w:p>
  </w:footnote>
  <w:footnote w:id="15">
    <w:p w14:paraId="713F04B6" w14:textId="4EC77A3D" w:rsidR="00DA7779" w:rsidRPr="004C6A33" w:rsidRDefault="00DA7779" w:rsidP="00B63017">
      <w:pPr>
        <w:pStyle w:val="FootnoteText"/>
        <w:rPr>
          <w:rFonts w:ascii="Times New Roman" w:hAnsi="Times New Roman"/>
          <w:sz w:val="18"/>
          <w:szCs w:val="18"/>
        </w:rPr>
      </w:pPr>
      <w:r w:rsidRPr="004C6A33">
        <w:rPr>
          <w:rStyle w:val="FootnoteReference"/>
          <w:rFonts w:ascii="Times New Roman" w:hAnsi="Times New Roman"/>
          <w:sz w:val="18"/>
          <w:szCs w:val="18"/>
        </w:rPr>
        <w:footnoteRef/>
      </w:r>
      <w:r w:rsidRPr="004C6A33">
        <w:rPr>
          <w:rFonts w:ascii="Times New Roman" w:hAnsi="Times New Roman"/>
          <w:sz w:val="18"/>
          <w:szCs w:val="18"/>
        </w:rPr>
        <w:t xml:space="preserve"> As </w:t>
      </w:r>
      <w:proofErr w:type="spellStart"/>
      <w:r w:rsidRPr="004C6A33">
        <w:rPr>
          <w:rFonts w:ascii="Times New Roman" w:hAnsi="Times New Roman"/>
          <w:sz w:val="18"/>
          <w:szCs w:val="18"/>
        </w:rPr>
        <w:t>recognised</w:t>
      </w:r>
      <w:proofErr w:type="spellEnd"/>
      <w:r w:rsidRPr="004C6A33">
        <w:rPr>
          <w:rFonts w:ascii="Times New Roman" w:hAnsi="Times New Roman"/>
          <w:sz w:val="18"/>
          <w:szCs w:val="18"/>
        </w:rPr>
        <w:t xml:space="preserve"> in CEPT Report 039 </w:t>
      </w:r>
      <w:r w:rsidRPr="004C6A33">
        <w:rPr>
          <w:rFonts w:ascii="Times New Roman" w:hAnsi="Times New Roman"/>
          <w:sz w:val="18"/>
          <w:szCs w:val="18"/>
        </w:rPr>
        <w:fldChar w:fldCharType="begin"/>
      </w:r>
      <w:r w:rsidRPr="004C6A33">
        <w:rPr>
          <w:rFonts w:ascii="Times New Roman" w:hAnsi="Times New Roman"/>
          <w:sz w:val="18"/>
          <w:szCs w:val="18"/>
        </w:rPr>
        <w:instrText xml:space="preserve"> REF _Ref387907986 \r \h  \* MERGEFORMAT </w:instrText>
      </w:r>
      <w:r w:rsidRPr="004C6A33">
        <w:rPr>
          <w:rFonts w:ascii="Times New Roman" w:hAnsi="Times New Roman"/>
          <w:sz w:val="18"/>
          <w:szCs w:val="18"/>
        </w:rPr>
      </w:r>
      <w:r w:rsidRPr="004C6A33">
        <w:rPr>
          <w:rFonts w:ascii="Times New Roman" w:hAnsi="Times New Roman"/>
          <w:sz w:val="18"/>
          <w:szCs w:val="18"/>
        </w:rPr>
        <w:fldChar w:fldCharType="separate"/>
      </w:r>
      <w:r>
        <w:rPr>
          <w:rFonts w:ascii="Times New Roman" w:hAnsi="Times New Roman"/>
          <w:sz w:val="18"/>
          <w:szCs w:val="18"/>
        </w:rPr>
        <w:t>[11]</w:t>
      </w:r>
      <w:r w:rsidRPr="004C6A33">
        <w:rPr>
          <w:rFonts w:ascii="Times New Roman" w:hAnsi="Times New Roman"/>
          <w:sz w:val="18"/>
          <w:szCs w:val="18"/>
        </w:rPr>
        <w:fldChar w:fldCharType="end"/>
      </w:r>
      <w:r w:rsidRPr="004C6A33">
        <w:rPr>
          <w:rFonts w:ascii="Times New Roman" w:hAnsi="Times New Roman"/>
          <w:sz w:val="18"/>
          <w:szCs w:val="18"/>
        </w:rPr>
        <w:t xml:space="preserve"> </w:t>
      </w:r>
    </w:p>
  </w:footnote>
  <w:footnote w:id="16">
    <w:p w14:paraId="19A49BC0" w14:textId="77777777" w:rsidR="00DA7779" w:rsidRPr="004C6A33" w:rsidRDefault="00DA7779" w:rsidP="00B63017">
      <w:pPr>
        <w:pStyle w:val="FootnoteText"/>
        <w:rPr>
          <w:rFonts w:ascii="Times New Roman" w:hAnsi="Times New Roman"/>
          <w:sz w:val="18"/>
          <w:szCs w:val="18"/>
        </w:rPr>
      </w:pPr>
      <w:r w:rsidRPr="004C6A33">
        <w:rPr>
          <w:rStyle w:val="FootnoteReference"/>
          <w:rFonts w:ascii="Times New Roman" w:hAnsi="Times New Roman"/>
          <w:sz w:val="18"/>
          <w:szCs w:val="18"/>
        </w:rPr>
        <w:footnoteRef/>
      </w:r>
      <w:r w:rsidRPr="004C6A33">
        <w:rPr>
          <w:rFonts w:ascii="Times New Roman" w:hAnsi="Times New Roman"/>
          <w:sz w:val="18"/>
          <w:szCs w:val="18"/>
        </w:rPr>
        <w:t xml:space="preserve"> Article 8 of the RSPP</w:t>
      </w:r>
    </w:p>
  </w:footnote>
  <w:footnote w:id="17">
    <w:p w14:paraId="5AF7E24D" w14:textId="77777777" w:rsidR="00DA7779" w:rsidRPr="004C6A33" w:rsidRDefault="00DA7779" w:rsidP="00B63017">
      <w:pPr>
        <w:pStyle w:val="FootnoteText"/>
        <w:ind w:left="240" w:hanging="240"/>
        <w:rPr>
          <w:rFonts w:ascii="Times New Roman" w:hAnsi="Times New Roman"/>
          <w:sz w:val="18"/>
          <w:szCs w:val="18"/>
        </w:rPr>
      </w:pPr>
      <w:r w:rsidRPr="004C6A33">
        <w:rPr>
          <w:rStyle w:val="FootnoteReference"/>
          <w:rFonts w:ascii="Times New Roman" w:hAnsi="Times New Roman"/>
          <w:sz w:val="18"/>
          <w:szCs w:val="18"/>
        </w:rPr>
        <w:footnoteRef/>
      </w:r>
      <w:r w:rsidRPr="004C6A33">
        <w:rPr>
          <w:rFonts w:ascii="Times New Roman" w:hAnsi="Times New Roman"/>
          <w:sz w:val="18"/>
          <w:szCs w:val="18"/>
        </w:rPr>
        <w:t xml:space="preserve"> In this regard, the Commission issued on 15 December 2011 a mandate to CEPT (RSCOM11-59) to identify suitable frequency bands for PMSE (still ongoing).</w:t>
      </w:r>
    </w:p>
  </w:footnote>
  <w:footnote w:id="18">
    <w:p w14:paraId="72B17DBC" w14:textId="77777777" w:rsidR="00DA7779" w:rsidRPr="004C6A33" w:rsidRDefault="00DA7779" w:rsidP="00B63017">
      <w:pPr>
        <w:pStyle w:val="FootnoteText"/>
        <w:rPr>
          <w:rFonts w:ascii="Times New Roman" w:hAnsi="Times New Roman"/>
          <w:sz w:val="18"/>
          <w:szCs w:val="18"/>
        </w:rPr>
      </w:pPr>
      <w:r w:rsidRPr="004C6A33">
        <w:rPr>
          <w:rStyle w:val="FootnoteReference"/>
          <w:rFonts w:ascii="Times New Roman" w:hAnsi="Times New Roman"/>
          <w:sz w:val="18"/>
          <w:szCs w:val="18"/>
        </w:rPr>
        <w:footnoteRef/>
      </w:r>
      <w:r w:rsidRPr="004C6A33">
        <w:rPr>
          <w:rFonts w:ascii="Times New Roman" w:hAnsi="Times New Roman"/>
          <w:sz w:val="18"/>
          <w:szCs w:val="18"/>
        </w:rPr>
        <w:t xml:space="preserve"> See </w:t>
      </w:r>
      <w:hyperlink r:id="rId3" w:anchor="ongoing_consultations" w:history="1">
        <w:r w:rsidRPr="004C6A33">
          <w:rPr>
            <w:rStyle w:val="Hyperlink"/>
            <w:rFonts w:ascii="Times New Roman" w:hAnsi="Times New Roman"/>
            <w:sz w:val="18"/>
            <w:szCs w:val="18"/>
          </w:rPr>
          <w:t>http://ec.europa.eu/information_society/policy/ecomm/radio_spectrum/get_involved/activities/index_en.htm#ongoing_consultations</w:t>
        </w:r>
      </w:hyperlink>
      <w:r w:rsidRPr="004C6A33">
        <w:rPr>
          <w:rFonts w:ascii="Times New Roman" w:hAnsi="Times New Roman"/>
          <w:sz w:val="18"/>
          <w:szCs w:val="18"/>
        </w:rPr>
        <w:t xml:space="preserve"> </w:t>
      </w:r>
    </w:p>
  </w:footnote>
  <w:footnote w:id="19">
    <w:p w14:paraId="1E31865E" w14:textId="77777777" w:rsidR="00DA7779" w:rsidRPr="004C6A33" w:rsidRDefault="00DA7779" w:rsidP="00B63017">
      <w:pPr>
        <w:pStyle w:val="FootnoteText"/>
        <w:rPr>
          <w:rFonts w:ascii="Times New Roman" w:hAnsi="Times New Roman"/>
          <w:sz w:val="18"/>
          <w:szCs w:val="18"/>
        </w:rPr>
      </w:pPr>
      <w:r w:rsidRPr="004C6A33">
        <w:rPr>
          <w:rStyle w:val="FootnoteReference"/>
          <w:rFonts w:ascii="Times New Roman" w:hAnsi="Times New Roman"/>
          <w:sz w:val="18"/>
          <w:szCs w:val="18"/>
        </w:rPr>
        <w:footnoteRef/>
      </w:r>
      <w:r w:rsidRPr="004C6A33">
        <w:rPr>
          <w:rFonts w:ascii="Times New Roman" w:hAnsi="Times New Roman"/>
          <w:sz w:val="18"/>
          <w:szCs w:val="18"/>
        </w:rPr>
        <w:t xml:space="preserve"> The order in this shortlist is chosen arbitrarily.</w:t>
      </w:r>
    </w:p>
  </w:footnote>
  <w:footnote w:id="20">
    <w:p w14:paraId="6CFC7B5E" w14:textId="77777777" w:rsidR="00DA7779" w:rsidRPr="004C6A33" w:rsidRDefault="00DA7779" w:rsidP="00B63017">
      <w:pPr>
        <w:pStyle w:val="FootnoteText"/>
        <w:rPr>
          <w:rFonts w:ascii="Times New Roman" w:hAnsi="Times New Roman"/>
          <w:sz w:val="18"/>
          <w:szCs w:val="18"/>
        </w:rPr>
      </w:pPr>
      <w:r w:rsidRPr="004C6A33">
        <w:rPr>
          <w:rStyle w:val="FootnoteReference"/>
          <w:rFonts w:ascii="Times New Roman" w:hAnsi="Times New Roman"/>
          <w:sz w:val="18"/>
          <w:szCs w:val="18"/>
        </w:rPr>
        <w:footnoteRef/>
      </w:r>
      <w:r w:rsidRPr="004C6A33">
        <w:rPr>
          <w:rFonts w:ascii="Times New Roman" w:hAnsi="Times New Roman"/>
          <w:sz w:val="18"/>
          <w:szCs w:val="18"/>
        </w:rPr>
        <w:t xml:space="preserve">  Including innovative applications such as M2M</w:t>
      </w:r>
    </w:p>
  </w:footnote>
  <w:footnote w:id="21">
    <w:p w14:paraId="2D15C055" w14:textId="77777777" w:rsidR="00DA7779" w:rsidRPr="004C6A33" w:rsidRDefault="00DA7779" w:rsidP="007A74CA">
      <w:pPr>
        <w:pStyle w:val="ECCFootnote"/>
        <w:rPr>
          <w:rFonts w:ascii="Times New Roman" w:hAnsi="Times New Roman"/>
          <w:sz w:val="18"/>
          <w:szCs w:val="18"/>
        </w:rPr>
      </w:pPr>
      <w:r w:rsidRPr="004C6A33">
        <w:rPr>
          <w:rStyle w:val="FootnoteReference"/>
          <w:rFonts w:ascii="Times New Roman" w:hAnsi="Times New Roman"/>
          <w:sz w:val="18"/>
          <w:szCs w:val="18"/>
        </w:rPr>
        <w:footnoteRef/>
      </w:r>
      <w:r w:rsidRPr="004C6A33">
        <w:rPr>
          <w:rFonts w:ascii="Times New Roman" w:hAnsi="Times New Roman"/>
          <w:sz w:val="18"/>
          <w:szCs w:val="18"/>
        </w:rPr>
        <w:t xml:space="preserve"> Reported in documents FM(12)084 Annex 58 and ECC PT1(12)048</w:t>
      </w:r>
    </w:p>
  </w:footnote>
  <w:footnote w:id="22">
    <w:p w14:paraId="36804808" w14:textId="77777777" w:rsidR="00DA7779" w:rsidRPr="004C6A33" w:rsidRDefault="00DA7779" w:rsidP="007A74CA">
      <w:pPr>
        <w:pStyle w:val="ECCFootnote"/>
        <w:rPr>
          <w:sz w:val="18"/>
          <w:szCs w:val="18"/>
        </w:rPr>
      </w:pPr>
      <w:r w:rsidRPr="004C6A33">
        <w:rPr>
          <w:rStyle w:val="FootnoteReference"/>
          <w:sz w:val="18"/>
          <w:szCs w:val="18"/>
        </w:rPr>
        <w:footnoteRef/>
      </w:r>
      <w:r w:rsidRPr="004C6A33">
        <w:rPr>
          <w:sz w:val="18"/>
          <w:szCs w:val="18"/>
        </w:rPr>
        <w:t xml:space="preserve"> DECT is considered </w:t>
      </w:r>
      <w:proofErr w:type="gramStart"/>
      <w:r w:rsidRPr="004C6A33">
        <w:rPr>
          <w:sz w:val="18"/>
          <w:szCs w:val="18"/>
        </w:rPr>
        <w:t>to be an</w:t>
      </w:r>
      <w:proofErr w:type="gramEnd"/>
      <w:r w:rsidRPr="004C6A33">
        <w:rPr>
          <w:sz w:val="18"/>
          <w:szCs w:val="18"/>
        </w:rPr>
        <w:t xml:space="preserve"> application with the potential to address the priority given to the Internet of Things set out in Article 8 of the RSPP. </w:t>
      </w:r>
    </w:p>
  </w:footnote>
  <w:footnote w:id="23">
    <w:p w14:paraId="72583BDC" w14:textId="77777777" w:rsidR="00DA7779" w:rsidRPr="004C6A33" w:rsidRDefault="00DA7779" w:rsidP="007A74CA">
      <w:pPr>
        <w:pStyle w:val="ECCFootnote"/>
        <w:rPr>
          <w:sz w:val="18"/>
          <w:szCs w:val="18"/>
        </w:rPr>
      </w:pPr>
      <w:r w:rsidRPr="004C6A33">
        <w:rPr>
          <w:rStyle w:val="FootnoteReference"/>
          <w:sz w:val="18"/>
          <w:szCs w:val="18"/>
        </w:rPr>
        <w:footnoteRef/>
      </w:r>
      <w:r w:rsidRPr="004C6A33">
        <w:rPr>
          <w:sz w:val="18"/>
          <w:szCs w:val="18"/>
        </w:rPr>
        <w:t xml:space="preserve"> Subject to subsequent public consultation</w:t>
      </w:r>
    </w:p>
  </w:footnote>
  <w:footnote w:id="24">
    <w:p w14:paraId="3DFD68C6" w14:textId="77777777" w:rsidR="00DA7779" w:rsidRPr="00F148EC" w:rsidRDefault="00DA7779" w:rsidP="007A74CA">
      <w:pPr>
        <w:pStyle w:val="ECCFootnote"/>
        <w:rPr>
          <w:rFonts w:ascii="Times New Roman" w:hAnsi="Times New Roman"/>
          <w:sz w:val="18"/>
          <w:szCs w:val="18"/>
        </w:rPr>
      </w:pPr>
      <w:r w:rsidRPr="007B5DD5">
        <w:rPr>
          <w:rStyle w:val="FootnoteReference"/>
        </w:rPr>
        <w:t>*</w:t>
      </w:r>
      <w:r w:rsidRPr="007B5DD5">
        <w:t xml:space="preserve"> </w:t>
      </w:r>
      <w:r w:rsidRPr="00F148EC">
        <w:t>The rights of use of spectrum set out in the NTFA (National Table of Frequency Allocations) are transferable in accordance with the Law of Electronic Communications (</w:t>
      </w:r>
      <w:hyperlink r:id="rId4" w:anchor="horizontalMenuArea" w:history="1">
        <w:r w:rsidRPr="00F148EC">
          <w:rPr>
            <w:rStyle w:val="Hyperlink"/>
            <w:rFonts w:ascii="Times New Roman" w:hAnsi="Times New Roman"/>
            <w:sz w:val="18"/>
            <w:szCs w:val="18"/>
          </w:rPr>
          <w:t>http://www.anacom.pt/render.jsp?categoryId=97279#horizontalMenuArea</w:t>
        </w:r>
      </w:hyperlink>
      <w:r w:rsidRPr="00F148EC">
        <w:t xml:space="preserve">) - See article nº 34 of </w:t>
      </w:r>
      <w:hyperlink r:id="rId5" w:tooltip="Amends the Electronic Communications Law, which establishes the legal regime applicable to electronic communications networks and services and to associated services, and defines the assignments of the National Regulatory Authority." w:history="1">
        <w:r w:rsidRPr="009D72A8">
          <w:rPr>
            <w:rStyle w:val="Hyperlink"/>
            <w:rFonts w:ascii="Times New Roman" w:hAnsi="Times New Roman"/>
            <w:sz w:val="18"/>
            <w:szCs w:val="18"/>
          </w:rPr>
          <w:t>Law no. 51/2011, of 13 September</w:t>
        </w:r>
      </w:hyperlink>
    </w:p>
  </w:footnote>
  <w:footnote w:id="25">
    <w:p w14:paraId="625DC72D" w14:textId="019EB433" w:rsidR="00DA7779" w:rsidRPr="00A9349D" w:rsidRDefault="00DA7779">
      <w:pPr>
        <w:pStyle w:val="FootnoteText"/>
      </w:pPr>
      <w:r w:rsidRPr="00F62584">
        <w:rPr>
          <w:rStyle w:val="FootnoteReference"/>
        </w:rPr>
        <w:footnoteRef/>
      </w:r>
      <w:r w:rsidRPr="00F62584">
        <w:t xml:space="preserve"> </w:t>
      </w:r>
      <w:r w:rsidRPr="003F0431">
        <w:rPr>
          <w:sz w:val="16"/>
          <w:szCs w:val="16"/>
        </w:rPr>
        <w:t>ECC/DEC</w:t>
      </w:r>
      <w:proofErr w:type="gramStart"/>
      <w:r w:rsidRPr="003F0431">
        <w:rPr>
          <w:sz w:val="16"/>
          <w:szCs w:val="16"/>
        </w:rPr>
        <w:t>/(</w:t>
      </w:r>
      <w:proofErr w:type="gramEnd"/>
      <w:r w:rsidRPr="003F0431">
        <w:rPr>
          <w:sz w:val="16"/>
          <w:szCs w:val="16"/>
        </w:rPr>
        <w:t>15)</w:t>
      </w:r>
      <w:r>
        <w:rPr>
          <w:sz w:val="16"/>
          <w:szCs w:val="16"/>
        </w:rPr>
        <w:t>02</w:t>
      </w:r>
      <w:r w:rsidRPr="003F0431">
        <w:rPr>
          <w:sz w:val="16"/>
          <w:szCs w:val="16"/>
        </w:rPr>
        <w:t xml:space="preserve"> Annex 1 </w:t>
      </w:r>
      <w:r w:rsidRPr="003F0431">
        <w:rPr>
          <w:sz w:val="16"/>
          <w:szCs w:val="16"/>
        </w:rPr>
        <w:fldChar w:fldCharType="begin"/>
      </w:r>
      <w:r w:rsidRPr="003F0431">
        <w:rPr>
          <w:sz w:val="16"/>
          <w:szCs w:val="16"/>
        </w:rPr>
        <w:instrText xml:space="preserve"> REF _Ref411331680 \n \h  \* MERGEFORMAT </w:instrText>
      </w:r>
      <w:r w:rsidRPr="003F0431">
        <w:rPr>
          <w:sz w:val="16"/>
          <w:szCs w:val="16"/>
        </w:rPr>
      </w:r>
      <w:r w:rsidRPr="003F0431">
        <w:rPr>
          <w:sz w:val="16"/>
          <w:szCs w:val="16"/>
        </w:rPr>
        <w:fldChar w:fldCharType="separate"/>
      </w:r>
      <w:r>
        <w:rPr>
          <w:sz w:val="16"/>
          <w:szCs w:val="16"/>
        </w:rPr>
        <w:t>[48]</w:t>
      </w:r>
      <w:r w:rsidRPr="003F0431">
        <w:rPr>
          <w:sz w:val="16"/>
          <w:szCs w:val="16"/>
        </w:rPr>
        <w:fldChar w:fldCharType="end"/>
      </w:r>
      <w:r w:rsidRPr="003F0431">
        <w:rPr>
          <w:sz w:val="16"/>
          <w:szCs w:val="16"/>
        </w:rPr>
        <w:t>.</w:t>
      </w:r>
    </w:p>
  </w:footnote>
  <w:footnote w:id="26">
    <w:p w14:paraId="188E0847" w14:textId="1E6F5D62" w:rsidR="00DA7779" w:rsidRPr="00465CB0" w:rsidRDefault="00DA7779">
      <w:pPr>
        <w:pStyle w:val="FootnoteText"/>
      </w:pPr>
      <w:r>
        <w:rPr>
          <w:rStyle w:val="FootnoteReference"/>
        </w:rPr>
        <w:footnoteRef/>
      </w:r>
      <w:r>
        <w:t xml:space="preserve"> </w:t>
      </w:r>
      <w:r>
        <w:rPr>
          <w:sz w:val="16"/>
          <w:szCs w:val="16"/>
        </w:rPr>
        <w:t>within</w:t>
      </w:r>
      <w:r w:rsidRPr="00465CB0">
        <w:rPr>
          <w:sz w:val="16"/>
          <w:szCs w:val="16"/>
        </w:rPr>
        <w:t xml:space="preserve"> this </w:t>
      </w:r>
      <w:r>
        <w:rPr>
          <w:sz w:val="16"/>
          <w:szCs w:val="16"/>
        </w:rPr>
        <w:t xml:space="preserve">Annex, </w:t>
      </w:r>
      <w:r w:rsidRPr="00465CB0">
        <w:rPr>
          <w:sz w:val="16"/>
          <w:szCs w:val="16"/>
        </w:rPr>
        <w:t>«block» is the 1900-1920 MHz frequency band</w:t>
      </w:r>
    </w:p>
  </w:footnote>
  <w:footnote w:id="27">
    <w:p w14:paraId="6F3A3E81" w14:textId="3F5104AA" w:rsidR="00DA7779" w:rsidRPr="00A9349D" w:rsidRDefault="00DA7779">
      <w:pPr>
        <w:pStyle w:val="FootnoteText"/>
      </w:pPr>
      <w:r w:rsidRPr="004C3510">
        <w:rPr>
          <w:rStyle w:val="FootnoteReference"/>
        </w:rPr>
        <w:footnoteRef/>
      </w:r>
      <w:r w:rsidRPr="004C3510">
        <w:t xml:space="preserve"> </w:t>
      </w:r>
      <w:r w:rsidRPr="003F0431">
        <w:rPr>
          <w:sz w:val="16"/>
          <w:szCs w:val="16"/>
        </w:rPr>
        <w:t>ECC/DEC</w:t>
      </w:r>
      <w:proofErr w:type="gramStart"/>
      <w:r w:rsidRPr="003F0431">
        <w:rPr>
          <w:sz w:val="16"/>
          <w:szCs w:val="16"/>
        </w:rPr>
        <w:t>/(</w:t>
      </w:r>
      <w:proofErr w:type="gramEnd"/>
      <w:r w:rsidRPr="003F0431">
        <w:rPr>
          <w:sz w:val="16"/>
          <w:szCs w:val="16"/>
        </w:rPr>
        <w:t>15)</w:t>
      </w:r>
      <w:r>
        <w:rPr>
          <w:sz w:val="16"/>
          <w:szCs w:val="16"/>
        </w:rPr>
        <w:t>02</w:t>
      </w:r>
      <w:r w:rsidRPr="003F0431">
        <w:rPr>
          <w:sz w:val="16"/>
          <w:szCs w:val="16"/>
        </w:rPr>
        <w:t xml:space="preserve"> Annex 2 </w:t>
      </w:r>
      <w:r w:rsidRPr="003F0431">
        <w:rPr>
          <w:sz w:val="16"/>
          <w:szCs w:val="16"/>
        </w:rPr>
        <w:fldChar w:fldCharType="begin"/>
      </w:r>
      <w:r w:rsidRPr="003F0431">
        <w:rPr>
          <w:sz w:val="16"/>
          <w:szCs w:val="16"/>
        </w:rPr>
        <w:instrText xml:space="preserve"> REF _Ref411331680 \n \h </w:instrText>
      </w:r>
      <w:r>
        <w:rPr>
          <w:sz w:val="16"/>
          <w:szCs w:val="16"/>
        </w:rPr>
        <w:instrText xml:space="preserve"> \* MERGEFORMAT </w:instrText>
      </w:r>
      <w:r w:rsidRPr="003F0431">
        <w:rPr>
          <w:sz w:val="16"/>
          <w:szCs w:val="16"/>
        </w:rPr>
      </w:r>
      <w:r w:rsidRPr="003F0431">
        <w:rPr>
          <w:sz w:val="16"/>
          <w:szCs w:val="16"/>
        </w:rPr>
        <w:fldChar w:fldCharType="separate"/>
      </w:r>
      <w:r>
        <w:rPr>
          <w:sz w:val="16"/>
          <w:szCs w:val="16"/>
        </w:rPr>
        <w:t>[48]</w:t>
      </w:r>
      <w:r w:rsidRPr="003F0431">
        <w:rPr>
          <w:sz w:val="16"/>
          <w:szCs w:val="16"/>
        </w:rPr>
        <w:fldChar w:fldCharType="end"/>
      </w:r>
      <w:r w:rsidRPr="003F0431">
        <w:rPr>
          <w:sz w:val="16"/>
          <w:szCs w:val="16"/>
        </w:rP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392B904" w14:textId="1620C99C" w:rsidR="00DA7779" w:rsidRPr="003E5940" w:rsidRDefault="00DA7779">
    <w:pPr>
      <w:pStyle w:val="Header"/>
    </w:pPr>
    <w:r>
      <w:t xml:space="preserve">CEPT REPORT 52 - </w:t>
    </w:r>
    <w:r w:rsidRPr="003164C2">
      <w:rPr>
        <w:szCs w:val="16"/>
      </w:rPr>
      <w:t xml:space="preserve">Page </w:t>
    </w:r>
    <w:r>
      <w:fldChar w:fldCharType="begin"/>
    </w:r>
    <w:r w:rsidRPr="003164C2">
      <w:instrText xml:space="preserve"> PAGE  \* Arabic  \* MERGEFORMAT </w:instrText>
    </w:r>
    <w:r>
      <w:fldChar w:fldCharType="separate"/>
    </w:r>
    <w:r w:rsidR="00EE1B6E">
      <w:rPr>
        <w:noProof/>
      </w:rPr>
      <w:t>28</w:t>
    </w:r>
    <w:r>
      <w:rPr>
        <w:noProof/>
        <w:szCs w:val="16"/>
        <w:lang w:val="da-DK"/>
      </w:rPr>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6DAAB26" w14:textId="02E326CA" w:rsidR="00DA7779" w:rsidRPr="003164C2" w:rsidRDefault="00DA7779" w:rsidP="005702C9">
    <w:pPr>
      <w:pStyle w:val="Header"/>
      <w:tabs>
        <w:tab w:val="clear" w:pos="4320"/>
        <w:tab w:val="clear" w:pos="8640"/>
        <w:tab w:val="right" w:pos="9639"/>
      </w:tabs>
      <w:rPr>
        <w:szCs w:val="16"/>
      </w:rPr>
    </w:pPr>
    <w:r>
      <w:tab/>
      <w:t xml:space="preserve">CEPT REPORT 52 - </w:t>
    </w:r>
    <w:r w:rsidRPr="003164C2">
      <w:rPr>
        <w:szCs w:val="16"/>
      </w:rPr>
      <w:t xml:space="preserve">Page </w:t>
    </w:r>
    <w:r>
      <w:fldChar w:fldCharType="begin"/>
    </w:r>
    <w:r w:rsidRPr="003164C2">
      <w:instrText xml:space="preserve"> PAGE  \* Arabic  \* MERGEFORMAT </w:instrText>
    </w:r>
    <w:r>
      <w:fldChar w:fldCharType="separate"/>
    </w:r>
    <w:r w:rsidR="00EE1B6E">
      <w:rPr>
        <w:noProof/>
      </w:rPr>
      <w:t>25</w:t>
    </w:r>
    <w:r>
      <w:rPr>
        <w:noProof/>
        <w:szCs w:val="16"/>
        <w:lang w:val="da-DK"/>
      </w:rPr>
      <w:fldChar w:fldCharType="end"/>
    </w:r>
  </w:p>
  <w:p w14:paraId="6DE4B2CF" w14:textId="77777777" w:rsidR="00DA7779" w:rsidRPr="003164C2" w:rsidRDefault="00DA7779">
    <w:pPr>
      <w:pStyle w:val="Header"/>
      <w:jc w:val="righ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A757EDE" w14:textId="40018A3B" w:rsidR="00DA7779" w:rsidRPr="00474886" w:rsidRDefault="00DA7779" w:rsidP="005702C9">
    <w:pPr>
      <w:pStyle w:val="Header"/>
      <w:tabs>
        <w:tab w:val="clear" w:pos="8640"/>
        <w:tab w:val="right" w:pos="8647"/>
      </w:tabs>
      <w:jc w:val="right"/>
      <w:rPr>
        <w:b w:val="0"/>
        <w:sz w:val="20"/>
        <w:szCs w:val="20"/>
      </w:rPr>
    </w:pPr>
    <w:r w:rsidRPr="00474886">
      <w:rPr>
        <w:b w:val="0"/>
        <w:noProof/>
        <w:sz w:val="20"/>
        <w:szCs w:val="20"/>
        <w:lang w:val="da-DK" w:eastAsia="da-DK"/>
      </w:rPr>
      <w:drawing>
        <wp:anchor distT="0" distB="0" distL="114300" distR="114300" simplePos="0" relativeHeight="251744256" behindDoc="0" locked="0" layoutInCell="1" allowOverlap="1" wp14:anchorId="254E712E" wp14:editId="4D58BBF7">
          <wp:simplePos x="0" y="0"/>
          <wp:positionH relativeFrom="page">
            <wp:posOffset>5869940</wp:posOffset>
          </wp:positionH>
          <wp:positionV relativeFrom="page">
            <wp:posOffset>800735</wp:posOffset>
          </wp:positionV>
          <wp:extent cx="1461770" cy="546100"/>
          <wp:effectExtent l="25400" t="0" r="11430" b="0"/>
          <wp:wrapNone/>
          <wp:docPr id="260" name="Picture 260" descr="ecc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cc_logo"/>
                  <pic:cNvPicPr>
                    <a:picLocks noChangeAspect="1" noChangeArrowheads="1"/>
                  </pic:cNvPicPr>
                </pic:nvPicPr>
                <pic:blipFill>
                  <a:blip r:embed="rId1"/>
                  <a:srcRect/>
                  <a:stretch>
                    <a:fillRect/>
                  </a:stretch>
                </pic:blipFill>
                <pic:spPr bwMode="auto">
                  <a:xfrm>
                    <a:off x="0" y="0"/>
                    <a:ext cx="1461770" cy="546100"/>
                  </a:xfrm>
                  <a:prstGeom prst="rect">
                    <a:avLst/>
                  </a:prstGeom>
                  <a:noFill/>
                </pic:spPr>
              </pic:pic>
            </a:graphicData>
          </a:graphic>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A4058D8" w14:textId="5C65B62D" w:rsidR="00DA7779" w:rsidRPr="003164C2" w:rsidRDefault="00DA7779" w:rsidP="00FC2603">
    <w:pPr>
      <w:pStyle w:val="Header"/>
      <w:tabs>
        <w:tab w:val="clear" w:pos="4320"/>
        <w:tab w:val="clear" w:pos="8640"/>
        <w:tab w:val="right" w:pos="8789"/>
        <w:tab w:val="right" w:pos="9638"/>
      </w:tabs>
      <w:rPr>
        <w:szCs w:val="16"/>
      </w:rPr>
    </w:pPr>
    <w:r>
      <w:t xml:space="preserve">CEPT REPORT 052 - </w:t>
    </w:r>
    <w:r w:rsidRPr="003164C2">
      <w:rPr>
        <w:szCs w:val="16"/>
      </w:rPr>
      <w:t xml:space="preserve">Page </w:t>
    </w:r>
    <w:r>
      <w:fldChar w:fldCharType="begin"/>
    </w:r>
    <w:r w:rsidRPr="003164C2">
      <w:instrText xml:space="preserve"> PAGE  \* Arabic  \* MERGEFORMAT </w:instrText>
    </w:r>
    <w:r>
      <w:fldChar w:fldCharType="separate"/>
    </w:r>
    <w:r w:rsidR="00EE1B6E">
      <w:rPr>
        <w:noProof/>
      </w:rPr>
      <w:t>75</w:t>
    </w:r>
    <w:r>
      <w:rPr>
        <w:noProof/>
        <w:szCs w:val="16"/>
        <w:lang w:val="da-DK"/>
      </w:rPr>
      <w:fldChar w:fldCharType="end"/>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9B5D42B" w14:textId="2AD58540" w:rsidR="00DA7779" w:rsidRDefault="00DA7779">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640533"/>
    <w:multiLevelType w:val="hybridMultilevel"/>
    <w:tmpl w:val="2F0EBAEC"/>
    <w:lvl w:ilvl="0" w:tplc="1C8A6162">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
    <w:nsid w:val="07AB4AE0"/>
    <w:multiLevelType w:val="hybridMultilevel"/>
    <w:tmpl w:val="717620DA"/>
    <w:lvl w:ilvl="0" w:tplc="1C8A6162">
      <w:start w:val="1"/>
      <w:numFmt w:val="bullet"/>
      <w:lvlText w:val=""/>
      <w:lvlJc w:val="left"/>
      <w:pPr>
        <w:ind w:left="1004" w:hanging="360"/>
      </w:pPr>
      <w:rPr>
        <w:rFonts w:ascii="Wingdings" w:hAnsi="Wingdings" w:hint="default"/>
        <w:color w:val="D2232A"/>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2">
    <w:nsid w:val="07BE316D"/>
    <w:multiLevelType w:val="hybridMultilevel"/>
    <w:tmpl w:val="D96EFB9A"/>
    <w:lvl w:ilvl="0" w:tplc="1C8A6162">
      <w:start w:val="1"/>
      <w:numFmt w:val="bullet"/>
      <w:lvlText w:val=""/>
      <w:lvlJc w:val="left"/>
      <w:pPr>
        <w:ind w:left="720" w:hanging="360"/>
      </w:pPr>
      <w:rPr>
        <w:rFonts w:ascii="Wingdings" w:hAnsi="Wingdings" w:hint="default"/>
        <w:color w:val="D2232A"/>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3">
    <w:nsid w:val="0871190B"/>
    <w:multiLevelType w:val="hybridMultilevel"/>
    <w:tmpl w:val="8F88C0F2"/>
    <w:lvl w:ilvl="0" w:tplc="F010489A">
      <w:start w:val="1"/>
      <w:numFmt w:val="decimal"/>
      <w:pStyle w:val="BodyTextIndent2"/>
      <w:lvlText w:val="(%1)"/>
      <w:lvlJc w:val="left"/>
      <w:pPr>
        <w:tabs>
          <w:tab w:val="num" w:pos="0"/>
        </w:tabs>
        <w:ind w:left="720" w:hanging="720"/>
      </w:pPr>
      <w:rPr>
        <w:rFonts w:ascii="Times New Roman" w:hAnsi="Times New Roman" w:cs="Times New Roman" w:hint="default"/>
        <w:b w:val="0"/>
        <w:bCs w:val="0"/>
        <w:i w:val="0"/>
        <w:iCs w:val="0"/>
        <w:caps w:val="0"/>
        <w:smallCaps w:val="0"/>
        <w:strike w:val="0"/>
        <w:dstrike w:val="0"/>
        <w:noProof w:val="0"/>
        <w:snapToGrid w:val="0"/>
        <w:vanish w:val="0"/>
        <w:color w:val="000000"/>
        <w:spacing w:val="0"/>
        <w:w w:val="0"/>
        <w:kern w:val="0"/>
        <w:position w:val="0"/>
        <w:szCs w:val="0"/>
        <w:u w:val="none"/>
        <w:vertAlign w:val="baseline"/>
        <w:em w:val="none"/>
        <w:lang w:val="en-GB"/>
      </w:rPr>
    </w:lvl>
    <w:lvl w:ilvl="1" w:tplc="BAE4501A">
      <w:start w:val="1"/>
      <w:numFmt w:val="bullet"/>
      <w:lvlText w:val="o"/>
      <w:lvlJc w:val="left"/>
      <w:pPr>
        <w:tabs>
          <w:tab w:val="num" w:pos="1440"/>
        </w:tabs>
        <w:ind w:left="1440" w:hanging="360"/>
      </w:pPr>
      <w:rPr>
        <w:rFonts w:ascii="Courier New" w:hAnsi="Courier New" w:cs="Courier New" w:hint="default"/>
        <w:b w:val="0"/>
        <w:bCs w:val="0"/>
        <w:i w:val="0"/>
        <w:iCs w:val="0"/>
        <w:caps w:val="0"/>
        <w:smallCaps w:val="0"/>
        <w:strike w:val="0"/>
        <w:dstrike w:val="0"/>
        <w:noProof w:val="0"/>
        <w:snapToGrid w:val="0"/>
        <w:vanish w:val="0"/>
        <w:color w:val="000000"/>
        <w:spacing w:val="0"/>
        <w:w w:val="0"/>
        <w:kern w:val="0"/>
        <w:position w:val="0"/>
        <w:szCs w:val="0"/>
        <w:u w:val="none"/>
        <w:vertAlign w:val="baseline"/>
        <w:em w:val="none"/>
        <w:lang w:val="en-GB"/>
      </w:rPr>
    </w:lvl>
    <w:lvl w:ilvl="2" w:tplc="455E7EC2">
      <w:start w:val="1"/>
      <w:numFmt w:val="lowerRoman"/>
      <w:lvlText w:val="%3."/>
      <w:lvlJc w:val="right"/>
      <w:pPr>
        <w:tabs>
          <w:tab w:val="num" w:pos="2160"/>
        </w:tabs>
        <w:ind w:left="2160" w:hanging="180"/>
      </w:pPr>
    </w:lvl>
    <w:lvl w:ilvl="3" w:tplc="6A36269A" w:tentative="1">
      <w:start w:val="1"/>
      <w:numFmt w:val="decimal"/>
      <w:lvlText w:val="%4."/>
      <w:lvlJc w:val="left"/>
      <w:pPr>
        <w:tabs>
          <w:tab w:val="num" w:pos="2880"/>
        </w:tabs>
        <w:ind w:left="2880" w:hanging="360"/>
      </w:pPr>
    </w:lvl>
    <w:lvl w:ilvl="4" w:tplc="61A21CCE" w:tentative="1">
      <w:start w:val="1"/>
      <w:numFmt w:val="lowerLetter"/>
      <w:lvlText w:val="%5."/>
      <w:lvlJc w:val="left"/>
      <w:pPr>
        <w:tabs>
          <w:tab w:val="num" w:pos="3600"/>
        </w:tabs>
        <w:ind w:left="3600" w:hanging="360"/>
      </w:pPr>
    </w:lvl>
    <w:lvl w:ilvl="5" w:tplc="66786FA0" w:tentative="1">
      <w:start w:val="1"/>
      <w:numFmt w:val="lowerRoman"/>
      <w:lvlText w:val="%6."/>
      <w:lvlJc w:val="right"/>
      <w:pPr>
        <w:tabs>
          <w:tab w:val="num" w:pos="4320"/>
        </w:tabs>
        <w:ind w:left="4320" w:hanging="180"/>
      </w:pPr>
    </w:lvl>
    <w:lvl w:ilvl="6" w:tplc="C4AC6CC0" w:tentative="1">
      <w:start w:val="1"/>
      <w:numFmt w:val="decimal"/>
      <w:lvlText w:val="%7."/>
      <w:lvlJc w:val="left"/>
      <w:pPr>
        <w:tabs>
          <w:tab w:val="num" w:pos="5040"/>
        </w:tabs>
        <w:ind w:left="5040" w:hanging="360"/>
      </w:pPr>
    </w:lvl>
    <w:lvl w:ilvl="7" w:tplc="9F283302" w:tentative="1">
      <w:start w:val="1"/>
      <w:numFmt w:val="lowerLetter"/>
      <w:lvlText w:val="%8."/>
      <w:lvlJc w:val="left"/>
      <w:pPr>
        <w:tabs>
          <w:tab w:val="num" w:pos="5760"/>
        </w:tabs>
        <w:ind w:left="5760" w:hanging="360"/>
      </w:pPr>
    </w:lvl>
    <w:lvl w:ilvl="8" w:tplc="5206106C" w:tentative="1">
      <w:start w:val="1"/>
      <w:numFmt w:val="lowerRoman"/>
      <w:lvlText w:val="%9."/>
      <w:lvlJc w:val="right"/>
      <w:pPr>
        <w:tabs>
          <w:tab w:val="num" w:pos="6480"/>
        </w:tabs>
        <w:ind w:left="6480" w:hanging="180"/>
      </w:pPr>
    </w:lvl>
  </w:abstractNum>
  <w:abstractNum w:abstractNumId="4">
    <w:nsid w:val="0A520DD9"/>
    <w:multiLevelType w:val="hybridMultilevel"/>
    <w:tmpl w:val="DDB29090"/>
    <w:lvl w:ilvl="0" w:tplc="1C8A6162">
      <w:start w:val="1"/>
      <w:numFmt w:val="bullet"/>
      <w:lvlText w:val=""/>
      <w:lvlJc w:val="left"/>
      <w:pPr>
        <w:ind w:left="720" w:hanging="360"/>
      </w:pPr>
      <w:rPr>
        <w:rFonts w:ascii="Wingdings" w:hAnsi="Wingdings" w:hint="default"/>
        <w:color w:val="D2232A"/>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nsid w:val="0B6B2D55"/>
    <w:multiLevelType w:val="hybridMultilevel"/>
    <w:tmpl w:val="A9D83A16"/>
    <w:lvl w:ilvl="0" w:tplc="1C8A6162">
      <w:start w:val="1"/>
      <w:numFmt w:val="bullet"/>
      <w:lvlText w:val=""/>
      <w:lvlJc w:val="left"/>
      <w:pPr>
        <w:ind w:left="720" w:hanging="360"/>
      </w:pPr>
      <w:rPr>
        <w:rFonts w:ascii="Wingdings" w:hAnsi="Wingdings" w:hint="default"/>
        <w:color w:val="D2232A"/>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nsid w:val="1262685D"/>
    <w:multiLevelType w:val="singleLevel"/>
    <w:tmpl w:val="D96C95A2"/>
    <w:lvl w:ilvl="0">
      <w:start w:val="1"/>
      <w:numFmt w:val="bullet"/>
      <w:pStyle w:val="ListBullet4"/>
      <w:lvlText w:val=""/>
      <w:lvlJc w:val="left"/>
      <w:pPr>
        <w:tabs>
          <w:tab w:val="num" w:pos="3163"/>
        </w:tabs>
        <w:ind w:left="3163" w:hanging="283"/>
      </w:pPr>
      <w:rPr>
        <w:rFonts w:ascii="Symbol" w:hAnsi="Symbol"/>
      </w:rPr>
    </w:lvl>
  </w:abstractNum>
  <w:abstractNum w:abstractNumId="7">
    <w:nsid w:val="13A95D58"/>
    <w:multiLevelType w:val="hybridMultilevel"/>
    <w:tmpl w:val="986CF36A"/>
    <w:lvl w:ilvl="0" w:tplc="1C8A6162">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8">
    <w:nsid w:val="143D0A16"/>
    <w:multiLevelType w:val="singleLevel"/>
    <w:tmpl w:val="01FA5668"/>
    <w:lvl w:ilvl="0">
      <w:start w:val="1"/>
      <w:numFmt w:val="bullet"/>
      <w:pStyle w:val="ListBullet3"/>
      <w:lvlText w:val=""/>
      <w:lvlJc w:val="left"/>
      <w:pPr>
        <w:tabs>
          <w:tab w:val="num" w:pos="2199"/>
        </w:tabs>
        <w:ind w:left="2199" w:hanging="283"/>
      </w:pPr>
      <w:rPr>
        <w:rFonts w:ascii="Symbol" w:hAnsi="Symbol"/>
      </w:rPr>
    </w:lvl>
  </w:abstractNum>
  <w:abstractNum w:abstractNumId="9">
    <w:nsid w:val="16BD08F8"/>
    <w:multiLevelType w:val="multilevel"/>
    <w:tmpl w:val="FCEC7FBC"/>
    <w:styleLink w:val="ECCBullets"/>
    <w:lvl w:ilvl="0">
      <w:start w:val="1"/>
      <w:numFmt w:val="bullet"/>
      <w:lvlText w:val=""/>
      <w:lvlJc w:val="left"/>
      <w:pPr>
        <w:tabs>
          <w:tab w:val="num" w:pos="340"/>
        </w:tabs>
        <w:ind w:left="340" w:hanging="340"/>
      </w:pPr>
      <w:rPr>
        <w:rFonts w:ascii="Wingdings" w:hAnsi="Wingdings" w:hint="default"/>
        <w:color w:val="D2232A"/>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bullet"/>
      <w:lvlText w:val=""/>
      <w:lvlJc w:val="left"/>
      <w:pPr>
        <w:tabs>
          <w:tab w:val="num" w:pos="1361"/>
        </w:tabs>
        <w:ind w:left="1361" w:hanging="340"/>
      </w:pPr>
      <w:rPr>
        <w:rFonts w:ascii="Wingdings" w:hAnsi="Wingdings" w:hint="default"/>
        <w:color w:val="D2232A"/>
      </w:rPr>
    </w:lvl>
    <w:lvl w:ilvl="4">
      <w:start w:val="1"/>
      <w:numFmt w:val="bullet"/>
      <w:lvlText w:val="o"/>
      <w:lvlJc w:val="left"/>
      <w:pPr>
        <w:tabs>
          <w:tab w:val="num" w:pos="2579"/>
        </w:tabs>
        <w:ind w:left="2579" w:hanging="360"/>
      </w:pPr>
      <w:rPr>
        <w:rFonts w:ascii="Courier New" w:hAnsi="Courier New" w:hint="default"/>
      </w:rPr>
    </w:lvl>
    <w:lvl w:ilvl="5">
      <w:start w:val="1"/>
      <w:numFmt w:val="bullet"/>
      <w:lvlText w:val=""/>
      <w:lvlJc w:val="left"/>
      <w:pPr>
        <w:tabs>
          <w:tab w:val="num" w:pos="3299"/>
        </w:tabs>
        <w:ind w:left="3299" w:hanging="360"/>
      </w:pPr>
      <w:rPr>
        <w:rFonts w:ascii="Wingdings" w:hAnsi="Wingdings" w:hint="default"/>
      </w:rPr>
    </w:lvl>
    <w:lvl w:ilvl="6">
      <w:start w:val="1"/>
      <w:numFmt w:val="bullet"/>
      <w:lvlText w:val=""/>
      <w:lvlJc w:val="left"/>
      <w:pPr>
        <w:tabs>
          <w:tab w:val="num" w:pos="4019"/>
        </w:tabs>
        <w:ind w:left="4019" w:hanging="360"/>
      </w:pPr>
      <w:rPr>
        <w:rFonts w:ascii="Symbol" w:hAnsi="Symbol" w:hint="default"/>
      </w:rPr>
    </w:lvl>
    <w:lvl w:ilvl="7">
      <w:start w:val="1"/>
      <w:numFmt w:val="bullet"/>
      <w:lvlText w:val="o"/>
      <w:lvlJc w:val="left"/>
      <w:pPr>
        <w:tabs>
          <w:tab w:val="num" w:pos="4739"/>
        </w:tabs>
        <w:ind w:left="4739" w:hanging="360"/>
      </w:pPr>
      <w:rPr>
        <w:rFonts w:ascii="Courier New" w:hAnsi="Courier New" w:hint="default"/>
      </w:rPr>
    </w:lvl>
    <w:lvl w:ilvl="8">
      <w:start w:val="1"/>
      <w:numFmt w:val="bullet"/>
      <w:lvlText w:val=""/>
      <w:lvlJc w:val="left"/>
      <w:pPr>
        <w:tabs>
          <w:tab w:val="num" w:pos="5459"/>
        </w:tabs>
        <w:ind w:left="5459" w:hanging="360"/>
      </w:pPr>
      <w:rPr>
        <w:rFonts w:ascii="Wingdings" w:hAnsi="Wingdings" w:hint="default"/>
      </w:rPr>
    </w:lvl>
  </w:abstractNum>
  <w:abstractNum w:abstractNumId="10">
    <w:nsid w:val="17083F75"/>
    <w:multiLevelType w:val="hybridMultilevel"/>
    <w:tmpl w:val="20F4BAB6"/>
    <w:lvl w:ilvl="0" w:tplc="1C8A6162">
      <w:start w:val="1"/>
      <w:numFmt w:val="bullet"/>
      <w:lvlText w:val=""/>
      <w:lvlJc w:val="left"/>
      <w:pPr>
        <w:ind w:left="720" w:hanging="360"/>
      </w:pPr>
      <w:rPr>
        <w:rFonts w:ascii="Wingdings" w:hAnsi="Wingdings" w:hint="default"/>
        <w:color w:val="D2232A"/>
      </w:rPr>
    </w:lvl>
    <w:lvl w:ilvl="1" w:tplc="08160003">
      <w:start w:val="1"/>
      <w:numFmt w:val="bullet"/>
      <w:lvlText w:val="o"/>
      <w:lvlJc w:val="left"/>
      <w:pPr>
        <w:ind w:left="1440" w:hanging="360"/>
      </w:pPr>
      <w:rPr>
        <w:rFonts w:ascii="Courier New" w:hAnsi="Courier New" w:cs="Courier New" w:hint="default"/>
      </w:rPr>
    </w:lvl>
    <w:lvl w:ilvl="2" w:tplc="08160005">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11">
    <w:nsid w:val="1BF25586"/>
    <w:multiLevelType w:val="hybridMultilevel"/>
    <w:tmpl w:val="94CA9E86"/>
    <w:lvl w:ilvl="0" w:tplc="C928A84A">
      <w:start w:val="1"/>
      <w:numFmt w:val="decimal"/>
      <w:lvlText w:val="%1."/>
      <w:lvlJc w:val="left"/>
      <w:pPr>
        <w:ind w:left="1856" w:hanging="360"/>
      </w:pPr>
      <w:rPr>
        <w:rFonts w:hint="default"/>
        <w:color w:val="C00000"/>
      </w:rPr>
    </w:lvl>
    <w:lvl w:ilvl="1" w:tplc="04060019">
      <w:start w:val="1"/>
      <w:numFmt w:val="lowerLetter"/>
      <w:lvlText w:val="%2."/>
      <w:lvlJc w:val="left"/>
      <w:pPr>
        <w:ind w:left="2576" w:hanging="360"/>
      </w:pPr>
    </w:lvl>
    <w:lvl w:ilvl="2" w:tplc="0406001B" w:tentative="1">
      <w:start w:val="1"/>
      <w:numFmt w:val="lowerRoman"/>
      <w:lvlText w:val="%3."/>
      <w:lvlJc w:val="right"/>
      <w:pPr>
        <w:ind w:left="3296" w:hanging="180"/>
      </w:pPr>
    </w:lvl>
    <w:lvl w:ilvl="3" w:tplc="0406000F" w:tentative="1">
      <w:start w:val="1"/>
      <w:numFmt w:val="decimal"/>
      <w:lvlText w:val="%4."/>
      <w:lvlJc w:val="left"/>
      <w:pPr>
        <w:ind w:left="4016" w:hanging="360"/>
      </w:pPr>
    </w:lvl>
    <w:lvl w:ilvl="4" w:tplc="04060019" w:tentative="1">
      <w:start w:val="1"/>
      <w:numFmt w:val="lowerLetter"/>
      <w:lvlText w:val="%5."/>
      <w:lvlJc w:val="left"/>
      <w:pPr>
        <w:ind w:left="4736" w:hanging="360"/>
      </w:pPr>
    </w:lvl>
    <w:lvl w:ilvl="5" w:tplc="0406001B" w:tentative="1">
      <w:start w:val="1"/>
      <w:numFmt w:val="lowerRoman"/>
      <w:lvlText w:val="%6."/>
      <w:lvlJc w:val="right"/>
      <w:pPr>
        <w:ind w:left="5456" w:hanging="180"/>
      </w:pPr>
    </w:lvl>
    <w:lvl w:ilvl="6" w:tplc="0406000F" w:tentative="1">
      <w:start w:val="1"/>
      <w:numFmt w:val="decimal"/>
      <w:lvlText w:val="%7."/>
      <w:lvlJc w:val="left"/>
      <w:pPr>
        <w:ind w:left="6176" w:hanging="360"/>
      </w:pPr>
    </w:lvl>
    <w:lvl w:ilvl="7" w:tplc="04060019" w:tentative="1">
      <w:start w:val="1"/>
      <w:numFmt w:val="lowerLetter"/>
      <w:lvlText w:val="%8."/>
      <w:lvlJc w:val="left"/>
      <w:pPr>
        <w:ind w:left="6896" w:hanging="360"/>
      </w:pPr>
    </w:lvl>
    <w:lvl w:ilvl="8" w:tplc="0406001B" w:tentative="1">
      <w:start w:val="1"/>
      <w:numFmt w:val="lowerRoman"/>
      <w:lvlText w:val="%9."/>
      <w:lvlJc w:val="right"/>
      <w:pPr>
        <w:ind w:left="7616" w:hanging="180"/>
      </w:pPr>
    </w:lvl>
  </w:abstractNum>
  <w:abstractNum w:abstractNumId="12">
    <w:nsid w:val="1E8879C6"/>
    <w:multiLevelType w:val="hybridMultilevel"/>
    <w:tmpl w:val="087E3AFC"/>
    <w:lvl w:ilvl="0" w:tplc="1C8A6162">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3">
    <w:nsid w:val="20A87A02"/>
    <w:multiLevelType w:val="hybridMultilevel"/>
    <w:tmpl w:val="3962F2D4"/>
    <w:lvl w:ilvl="0" w:tplc="FFFFFFFF">
      <w:start w:val="1"/>
      <w:numFmt w:val="bullet"/>
      <w:pStyle w:val="ECCParBulleted"/>
      <w:lvlText w:val=""/>
      <w:lvlJc w:val="left"/>
      <w:pPr>
        <w:tabs>
          <w:tab w:val="num" w:pos="680"/>
        </w:tabs>
        <w:ind w:left="680" w:hanging="340"/>
      </w:pPr>
      <w:rPr>
        <w:rFonts w:ascii="Wingdings" w:hAnsi="Wingdings" w:hint="default"/>
        <w:color w:val="D2232A"/>
      </w:rPr>
    </w:lvl>
    <w:lvl w:ilvl="1" w:tplc="FFFFFFFF">
      <w:start w:val="1"/>
      <w:numFmt w:val="bullet"/>
      <w:lvlText w:val="o"/>
      <w:lvlJc w:val="left"/>
      <w:pPr>
        <w:tabs>
          <w:tab w:val="num" w:pos="759"/>
        </w:tabs>
        <w:ind w:left="759" w:hanging="360"/>
      </w:pPr>
      <w:rPr>
        <w:rFonts w:ascii="Courier New" w:hAnsi="Courier New" w:cs="Arial Bold" w:hint="default"/>
      </w:rPr>
    </w:lvl>
    <w:lvl w:ilvl="2" w:tplc="FFFFFFFF">
      <w:start w:val="1"/>
      <w:numFmt w:val="bullet"/>
      <w:lvlText w:val=""/>
      <w:lvlJc w:val="left"/>
      <w:pPr>
        <w:tabs>
          <w:tab w:val="num" w:pos="1479"/>
        </w:tabs>
        <w:ind w:left="1479" w:hanging="360"/>
      </w:pPr>
      <w:rPr>
        <w:rFonts w:ascii="Wingdings" w:hAnsi="Wingdings" w:hint="default"/>
      </w:rPr>
    </w:lvl>
    <w:lvl w:ilvl="3" w:tplc="FFFFFFFF">
      <w:start w:val="1"/>
      <w:numFmt w:val="bullet"/>
      <w:lvlText w:val=""/>
      <w:lvlJc w:val="left"/>
      <w:pPr>
        <w:tabs>
          <w:tab w:val="num" w:pos="2199"/>
        </w:tabs>
        <w:ind w:left="2199" w:hanging="360"/>
      </w:pPr>
      <w:rPr>
        <w:rFonts w:ascii="Symbol" w:hAnsi="Symbol" w:hint="default"/>
      </w:rPr>
    </w:lvl>
    <w:lvl w:ilvl="4" w:tplc="FFFFFFFF">
      <w:start w:val="1"/>
      <w:numFmt w:val="bullet"/>
      <w:lvlText w:val="o"/>
      <w:lvlJc w:val="left"/>
      <w:pPr>
        <w:tabs>
          <w:tab w:val="num" w:pos="2919"/>
        </w:tabs>
        <w:ind w:left="2919" w:hanging="360"/>
      </w:pPr>
      <w:rPr>
        <w:rFonts w:ascii="Courier New" w:hAnsi="Courier New" w:cs="Arial Bold" w:hint="default"/>
      </w:rPr>
    </w:lvl>
    <w:lvl w:ilvl="5" w:tplc="FFFFFFFF">
      <w:start w:val="1"/>
      <w:numFmt w:val="bullet"/>
      <w:lvlText w:val=""/>
      <w:lvlJc w:val="left"/>
      <w:pPr>
        <w:tabs>
          <w:tab w:val="num" w:pos="3639"/>
        </w:tabs>
        <w:ind w:left="3639" w:hanging="360"/>
      </w:pPr>
      <w:rPr>
        <w:rFonts w:ascii="Wingdings" w:hAnsi="Wingdings" w:hint="default"/>
      </w:rPr>
    </w:lvl>
    <w:lvl w:ilvl="6" w:tplc="FFFFFFFF">
      <w:start w:val="1"/>
      <w:numFmt w:val="bullet"/>
      <w:lvlText w:val=""/>
      <w:lvlJc w:val="left"/>
      <w:pPr>
        <w:tabs>
          <w:tab w:val="num" w:pos="4359"/>
        </w:tabs>
        <w:ind w:left="4359" w:hanging="360"/>
      </w:pPr>
      <w:rPr>
        <w:rFonts w:ascii="Symbol" w:hAnsi="Symbol" w:hint="default"/>
      </w:rPr>
    </w:lvl>
    <w:lvl w:ilvl="7" w:tplc="FFFFFFFF">
      <w:start w:val="1"/>
      <w:numFmt w:val="bullet"/>
      <w:lvlText w:val="o"/>
      <w:lvlJc w:val="left"/>
      <w:pPr>
        <w:tabs>
          <w:tab w:val="num" w:pos="5079"/>
        </w:tabs>
        <w:ind w:left="5079" w:hanging="360"/>
      </w:pPr>
      <w:rPr>
        <w:rFonts w:ascii="Courier New" w:hAnsi="Courier New" w:cs="Arial Bold" w:hint="default"/>
      </w:rPr>
    </w:lvl>
    <w:lvl w:ilvl="8" w:tplc="FFFFFFFF" w:tentative="1">
      <w:start w:val="1"/>
      <w:numFmt w:val="bullet"/>
      <w:lvlText w:val=""/>
      <w:lvlJc w:val="left"/>
      <w:pPr>
        <w:tabs>
          <w:tab w:val="num" w:pos="5799"/>
        </w:tabs>
        <w:ind w:left="5799" w:hanging="360"/>
      </w:pPr>
      <w:rPr>
        <w:rFonts w:ascii="Wingdings" w:hAnsi="Wingdings" w:hint="default"/>
      </w:rPr>
    </w:lvl>
  </w:abstractNum>
  <w:abstractNum w:abstractNumId="14">
    <w:nsid w:val="212F4188"/>
    <w:multiLevelType w:val="multilevel"/>
    <w:tmpl w:val="169232EE"/>
    <w:lvl w:ilvl="0">
      <w:start w:val="1"/>
      <w:numFmt w:val="decimal"/>
      <w:pStyle w:val="ECCAnnexheading1"/>
      <w:suff w:val="space"/>
      <w:lvlText w:val="ANNEX %1:"/>
      <w:lvlJc w:val="left"/>
      <w:pPr>
        <w:ind w:left="0" w:firstLine="0"/>
      </w:pPr>
      <w:rPr>
        <w:rFonts w:ascii="Arial" w:hAnsi="Arial" w:hint="default"/>
        <w:b/>
        <w:bCs w:val="0"/>
        <w:i w:val="0"/>
        <w:iCs w:val="0"/>
        <w:smallCaps w:val="0"/>
        <w:strike w:val="0"/>
        <w:dstrike w:val="0"/>
        <w:vanish w:val="0"/>
        <w:color w:val="D2232A"/>
        <w:spacing w:val="0"/>
        <w:position w:val="0"/>
        <w:sz w:val="20"/>
        <w:u w:val="none"/>
        <w:vertAlign w:val="baseline"/>
        <w:em w:val="none"/>
      </w:rPr>
    </w:lvl>
    <w:lvl w:ilvl="1">
      <w:start w:val="1"/>
      <w:numFmt w:val="decimal"/>
      <w:pStyle w:val="ECCAnnexheading2"/>
      <w:suff w:val="space"/>
      <w:lvlText w:val="A%1.%2"/>
      <w:lvlJc w:val="left"/>
      <w:pPr>
        <w:ind w:left="576" w:hanging="576"/>
      </w:pPr>
      <w:rPr>
        <w:rFonts w:hint="default"/>
      </w:rPr>
    </w:lvl>
    <w:lvl w:ilvl="2">
      <w:start w:val="1"/>
      <w:numFmt w:val="decimal"/>
      <w:pStyle w:val="ECCAnnexheading3"/>
      <w:lvlText w:val="A%1.%2.%3"/>
      <w:lvlJc w:val="left"/>
      <w:pPr>
        <w:tabs>
          <w:tab w:val="num" w:pos="720"/>
        </w:tabs>
        <w:ind w:left="720" w:hanging="720"/>
      </w:pPr>
      <w:rPr>
        <w:rFonts w:hint="default"/>
      </w:rPr>
    </w:lvl>
    <w:lvl w:ilvl="3">
      <w:start w:val="1"/>
      <w:numFmt w:val="decimal"/>
      <w:pStyle w:val="ECCAnnexheading4"/>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5">
    <w:nsid w:val="28463487"/>
    <w:multiLevelType w:val="hybridMultilevel"/>
    <w:tmpl w:val="C5721DDE"/>
    <w:lvl w:ilvl="0" w:tplc="1C8A6162">
      <w:start w:val="1"/>
      <w:numFmt w:val="bullet"/>
      <w:lvlText w:val=""/>
      <w:lvlJc w:val="left"/>
      <w:pPr>
        <w:ind w:left="720" w:hanging="360"/>
      </w:pPr>
      <w:rPr>
        <w:rFonts w:ascii="Wingdings" w:hAnsi="Wingdings" w:hint="default"/>
        <w:color w:val="D2232A"/>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nsid w:val="2F40624D"/>
    <w:multiLevelType w:val="hybridMultilevel"/>
    <w:tmpl w:val="03A89286"/>
    <w:lvl w:ilvl="0" w:tplc="ED8CDA22">
      <w:start w:val="1"/>
      <w:numFmt w:val="bullet"/>
      <w:lvlText w:val=""/>
      <w:lvlJc w:val="left"/>
      <w:pPr>
        <w:ind w:left="1429" w:hanging="360"/>
      </w:pPr>
      <w:rPr>
        <w:rFonts w:ascii="Wingdings" w:hAnsi="Wingdings" w:hint="default"/>
        <w:color w:val="D2232A"/>
      </w:rPr>
    </w:lvl>
    <w:lvl w:ilvl="1" w:tplc="04060003" w:tentative="1">
      <w:start w:val="1"/>
      <w:numFmt w:val="bullet"/>
      <w:lvlText w:val="o"/>
      <w:lvlJc w:val="left"/>
      <w:pPr>
        <w:ind w:left="2149" w:hanging="360"/>
      </w:pPr>
      <w:rPr>
        <w:rFonts w:ascii="Courier New" w:hAnsi="Courier New" w:cs="Courier New" w:hint="default"/>
      </w:rPr>
    </w:lvl>
    <w:lvl w:ilvl="2" w:tplc="04060005" w:tentative="1">
      <w:start w:val="1"/>
      <w:numFmt w:val="bullet"/>
      <w:lvlText w:val=""/>
      <w:lvlJc w:val="left"/>
      <w:pPr>
        <w:ind w:left="2869" w:hanging="360"/>
      </w:pPr>
      <w:rPr>
        <w:rFonts w:ascii="Wingdings" w:hAnsi="Wingdings" w:hint="default"/>
      </w:rPr>
    </w:lvl>
    <w:lvl w:ilvl="3" w:tplc="04060001" w:tentative="1">
      <w:start w:val="1"/>
      <w:numFmt w:val="bullet"/>
      <w:lvlText w:val=""/>
      <w:lvlJc w:val="left"/>
      <w:pPr>
        <w:ind w:left="3589" w:hanging="360"/>
      </w:pPr>
      <w:rPr>
        <w:rFonts w:ascii="Symbol" w:hAnsi="Symbol" w:hint="default"/>
      </w:rPr>
    </w:lvl>
    <w:lvl w:ilvl="4" w:tplc="04060003" w:tentative="1">
      <w:start w:val="1"/>
      <w:numFmt w:val="bullet"/>
      <w:lvlText w:val="o"/>
      <w:lvlJc w:val="left"/>
      <w:pPr>
        <w:ind w:left="4309" w:hanging="360"/>
      </w:pPr>
      <w:rPr>
        <w:rFonts w:ascii="Courier New" w:hAnsi="Courier New" w:cs="Courier New" w:hint="default"/>
      </w:rPr>
    </w:lvl>
    <w:lvl w:ilvl="5" w:tplc="04060005" w:tentative="1">
      <w:start w:val="1"/>
      <w:numFmt w:val="bullet"/>
      <w:lvlText w:val=""/>
      <w:lvlJc w:val="left"/>
      <w:pPr>
        <w:ind w:left="5029" w:hanging="360"/>
      </w:pPr>
      <w:rPr>
        <w:rFonts w:ascii="Wingdings" w:hAnsi="Wingdings" w:hint="default"/>
      </w:rPr>
    </w:lvl>
    <w:lvl w:ilvl="6" w:tplc="04060001" w:tentative="1">
      <w:start w:val="1"/>
      <w:numFmt w:val="bullet"/>
      <w:lvlText w:val=""/>
      <w:lvlJc w:val="left"/>
      <w:pPr>
        <w:ind w:left="5749" w:hanging="360"/>
      </w:pPr>
      <w:rPr>
        <w:rFonts w:ascii="Symbol" w:hAnsi="Symbol" w:hint="default"/>
      </w:rPr>
    </w:lvl>
    <w:lvl w:ilvl="7" w:tplc="04060003" w:tentative="1">
      <w:start w:val="1"/>
      <w:numFmt w:val="bullet"/>
      <w:lvlText w:val="o"/>
      <w:lvlJc w:val="left"/>
      <w:pPr>
        <w:ind w:left="6469" w:hanging="360"/>
      </w:pPr>
      <w:rPr>
        <w:rFonts w:ascii="Courier New" w:hAnsi="Courier New" w:cs="Courier New" w:hint="default"/>
      </w:rPr>
    </w:lvl>
    <w:lvl w:ilvl="8" w:tplc="04060005" w:tentative="1">
      <w:start w:val="1"/>
      <w:numFmt w:val="bullet"/>
      <w:lvlText w:val=""/>
      <w:lvlJc w:val="left"/>
      <w:pPr>
        <w:ind w:left="7189" w:hanging="360"/>
      </w:pPr>
      <w:rPr>
        <w:rFonts w:ascii="Wingdings" w:hAnsi="Wingdings" w:hint="default"/>
      </w:rPr>
    </w:lvl>
  </w:abstractNum>
  <w:abstractNum w:abstractNumId="17">
    <w:nsid w:val="2F632B79"/>
    <w:multiLevelType w:val="hybridMultilevel"/>
    <w:tmpl w:val="ABC6554A"/>
    <w:lvl w:ilvl="0" w:tplc="0406000F">
      <w:start w:val="1"/>
      <w:numFmt w:val="decimal"/>
      <w:lvlText w:val="%1."/>
      <w:lvlJc w:val="left"/>
      <w:pPr>
        <w:ind w:left="360" w:hanging="360"/>
      </w:p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8">
    <w:nsid w:val="30001D04"/>
    <w:multiLevelType w:val="hybridMultilevel"/>
    <w:tmpl w:val="AC6C1CB2"/>
    <w:lvl w:ilvl="0" w:tplc="56CC27A0">
      <w:start w:val="1"/>
      <w:numFmt w:val="lowerLetter"/>
      <w:lvlText w:val="%1."/>
      <w:lvlJc w:val="left"/>
      <w:pPr>
        <w:ind w:left="1800" w:hanging="360"/>
      </w:pPr>
      <w:rPr>
        <w:rFonts w:ascii="Arial" w:hAnsi="Arial" w:hint="default"/>
        <w:color w:val="C00000"/>
        <w:sz w:val="20"/>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19">
    <w:nsid w:val="33476749"/>
    <w:multiLevelType w:val="hybridMultilevel"/>
    <w:tmpl w:val="67D82486"/>
    <w:lvl w:ilvl="0" w:tplc="ED8CDA22">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0">
    <w:nsid w:val="34DD530A"/>
    <w:multiLevelType w:val="hybridMultilevel"/>
    <w:tmpl w:val="D1821120"/>
    <w:lvl w:ilvl="0" w:tplc="C928A84A">
      <w:start w:val="1"/>
      <w:numFmt w:val="decimal"/>
      <w:lvlText w:val="%1."/>
      <w:lvlJc w:val="left"/>
      <w:pPr>
        <w:ind w:left="720" w:hanging="360"/>
      </w:pPr>
      <w:rPr>
        <w:rFonts w:hint="default"/>
        <w:color w:val="C00000"/>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21">
    <w:nsid w:val="35E435AA"/>
    <w:multiLevelType w:val="hybridMultilevel"/>
    <w:tmpl w:val="0706ABF0"/>
    <w:lvl w:ilvl="0" w:tplc="C928A84A">
      <w:start w:val="1"/>
      <w:numFmt w:val="decimal"/>
      <w:lvlText w:val="%1."/>
      <w:lvlJc w:val="left"/>
      <w:pPr>
        <w:ind w:left="1856" w:hanging="360"/>
      </w:pPr>
      <w:rPr>
        <w:rFonts w:hint="default"/>
        <w:color w:val="C00000"/>
      </w:rPr>
    </w:lvl>
    <w:lvl w:ilvl="1" w:tplc="56CC27A0">
      <w:start w:val="1"/>
      <w:numFmt w:val="lowerLetter"/>
      <w:lvlText w:val="%2."/>
      <w:lvlJc w:val="left"/>
      <w:pPr>
        <w:ind w:left="2576" w:hanging="360"/>
      </w:pPr>
      <w:rPr>
        <w:rFonts w:ascii="Arial" w:hAnsi="Arial" w:hint="default"/>
        <w:color w:val="C00000"/>
        <w:sz w:val="20"/>
      </w:rPr>
    </w:lvl>
    <w:lvl w:ilvl="2" w:tplc="0406001B" w:tentative="1">
      <w:start w:val="1"/>
      <w:numFmt w:val="lowerRoman"/>
      <w:lvlText w:val="%3."/>
      <w:lvlJc w:val="right"/>
      <w:pPr>
        <w:ind w:left="3296" w:hanging="180"/>
      </w:pPr>
    </w:lvl>
    <w:lvl w:ilvl="3" w:tplc="0406000F" w:tentative="1">
      <w:start w:val="1"/>
      <w:numFmt w:val="decimal"/>
      <w:lvlText w:val="%4."/>
      <w:lvlJc w:val="left"/>
      <w:pPr>
        <w:ind w:left="4016" w:hanging="360"/>
      </w:pPr>
    </w:lvl>
    <w:lvl w:ilvl="4" w:tplc="04060019" w:tentative="1">
      <w:start w:val="1"/>
      <w:numFmt w:val="lowerLetter"/>
      <w:lvlText w:val="%5."/>
      <w:lvlJc w:val="left"/>
      <w:pPr>
        <w:ind w:left="4736" w:hanging="360"/>
      </w:pPr>
    </w:lvl>
    <w:lvl w:ilvl="5" w:tplc="0406001B" w:tentative="1">
      <w:start w:val="1"/>
      <w:numFmt w:val="lowerRoman"/>
      <w:lvlText w:val="%6."/>
      <w:lvlJc w:val="right"/>
      <w:pPr>
        <w:ind w:left="5456" w:hanging="180"/>
      </w:pPr>
    </w:lvl>
    <w:lvl w:ilvl="6" w:tplc="0406000F" w:tentative="1">
      <w:start w:val="1"/>
      <w:numFmt w:val="decimal"/>
      <w:lvlText w:val="%7."/>
      <w:lvlJc w:val="left"/>
      <w:pPr>
        <w:ind w:left="6176" w:hanging="360"/>
      </w:pPr>
    </w:lvl>
    <w:lvl w:ilvl="7" w:tplc="04060019" w:tentative="1">
      <w:start w:val="1"/>
      <w:numFmt w:val="lowerLetter"/>
      <w:lvlText w:val="%8."/>
      <w:lvlJc w:val="left"/>
      <w:pPr>
        <w:ind w:left="6896" w:hanging="360"/>
      </w:pPr>
    </w:lvl>
    <w:lvl w:ilvl="8" w:tplc="0406001B" w:tentative="1">
      <w:start w:val="1"/>
      <w:numFmt w:val="lowerRoman"/>
      <w:lvlText w:val="%9."/>
      <w:lvlJc w:val="right"/>
      <w:pPr>
        <w:ind w:left="7616" w:hanging="180"/>
      </w:pPr>
    </w:lvl>
  </w:abstractNum>
  <w:abstractNum w:abstractNumId="22">
    <w:nsid w:val="362C6DE8"/>
    <w:multiLevelType w:val="hybridMultilevel"/>
    <w:tmpl w:val="6AA6CAAE"/>
    <w:lvl w:ilvl="0" w:tplc="43B872B6">
      <w:numFmt w:val="bullet"/>
      <w:lvlText w:val="–"/>
      <w:lvlJc w:val="left"/>
      <w:pPr>
        <w:ind w:left="720" w:hanging="360"/>
      </w:pPr>
      <w:rPr>
        <w:rFonts w:ascii="Times New Roman" w:eastAsia="Times New Roman" w:hAnsi="Times New Roman" w:cs="Times New Roman" w:hint="default"/>
        <w:color w:val="FF0000"/>
      </w:rPr>
    </w:lvl>
    <w:lvl w:ilvl="1" w:tplc="08160003">
      <w:start w:val="1"/>
      <w:numFmt w:val="bullet"/>
      <w:lvlText w:val="o"/>
      <w:lvlJc w:val="left"/>
      <w:pPr>
        <w:ind w:left="1440" w:hanging="360"/>
      </w:pPr>
      <w:rPr>
        <w:rFonts w:ascii="Courier New" w:hAnsi="Courier New" w:cs="Courier New" w:hint="default"/>
      </w:rPr>
    </w:lvl>
    <w:lvl w:ilvl="2" w:tplc="08160005">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23">
    <w:nsid w:val="37B71C79"/>
    <w:multiLevelType w:val="hybridMultilevel"/>
    <w:tmpl w:val="F05CA9E8"/>
    <w:lvl w:ilvl="0" w:tplc="C928A84A">
      <w:start w:val="1"/>
      <w:numFmt w:val="decimal"/>
      <w:lvlText w:val="%1."/>
      <w:lvlJc w:val="left"/>
      <w:pPr>
        <w:ind w:left="720" w:hanging="360"/>
      </w:pPr>
      <w:rPr>
        <w:color w:val="C00000"/>
      </w:rPr>
    </w:lvl>
    <w:lvl w:ilvl="1" w:tplc="08090019">
      <w:start w:val="1"/>
      <w:numFmt w:val="lowerLetter"/>
      <w:lvlText w:val="%2."/>
      <w:lvlJc w:val="left"/>
      <w:pPr>
        <w:ind w:left="1440" w:hanging="360"/>
      </w:pPr>
      <w:rPr>
        <w:rFonts w:cs="Times New Roman"/>
      </w:rPr>
    </w:lvl>
    <w:lvl w:ilvl="2" w:tplc="0809001B">
      <w:start w:val="1"/>
      <w:numFmt w:val="lowerRoman"/>
      <w:lvlText w:val="%3."/>
      <w:lvlJc w:val="right"/>
      <w:pPr>
        <w:ind w:left="2160" w:hanging="180"/>
      </w:pPr>
      <w:rPr>
        <w:rFonts w:cs="Times New Roman"/>
      </w:rPr>
    </w:lvl>
    <w:lvl w:ilvl="3" w:tplc="0809000F">
      <w:start w:val="1"/>
      <w:numFmt w:val="decimal"/>
      <w:lvlText w:val="%4."/>
      <w:lvlJc w:val="left"/>
      <w:pPr>
        <w:ind w:left="2880" w:hanging="360"/>
      </w:pPr>
      <w:rPr>
        <w:rFonts w:cs="Times New Roman"/>
      </w:rPr>
    </w:lvl>
    <w:lvl w:ilvl="4" w:tplc="08090019">
      <w:start w:val="1"/>
      <w:numFmt w:val="lowerLetter"/>
      <w:lvlText w:val="%5."/>
      <w:lvlJc w:val="left"/>
      <w:pPr>
        <w:ind w:left="3600" w:hanging="360"/>
      </w:pPr>
      <w:rPr>
        <w:rFonts w:cs="Times New Roman"/>
      </w:rPr>
    </w:lvl>
    <w:lvl w:ilvl="5" w:tplc="0809001B">
      <w:start w:val="1"/>
      <w:numFmt w:val="lowerRoman"/>
      <w:lvlText w:val="%6."/>
      <w:lvlJc w:val="right"/>
      <w:pPr>
        <w:ind w:left="4320" w:hanging="180"/>
      </w:pPr>
      <w:rPr>
        <w:rFonts w:cs="Times New Roman"/>
      </w:rPr>
    </w:lvl>
    <w:lvl w:ilvl="6" w:tplc="0809000F">
      <w:start w:val="1"/>
      <w:numFmt w:val="decimal"/>
      <w:lvlText w:val="%7."/>
      <w:lvlJc w:val="left"/>
      <w:pPr>
        <w:ind w:left="5040" w:hanging="360"/>
      </w:pPr>
      <w:rPr>
        <w:rFonts w:cs="Times New Roman"/>
      </w:rPr>
    </w:lvl>
    <w:lvl w:ilvl="7" w:tplc="08090019">
      <w:start w:val="1"/>
      <w:numFmt w:val="lowerLetter"/>
      <w:lvlText w:val="%8."/>
      <w:lvlJc w:val="left"/>
      <w:pPr>
        <w:ind w:left="5760" w:hanging="360"/>
      </w:pPr>
      <w:rPr>
        <w:rFonts w:cs="Times New Roman"/>
      </w:rPr>
    </w:lvl>
    <w:lvl w:ilvl="8" w:tplc="0809001B">
      <w:start w:val="1"/>
      <w:numFmt w:val="lowerRoman"/>
      <w:lvlText w:val="%9."/>
      <w:lvlJc w:val="right"/>
      <w:pPr>
        <w:ind w:left="6480" w:hanging="180"/>
      </w:pPr>
      <w:rPr>
        <w:rFonts w:cs="Times New Roman"/>
      </w:rPr>
    </w:lvl>
  </w:abstractNum>
  <w:abstractNum w:abstractNumId="24">
    <w:nsid w:val="3A673D0A"/>
    <w:multiLevelType w:val="multilevel"/>
    <w:tmpl w:val="3C88943A"/>
    <w:lvl w:ilvl="0">
      <w:start w:val="1"/>
      <w:numFmt w:val="decimal"/>
      <w:pStyle w:val="StyleHeading1TimesNewRoman10ptLeft0cmBefore24"/>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5">
    <w:nsid w:val="3D163F7A"/>
    <w:multiLevelType w:val="multilevel"/>
    <w:tmpl w:val="1BF61C28"/>
    <w:lvl w:ilvl="0">
      <w:numFmt w:val="decimal"/>
      <w:pStyle w:val="Heading1"/>
      <w:lvlText w:val="%1"/>
      <w:lvlJc w:val="left"/>
      <w:pPr>
        <w:tabs>
          <w:tab w:val="num" w:pos="432"/>
        </w:tabs>
        <w:ind w:left="432" w:hanging="432"/>
      </w:pPr>
      <w:rPr>
        <w:rFonts w:ascii="Arial" w:hAnsi="Arial" w:hint="default"/>
        <w:b/>
        <w:i w:val="0"/>
        <w:color w:val="D2232A"/>
        <w:sz w:val="20"/>
        <w:szCs w:val="20"/>
      </w:rPr>
    </w:lvl>
    <w:lvl w:ilvl="1">
      <w:start w:val="1"/>
      <w:numFmt w:val="decimal"/>
      <w:pStyle w:val="Heading2"/>
      <w:lvlText w:val="%1.%2"/>
      <w:lvlJc w:val="left"/>
      <w:pPr>
        <w:tabs>
          <w:tab w:val="num" w:pos="576"/>
        </w:tabs>
        <w:ind w:left="576" w:hanging="576"/>
      </w:pPr>
      <w:rPr>
        <w:rFonts w:ascii="Arial" w:hAnsi="Arial" w:hint="default"/>
        <w:b/>
        <w:i w:val="0"/>
        <w:sz w:val="20"/>
      </w:rPr>
    </w:lvl>
    <w:lvl w:ilvl="2">
      <w:start w:val="1"/>
      <w:numFmt w:val="decimal"/>
      <w:pStyle w:val="Heading3"/>
      <w:lvlText w:val="%1.%2.%3"/>
      <w:lvlJc w:val="left"/>
      <w:pPr>
        <w:tabs>
          <w:tab w:val="num" w:pos="720"/>
        </w:tabs>
        <w:ind w:left="720" w:hanging="720"/>
      </w:pPr>
      <w:rPr>
        <w:rFonts w:ascii="Arial" w:hAnsi="Arial" w:hint="default"/>
        <w:b/>
        <w:i w:val="0"/>
        <w:caps w:val="0"/>
        <w:sz w:val="20"/>
        <w:szCs w:val="20"/>
      </w:rPr>
    </w:lvl>
    <w:lvl w:ilvl="3">
      <w:start w:val="1"/>
      <w:numFmt w:val="decimal"/>
      <w:lvlText w:val="%1.%2.%3.%4"/>
      <w:lvlJc w:val="left"/>
      <w:pPr>
        <w:tabs>
          <w:tab w:val="num" w:pos="2849"/>
        </w:tabs>
        <w:ind w:left="2849" w:hanging="864"/>
      </w:pPr>
      <w:rPr>
        <w:rFonts w:ascii="Arial" w:hAnsi="Arial" w:hint="default"/>
        <w:b w:val="0"/>
        <w:i/>
        <w:sz w:val="20"/>
      </w:rPr>
    </w:lvl>
    <w:lvl w:ilvl="4">
      <w:start w:val="1"/>
      <w:numFmt w:val="decimal"/>
      <w:pStyle w:val="Heading5"/>
      <w:lvlText w:val="%1.%2.%3.%4.%5"/>
      <w:lvlJc w:val="left"/>
      <w:pPr>
        <w:tabs>
          <w:tab w:val="num" w:pos="1008"/>
        </w:tabs>
        <w:ind w:left="1008" w:hanging="1008"/>
      </w:pPr>
      <w:rPr>
        <w:rFonts w:hint="default"/>
        <w:sz w:val="24"/>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26">
    <w:nsid w:val="419B1508"/>
    <w:multiLevelType w:val="hybridMultilevel"/>
    <w:tmpl w:val="26A027DC"/>
    <w:lvl w:ilvl="0" w:tplc="1C8A6162">
      <w:start w:val="1"/>
      <w:numFmt w:val="bullet"/>
      <w:lvlText w:val=""/>
      <w:lvlJc w:val="left"/>
      <w:pPr>
        <w:ind w:left="1287" w:hanging="360"/>
      </w:pPr>
      <w:rPr>
        <w:rFonts w:ascii="Wingdings" w:hAnsi="Wingdings" w:hint="default"/>
        <w:color w:val="D2232A"/>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27">
    <w:nsid w:val="428415E7"/>
    <w:multiLevelType w:val="multilevel"/>
    <w:tmpl w:val="92100ADA"/>
    <w:lvl w:ilvl="0">
      <w:start w:val="1"/>
      <w:numFmt w:val="decimal"/>
      <w:pStyle w:val="ListNumber"/>
      <w:lvlText w:val="(%1)"/>
      <w:lvlJc w:val="left"/>
      <w:pPr>
        <w:tabs>
          <w:tab w:val="num" w:pos="709"/>
        </w:tabs>
        <w:ind w:left="709" w:hanging="709"/>
      </w:pPr>
    </w:lvl>
    <w:lvl w:ilvl="1">
      <w:start w:val="1"/>
      <w:numFmt w:val="lowerLetter"/>
      <w:pStyle w:val="ListNumberLevel2"/>
      <w:lvlText w:val="(%2)"/>
      <w:lvlJc w:val="left"/>
      <w:pPr>
        <w:tabs>
          <w:tab w:val="num" w:pos="1417"/>
        </w:tabs>
        <w:ind w:left="1417" w:hanging="708"/>
      </w:pPr>
    </w:lvl>
    <w:lvl w:ilvl="2">
      <w:start w:val="1"/>
      <w:numFmt w:val="bullet"/>
      <w:pStyle w:val="ListNumberLevel3"/>
      <w:lvlText w:val="–"/>
      <w:lvlJc w:val="left"/>
      <w:pPr>
        <w:tabs>
          <w:tab w:val="num" w:pos="2126"/>
        </w:tabs>
        <w:ind w:left="2126" w:hanging="709"/>
      </w:pPr>
      <w:rPr>
        <w:rFonts w:ascii="Times New Roman" w:hAnsi="Times New Roman"/>
      </w:rPr>
    </w:lvl>
    <w:lvl w:ilvl="3">
      <w:start w:val="1"/>
      <w:numFmt w:val="bullet"/>
      <w:pStyle w:val="ListNumberLevel4"/>
      <w:lvlText w:val=""/>
      <w:lvlJc w:val="left"/>
      <w:pPr>
        <w:tabs>
          <w:tab w:val="num" w:pos="2835"/>
        </w:tabs>
        <w:ind w:left="2835"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8">
    <w:nsid w:val="429D352E"/>
    <w:multiLevelType w:val="hybridMultilevel"/>
    <w:tmpl w:val="C9C2B2C2"/>
    <w:lvl w:ilvl="0" w:tplc="1C8A6162">
      <w:start w:val="1"/>
      <w:numFmt w:val="bullet"/>
      <w:lvlText w:val=""/>
      <w:lvlJc w:val="left"/>
      <w:pPr>
        <w:ind w:left="720" w:hanging="360"/>
      </w:pPr>
      <w:rPr>
        <w:rFonts w:ascii="Wingdings" w:hAnsi="Wingdings" w:hint="default"/>
        <w:color w:val="D2232A"/>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nsid w:val="469C21C7"/>
    <w:multiLevelType w:val="hybridMultilevel"/>
    <w:tmpl w:val="2028E85E"/>
    <w:lvl w:ilvl="0" w:tplc="56CC27A0">
      <w:start w:val="1"/>
      <w:numFmt w:val="lowerLetter"/>
      <w:lvlText w:val="%1."/>
      <w:lvlJc w:val="left"/>
      <w:pPr>
        <w:ind w:left="720" w:hanging="360"/>
      </w:pPr>
      <w:rPr>
        <w:rFonts w:ascii="Arial" w:hAnsi="Arial" w:hint="default"/>
        <w:color w:val="C00000"/>
        <w:sz w:val="2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nsid w:val="46E6242A"/>
    <w:multiLevelType w:val="hybridMultilevel"/>
    <w:tmpl w:val="84F42B92"/>
    <w:lvl w:ilvl="0" w:tplc="570C01AA">
      <w:start w:val="1"/>
      <w:numFmt w:val="decimal"/>
      <w:pStyle w:val="reference"/>
      <w:lvlText w:val="[%1]"/>
      <w:lvlJc w:val="left"/>
      <w:pPr>
        <w:tabs>
          <w:tab w:val="num" w:pos="397"/>
        </w:tabs>
        <w:ind w:left="397" w:hanging="397"/>
      </w:pPr>
      <w:rPr>
        <w:rFonts w:ascii="Arial" w:hAnsi="Arial" w:hint="default"/>
        <w:b w:val="0"/>
        <w:i w:val="0"/>
        <w:color w:val="D2232A"/>
        <w:sz w:val="18"/>
      </w:rPr>
    </w:lvl>
    <w:lvl w:ilvl="1" w:tplc="3B7C960E" w:tentative="1">
      <w:start w:val="1"/>
      <w:numFmt w:val="lowerLetter"/>
      <w:lvlText w:val="%2."/>
      <w:lvlJc w:val="left"/>
      <w:pPr>
        <w:tabs>
          <w:tab w:val="num" w:pos="1440"/>
        </w:tabs>
        <w:ind w:left="1440" w:hanging="360"/>
      </w:pPr>
    </w:lvl>
    <w:lvl w:ilvl="2" w:tplc="01603918" w:tentative="1">
      <w:start w:val="1"/>
      <w:numFmt w:val="lowerRoman"/>
      <w:lvlText w:val="%3."/>
      <w:lvlJc w:val="right"/>
      <w:pPr>
        <w:tabs>
          <w:tab w:val="num" w:pos="2160"/>
        </w:tabs>
        <w:ind w:left="2160" w:hanging="180"/>
      </w:pPr>
    </w:lvl>
    <w:lvl w:ilvl="3" w:tplc="A1DC0DB4" w:tentative="1">
      <w:start w:val="1"/>
      <w:numFmt w:val="decimal"/>
      <w:lvlText w:val="%4."/>
      <w:lvlJc w:val="left"/>
      <w:pPr>
        <w:tabs>
          <w:tab w:val="num" w:pos="2880"/>
        </w:tabs>
        <w:ind w:left="2880" w:hanging="360"/>
      </w:pPr>
    </w:lvl>
    <w:lvl w:ilvl="4" w:tplc="0DC6A7AA" w:tentative="1">
      <w:start w:val="1"/>
      <w:numFmt w:val="lowerLetter"/>
      <w:lvlText w:val="%5."/>
      <w:lvlJc w:val="left"/>
      <w:pPr>
        <w:tabs>
          <w:tab w:val="num" w:pos="3600"/>
        </w:tabs>
        <w:ind w:left="3600" w:hanging="360"/>
      </w:pPr>
    </w:lvl>
    <w:lvl w:ilvl="5" w:tplc="94B2106E" w:tentative="1">
      <w:start w:val="1"/>
      <w:numFmt w:val="lowerRoman"/>
      <w:lvlText w:val="%6."/>
      <w:lvlJc w:val="right"/>
      <w:pPr>
        <w:tabs>
          <w:tab w:val="num" w:pos="4320"/>
        </w:tabs>
        <w:ind w:left="4320" w:hanging="180"/>
      </w:pPr>
    </w:lvl>
    <w:lvl w:ilvl="6" w:tplc="9A6C8F32" w:tentative="1">
      <w:start w:val="1"/>
      <w:numFmt w:val="decimal"/>
      <w:lvlText w:val="%7."/>
      <w:lvlJc w:val="left"/>
      <w:pPr>
        <w:tabs>
          <w:tab w:val="num" w:pos="5040"/>
        </w:tabs>
        <w:ind w:left="5040" w:hanging="360"/>
      </w:pPr>
    </w:lvl>
    <w:lvl w:ilvl="7" w:tplc="F9F2595E" w:tentative="1">
      <w:start w:val="1"/>
      <w:numFmt w:val="lowerLetter"/>
      <w:lvlText w:val="%8."/>
      <w:lvlJc w:val="left"/>
      <w:pPr>
        <w:tabs>
          <w:tab w:val="num" w:pos="5760"/>
        </w:tabs>
        <w:ind w:left="5760" w:hanging="360"/>
      </w:pPr>
    </w:lvl>
    <w:lvl w:ilvl="8" w:tplc="F87690CC" w:tentative="1">
      <w:start w:val="1"/>
      <w:numFmt w:val="lowerRoman"/>
      <w:lvlText w:val="%9."/>
      <w:lvlJc w:val="right"/>
      <w:pPr>
        <w:tabs>
          <w:tab w:val="num" w:pos="6480"/>
        </w:tabs>
        <w:ind w:left="6480" w:hanging="180"/>
      </w:pPr>
    </w:lvl>
  </w:abstractNum>
  <w:abstractNum w:abstractNumId="31">
    <w:nsid w:val="48860AAB"/>
    <w:multiLevelType w:val="multilevel"/>
    <w:tmpl w:val="E8744BD2"/>
    <w:lvl w:ilvl="0">
      <w:start w:val="1"/>
      <w:numFmt w:val="decimal"/>
      <w:pStyle w:val="ListNumber4"/>
      <w:lvlText w:val="(%1)"/>
      <w:lvlJc w:val="left"/>
      <w:pPr>
        <w:tabs>
          <w:tab w:val="num" w:pos="3589"/>
        </w:tabs>
        <w:ind w:left="3589" w:hanging="709"/>
      </w:pPr>
    </w:lvl>
    <w:lvl w:ilvl="1">
      <w:start w:val="1"/>
      <w:numFmt w:val="lowerLetter"/>
      <w:pStyle w:val="ListNumber4Level2"/>
      <w:lvlText w:val="(%2)"/>
      <w:lvlJc w:val="left"/>
      <w:pPr>
        <w:tabs>
          <w:tab w:val="num" w:pos="4297"/>
        </w:tabs>
        <w:ind w:left="4297" w:hanging="708"/>
      </w:pPr>
    </w:lvl>
    <w:lvl w:ilvl="2">
      <w:start w:val="1"/>
      <w:numFmt w:val="bullet"/>
      <w:pStyle w:val="ListNumber4Level3"/>
      <w:lvlText w:val="–"/>
      <w:lvlJc w:val="left"/>
      <w:pPr>
        <w:tabs>
          <w:tab w:val="num" w:pos="5006"/>
        </w:tabs>
        <w:ind w:left="5006" w:hanging="709"/>
      </w:pPr>
      <w:rPr>
        <w:rFonts w:ascii="Times New Roman" w:hAnsi="Times New Roman"/>
      </w:rPr>
    </w:lvl>
    <w:lvl w:ilvl="3">
      <w:start w:val="1"/>
      <w:numFmt w:val="bullet"/>
      <w:pStyle w:val="ListNumber4Level4"/>
      <w:lvlText w:val=""/>
      <w:lvlJc w:val="left"/>
      <w:pPr>
        <w:tabs>
          <w:tab w:val="num" w:pos="5715"/>
        </w:tabs>
        <w:ind w:left="5715"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2">
    <w:nsid w:val="49550351"/>
    <w:multiLevelType w:val="hybridMultilevel"/>
    <w:tmpl w:val="363E71B2"/>
    <w:lvl w:ilvl="0" w:tplc="4B36AD20">
      <w:start w:val="1"/>
      <w:numFmt w:val="bullet"/>
      <w:lvlText w:val=""/>
      <w:lvlJc w:val="left"/>
      <w:pPr>
        <w:ind w:left="720" w:hanging="360"/>
      </w:pPr>
      <w:rPr>
        <w:rFonts w:ascii="Wingdings" w:hAnsi="Wingdings" w:hint="default"/>
        <w:color w:val="D2232A"/>
        <w:lang w:val="fr-FR"/>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33">
    <w:nsid w:val="499B11C1"/>
    <w:multiLevelType w:val="multilevel"/>
    <w:tmpl w:val="FF3C65C2"/>
    <w:lvl w:ilvl="0">
      <w:start w:val="1"/>
      <w:numFmt w:val="decimal"/>
      <w:pStyle w:val="ECCFiguretitle"/>
      <w:suff w:val="space"/>
      <w:lvlText w:val="Figure %1:"/>
      <w:lvlJc w:val="left"/>
      <w:pPr>
        <w:ind w:left="360" w:hanging="360"/>
      </w:pPr>
      <w:rPr>
        <w:b/>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4">
    <w:nsid w:val="4D700E87"/>
    <w:multiLevelType w:val="hybridMultilevel"/>
    <w:tmpl w:val="105C177A"/>
    <w:lvl w:ilvl="0" w:tplc="1C8A6162">
      <w:start w:val="1"/>
      <w:numFmt w:val="bullet"/>
      <w:lvlText w:val=""/>
      <w:lvlJc w:val="left"/>
      <w:pPr>
        <w:ind w:left="1004" w:hanging="360"/>
      </w:pPr>
      <w:rPr>
        <w:rFonts w:ascii="Wingdings" w:hAnsi="Wingdings" w:hint="default"/>
        <w:color w:val="D2232A"/>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35">
    <w:nsid w:val="4E264B24"/>
    <w:multiLevelType w:val="multilevel"/>
    <w:tmpl w:val="8DB4B360"/>
    <w:styleLink w:val="ECCNumbers-Letters"/>
    <w:lvl w:ilvl="0">
      <w:start w:val="1"/>
      <w:numFmt w:val="decimal"/>
      <w:pStyle w:val="ECCNumbered-LetteredList"/>
      <w:lvlText w:val="%1."/>
      <w:lvlJc w:val="left"/>
      <w:pPr>
        <w:tabs>
          <w:tab w:val="num" w:pos="340"/>
        </w:tabs>
        <w:ind w:left="340" w:hanging="340"/>
      </w:pPr>
      <w:rPr>
        <w:rFonts w:ascii="Arial" w:hAnsi="Arial" w:hint="default"/>
        <w:b w:val="0"/>
        <w:i w:val="0"/>
        <w:color w:val="D2232A"/>
        <w:sz w:val="20"/>
      </w:rPr>
    </w:lvl>
    <w:lvl w:ilvl="1">
      <w:start w:val="1"/>
      <w:numFmt w:val="lowerLetter"/>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36">
    <w:nsid w:val="4F1F314A"/>
    <w:multiLevelType w:val="hybridMultilevel"/>
    <w:tmpl w:val="653E5BD0"/>
    <w:lvl w:ilvl="0" w:tplc="F14A6144">
      <w:start w:val="1"/>
      <w:numFmt w:val="bullet"/>
      <w:lvlText w:val=""/>
      <w:lvlJc w:val="left"/>
      <w:pPr>
        <w:ind w:left="720" w:hanging="360"/>
      </w:pPr>
      <w:rPr>
        <w:rFonts w:ascii="Wingdings" w:hAnsi="Wingdings" w:hint="default"/>
        <w:color w:val="D2232A"/>
      </w:rPr>
    </w:lvl>
    <w:lvl w:ilvl="1" w:tplc="D4FC78E0">
      <w:numFmt w:val="bullet"/>
      <w:lvlText w:val="•"/>
      <w:lvlJc w:val="left"/>
      <w:pPr>
        <w:ind w:left="1440" w:hanging="360"/>
      </w:pPr>
      <w:rPr>
        <w:rFonts w:ascii="Arial" w:eastAsia="Times New Roman" w:hAnsi="Arial" w:cs="Arial" w:hint="default"/>
      </w:rPr>
    </w:lvl>
    <w:lvl w:ilvl="2" w:tplc="E7648E66" w:tentative="1">
      <w:start w:val="1"/>
      <w:numFmt w:val="bullet"/>
      <w:lvlText w:val=""/>
      <w:lvlJc w:val="left"/>
      <w:pPr>
        <w:ind w:left="2160" w:hanging="360"/>
      </w:pPr>
      <w:rPr>
        <w:rFonts w:ascii="Wingdings" w:hAnsi="Wingdings" w:hint="default"/>
      </w:rPr>
    </w:lvl>
    <w:lvl w:ilvl="3" w:tplc="8264D6F8" w:tentative="1">
      <w:start w:val="1"/>
      <w:numFmt w:val="bullet"/>
      <w:lvlText w:val=""/>
      <w:lvlJc w:val="left"/>
      <w:pPr>
        <w:ind w:left="2880" w:hanging="360"/>
      </w:pPr>
      <w:rPr>
        <w:rFonts w:ascii="Symbol" w:hAnsi="Symbol" w:hint="default"/>
      </w:rPr>
    </w:lvl>
    <w:lvl w:ilvl="4" w:tplc="85BADA90" w:tentative="1">
      <w:start w:val="1"/>
      <w:numFmt w:val="bullet"/>
      <w:lvlText w:val="o"/>
      <w:lvlJc w:val="left"/>
      <w:pPr>
        <w:ind w:left="3600" w:hanging="360"/>
      </w:pPr>
      <w:rPr>
        <w:rFonts w:ascii="Courier New" w:hAnsi="Courier New" w:cs="Courier New" w:hint="default"/>
      </w:rPr>
    </w:lvl>
    <w:lvl w:ilvl="5" w:tplc="3EDCFD2C" w:tentative="1">
      <w:start w:val="1"/>
      <w:numFmt w:val="bullet"/>
      <w:lvlText w:val=""/>
      <w:lvlJc w:val="left"/>
      <w:pPr>
        <w:ind w:left="4320" w:hanging="360"/>
      </w:pPr>
      <w:rPr>
        <w:rFonts w:ascii="Wingdings" w:hAnsi="Wingdings" w:hint="default"/>
      </w:rPr>
    </w:lvl>
    <w:lvl w:ilvl="6" w:tplc="17243FAA" w:tentative="1">
      <w:start w:val="1"/>
      <w:numFmt w:val="bullet"/>
      <w:lvlText w:val=""/>
      <w:lvlJc w:val="left"/>
      <w:pPr>
        <w:ind w:left="5040" w:hanging="360"/>
      </w:pPr>
      <w:rPr>
        <w:rFonts w:ascii="Symbol" w:hAnsi="Symbol" w:hint="default"/>
      </w:rPr>
    </w:lvl>
    <w:lvl w:ilvl="7" w:tplc="B7224308" w:tentative="1">
      <w:start w:val="1"/>
      <w:numFmt w:val="bullet"/>
      <w:lvlText w:val="o"/>
      <w:lvlJc w:val="left"/>
      <w:pPr>
        <w:ind w:left="5760" w:hanging="360"/>
      </w:pPr>
      <w:rPr>
        <w:rFonts w:ascii="Courier New" w:hAnsi="Courier New" w:cs="Courier New" w:hint="default"/>
      </w:rPr>
    </w:lvl>
    <w:lvl w:ilvl="8" w:tplc="1C9283B0" w:tentative="1">
      <w:start w:val="1"/>
      <w:numFmt w:val="bullet"/>
      <w:lvlText w:val=""/>
      <w:lvlJc w:val="left"/>
      <w:pPr>
        <w:ind w:left="6480" w:hanging="360"/>
      </w:pPr>
      <w:rPr>
        <w:rFonts w:ascii="Wingdings" w:hAnsi="Wingdings" w:hint="default"/>
      </w:rPr>
    </w:lvl>
  </w:abstractNum>
  <w:abstractNum w:abstractNumId="37">
    <w:nsid w:val="54BD0BEC"/>
    <w:multiLevelType w:val="singleLevel"/>
    <w:tmpl w:val="72D6F376"/>
    <w:lvl w:ilvl="0">
      <w:start w:val="1"/>
      <w:numFmt w:val="bullet"/>
      <w:pStyle w:val="ListBullet"/>
      <w:lvlText w:val=""/>
      <w:lvlJc w:val="left"/>
      <w:pPr>
        <w:tabs>
          <w:tab w:val="num" w:pos="283"/>
        </w:tabs>
        <w:ind w:left="283" w:hanging="283"/>
      </w:pPr>
      <w:rPr>
        <w:rFonts w:ascii="Symbol" w:hAnsi="Symbol"/>
      </w:rPr>
    </w:lvl>
  </w:abstractNum>
  <w:abstractNum w:abstractNumId="38">
    <w:nsid w:val="572326EE"/>
    <w:multiLevelType w:val="multilevel"/>
    <w:tmpl w:val="2034D866"/>
    <w:styleLink w:val="ECCNumbers-Bullets"/>
    <w:lvl w:ilvl="0">
      <w:start w:val="1"/>
      <w:numFmt w:val="decimal"/>
      <w:pStyle w:val="ECCNumberedBullets"/>
      <w:lvlText w:val="%1."/>
      <w:lvlJc w:val="left"/>
      <w:pPr>
        <w:tabs>
          <w:tab w:val="num" w:pos="340"/>
        </w:tabs>
        <w:ind w:left="340" w:hanging="340"/>
      </w:pPr>
      <w:rPr>
        <w:rFonts w:ascii="Arial" w:hAnsi="Arial"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39">
    <w:nsid w:val="57617C60"/>
    <w:multiLevelType w:val="hybridMultilevel"/>
    <w:tmpl w:val="8E04BB2A"/>
    <w:lvl w:ilvl="0" w:tplc="3BA464C6">
      <w:numFmt w:val="bullet"/>
      <w:lvlText w:val="-"/>
      <w:lvlJc w:val="left"/>
      <w:pPr>
        <w:ind w:left="1080" w:hanging="360"/>
      </w:pPr>
      <w:rPr>
        <w:rFonts w:ascii="Arial" w:eastAsia="Times New Roman" w:hAnsi="Arial" w:cs="Arial" w:hint="default"/>
      </w:rPr>
    </w:lvl>
    <w:lvl w:ilvl="1" w:tplc="04060003" w:tentative="1">
      <w:start w:val="1"/>
      <w:numFmt w:val="bullet"/>
      <w:lvlText w:val="o"/>
      <w:lvlJc w:val="left"/>
      <w:pPr>
        <w:ind w:left="1800" w:hanging="360"/>
      </w:pPr>
      <w:rPr>
        <w:rFonts w:ascii="Courier New" w:hAnsi="Courier New" w:cs="Courier New" w:hint="default"/>
      </w:rPr>
    </w:lvl>
    <w:lvl w:ilvl="2" w:tplc="04060005" w:tentative="1">
      <w:start w:val="1"/>
      <w:numFmt w:val="bullet"/>
      <w:lvlText w:val=""/>
      <w:lvlJc w:val="left"/>
      <w:pPr>
        <w:ind w:left="2520" w:hanging="360"/>
      </w:pPr>
      <w:rPr>
        <w:rFonts w:ascii="Wingdings" w:hAnsi="Wingdings" w:hint="default"/>
      </w:rPr>
    </w:lvl>
    <w:lvl w:ilvl="3" w:tplc="04060001" w:tentative="1">
      <w:start w:val="1"/>
      <w:numFmt w:val="bullet"/>
      <w:lvlText w:val=""/>
      <w:lvlJc w:val="left"/>
      <w:pPr>
        <w:ind w:left="3240" w:hanging="360"/>
      </w:pPr>
      <w:rPr>
        <w:rFonts w:ascii="Symbol" w:hAnsi="Symbol" w:hint="default"/>
      </w:rPr>
    </w:lvl>
    <w:lvl w:ilvl="4" w:tplc="04060003" w:tentative="1">
      <w:start w:val="1"/>
      <w:numFmt w:val="bullet"/>
      <w:lvlText w:val="o"/>
      <w:lvlJc w:val="left"/>
      <w:pPr>
        <w:ind w:left="3960" w:hanging="360"/>
      </w:pPr>
      <w:rPr>
        <w:rFonts w:ascii="Courier New" w:hAnsi="Courier New" w:cs="Courier New" w:hint="default"/>
      </w:rPr>
    </w:lvl>
    <w:lvl w:ilvl="5" w:tplc="04060005" w:tentative="1">
      <w:start w:val="1"/>
      <w:numFmt w:val="bullet"/>
      <w:lvlText w:val=""/>
      <w:lvlJc w:val="left"/>
      <w:pPr>
        <w:ind w:left="4680" w:hanging="360"/>
      </w:pPr>
      <w:rPr>
        <w:rFonts w:ascii="Wingdings" w:hAnsi="Wingdings" w:hint="default"/>
      </w:rPr>
    </w:lvl>
    <w:lvl w:ilvl="6" w:tplc="04060001" w:tentative="1">
      <w:start w:val="1"/>
      <w:numFmt w:val="bullet"/>
      <w:lvlText w:val=""/>
      <w:lvlJc w:val="left"/>
      <w:pPr>
        <w:ind w:left="5400" w:hanging="360"/>
      </w:pPr>
      <w:rPr>
        <w:rFonts w:ascii="Symbol" w:hAnsi="Symbol" w:hint="default"/>
      </w:rPr>
    </w:lvl>
    <w:lvl w:ilvl="7" w:tplc="04060003" w:tentative="1">
      <w:start w:val="1"/>
      <w:numFmt w:val="bullet"/>
      <w:lvlText w:val="o"/>
      <w:lvlJc w:val="left"/>
      <w:pPr>
        <w:ind w:left="6120" w:hanging="360"/>
      </w:pPr>
      <w:rPr>
        <w:rFonts w:ascii="Courier New" w:hAnsi="Courier New" w:cs="Courier New" w:hint="default"/>
      </w:rPr>
    </w:lvl>
    <w:lvl w:ilvl="8" w:tplc="04060005" w:tentative="1">
      <w:start w:val="1"/>
      <w:numFmt w:val="bullet"/>
      <w:lvlText w:val=""/>
      <w:lvlJc w:val="left"/>
      <w:pPr>
        <w:ind w:left="6840" w:hanging="360"/>
      </w:pPr>
      <w:rPr>
        <w:rFonts w:ascii="Wingdings" w:hAnsi="Wingdings" w:hint="default"/>
      </w:rPr>
    </w:lvl>
  </w:abstractNum>
  <w:abstractNum w:abstractNumId="40">
    <w:nsid w:val="5B0D5A91"/>
    <w:multiLevelType w:val="hybridMultilevel"/>
    <w:tmpl w:val="50E83066"/>
    <w:lvl w:ilvl="0" w:tplc="ED8CDA22">
      <w:start w:val="1"/>
      <w:numFmt w:val="bullet"/>
      <w:lvlText w:val=""/>
      <w:lvlJc w:val="left"/>
      <w:pPr>
        <w:ind w:left="1429" w:hanging="360"/>
      </w:pPr>
      <w:rPr>
        <w:rFonts w:ascii="Wingdings" w:hAnsi="Wingdings" w:hint="default"/>
        <w:color w:val="D2232A"/>
      </w:rPr>
    </w:lvl>
    <w:lvl w:ilvl="1" w:tplc="04060003" w:tentative="1">
      <w:start w:val="1"/>
      <w:numFmt w:val="bullet"/>
      <w:lvlText w:val="o"/>
      <w:lvlJc w:val="left"/>
      <w:pPr>
        <w:ind w:left="2149" w:hanging="360"/>
      </w:pPr>
      <w:rPr>
        <w:rFonts w:ascii="Courier New" w:hAnsi="Courier New" w:cs="Courier New" w:hint="default"/>
      </w:rPr>
    </w:lvl>
    <w:lvl w:ilvl="2" w:tplc="04060005" w:tentative="1">
      <w:start w:val="1"/>
      <w:numFmt w:val="bullet"/>
      <w:lvlText w:val=""/>
      <w:lvlJc w:val="left"/>
      <w:pPr>
        <w:ind w:left="2869" w:hanging="360"/>
      </w:pPr>
      <w:rPr>
        <w:rFonts w:ascii="Wingdings" w:hAnsi="Wingdings" w:hint="default"/>
      </w:rPr>
    </w:lvl>
    <w:lvl w:ilvl="3" w:tplc="04060001" w:tentative="1">
      <w:start w:val="1"/>
      <w:numFmt w:val="bullet"/>
      <w:lvlText w:val=""/>
      <w:lvlJc w:val="left"/>
      <w:pPr>
        <w:ind w:left="3589" w:hanging="360"/>
      </w:pPr>
      <w:rPr>
        <w:rFonts w:ascii="Symbol" w:hAnsi="Symbol" w:hint="default"/>
      </w:rPr>
    </w:lvl>
    <w:lvl w:ilvl="4" w:tplc="04060003" w:tentative="1">
      <w:start w:val="1"/>
      <w:numFmt w:val="bullet"/>
      <w:lvlText w:val="o"/>
      <w:lvlJc w:val="left"/>
      <w:pPr>
        <w:ind w:left="4309" w:hanging="360"/>
      </w:pPr>
      <w:rPr>
        <w:rFonts w:ascii="Courier New" w:hAnsi="Courier New" w:cs="Courier New" w:hint="default"/>
      </w:rPr>
    </w:lvl>
    <w:lvl w:ilvl="5" w:tplc="04060005" w:tentative="1">
      <w:start w:val="1"/>
      <w:numFmt w:val="bullet"/>
      <w:lvlText w:val=""/>
      <w:lvlJc w:val="left"/>
      <w:pPr>
        <w:ind w:left="5029" w:hanging="360"/>
      </w:pPr>
      <w:rPr>
        <w:rFonts w:ascii="Wingdings" w:hAnsi="Wingdings" w:hint="default"/>
      </w:rPr>
    </w:lvl>
    <w:lvl w:ilvl="6" w:tplc="04060001" w:tentative="1">
      <w:start w:val="1"/>
      <w:numFmt w:val="bullet"/>
      <w:lvlText w:val=""/>
      <w:lvlJc w:val="left"/>
      <w:pPr>
        <w:ind w:left="5749" w:hanging="360"/>
      </w:pPr>
      <w:rPr>
        <w:rFonts w:ascii="Symbol" w:hAnsi="Symbol" w:hint="default"/>
      </w:rPr>
    </w:lvl>
    <w:lvl w:ilvl="7" w:tplc="04060003" w:tentative="1">
      <w:start w:val="1"/>
      <w:numFmt w:val="bullet"/>
      <w:lvlText w:val="o"/>
      <w:lvlJc w:val="left"/>
      <w:pPr>
        <w:ind w:left="6469" w:hanging="360"/>
      </w:pPr>
      <w:rPr>
        <w:rFonts w:ascii="Courier New" w:hAnsi="Courier New" w:cs="Courier New" w:hint="default"/>
      </w:rPr>
    </w:lvl>
    <w:lvl w:ilvl="8" w:tplc="04060005" w:tentative="1">
      <w:start w:val="1"/>
      <w:numFmt w:val="bullet"/>
      <w:lvlText w:val=""/>
      <w:lvlJc w:val="left"/>
      <w:pPr>
        <w:ind w:left="7189" w:hanging="360"/>
      </w:pPr>
      <w:rPr>
        <w:rFonts w:ascii="Wingdings" w:hAnsi="Wingdings" w:hint="default"/>
      </w:rPr>
    </w:lvl>
  </w:abstractNum>
  <w:abstractNum w:abstractNumId="41">
    <w:nsid w:val="5D5709C8"/>
    <w:multiLevelType w:val="hybridMultilevel"/>
    <w:tmpl w:val="D7FCA0F2"/>
    <w:lvl w:ilvl="0" w:tplc="1C8A6162">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42">
    <w:nsid w:val="5F172DE4"/>
    <w:multiLevelType w:val="hybridMultilevel"/>
    <w:tmpl w:val="7FD81C56"/>
    <w:lvl w:ilvl="0" w:tplc="1C8A6162">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43">
    <w:nsid w:val="61C33EF0"/>
    <w:multiLevelType w:val="hybridMultilevel"/>
    <w:tmpl w:val="2056CA54"/>
    <w:lvl w:ilvl="0" w:tplc="C928A84A">
      <w:start w:val="1"/>
      <w:numFmt w:val="decimal"/>
      <w:lvlText w:val="%1."/>
      <w:lvlJc w:val="left"/>
      <w:pPr>
        <w:ind w:left="643" w:hanging="360"/>
      </w:pPr>
      <w:rPr>
        <w:rFonts w:hint="default"/>
        <w:b w:val="0"/>
        <w:color w:val="C00000"/>
      </w:rPr>
    </w:lvl>
    <w:lvl w:ilvl="1" w:tplc="04090019" w:tentative="1">
      <w:start w:val="1"/>
      <w:numFmt w:val="lowerLetter"/>
      <w:lvlText w:val="%2."/>
      <w:lvlJc w:val="left"/>
      <w:pPr>
        <w:ind w:left="1363" w:hanging="360"/>
      </w:pPr>
    </w:lvl>
    <w:lvl w:ilvl="2" w:tplc="0409001B" w:tentative="1">
      <w:start w:val="1"/>
      <w:numFmt w:val="lowerRoman"/>
      <w:lvlText w:val="%3."/>
      <w:lvlJc w:val="right"/>
      <w:pPr>
        <w:ind w:left="2083" w:hanging="180"/>
      </w:pPr>
    </w:lvl>
    <w:lvl w:ilvl="3" w:tplc="0409000F" w:tentative="1">
      <w:start w:val="1"/>
      <w:numFmt w:val="decimal"/>
      <w:lvlText w:val="%4."/>
      <w:lvlJc w:val="left"/>
      <w:pPr>
        <w:ind w:left="2803" w:hanging="360"/>
      </w:pPr>
    </w:lvl>
    <w:lvl w:ilvl="4" w:tplc="04090019" w:tentative="1">
      <w:start w:val="1"/>
      <w:numFmt w:val="lowerLetter"/>
      <w:lvlText w:val="%5."/>
      <w:lvlJc w:val="left"/>
      <w:pPr>
        <w:ind w:left="3523" w:hanging="360"/>
      </w:pPr>
    </w:lvl>
    <w:lvl w:ilvl="5" w:tplc="0409001B" w:tentative="1">
      <w:start w:val="1"/>
      <w:numFmt w:val="lowerRoman"/>
      <w:lvlText w:val="%6."/>
      <w:lvlJc w:val="right"/>
      <w:pPr>
        <w:ind w:left="4243" w:hanging="180"/>
      </w:pPr>
    </w:lvl>
    <w:lvl w:ilvl="6" w:tplc="0409000F" w:tentative="1">
      <w:start w:val="1"/>
      <w:numFmt w:val="decimal"/>
      <w:lvlText w:val="%7."/>
      <w:lvlJc w:val="left"/>
      <w:pPr>
        <w:ind w:left="4963" w:hanging="360"/>
      </w:pPr>
    </w:lvl>
    <w:lvl w:ilvl="7" w:tplc="04090019" w:tentative="1">
      <w:start w:val="1"/>
      <w:numFmt w:val="lowerLetter"/>
      <w:lvlText w:val="%8."/>
      <w:lvlJc w:val="left"/>
      <w:pPr>
        <w:ind w:left="5683" w:hanging="360"/>
      </w:pPr>
    </w:lvl>
    <w:lvl w:ilvl="8" w:tplc="0409001B" w:tentative="1">
      <w:start w:val="1"/>
      <w:numFmt w:val="lowerRoman"/>
      <w:lvlText w:val="%9."/>
      <w:lvlJc w:val="right"/>
      <w:pPr>
        <w:ind w:left="6403" w:hanging="180"/>
      </w:pPr>
    </w:lvl>
  </w:abstractNum>
  <w:abstractNum w:abstractNumId="44">
    <w:nsid w:val="66062FC4"/>
    <w:multiLevelType w:val="hybridMultilevel"/>
    <w:tmpl w:val="468CEAC6"/>
    <w:lvl w:ilvl="0" w:tplc="E0000074">
      <w:start w:val="1"/>
      <w:numFmt w:val="decimal"/>
      <w:lvlText w:val="%1."/>
      <w:lvlJc w:val="left"/>
      <w:pPr>
        <w:ind w:left="720" w:hanging="360"/>
      </w:pPr>
      <w:rPr>
        <w:rFonts w:hint="default"/>
        <w:color w:val="C00000"/>
      </w:rPr>
    </w:lvl>
    <w:lvl w:ilvl="1" w:tplc="04060019">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45">
    <w:nsid w:val="662B5C67"/>
    <w:multiLevelType w:val="singleLevel"/>
    <w:tmpl w:val="40D2097A"/>
    <w:lvl w:ilvl="0">
      <w:start w:val="1"/>
      <w:numFmt w:val="bullet"/>
      <w:pStyle w:val="ListDash"/>
      <w:lvlText w:val="–"/>
      <w:lvlJc w:val="left"/>
      <w:pPr>
        <w:tabs>
          <w:tab w:val="num" w:pos="283"/>
        </w:tabs>
        <w:ind w:left="283" w:hanging="283"/>
      </w:pPr>
      <w:rPr>
        <w:rFonts w:ascii="Times New Roman" w:hAnsi="Times New Roman"/>
      </w:rPr>
    </w:lvl>
  </w:abstractNum>
  <w:abstractNum w:abstractNumId="46">
    <w:nsid w:val="6902313A"/>
    <w:multiLevelType w:val="hybridMultilevel"/>
    <w:tmpl w:val="E4763412"/>
    <w:lvl w:ilvl="0" w:tplc="C928A84A">
      <w:start w:val="1"/>
      <w:numFmt w:val="decimal"/>
      <w:lvlText w:val="%1."/>
      <w:lvlJc w:val="left"/>
      <w:pPr>
        <w:ind w:left="720" w:hanging="360"/>
      </w:pPr>
      <w:rPr>
        <w:rFonts w:hint="default"/>
        <w:color w:val="C00000"/>
      </w:rPr>
    </w:lvl>
    <w:lvl w:ilvl="1" w:tplc="04060019">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47">
    <w:nsid w:val="696E7C90"/>
    <w:multiLevelType w:val="hybridMultilevel"/>
    <w:tmpl w:val="FF7A91BA"/>
    <w:lvl w:ilvl="0" w:tplc="1C8A6162">
      <w:start w:val="1"/>
      <w:numFmt w:val="bullet"/>
      <w:lvlText w:val=""/>
      <w:lvlJc w:val="left"/>
      <w:pPr>
        <w:ind w:left="720" w:hanging="360"/>
      </w:pPr>
      <w:rPr>
        <w:rFonts w:ascii="Wingdings" w:hAnsi="Wingdings" w:hint="default"/>
        <w:color w:val="D2232A"/>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8">
    <w:nsid w:val="6BC82487"/>
    <w:multiLevelType w:val="hybridMultilevel"/>
    <w:tmpl w:val="1A6C1F5C"/>
    <w:lvl w:ilvl="0" w:tplc="1C8A6162">
      <w:start w:val="1"/>
      <w:numFmt w:val="bullet"/>
      <w:lvlText w:val=""/>
      <w:lvlJc w:val="left"/>
      <w:pPr>
        <w:ind w:left="720" w:hanging="360"/>
      </w:pPr>
      <w:rPr>
        <w:rFonts w:ascii="Wingdings" w:hAnsi="Wingdings" w:hint="default"/>
        <w:color w:val="D2232A"/>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9">
    <w:nsid w:val="6D7160E7"/>
    <w:multiLevelType w:val="hybridMultilevel"/>
    <w:tmpl w:val="85544EB6"/>
    <w:lvl w:ilvl="0" w:tplc="1C8A6162">
      <w:start w:val="1"/>
      <w:numFmt w:val="bullet"/>
      <w:lvlText w:val=""/>
      <w:lvlJc w:val="left"/>
      <w:pPr>
        <w:ind w:left="720" w:hanging="360"/>
      </w:pPr>
      <w:rPr>
        <w:rFonts w:ascii="Wingdings" w:hAnsi="Wingdings" w:hint="default"/>
        <w:color w:val="D2232A"/>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0">
    <w:nsid w:val="6FB00EEC"/>
    <w:multiLevelType w:val="hybridMultilevel"/>
    <w:tmpl w:val="2C74E56A"/>
    <w:lvl w:ilvl="0" w:tplc="1C8A6162">
      <w:start w:val="1"/>
      <w:numFmt w:val="bullet"/>
      <w:lvlText w:val=""/>
      <w:lvlJc w:val="left"/>
      <w:pPr>
        <w:ind w:left="720" w:hanging="360"/>
      </w:pPr>
      <w:rPr>
        <w:rFonts w:ascii="Wingdings" w:hAnsi="Wingdings" w:hint="default"/>
        <w:color w:val="D2232A"/>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1">
    <w:nsid w:val="74912A8D"/>
    <w:multiLevelType w:val="hybridMultilevel"/>
    <w:tmpl w:val="9D6CBE2C"/>
    <w:lvl w:ilvl="0" w:tplc="D1AC520C">
      <w:start w:val="1"/>
      <w:numFmt w:val="decimal"/>
      <w:lvlText w:val="%1."/>
      <w:lvlJc w:val="left"/>
      <w:pPr>
        <w:ind w:left="720" w:hanging="360"/>
      </w:pPr>
      <w:rPr>
        <w:rFonts w:hint="default"/>
        <w:b w:val="0"/>
        <w:color w:val="C00000"/>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52">
    <w:nsid w:val="7B08340B"/>
    <w:multiLevelType w:val="hybridMultilevel"/>
    <w:tmpl w:val="8088831A"/>
    <w:lvl w:ilvl="0" w:tplc="ED8CDA22">
      <w:start w:val="1"/>
      <w:numFmt w:val="bullet"/>
      <w:lvlText w:val=""/>
      <w:lvlJc w:val="left"/>
      <w:pPr>
        <w:ind w:left="1080" w:hanging="360"/>
      </w:pPr>
      <w:rPr>
        <w:rFonts w:ascii="Wingdings" w:hAnsi="Wingdings" w:hint="default"/>
        <w:color w:val="D2232A"/>
      </w:rPr>
    </w:lvl>
    <w:lvl w:ilvl="1" w:tplc="F840340E" w:tentative="1">
      <w:start w:val="1"/>
      <w:numFmt w:val="bullet"/>
      <w:lvlText w:val="o"/>
      <w:lvlJc w:val="left"/>
      <w:pPr>
        <w:ind w:left="1800" w:hanging="360"/>
      </w:pPr>
      <w:rPr>
        <w:rFonts w:ascii="Courier New" w:hAnsi="Courier New" w:cs="Courier New" w:hint="default"/>
      </w:rPr>
    </w:lvl>
    <w:lvl w:ilvl="2" w:tplc="7A90827E" w:tentative="1">
      <w:start w:val="1"/>
      <w:numFmt w:val="bullet"/>
      <w:lvlText w:val=""/>
      <w:lvlJc w:val="left"/>
      <w:pPr>
        <w:ind w:left="2520" w:hanging="360"/>
      </w:pPr>
      <w:rPr>
        <w:rFonts w:ascii="Wingdings" w:hAnsi="Wingdings" w:hint="default"/>
      </w:rPr>
    </w:lvl>
    <w:lvl w:ilvl="3" w:tplc="A80C52EC" w:tentative="1">
      <w:start w:val="1"/>
      <w:numFmt w:val="bullet"/>
      <w:lvlText w:val=""/>
      <w:lvlJc w:val="left"/>
      <w:pPr>
        <w:ind w:left="3240" w:hanging="360"/>
      </w:pPr>
      <w:rPr>
        <w:rFonts w:ascii="Symbol" w:hAnsi="Symbol" w:hint="default"/>
      </w:rPr>
    </w:lvl>
    <w:lvl w:ilvl="4" w:tplc="8488D90C" w:tentative="1">
      <w:start w:val="1"/>
      <w:numFmt w:val="bullet"/>
      <w:lvlText w:val="o"/>
      <w:lvlJc w:val="left"/>
      <w:pPr>
        <w:ind w:left="3960" w:hanging="360"/>
      </w:pPr>
      <w:rPr>
        <w:rFonts w:ascii="Courier New" w:hAnsi="Courier New" w:cs="Courier New" w:hint="default"/>
      </w:rPr>
    </w:lvl>
    <w:lvl w:ilvl="5" w:tplc="253AA3BA" w:tentative="1">
      <w:start w:val="1"/>
      <w:numFmt w:val="bullet"/>
      <w:lvlText w:val=""/>
      <w:lvlJc w:val="left"/>
      <w:pPr>
        <w:ind w:left="4680" w:hanging="360"/>
      </w:pPr>
      <w:rPr>
        <w:rFonts w:ascii="Wingdings" w:hAnsi="Wingdings" w:hint="default"/>
      </w:rPr>
    </w:lvl>
    <w:lvl w:ilvl="6" w:tplc="A186093E" w:tentative="1">
      <w:start w:val="1"/>
      <w:numFmt w:val="bullet"/>
      <w:lvlText w:val=""/>
      <w:lvlJc w:val="left"/>
      <w:pPr>
        <w:ind w:left="5400" w:hanging="360"/>
      </w:pPr>
      <w:rPr>
        <w:rFonts w:ascii="Symbol" w:hAnsi="Symbol" w:hint="default"/>
      </w:rPr>
    </w:lvl>
    <w:lvl w:ilvl="7" w:tplc="10D06F8C" w:tentative="1">
      <w:start w:val="1"/>
      <w:numFmt w:val="bullet"/>
      <w:lvlText w:val="o"/>
      <w:lvlJc w:val="left"/>
      <w:pPr>
        <w:ind w:left="6120" w:hanging="360"/>
      </w:pPr>
      <w:rPr>
        <w:rFonts w:ascii="Courier New" w:hAnsi="Courier New" w:cs="Courier New" w:hint="default"/>
      </w:rPr>
    </w:lvl>
    <w:lvl w:ilvl="8" w:tplc="C674E6C0" w:tentative="1">
      <w:start w:val="1"/>
      <w:numFmt w:val="bullet"/>
      <w:lvlText w:val=""/>
      <w:lvlJc w:val="left"/>
      <w:pPr>
        <w:ind w:left="6840" w:hanging="360"/>
      </w:pPr>
      <w:rPr>
        <w:rFonts w:ascii="Wingdings" w:hAnsi="Wingdings" w:hint="default"/>
      </w:rPr>
    </w:lvl>
  </w:abstractNum>
  <w:abstractNum w:abstractNumId="53">
    <w:nsid w:val="7B3212E4"/>
    <w:multiLevelType w:val="multilevel"/>
    <w:tmpl w:val="5D8AEFA8"/>
    <w:lvl w:ilvl="0">
      <w:start w:val="1"/>
      <w:numFmt w:val="decimal"/>
      <w:suff w:val="space"/>
      <w:lvlText w:val="Table %1:"/>
      <w:lvlJc w:val="left"/>
      <w:pPr>
        <w:ind w:left="5180" w:hanging="360"/>
      </w:pPr>
      <w:rPr>
        <w:rFonts w:ascii="Arial" w:hAnsi="Arial" w:hint="default"/>
        <w:b/>
        <w:i w:val="0"/>
        <w:color w:val="D2232A"/>
        <w:sz w:val="20"/>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54">
    <w:nsid w:val="7E8172D4"/>
    <w:multiLevelType w:val="multilevel"/>
    <w:tmpl w:val="121866B2"/>
    <w:lvl w:ilvl="0">
      <w:start w:val="1"/>
      <w:numFmt w:val="decimal"/>
      <w:pStyle w:val="BulletList1"/>
      <w:lvlText w:val=""/>
      <w:lvlJc w:val="left"/>
      <w:pPr>
        <w:tabs>
          <w:tab w:val="num" w:pos="400"/>
        </w:tabs>
        <w:ind w:left="400" w:hanging="400"/>
      </w:pPr>
      <w:rPr>
        <w:rFonts w:ascii="Symbol" w:hAnsi="Symbol" w:cs="Times New Roman" w:hint="default"/>
        <w:color w:val="4F2683"/>
      </w:rPr>
    </w:lvl>
    <w:lvl w:ilvl="1">
      <w:start w:val="1"/>
      <w:numFmt w:val="lowerLetter"/>
      <w:pStyle w:val="BulletList2"/>
      <w:lvlText w:val="–"/>
      <w:lvlJc w:val="left"/>
      <w:pPr>
        <w:tabs>
          <w:tab w:val="num" w:pos="800"/>
        </w:tabs>
        <w:ind w:left="800" w:hanging="400"/>
      </w:pPr>
      <w:rPr>
        <w:rFonts w:ascii="Arial" w:hAnsi="Arial" w:cs="Arial"/>
        <w:color w:val="4F2683"/>
      </w:rPr>
    </w:lvl>
    <w:lvl w:ilvl="2">
      <w:start w:val="1"/>
      <w:numFmt w:val="lowerRoman"/>
      <w:pStyle w:val="BulletList3"/>
      <w:lvlText w:val="–"/>
      <w:lvlJc w:val="left"/>
      <w:pPr>
        <w:tabs>
          <w:tab w:val="num" w:pos="1200"/>
        </w:tabs>
        <w:ind w:left="1200" w:hanging="400"/>
      </w:pPr>
      <w:rPr>
        <w:rFonts w:ascii="Arial" w:hAnsi="Arial" w:cs="Arial"/>
        <w:color w:val="4F2683"/>
      </w:rPr>
    </w:lvl>
    <w:lvl w:ilvl="3">
      <w:start w:val="1"/>
      <w:numFmt w:val="decimal"/>
      <w:pStyle w:val="BulletList4"/>
      <w:lvlText w:val="·"/>
      <w:lvlJc w:val="left"/>
      <w:pPr>
        <w:tabs>
          <w:tab w:val="num" w:pos="1360"/>
        </w:tabs>
        <w:ind w:left="1360" w:hanging="340"/>
      </w:pPr>
      <w:rPr>
        <w:rFonts w:ascii="Symbol" w:hAnsi="Symbol" w:cs="Times New Roman" w:hint="default"/>
      </w:rPr>
    </w:lvl>
    <w:lvl w:ilvl="4">
      <w:start w:val="1"/>
      <w:numFmt w:val="lowerLetter"/>
      <w:pStyle w:val="BulletList5"/>
      <w:lvlText w:val="·"/>
      <w:lvlJc w:val="left"/>
      <w:pPr>
        <w:tabs>
          <w:tab w:val="num" w:pos="1700"/>
        </w:tabs>
        <w:ind w:left="1700" w:hanging="340"/>
      </w:pPr>
      <w:rPr>
        <w:rFonts w:ascii="Symbol" w:hAnsi="Symbol" w:cs="Times New Roman" w:hint="default"/>
      </w:rPr>
    </w:lvl>
    <w:lvl w:ilvl="5">
      <w:start w:val="1"/>
      <w:numFmt w:val="lowerRoman"/>
      <w:pStyle w:val="BulletList6"/>
      <w:lvlText w:val="·"/>
      <w:lvlJc w:val="left"/>
      <w:pPr>
        <w:tabs>
          <w:tab w:val="num" w:pos="2040"/>
        </w:tabs>
        <w:ind w:left="2040" w:hanging="340"/>
      </w:pPr>
      <w:rPr>
        <w:rFonts w:ascii="Symbol" w:hAnsi="Symbol" w:cs="Times New Roman" w:hint="default"/>
      </w:rPr>
    </w:lvl>
    <w:lvl w:ilvl="6">
      <w:start w:val="1"/>
      <w:numFmt w:val="decimal"/>
      <w:pStyle w:val="BulletList7"/>
      <w:lvlText w:val="·"/>
      <w:lvlJc w:val="left"/>
      <w:pPr>
        <w:tabs>
          <w:tab w:val="num" w:pos="2380"/>
        </w:tabs>
        <w:ind w:left="2380" w:hanging="340"/>
      </w:pPr>
      <w:rPr>
        <w:rFonts w:ascii="Symbol" w:hAnsi="Symbol" w:cs="Times New Roman" w:hint="default"/>
      </w:rPr>
    </w:lvl>
    <w:lvl w:ilvl="7">
      <w:start w:val="1"/>
      <w:numFmt w:val="lowerLetter"/>
      <w:pStyle w:val="BulletList8"/>
      <w:lvlText w:val="·"/>
      <w:lvlJc w:val="left"/>
      <w:pPr>
        <w:tabs>
          <w:tab w:val="num" w:pos="2720"/>
        </w:tabs>
        <w:ind w:left="2720" w:hanging="340"/>
      </w:pPr>
      <w:rPr>
        <w:rFonts w:ascii="Symbol" w:hAnsi="Symbol" w:cs="Times New Roman" w:hint="default"/>
      </w:rPr>
    </w:lvl>
    <w:lvl w:ilvl="8">
      <w:start w:val="1"/>
      <w:numFmt w:val="lowerRoman"/>
      <w:pStyle w:val="BulletList9"/>
      <w:lvlText w:val="·"/>
      <w:lvlJc w:val="left"/>
      <w:pPr>
        <w:tabs>
          <w:tab w:val="num" w:pos="3060"/>
        </w:tabs>
        <w:ind w:left="3060" w:hanging="340"/>
      </w:pPr>
      <w:rPr>
        <w:rFonts w:ascii="Symbol" w:hAnsi="Symbol" w:cs="Times New Roman" w:hint="default"/>
      </w:rPr>
    </w:lvl>
  </w:abstractNum>
  <w:abstractNum w:abstractNumId="55">
    <w:nsid w:val="7EFE21B5"/>
    <w:multiLevelType w:val="multilevel"/>
    <w:tmpl w:val="4F76F72C"/>
    <w:lvl w:ilvl="0">
      <w:start w:val="1"/>
      <w:numFmt w:val="decimal"/>
      <w:pStyle w:val="ANNEX"/>
      <w:suff w:val="space"/>
      <w:lvlText w:val="ANNEX %1:"/>
      <w:lvlJc w:val="left"/>
      <w:pPr>
        <w:ind w:left="0" w:firstLine="0"/>
      </w:pPr>
      <w:rPr>
        <w:rFonts w:hint="default"/>
        <w:b/>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1">
      <w:start w:val="1"/>
      <w:numFmt w:val="decimal"/>
      <w:suff w:val="space"/>
      <w:lvlText w:val="A.%1.%2"/>
      <w:lvlJc w:val="left"/>
      <w:pPr>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num w:numId="1">
    <w:abstractNumId w:val="13"/>
  </w:num>
  <w:num w:numId="2">
    <w:abstractNumId w:val="25"/>
  </w:num>
  <w:num w:numId="3">
    <w:abstractNumId w:val="33"/>
  </w:num>
  <w:num w:numId="4">
    <w:abstractNumId w:val="14"/>
  </w:num>
  <w:num w:numId="5">
    <w:abstractNumId w:val="30"/>
  </w:num>
  <w:num w:numId="6">
    <w:abstractNumId w:val="9"/>
  </w:num>
  <w:num w:numId="7">
    <w:abstractNumId w:val="38"/>
  </w:num>
  <w:num w:numId="8">
    <w:abstractNumId w:val="35"/>
  </w:num>
  <w:num w:numId="9">
    <w:abstractNumId w:val="3"/>
  </w:num>
  <w:num w:numId="10">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27"/>
  </w:num>
  <w:num w:numId="12">
    <w:abstractNumId w:val="45"/>
  </w:num>
  <w:num w:numId="13">
    <w:abstractNumId w:val="24"/>
  </w:num>
  <w:num w:numId="14">
    <w:abstractNumId w:val="55"/>
  </w:num>
  <w:num w:numId="15">
    <w:abstractNumId w:val="6"/>
  </w:num>
  <w:num w:numId="16">
    <w:abstractNumId w:val="30"/>
    <w:lvlOverride w:ilvl="0">
      <w:startOverride w:val="1"/>
    </w:lvlOverride>
  </w:num>
  <w:num w:numId="17">
    <w:abstractNumId w:val="17"/>
  </w:num>
  <w:num w:numId="18">
    <w:abstractNumId w:val="11"/>
  </w:num>
  <w:num w:numId="19">
    <w:abstractNumId w:val="12"/>
  </w:num>
  <w:num w:numId="20">
    <w:abstractNumId w:val="51"/>
  </w:num>
  <w:num w:numId="21">
    <w:abstractNumId w:val="52"/>
  </w:num>
  <w:num w:numId="22">
    <w:abstractNumId w:val="20"/>
  </w:num>
  <w:num w:numId="23">
    <w:abstractNumId w:val="41"/>
  </w:num>
  <w:num w:numId="24">
    <w:abstractNumId w:val="36"/>
  </w:num>
  <w:num w:numId="25">
    <w:abstractNumId w:val="8"/>
  </w:num>
  <w:num w:numId="26">
    <w:abstractNumId w:val="31"/>
  </w:num>
  <w:num w:numId="27">
    <w:abstractNumId w:val="22"/>
  </w:num>
  <w:num w:numId="28">
    <w:abstractNumId w:val="37"/>
  </w:num>
  <w:num w:numId="29">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44"/>
  </w:num>
  <w:num w:numId="31">
    <w:abstractNumId w:val="5"/>
  </w:num>
  <w:num w:numId="32">
    <w:abstractNumId w:val="46"/>
  </w:num>
  <w:num w:numId="33">
    <w:abstractNumId w:val="43"/>
  </w:num>
  <w:num w:numId="34">
    <w:abstractNumId w:val="10"/>
  </w:num>
  <w:num w:numId="35">
    <w:abstractNumId w:val="2"/>
  </w:num>
  <w:num w:numId="36">
    <w:abstractNumId w:val="32"/>
  </w:num>
  <w:num w:numId="37">
    <w:abstractNumId w:val="50"/>
  </w:num>
  <w:num w:numId="38">
    <w:abstractNumId w:val="48"/>
  </w:num>
  <w:num w:numId="39">
    <w:abstractNumId w:val="47"/>
  </w:num>
  <w:num w:numId="40">
    <w:abstractNumId w:val="15"/>
  </w:num>
  <w:num w:numId="41">
    <w:abstractNumId w:val="4"/>
  </w:num>
  <w:num w:numId="42">
    <w:abstractNumId w:val="49"/>
  </w:num>
  <w:num w:numId="43">
    <w:abstractNumId w:val="18"/>
  </w:num>
  <w:num w:numId="44">
    <w:abstractNumId w:val="34"/>
  </w:num>
  <w:num w:numId="45">
    <w:abstractNumId w:val="26"/>
  </w:num>
  <w:num w:numId="46">
    <w:abstractNumId w:val="1"/>
  </w:num>
  <w:num w:numId="47">
    <w:abstractNumId w:val="21"/>
  </w:num>
  <w:num w:numId="48">
    <w:abstractNumId w:val="29"/>
  </w:num>
  <w:num w:numId="49">
    <w:abstractNumId w:val="28"/>
  </w:num>
  <w:num w:numId="50">
    <w:abstractNumId w:val="53"/>
  </w:num>
  <w:num w:numId="51">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19"/>
  </w:num>
  <w:num w:numId="53">
    <w:abstractNumId w:val="16"/>
  </w:num>
  <w:num w:numId="54">
    <w:abstractNumId w:val="40"/>
  </w:num>
  <w:num w:numId="55">
    <w:abstractNumId w:val="39"/>
  </w:num>
  <w:num w:numId="56">
    <w:abstractNumId w:val="0"/>
  </w:num>
  <w:num w:numId="57">
    <w:abstractNumId w:val="7"/>
  </w:num>
  <w:num w:numId="58">
    <w:abstractNumId w:val="42"/>
  </w:num>
  <w:numIdMacAtCleanup w:val="55"/>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Cristina Reis">
    <w15:presenceInfo w15:providerId="None" w15:userId="Cristina Reis"/>
  </w15:person>
  <w15:person w15:author="CG#10">
    <w15:presenceInfo w15:providerId="None" w15:userId="CG#10"/>
  </w15:person>
  <w15:person w15:author="ECC#38">
    <w15:presenceInfo w15:providerId="None" w15:userId="ECC#38"/>
  </w15:person>
  <w15:person w15:author="DG, 09.02.2015">
    <w15:presenceInfo w15:providerId="None" w15:userId="DG, 09.02.2015"/>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5"/>
  <w:activeWritingStyle w:appName="MSWord" w:lang="en-GB" w:vendorID="64" w:dllVersion="131078" w:nlCheck="1" w:checkStyle="0"/>
  <w:activeWritingStyle w:appName="MSWord" w:lang="en-US" w:vendorID="64" w:dllVersion="131078" w:nlCheck="1" w:checkStyle="1"/>
  <w:activeWritingStyle w:appName="MSWord" w:lang="fr-FR" w:vendorID="64" w:dllVersion="131078" w:nlCheck="1" w:checkStyle="1"/>
  <w:activeWritingStyle w:appName="MSWord" w:lang="de-DE" w:vendorID="64" w:dllVersion="131078" w:nlCheck="1" w:checkStyle="1"/>
  <w:activeWritingStyle w:appName="MSWord" w:lang="es-ES_tradnl" w:vendorID="64" w:dllVersion="131078" w:nlCheck="1" w:checkStyle="1"/>
  <w:activeWritingStyle w:appName="MSWord" w:lang="es-ES" w:vendorID="64" w:dllVersion="131078" w:nlCheck="1" w:checkStyle="1"/>
  <w:proofState w:spelling="clean" w:grammar="clean"/>
  <w:doNotTrackFormatting/>
  <w:defaultTabStop w:val="720"/>
  <w:hyphenationZone w:val="425"/>
  <w:evenAndOddHeaders/>
  <w:drawingGridHorizontalSpacing w:val="100"/>
  <w:displayHorizontalDrawingGridEvery w:val="2"/>
  <w:characterSpacingControl w:val="doNotCompress"/>
  <w:hdrShapeDefaults>
    <o:shapedefaults v:ext="edit" spidmax="6145">
      <o:colormru v:ext="edit" colors="#7b6c58,#887e6e,#b0a696"/>
    </o:shapedefaults>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LW_DocType" w:val="NORMAL"/>
  </w:docVars>
  <w:rsids>
    <w:rsidRoot w:val="00B432D4"/>
    <w:rsid w:val="00005067"/>
    <w:rsid w:val="00005CCD"/>
    <w:rsid w:val="00006C91"/>
    <w:rsid w:val="00007156"/>
    <w:rsid w:val="00011441"/>
    <w:rsid w:val="00011A58"/>
    <w:rsid w:val="0001264E"/>
    <w:rsid w:val="0001358C"/>
    <w:rsid w:val="0001414D"/>
    <w:rsid w:val="00014550"/>
    <w:rsid w:val="00015211"/>
    <w:rsid w:val="00015947"/>
    <w:rsid w:val="00020E7C"/>
    <w:rsid w:val="00021389"/>
    <w:rsid w:val="000234FD"/>
    <w:rsid w:val="00026A63"/>
    <w:rsid w:val="00026CAC"/>
    <w:rsid w:val="00026D7E"/>
    <w:rsid w:val="00027838"/>
    <w:rsid w:val="00030883"/>
    <w:rsid w:val="000308BF"/>
    <w:rsid w:val="000325D1"/>
    <w:rsid w:val="0003307A"/>
    <w:rsid w:val="0003313A"/>
    <w:rsid w:val="0003403C"/>
    <w:rsid w:val="00034785"/>
    <w:rsid w:val="000348A8"/>
    <w:rsid w:val="00035C83"/>
    <w:rsid w:val="00036516"/>
    <w:rsid w:val="00036D75"/>
    <w:rsid w:val="00037DDD"/>
    <w:rsid w:val="0004009A"/>
    <w:rsid w:val="00040186"/>
    <w:rsid w:val="000401A4"/>
    <w:rsid w:val="00040BEC"/>
    <w:rsid w:val="00042B60"/>
    <w:rsid w:val="000435A6"/>
    <w:rsid w:val="00043F2D"/>
    <w:rsid w:val="00045ACB"/>
    <w:rsid w:val="00045B19"/>
    <w:rsid w:val="00046512"/>
    <w:rsid w:val="0004658A"/>
    <w:rsid w:val="0004750F"/>
    <w:rsid w:val="00050F9E"/>
    <w:rsid w:val="00052F6E"/>
    <w:rsid w:val="00053D6A"/>
    <w:rsid w:val="00054091"/>
    <w:rsid w:val="0005540B"/>
    <w:rsid w:val="00056AEB"/>
    <w:rsid w:val="00057695"/>
    <w:rsid w:val="000578DE"/>
    <w:rsid w:val="000617D6"/>
    <w:rsid w:val="00061DCB"/>
    <w:rsid w:val="0006398D"/>
    <w:rsid w:val="00063AD6"/>
    <w:rsid w:val="000644EA"/>
    <w:rsid w:val="00065290"/>
    <w:rsid w:val="00065C42"/>
    <w:rsid w:val="00067793"/>
    <w:rsid w:val="0007067F"/>
    <w:rsid w:val="00070F33"/>
    <w:rsid w:val="000716F6"/>
    <w:rsid w:val="00073534"/>
    <w:rsid w:val="00073C97"/>
    <w:rsid w:val="00075911"/>
    <w:rsid w:val="000762B7"/>
    <w:rsid w:val="00076E7C"/>
    <w:rsid w:val="000770D7"/>
    <w:rsid w:val="00077ACA"/>
    <w:rsid w:val="00080DBF"/>
    <w:rsid w:val="00082B9B"/>
    <w:rsid w:val="000841BE"/>
    <w:rsid w:val="0008497E"/>
    <w:rsid w:val="00084EBE"/>
    <w:rsid w:val="00086004"/>
    <w:rsid w:val="000863D0"/>
    <w:rsid w:val="000873BE"/>
    <w:rsid w:val="000879A4"/>
    <w:rsid w:val="00087DB3"/>
    <w:rsid w:val="000904F8"/>
    <w:rsid w:val="00091440"/>
    <w:rsid w:val="0009234C"/>
    <w:rsid w:val="0009350D"/>
    <w:rsid w:val="00097B38"/>
    <w:rsid w:val="000A0505"/>
    <w:rsid w:val="000A0CB7"/>
    <w:rsid w:val="000A40D0"/>
    <w:rsid w:val="000A4122"/>
    <w:rsid w:val="000A5980"/>
    <w:rsid w:val="000A6C7D"/>
    <w:rsid w:val="000A7C72"/>
    <w:rsid w:val="000B1A0A"/>
    <w:rsid w:val="000B2BFD"/>
    <w:rsid w:val="000B6D89"/>
    <w:rsid w:val="000B7474"/>
    <w:rsid w:val="000C028F"/>
    <w:rsid w:val="000C5520"/>
    <w:rsid w:val="000C6788"/>
    <w:rsid w:val="000C771A"/>
    <w:rsid w:val="000D03E0"/>
    <w:rsid w:val="000D05DC"/>
    <w:rsid w:val="000D17F9"/>
    <w:rsid w:val="000D41CD"/>
    <w:rsid w:val="000D5218"/>
    <w:rsid w:val="000D55A2"/>
    <w:rsid w:val="000D570B"/>
    <w:rsid w:val="000D5735"/>
    <w:rsid w:val="000D5868"/>
    <w:rsid w:val="000D660C"/>
    <w:rsid w:val="000D6787"/>
    <w:rsid w:val="000D7A4A"/>
    <w:rsid w:val="000D7A63"/>
    <w:rsid w:val="000E2436"/>
    <w:rsid w:val="000E364D"/>
    <w:rsid w:val="000E42F5"/>
    <w:rsid w:val="000E7855"/>
    <w:rsid w:val="000E7E23"/>
    <w:rsid w:val="000F1BE8"/>
    <w:rsid w:val="000F2411"/>
    <w:rsid w:val="000F28AD"/>
    <w:rsid w:val="000F3D72"/>
    <w:rsid w:val="000F5E5D"/>
    <w:rsid w:val="000F6780"/>
    <w:rsid w:val="000F732A"/>
    <w:rsid w:val="000F7BE2"/>
    <w:rsid w:val="00100662"/>
    <w:rsid w:val="00100A25"/>
    <w:rsid w:val="00100A75"/>
    <w:rsid w:val="00100C51"/>
    <w:rsid w:val="00101FA3"/>
    <w:rsid w:val="001024C8"/>
    <w:rsid w:val="00102E33"/>
    <w:rsid w:val="00103397"/>
    <w:rsid w:val="0010779C"/>
    <w:rsid w:val="00107FBD"/>
    <w:rsid w:val="00110F12"/>
    <w:rsid w:val="001118CC"/>
    <w:rsid w:val="00111C1D"/>
    <w:rsid w:val="0011219E"/>
    <w:rsid w:val="00113A98"/>
    <w:rsid w:val="0011415E"/>
    <w:rsid w:val="00114D53"/>
    <w:rsid w:val="0011502A"/>
    <w:rsid w:val="00116E9A"/>
    <w:rsid w:val="0011786D"/>
    <w:rsid w:val="00117FC4"/>
    <w:rsid w:val="0012026B"/>
    <w:rsid w:val="001243CA"/>
    <w:rsid w:val="00125BC4"/>
    <w:rsid w:val="001262A8"/>
    <w:rsid w:val="00126444"/>
    <w:rsid w:val="0012678F"/>
    <w:rsid w:val="00132147"/>
    <w:rsid w:val="00132745"/>
    <w:rsid w:val="001339F7"/>
    <w:rsid w:val="00134152"/>
    <w:rsid w:val="001355E5"/>
    <w:rsid w:val="00135C01"/>
    <w:rsid w:val="00136056"/>
    <w:rsid w:val="00136518"/>
    <w:rsid w:val="00137811"/>
    <w:rsid w:val="00137867"/>
    <w:rsid w:val="0014036D"/>
    <w:rsid w:val="001418BE"/>
    <w:rsid w:val="00141BC4"/>
    <w:rsid w:val="001433B5"/>
    <w:rsid w:val="00143ACF"/>
    <w:rsid w:val="00143DD4"/>
    <w:rsid w:val="001458A3"/>
    <w:rsid w:val="00147B8E"/>
    <w:rsid w:val="00150103"/>
    <w:rsid w:val="00150974"/>
    <w:rsid w:val="001538A4"/>
    <w:rsid w:val="0015555C"/>
    <w:rsid w:val="00155E62"/>
    <w:rsid w:val="001561DE"/>
    <w:rsid w:val="00156838"/>
    <w:rsid w:val="00156B80"/>
    <w:rsid w:val="00157BFF"/>
    <w:rsid w:val="00157C0D"/>
    <w:rsid w:val="00162932"/>
    <w:rsid w:val="00164E22"/>
    <w:rsid w:val="00166C04"/>
    <w:rsid w:val="001672D9"/>
    <w:rsid w:val="00171114"/>
    <w:rsid w:val="0017114A"/>
    <w:rsid w:val="00172D89"/>
    <w:rsid w:val="00173917"/>
    <w:rsid w:val="001766D2"/>
    <w:rsid w:val="00176CF0"/>
    <w:rsid w:val="00177715"/>
    <w:rsid w:val="0018023D"/>
    <w:rsid w:val="00180B2A"/>
    <w:rsid w:val="00183038"/>
    <w:rsid w:val="001839E9"/>
    <w:rsid w:val="001852B2"/>
    <w:rsid w:val="0018654D"/>
    <w:rsid w:val="00186C85"/>
    <w:rsid w:val="001872CD"/>
    <w:rsid w:val="00187660"/>
    <w:rsid w:val="0018798B"/>
    <w:rsid w:val="00190B71"/>
    <w:rsid w:val="0019256B"/>
    <w:rsid w:val="00194055"/>
    <w:rsid w:val="00194EFE"/>
    <w:rsid w:val="00197638"/>
    <w:rsid w:val="00197FB1"/>
    <w:rsid w:val="001A06AC"/>
    <w:rsid w:val="001A0ECA"/>
    <w:rsid w:val="001A279E"/>
    <w:rsid w:val="001A2C0F"/>
    <w:rsid w:val="001A355C"/>
    <w:rsid w:val="001A4A5F"/>
    <w:rsid w:val="001A4F87"/>
    <w:rsid w:val="001A542A"/>
    <w:rsid w:val="001A6067"/>
    <w:rsid w:val="001A64FD"/>
    <w:rsid w:val="001B13E0"/>
    <w:rsid w:val="001B25B1"/>
    <w:rsid w:val="001B6E17"/>
    <w:rsid w:val="001B757B"/>
    <w:rsid w:val="001C14DF"/>
    <w:rsid w:val="001C2C86"/>
    <w:rsid w:val="001C3159"/>
    <w:rsid w:val="001C3D84"/>
    <w:rsid w:val="001C5138"/>
    <w:rsid w:val="001C5B40"/>
    <w:rsid w:val="001C74E2"/>
    <w:rsid w:val="001C79BC"/>
    <w:rsid w:val="001C7BBC"/>
    <w:rsid w:val="001D0551"/>
    <w:rsid w:val="001D0DA1"/>
    <w:rsid w:val="001D1A55"/>
    <w:rsid w:val="001D23B1"/>
    <w:rsid w:val="001D278F"/>
    <w:rsid w:val="001D29C6"/>
    <w:rsid w:val="001D2B36"/>
    <w:rsid w:val="001D3FA7"/>
    <w:rsid w:val="001D4784"/>
    <w:rsid w:val="001D4ADD"/>
    <w:rsid w:val="001D4EDE"/>
    <w:rsid w:val="001D5A1A"/>
    <w:rsid w:val="001D6DC5"/>
    <w:rsid w:val="001D71B4"/>
    <w:rsid w:val="001E05C6"/>
    <w:rsid w:val="001E3A75"/>
    <w:rsid w:val="001E44D7"/>
    <w:rsid w:val="001E58AA"/>
    <w:rsid w:val="001E631D"/>
    <w:rsid w:val="001E6530"/>
    <w:rsid w:val="001E6E08"/>
    <w:rsid w:val="001E74AC"/>
    <w:rsid w:val="001F03EE"/>
    <w:rsid w:val="001F0F23"/>
    <w:rsid w:val="001F16EB"/>
    <w:rsid w:val="001F1F54"/>
    <w:rsid w:val="001F206C"/>
    <w:rsid w:val="001F22B4"/>
    <w:rsid w:val="001F334F"/>
    <w:rsid w:val="001F450B"/>
    <w:rsid w:val="001F4658"/>
    <w:rsid w:val="001F7B40"/>
    <w:rsid w:val="002021EC"/>
    <w:rsid w:val="0020248A"/>
    <w:rsid w:val="00204591"/>
    <w:rsid w:val="00205552"/>
    <w:rsid w:val="00205A49"/>
    <w:rsid w:val="00205B28"/>
    <w:rsid w:val="00205FBC"/>
    <w:rsid w:val="00206A0C"/>
    <w:rsid w:val="00207A60"/>
    <w:rsid w:val="002104CC"/>
    <w:rsid w:val="00210B6C"/>
    <w:rsid w:val="0021132E"/>
    <w:rsid w:val="0021143C"/>
    <w:rsid w:val="0021253E"/>
    <w:rsid w:val="00212A0F"/>
    <w:rsid w:val="00213F04"/>
    <w:rsid w:val="002141A3"/>
    <w:rsid w:val="00214953"/>
    <w:rsid w:val="00215180"/>
    <w:rsid w:val="002151FF"/>
    <w:rsid w:val="002153E8"/>
    <w:rsid w:val="002175AB"/>
    <w:rsid w:val="00217A2C"/>
    <w:rsid w:val="002204E0"/>
    <w:rsid w:val="0022275D"/>
    <w:rsid w:val="002265B4"/>
    <w:rsid w:val="0022710D"/>
    <w:rsid w:val="00227D9E"/>
    <w:rsid w:val="00231240"/>
    <w:rsid w:val="002315B4"/>
    <w:rsid w:val="002327BB"/>
    <w:rsid w:val="00232805"/>
    <w:rsid w:val="002349EC"/>
    <w:rsid w:val="0023507B"/>
    <w:rsid w:val="002352FE"/>
    <w:rsid w:val="00235969"/>
    <w:rsid w:val="002369EA"/>
    <w:rsid w:val="00236EF8"/>
    <w:rsid w:val="00237452"/>
    <w:rsid w:val="00240669"/>
    <w:rsid w:val="00242FA9"/>
    <w:rsid w:val="00244123"/>
    <w:rsid w:val="0024518F"/>
    <w:rsid w:val="00246774"/>
    <w:rsid w:val="00246BF0"/>
    <w:rsid w:val="0024751B"/>
    <w:rsid w:val="00247F2A"/>
    <w:rsid w:val="00247FA2"/>
    <w:rsid w:val="00250B31"/>
    <w:rsid w:val="00250E48"/>
    <w:rsid w:val="00251A5E"/>
    <w:rsid w:val="0025251E"/>
    <w:rsid w:val="002529E3"/>
    <w:rsid w:val="0025329B"/>
    <w:rsid w:val="00253C2B"/>
    <w:rsid w:val="00254E9C"/>
    <w:rsid w:val="00255894"/>
    <w:rsid w:val="00255D50"/>
    <w:rsid w:val="002566C4"/>
    <w:rsid w:val="0025720A"/>
    <w:rsid w:val="00257BF5"/>
    <w:rsid w:val="0026228D"/>
    <w:rsid w:val="00263432"/>
    <w:rsid w:val="002676E2"/>
    <w:rsid w:val="002703EE"/>
    <w:rsid w:val="00271368"/>
    <w:rsid w:val="00271B2A"/>
    <w:rsid w:val="00272253"/>
    <w:rsid w:val="00272858"/>
    <w:rsid w:val="00273FC9"/>
    <w:rsid w:val="0027469A"/>
    <w:rsid w:val="00274C5E"/>
    <w:rsid w:val="00274F84"/>
    <w:rsid w:val="00275589"/>
    <w:rsid w:val="00277856"/>
    <w:rsid w:val="0028300A"/>
    <w:rsid w:val="002831B9"/>
    <w:rsid w:val="00283437"/>
    <w:rsid w:val="00283621"/>
    <w:rsid w:val="00283C01"/>
    <w:rsid w:val="002842BB"/>
    <w:rsid w:val="00284F4A"/>
    <w:rsid w:val="002851E0"/>
    <w:rsid w:val="00286022"/>
    <w:rsid w:val="00286183"/>
    <w:rsid w:val="00287996"/>
    <w:rsid w:val="00287D91"/>
    <w:rsid w:val="00290368"/>
    <w:rsid w:val="00291921"/>
    <w:rsid w:val="002A155B"/>
    <w:rsid w:val="002A4169"/>
    <w:rsid w:val="002A4295"/>
    <w:rsid w:val="002A5856"/>
    <w:rsid w:val="002A58D7"/>
    <w:rsid w:val="002A5FA5"/>
    <w:rsid w:val="002A6838"/>
    <w:rsid w:val="002A70FE"/>
    <w:rsid w:val="002B0F5D"/>
    <w:rsid w:val="002B2B80"/>
    <w:rsid w:val="002B3459"/>
    <w:rsid w:val="002B70FD"/>
    <w:rsid w:val="002B75D7"/>
    <w:rsid w:val="002B76A1"/>
    <w:rsid w:val="002C03C0"/>
    <w:rsid w:val="002C277E"/>
    <w:rsid w:val="002C4CD5"/>
    <w:rsid w:val="002C58CB"/>
    <w:rsid w:val="002C5976"/>
    <w:rsid w:val="002C6EFE"/>
    <w:rsid w:val="002C7178"/>
    <w:rsid w:val="002D077C"/>
    <w:rsid w:val="002D0B5F"/>
    <w:rsid w:val="002D1A47"/>
    <w:rsid w:val="002D1E5F"/>
    <w:rsid w:val="002D3EBE"/>
    <w:rsid w:val="002D4F5E"/>
    <w:rsid w:val="002D550F"/>
    <w:rsid w:val="002D5AA4"/>
    <w:rsid w:val="002E0308"/>
    <w:rsid w:val="002E04BF"/>
    <w:rsid w:val="002E2EEF"/>
    <w:rsid w:val="002E3DC7"/>
    <w:rsid w:val="002E52FB"/>
    <w:rsid w:val="002E56DB"/>
    <w:rsid w:val="002F1976"/>
    <w:rsid w:val="002F222D"/>
    <w:rsid w:val="002F2EC1"/>
    <w:rsid w:val="002F387D"/>
    <w:rsid w:val="002F3CBD"/>
    <w:rsid w:val="002F5E03"/>
    <w:rsid w:val="002F6E66"/>
    <w:rsid w:val="003007E5"/>
    <w:rsid w:val="0030316E"/>
    <w:rsid w:val="0030457B"/>
    <w:rsid w:val="00304C4F"/>
    <w:rsid w:val="00304EE3"/>
    <w:rsid w:val="003050D1"/>
    <w:rsid w:val="0030581B"/>
    <w:rsid w:val="003108E0"/>
    <w:rsid w:val="00310BE5"/>
    <w:rsid w:val="0031267D"/>
    <w:rsid w:val="0031386D"/>
    <w:rsid w:val="003155B5"/>
    <w:rsid w:val="00315B67"/>
    <w:rsid w:val="00315C5D"/>
    <w:rsid w:val="003164C2"/>
    <w:rsid w:val="00317112"/>
    <w:rsid w:val="0032038A"/>
    <w:rsid w:val="00324157"/>
    <w:rsid w:val="00324971"/>
    <w:rsid w:val="00324B9D"/>
    <w:rsid w:val="00324D7B"/>
    <w:rsid w:val="00325335"/>
    <w:rsid w:val="003256FD"/>
    <w:rsid w:val="003259E7"/>
    <w:rsid w:val="003354BA"/>
    <w:rsid w:val="0033600A"/>
    <w:rsid w:val="00337457"/>
    <w:rsid w:val="0034011A"/>
    <w:rsid w:val="0034030E"/>
    <w:rsid w:val="00340489"/>
    <w:rsid w:val="00341870"/>
    <w:rsid w:val="00341D54"/>
    <w:rsid w:val="0034245E"/>
    <w:rsid w:val="00342520"/>
    <w:rsid w:val="00342C50"/>
    <w:rsid w:val="003435C2"/>
    <w:rsid w:val="00344FA1"/>
    <w:rsid w:val="003458E9"/>
    <w:rsid w:val="00345CF7"/>
    <w:rsid w:val="00345E93"/>
    <w:rsid w:val="003500C2"/>
    <w:rsid w:val="00351170"/>
    <w:rsid w:val="00351A5B"/>
    <w:rsid w:val="00351F62"/>
    <w:rsid w:val="00352B46"/>
    <w:rsid w:val="003556C9"/>
    <w:rsid w:val="00356EA6"/>
    <w:rsid w:val="00357884"/>
    <w:rsid w:val="00357F56"/>
    <w:rsid w:val="0036081F"/>
    <w:rsid w:val="00360F47"/>
    <w:rsid w:val="00363418"/>
    <w:rsid w:val="003655B6"/>
    <w:rsid w:val="00365F53"/>
    <w:rsid w:val="00366A01"/>
    <w:rsid w:val="0036777A"/>
    <w:rsid w:val="0037312B"/>
    <w:rsid w:val="003731E7"/>
    <w:rsid w:val="0037387C"/>
    <w:rsid w:val="003752B5"/>
    <w:rsid w:val="00377396"/>
    <w:rsid w:val="003807FA"/>
    <w:rsid w:val="00381CB1"/>
    <w:rsid w:val="00384221"/>
    <w:rsid w:val="00384596"/>
    <w:rsid w:val="00385981"/>
    <w:rsid w:val="00385A68"/>
    <w:rsid w:val="0038777C"/>
    <w:rsid w:val="00387932"/>
    <w:rsid w:val="003920B7"/>
    <w:rsid w:val="003933EA"/>
    <w:rsid w:val="00393C3B"/>
    <w:rsid w:val="003947F9"/>
    <w:rsid w:val="00397D0F"/>
    <w:rsid w:val="003A05C3"/>
    <w:rsid w:val="003A1DCE"/>
    <w:rsid w:val="003A48FB"/>
    <w:rsid w:val="003A527F"/>
    <w:rsid w:val="003A6D14"/>
    <w:rsid w:val="003B17F4"/>
    <w:rsid w:val="003B2C92"/>
    <w:rsid w:val="003B4E87"/>
    <w:rsid w:val="003B67EB"/>
    <w:rsid w:val="003B6FB4"/>
    <w:rsid w:val="003B7C74"/>
    <w:rsid w:val="003B7DCB"/>
    <w:rsid w:val="003C0641"/>
    <w:rsid w:val="003C1379"/>
    <w:rsid w:val="003C6DB3"/>
    <w:rsid w:val="003C7843"/>
    <w:rsid w:val="003D0D1C"/>
    <w:rsid w:val="003D1208"/>
    <w:rsid w:val="003D1281"/>
    <w:rsid w:val="003D6081"/>
    <w:rsid w:val="003D6116"/>
    <w:rsid w:val="003D6CE6"/>
    <w:rsid w:val="003D7B08"/>
    <w:rsid w:val="003D7F6D"/>
    <w:rsid w:val="003E0429"/>
    <w:rsid w:val="003E0B92"/>
    <w:rsid w:val="003E1D29"/>
    <w:rsid w:val="003E271D"/>
    <w:rsid w:val="003E27B9"/>
    <w:rsid w:val="003E27E2"/>
    <w:rsid w:val="003E40C0"/>
    <w:rsid w:val="003E47F3"/>
    <w:rsid w:val="003E5940"/>
    <w:rsid w:val="003E6901"/>
    <w:rsid w:val="003E6F9D"/>
    <w:rsid w:val="003F002D"/>
    <w:rsid w:val="003F0431"/>
    <w:rsid w:val="003F047E"/>
    <w:rsid w:val="003F1271"/>
    <w:rsid w:val="003F1493"/>
    <w:rsid w:val="003F1CDF"/>
    <w:rsid w:val="003F1D8D"/>
    <w:rsid w:val="003F26FB"/>
    <w:rsid w:val="003F3503"/>
    <w:rsid w:val="003F3BE1"/>
    <w:rsid w:val="003F4DED"/>
    <w:rsid w:val="003F5409"/>
    <w:rsid w:val="003F5E61"/>
    <w:rsid w:val="003F6A96"/>
    <w:rsid w:val="003F7F3A"/>
    <w:rsid w:val="00400517"/>
    <w:rsid w:val="00400623"/>
    <w:rsid w:val="00401FC1"/>
    <w:rsid w:val="00402B17"/>
    <w:rsid w:val="004034FC"/>
    <w:rsid w:val="00403CE3"/>
    <w:rsid w:val="00404FF9"/>
    <w:rsid w:val="0040529A"/>
    <w:rsid w:val="00405F5E"/>
    <w:rsid w:val="00406CA0"/>
    <w:rsid w:val="00406F93"/>
    <w:rsid w:val="00407536"/>
    <w:rsid w:val="00410222"/>
    <w:rsid w:val="00410D45"/>
    <w:rsid w:val="00411166"/>
    <w:rsid w:val="00411E8D"/>
    <w:rsid w:val="00413688"/>
    <w:rsid w:val="00413A48"/>
    <w:rsid w:val="00414062"/>
    <w:rsid w:val="00415641"/>
    <w:rsid w:val="004204C5"/>
    <w:rsid w:val="00420B0D"/>
    <w:rsid w:val="00420CF1"/>
    <w:rsid w:val="00420F1C"/>
    <w:rsid w:val="00423619"/>
    <w:rsid w:val="0042532F"/>
    <w:rsid w:val="0042593E"/>
    <w:rsid w:val="004259D2"/>
    <w:rsid w:val="00425CEE"/>
    <w:rsid w:val="00426062"/>
    <w:rsid w:val="004261BF"/>
    <w:rsid w:val="00426330"/>
    <w:rsid w:val="00427130"/>
    <w:rsid w:val="00430361"/>
    <w:rsid w:val="004305FC"/>
    <w:rsid w:val="00430C83"/>
    <w:rsid w:val="00431D6D"/>
    <w:rsid w:val="00432B40"/>
    <w:rsid w:val="0043301C"/>
    <w:rsid w:val="004346D6"/>
    <w:rsid w:val="0043505C"/>
    <w:rsid w:val="004352B6"/>
    <w:rsid w:val="004406BF"/>
    <w:rsid w:val="00440FEC"/>
    <w:rsid w:val="00441C3F"/>
    <w:rsid w:val="00441D61"/>
    <w:rsid w:val="004421BE"/>
    <w:rsid w:val="00445253"/>
    <w:rsid w:val="004461FA"/>
    <w:rsid w:val="00446AEF"/>
    <w:rsid w:val="00447A83"/>
    <w:rsid w:val="004505FF"/>
    <w:rsid w:val="00450834"/>
    <w:rsid w:val="00451F4B"/>
    <w:rsid w:val="004521A4"/>
    <w:rsid w:val="004526ED"/>
    <w:rsid w:val="004538D9"/>
    <w:rsid w:val="00453FA9"/>
    <w:rsid w:val="00454BBF"/>
    <w:rsid w:val="00454F1F"/>
    <w:rsid w:val="004552BC"/>
    <w:rsid w:val="0045623E"/>
    <w:rsid w:val="00456887"/>
    <w:rsid w:val="00460C8D"/>
    <w:rsid w:val="0046114A"/>
    <w:rsid w:val="004612DF"/>
    <w:rsid w:val="00461462"/>
    <w:rsid w:val="0046154E"/>
    <w:rsid w:val="00461CAC"/>
    <w:rsid w:val="0046470A"/>
    <w:rsid w:val="00464AB7"/>
    <w:rsid w:val="00465CB0"/>
    <w:rsid w:val="004663AC"/>
    <w:rsid w:val="00466753"/>
    <w:rsid w:val="0047064F"/>
    <w:rsid w:val="00470D17"/>
    <w:rsid w:val="00471042"/>
    <w:rsid w:val="004713C6"/>
    <w:rsid w:val="00472019"/>
    <w:rsid w:val="0047263F"/>
    <w:rsid w:val="00472F8F"/>
    <w:rsid w:val="00473026"/>
    <w:rsid w:val="004735DB"/>
    <w:rsid w:val="00474886"/>
    <w:rsid w:val="00474D30"/>
    <w:rsid w:val="00475C89"/>
    <w:rsid w:val="004766BD"/>
    <w:rsid w:val="004775B2"/>
    <w:rsid w:val="00483946"/>
    <w:rsid w:val="00484C8C"/>
    <w:rsid w:val="00487028"/>
    <w:rsid w:val="0048762E"/>
    <w:rsid w:val="00491C0C"/>
    <w:rsid w:val="00495E5C"/>
    <w:rsid w:val="00496179"/>
    <w:rsid w:val="004962D0"/>
    <w:rsid w:val="00497366"/>
    <w:rsid w:val="004A2F4C"/>
    <w:rsid w:val="004A476E"/>
    <w:rsid w:val="004A48A8"/>
    <w:rsid w:val="004A651B"/>
    <w:rsid w:val="004A6A3D"/>
    <w:rsid w:val="004A72DE"/>
    <w:rsid w:val="004A7D85"/>
    <w:rsid w:val="004B0367"/>
    <w:rsid w:val="004B0A93"/>
    <w:rsid w:val="004B1B3E"/>
    <w:rsid w:val="004B49A0"/>
    <w:rsid w:val="004B4A81"/>
    <w:rsid w:val="004B5004"/>
    <w:rsid w:val="004B6998"/>
    <w:rsid w:val="004B74DF"/>
    <w:rsid w:val="004B7C4C"/>
    <w:rsid w:val="004C0BD3"/>
    <w:rsid w:val="004C2AEB"/>
    <w:rsid w:val="004C2C9B"/>
    <w:rsid w:val="004C3510"/>
    <w:rsid w:val="004C4727"/>
    <w:rsid w:val="004C4BC7"/>
    <w:rsid w:val="004C6A33"/>
    <w:rsid w:val="004D0BD6"/>
    <w:rsid w:val="004D16B1"/>
    <w:rsid w:val="004D4812"/>
    <w:rsid w:val="004D52D5"/>
    <w:rsid w:val="004D5684"/>
    <w:rsid w:val="004E026E"/>
    <w:rsid w:val="004E3018"/>
    <w:rsid w:val="004E428F"/>
    <w:rsid w:val="004E7E9D"/>
    <w:rsid w:val="004F12A1"/>
    <w:rsid w:val="004F1A1D"/>
    <w:rsid w:val="004F208D"/>
    <w:rsid w:val="004F2201"/>
    <w:rsid w:val="004F401D"/>
    <w:rsid w:val="004F4292"/>
    <w:rsid w:val="004F651C"/>
    <w:rsid w:val="004F6693"/>
    <w:rsid w:val="005006DC"/>
    <w:rsid w:val="005071B3"/>
    <w:rsid w:val="0051112C"/>
    <w:rsid w:val="0051138E"/>
    <w:rsid w:val="00512565"/>
    <w:rsid w:val="00512C73"/>
    <w:rsid w:val="00513029"/>
    <w:rsid w:val="005144EB"/>
    <w:rsid w:val="00516BE2"/>
    <w:rsid w:val="00517632"/>
    <w:rsid w:val="005200C9"/>
    <w:rsid w:val="00520549"/>
    <w:rsid w:val="00520700"/>
    <w:rsid w:val="00520B96"/>
    <w:rsid w:val="005216AA"/>
    <w:rsid w:val="00521740"/>
    <w:rsid w:val="00523A3D"/>
    <w:rsid w:val="005278CA"/>
    <w:rsid w:val="00530F73"/>
    <w:rsid w:val="00531617"/>
    <w:rsid w:val="005316AC"/>
    <w:rsid w:val="00531BE3"/>
    <w:rsid w:val="0053426A"/>
    <w:rsid w:val="00535DE4"/>
    <w:rsid w:val="00536549"/>
    <w:rsid w:val="0053666F"/>
    <w:rsid w:val="005370F0"/>
    <w:rsid w:val="00540DF1"/>
    <w:rsid w:val="00541A81"/>
    <w:rsid w:val="00541E44"/>
    <w:rsid w:val="00541F72"/>
    <w:rsid w:val="005430EF"/>
    <w:rsid w:val="00543E20"/>
    <w:rsid w:val="005443E5"/>
    <w:rsid w:val="00544663"/>
    <w:rsid w:val="005446DC"/>
    <w:rsid w:val="0054470B"/>
    <w:rsid w:val="0054531D"/>
    <w:rsid w:val="005454E8"/>
    <w:rsid w:val="00545EB4"/>
    <w:rsid w:val="00546413"/>
    <w:rsid w:val="005473D1"/>
    <w:rsid w:val="00547B30"/>
    <w:rsid w:val="00550D79"/>
    <w:rsid w:val="00551237"/>
    <w:rsid w:val="005512B7"/>
    <w:rsid w:val="005513CE"/>
    <w:rsid w:val="005515D1"/>
    <w:rsid w:val="005535D1"/>
    <w:rsid w:val="00555184"/>
    <w:rsid w:val="00557B5A"/>
    <w:rsid w:val="0056016E"/>
    <w:rsid w:val="005615E3"/>
    <w:rsid w:val="00562355"/>
    <w:rsid w:val="00562CA0"/>
    <w:rsid w:val="00564B84"/>
    <w:rsid w:val="005657ED"/>
    <w:rsid w:val="00566D9B"/>
    <w:rsid w:val="00567C51"/>
    <w:rsid w:val="005702C9"/>
    <w:rsid w:val="005708A4"/>
    <w:rsid w:val="00571E7B"/>
    <w:rsid w:val="00573404"/>
    <w:rsid w:val="005744C6"/>
    <w:rsid w:val="005751EC"/>
    <w:rsid w:val="00576270"/>
    <w:rsid w:val="0057676A"/>
    <w:rsid w:val="0057687A"/>
    <w:rsid w:val="00576F20"/>
    <w:rsid w:val="0057794F"/>
    <w:rsid w:val="00580C79"/>
    <w:rsid w:val="00581179"/>
    <w:rsid w:val="005829FD"/>
    <w:rsid w:val="00582EC4"/>
    <w:rsid w:val="005839FD"/>
    <w:rsid w:val="00583DC2"/>
    <w:rsid w:val="00584051"/>
    <w:rsid w:val="00585D5A"/>
    <w:rsid w:val="0058666D"/>
    <w:rsid w:val="005875D5"/>
    <w:rsid w:val="00587C7B"/>
    <w:rsid w:val="0059066F"/>
    <w:rsid w:val="00591C27"/>
    <w:rsid w:val="00591C33"/>
    <w:rsid w:val="005926B1"/>
    <w:rsid w:val="005932DA"/>
    <w:rsid w:val="00594186"/>
    <w:rsid w:val="0059434E"/>
    <w:rsid w:val="0059478A"/>
    <w:rsid w:val="005951F1"/>
    <w:rsid w:val="00596D5D"/>
    <w:rsid w:val="00596FA6"/>
    <w:rsid w:val="00597087"/>
    <w:rsid w:val="005A017B"/>
    <w:rsid w:val="005A112B"/>
    <w:rsid w:val="005A1553"/>
    <w:rsid w:val="005A430C"/>
    <w:rsid w:val="005A68FE"/>
    <w:rsid w:val="005A6EBF"/>
    <w:rsid w:val="005A734E"/>
    <w:rsid w:val="005B1DE8"/>
    <w:rsid w:val="005B1E6F"/>
    <w:rsid w:val="005B4DA4"/>
    <w:rsid w:val="005B74A0"/>
    <w:rsid w:val="005B78DD"/>
    <w:rsid w:val="005C10EB"/>
    <w:rsid w:val="005C2273"/>
    <w:rsid w:val="005C3840"/>
    <w:rsid w:val="005C3A69"/>
    <w:rsid w:val="005C57B5"/>
    <w:rsid w:val="005D167B"/>
    <w:rsid w:val="005D1E13"/>
    <w:rsid w:val="005D2229"/>
    <w:rsid w:val="005D3B64"/>
    <w:rsid w:val="005D5808"/>
    <w:rsid w:val="005D5DA6"/>
    <w:rsid w:val="005D61BC"/>
    <w:rsid w:val="005D66CA"/>
    <w:rsid w:val="005D79A6"/>
    <w:rsid w:val="005E11AD"/>
    <w:rsid w:val="005E13AC"/>
    <w:rsid w:val="005E1F48"/>
    <w:rsid w:val="005E2F69"/>
    <w:rsid w:val="005E74B2"/>
    <w:rsid w:val="005F0321"/>
    <w:rsid w:val="005F07FA"/>
    <w:rsid w:val="005F1B69"/>
    <w:rsid w:val="005F2E59"/>
    <w:rsid w:val="005F3ABC"/>
    <w:rsid w:val="005F4DEB"/>
    <w:rsid w:val="005F5850"/>
    <w:rsid w:val="005F5CD3"/>
    <w:rsid w:val="00600BC9"/>
    <w:rsid w:val="006011CB"/>
    <w:rsid w:val="00603562"/>
    <w:rsid w:val="006056F3"/>
    <w:rsid w:val="00605C2B"/>
    <w:rsid w:val="0060612F"/>
    <w:rsid w:val="00610434"/>
    <w:rsid w:val="00610FBF"/>
    <w:rsid w:val="00611D4F"/>
    <w:rsid w:val="0061396A"/>
    <w:rsid w:val="006148CF"/>
    <w:rsid w:val="00614BF2"/>
    <w:rsid w:val="00616349"/>
    <w:rsid w:val="006166AC"/>
    <w:rsid w:val="00616B79"/>
    <w:rsid w:val="00617911"/>
    <w:rsid w:val="006206C5"/>
    <w:rsid w:val="00622191"/>
    <w:rsid w:val="006231F7"/>
    <w:rsid w:val="0062343D"/>
    <w:rsid w:val="00625276"/>
    <w:rsid w:val="0062547D"/>
    <w:rsid w:val="00626DC6"/>
    <w:rsid w:val="00627E17"/>
    <w:rsid w:val="00631657"/>
    <w:rsid w:val="00631F3F"/>
    <w:rsid w:val="00631F9B"/>
    <w:rsid w:val="00634062"/>
    <w:rsid w:val="00635E7B"/>
    <w:rsid w:val="00637E84"/>
    <w:rsid w:val="00640960"/>
    <w:rsid w:val="00641F48"/>
    <w:rsid w:val="00641FD2"/>
    <w:rsid w:val="0064494F"/>
    <w:rsid w:val="00644DC8"/>
    <w:rsid w:val="00645F52"/>
    <w:rsid w:val="0065229D"/>
    <w:rsid w:val="00653400"/>
    <w:rsid w:val="00653874"/>
    <w:rsid w:val="00653C8B"/>
    <w:rsid w:val="0065669F"/>
    <w:rsid w:val="00657F8E"/>
    <w:rsid w:val="00660543"/>
    <w:rsid w:val="00660968"/>
    <w:rsid w:val="00660B5B"/>
    <w:rsid w:val="006610DD"/>
    <w:rsid w:val="00661D4D"/>
    <w:rsid w:val="00662240"/>
    <w:rsid w:val="00662823"/>
    <w:rsid w:val="00664CDB"/>
    <w:rsid w:val="0066553C"/>
    <w:rsid w:val="00666F41"/>
    <w:rsid w:val="00667140"/>
    <w:rsid w:val="006703B5"/>
    <w:rsid w:val="006731B4"/>
    <w:rsid w:val="00674280"/>
    <w:rsid w:val="00674324"/>
    <w:rsid w:val="00674DCA"/>
    <w:rsid w:val="00677B54"/>
    <w:rsid w:val="00680DEE"/>
    <w:rsid w:val="00681813"/>
    <w:rsid w:val="006823EE"/>
    <w:rsid w:val="00684A93"/>
    <w:rsid w:val="00686EB9"/>
    <w:rsid w:val="006912DF"/>
    <w:rsid w:val="00692A8E"/>
    <w:rsid w:val="00692F92"/>
    <w:rsid w:val="00693198"/>
    <w:rsid w:val="00695760"/>
    <w:rsid w:val="006957A0"/>
    <w:rsid w:val="00695A17"/>
    <w:rsid w:val="0069720B"/>
    <w:rsid w:val="006A1783"/>
    <w:rsid w:val="006A51F7"/>
    <w:rsid w:val="006A5E3C"/>
    <w:rsid w:val="006A6ED1"/>
    <w:rsid w:val="006A7371"/>
    <w:rsid w:val="006A754D"/>
    <w:rsid w:val="006B06AB"/>
    <w:rsid w:val="006B0A2C"/>
    <w:rsid w:val="006B3AA8"/>
    <w:rsid w:val="006B424F"/>
    <w:rsid w:val="006B43AF"/>
    <w:rsid w:val="006B47A4"/>
    <w:rsid w:val="006B4E9D"/>
    <w:rsid w:val="006B6417"/>
    <w:rsid w:val="006B64A9"/>
    <w:rsid w:val="006B77A6"/>
    <w:rsid w:val="006C012E"/>
    <w:rsid w:val="006C06A0"/>
    <w:rsid w:val="006C1474"/>
    <w:rsid w:val="006C17E7"/>
    <w:rsid w:val="006C2D57"/>
    <w:rsid w:val="006C2FF7"/>
    <w:rsid w:val="006C3DFA"/>
    <w:rsid w:val="006C527A"/>
    <w:rsid w:val="006C5372"/>
    <w:rsid w:val="006C657B"/>
    <w:rsid w:val="006C6D74"/>
    <w:rsid w:val="006C6FB8"/>
    <w:rsid w:val="006D01BF"/>
    <w:rsid w:val="006D1BB1"/>
    <w:rsid w:val="006D2490"/>
    <w:rsid w:val="006D3426"/>
    <w:rsid w:val="006D3BC7"/>
    <w:rsid w:val="006D3DA3"/>
    <w:rsid w:val="006D3FFB"/>
    <w:rsid w:val="006D563D"/>
    <w:rsid w:val="006D5900"/>
    <w:rsid w:val="006D602F"/>
    <w:rsid w:val="006D6A9D"/>
    <w:rsid w:val="006E1C18"/>
    <w:rsid w:val="006E33A3"/>
    <w:rsid w:val="006E416B"/>
    <w:rsid w:val="006E519F"/>
    <w:rsid w:val="006E5235"/>
    <w:rsid w:val="006E5FA0"/>
    <w:rsid w:val="006E7875"/>
    <w:rsid w:val="006F1B6C"/>
    <w:rsid w:val="006F1D70"/>
    <w:rsid w:val="006F2665"/>
    <w:rsid w:val="006F279E"/>
    <w:rsid w:val="006F331F"/>
    <w:rsid w:val="006F59B7"/>
    <w:rsid w:val="006F5F1F"/>
    <w:rsid w:val="006F65E9"/>
    <w:rsid w:val="006F7BF2"/>
    <w:rsid w:val="007007B4"/>
    <w:rsid w:val="00701280"/>
    <w:rsid w:val="007035C3"/>
    <w:rsid w:val="007056C8"/>
    <w:rsid w:val="00705707"/>
    <w:rsid w:val="00705E5E"/>
    <w:rsid w:val="007122DC"/>
    <w:rsid w:val="00714AE3"/>
    <w:rsid w:val="00716BB0"/>
    <w:rsid w:val="00717421"/>
    <w:rsid w:val="0071779A"/>
    <w:rsid w:val="007178F4"/>
    <w:rsid w:val="007202FC"/>
    <w:rsid w:val="0072064F"/>
    <w:rsid w:val="00720CFD"/>
    <w:rsid w:val="00721663"/>
    <w:rsid w:val="00722D05"/>
    <w:rsid w:val="00722E71"/>
    <w:rsid w:val="00724BCA"/>
    <w:rsid w:val="007255EF"/>
    <w:rsid w:val="007271D7"/>
    <w:rsid w:val="0072779D"/>
    <w:rsid w:val="00732C60"/>
    <w:rsid w:val="007330AF"/>
    <w:rsid w:val="007347ED"/>
    <w:rsid w:val="0073485A"/>
    <w:rsid w:val="007349E8"/>
    <w:rsid w:val="00734A4F"/>
    <w:rsid w:val="007359FB"/>
    <w:rsid w:val="00735FC0"/>
    <w:rsid w:val="00736401"/>
    <w:rsid w:val="00741CB4"/>
    <w:rsid w:val="00742AAC"/>
    <w:rsid w:val="00742E76"/>
    <w:rsid w:val="00744DB5"/>
    <w:rsid w:val="007459B1"/>
    <w:rsid w:val="00746BAE"/>
    <w:rsid w:val="0074777B"/>
    <w:rsid w:val="0075212A"/>
    <w:rsid w:val="0075359E"/>
    <w:rsid w:val="0075602B"/>
    <w:rsid w:val="007575B4"/>
    <w:rsid w:val="0076056E"/>
    <w:rsid w:val="007611E2"/>
    <w:rsid w:val="00761D62"/>
    <w:rsid w:val="007634D4"/>
    <w:rsid w:val="00763BA3"/>
    <w:rsid w:val="00766EB0"/>
    <w:rsid w:val="00767B4E"/>
    <w:rsid w:val="00767BB2"/>
    <w:rsid w:val="0077007F"/>
    <w:rsid w:val="00770411"/>
    <w:rsid w:val="0077268D"/>
    <w:rsid w:val="00772D37"/>
    <w:rsid w:val="00774B89"/>
    <w:rsid w:val="00775749"/>
    <w:rsid w:val="0077609E"/>
    <w:rsid w:val="007760A5"/>
    <w:rsid w:val="00776D1A"/>
    <w:rsid w:val="00776E08"/>
    <w:rsid w:val="007774F1"/>
    <w:rsid w:val="00777955"/>
    <w:rsid w:val="00782AB3"/>
    <w:rsid w:val="0078505E"/>
    <w:rsid w:val="00785991"/>
    <w:rsid w:val="00791AC9"/>
    <w:rsid w:val="007931AD"/>
    <w:rsid w:val="00793FAD"/>
    <w:rsid w:val="00794AE6"/>
    <w:rsid w:val="00796F38"/>
    <w:rsid w:val="00797D4C"/>
    <w:rsid w:val="007A0612"/>
    <w:rsid w:val="007A3B14"/>
    <w:rsid w:val="007A3BD2"/>
    <w:rsid w:val="007A4616"/>
    <w:rsid w:val="007A4676"/>
    <w:rsid w:val="007A6F95"/>
    <w:rsid w:val="007A74CA"/>
    <w:rsid w:val="007A7BFA"/>
    <w:rsid w:val="007B03D9"/>
    <w:rsid w:val="007B05CF"/>
    <w:rsid w:val="007B0C01"/>
    <w:rsid w:val="007B1420"/>
    <w:rsid w:val="007B1949"/>
    <w:rsid w:val="007B1964"/>
    <w:rsid w:val="007B1A3C"/>
    <w:rsid w:val="007B1A86"/>
    <w:rsid w:val="007B1D01"/>
    <w:rsid w:val="007B1ED0"/>
    <w:rsid w:val="007B1F5D"/>
    <w:rsid w:val="007B2E5E"/>
    <w:rsid w:val="007B412B"/>
    <w:rsid w:val="007B5EF0"/>
    <w:rsid w:val="007B6309"/>
    <w:rsid w:val="007B65D6"/>
    <w:rsid w:val="007B74D8"/>
    <w:rsid w:val="007B7562"/>
    <w:rsid w:val="007B7937"/>
    <w:rsid w:val="007B7A5C"/>
    <w:rsid w:val="007C2010"/>
    <w:rsid w:val="007C2889"/>
    <w:rsid w:val="007C3130"/>
    <w:rsid w:val="007C3A98"/>
    <w:rsid w:val="007C3FAF"/>
    <w:rsid w:val="007C40FF"/>
    <w:rsid w:val="007C4819"/>
    <w:rsid w:val="007C4F41"/>
    <w:rsid w:val="007C5C70"/>
    <w:rsid w:val="007C5F6C"/>
    <w:rsid w:val="007C6C96"/>
    <w:rsid w:val="007C7394"/>
    <w:rsid w:val="007D15AE"/>
    <w:rsid w:val="007D1874"/>
    <w:rsid w:val="007D20AF"/>
    <w:rsid w:val="007D280A"/>
    <w:rsid w:val="007D52E2"/>
    <w:rsid w:val="007D6479"/>
    <w:rsid w:val="007D6842"/>
    <w:rsid w:val="007D6C5A"/>
    <w:rsid w:val="007D7927"/>
    <w:rsid w:val="007E1AC8"/>
    <w:rsid w:val="007E1F63"/>
    <w:rsid w:val="007E37F7"/>
    <w:rsid w:val="007E3D18"/>
    <w:rsid w:val="007E42E6"/>
    <w:rsid w:val="007E6CC4"/>
    <w:rsid w:val="007F09BF"/>
    <w:rsid w:val="007F1BDD"/>
    <w:rsid w:val="007F3087"/>
    <w:rsid w:val="008017B4"/>
    <w:rsid w:val="00802E06"/>
    <w:rsid w:val="008037B4"/>
    <w:rsid w:val="0080413A"/>
    <w:rsid w:val="00806893"/>
    <w:rsid w:val="00806A34"/>
    <w:rsid w:val="00810692"/>
    <w:rsid w:val="008117DF"/>
    <w:rsid w:val="00811BA8"/>
    <w:rsid w:val="00812521"/>
    <w:rsid w:val="008129C7"/>
    <w:rsid w:val="0081337F"/>
    <w:rsid w:val="00813E7C"/>
    <w:rsid w:val="00813FD9"/>
    <w:rsid w:val="0081413D"/>
    <w:rsid w:val="00814797"/>
    <w:rsid w:val="00814A44"/>
    <w:rsid w:val="00814F46"/>
    <w:rsid w:val="00815638"/>
    <w:rsid w:val="0081646C"/>
    <w:rsid w:val="008202E2"/>
    <w:rsid w:val="0082167C"/>
    <w:rsid w:val="008221E8"/>
    <w:rsid w:val="008230D3"/>
    <w:rsid w:val="008245D9"/>
    <w:rsid w:val="00826D9D"/>
    <w:rsid w:val="00827740"/>
    <w:rsid w:val="00830A91"/>
    <w:rsid w:val="00831BE1"/>
    <w:rsid w:val="008340D7"/>
    <w:rsid w:val="00834D42"/>
    <w:rsid w:val="00834F89"/>
    <w:rsid w:val="00834FEE"/>
    <w:rsid w:val="00836D26"/>
    <w:rsid w:val="00836DE0"/>
    <w:rsid w:val="00840AAD"/>
    <w:rsid w:val="00841CCE"/>
    <w:rsid w:val="0084262B"/>
    <w:rsid w:val="00845409"/>
    <w:rsid w:val="00845453"/>
    <w:rsid w:val="008455E3"/>
    <w:rsid w:val="00846B25"/>
    <w:rsid w:val="00847C27"/>
    <w:rsid w:val="00850367"/>
    <w:rsid w:val="00851901"/>
    <w:rsid w:val="0085243D"/>
    <w:rsid w:val="008525A3"/>
    <w:rsid w:val="008563EB"/>
    <w:rsid w:val="00856422"/>
    <w:rsid w:val="00861879"/>
    <w:rsid w:val="0086374A"/>
    <w:rsid w:val="00863B72"/>
    <w:rsid w:val="00863E6E"/>
    <w:rsid w:val="0086624B"/>
    <w:rsid w:val="008671C3"/>
    <w:rsid w:val="008712B6"/>
    <w:rsid w:val="00871760"/>
    <w:rsid w:val="00876581"/>
    <w:rsid w:val="00876FED"/>
    <w:rsid w:val="00880721"/>
    <w:rsid w:val="00880902"/>
    <w:rsid w:val="00880D25"/>
    <w:rsid w:val="00881994"/>
    <w:rsid w:val="008833D1"/>
    <w:rsid w:val="008844DA"/>
    <w:rsid w:val="008850AA"/>
    <w:rsid w:val="008872A8"/>
    <w:rsid w:val="008902EE"/>
    <w:rsid w:val="0089150E"/>
    <w:rsid w:val="008928EE"/>
    <w:rsid w:val="00896847"/>
    <w:rsid w:val="008A0753"/>
    <w:rsid w:val="008A0AB4"/>
    <w:rsid w:val="008A0E0C"/>
    <w:rsid w:val="008A2021"/>
    <w:rsid w:val="008A2AA8"/>
    <w:rsid w:val="008A54FC"/>
    <w:rsid w:val="008A5863"/>
    <w:rsid w:val="008A658F"/>
    <w:rsid w:val="008A68DE"/>
    <w:rsid w:val="008B0335"/>
    <w:rsid w:val="008B22D4"/>
    <w:rsid w:val="008B28B0"/>
    <w:rsid w:val="008B32AC"/>
    <w:rsid w:val="008B3AF5"/>
    <w:rsid w:val="008B3FBD"/>
    <w:rsid w:val="008B56EB"/>
    <w:rsid w:val="008B70CD"/>
    <w:rsid w:val="008B77B7"/>
    <w:rsid w:val="008B7BB6"/>
    <w:rsid w:val="008C1B7B"/>
    <w:rsid w:val="008C2791"/>
    <w:rsid w:val="008C27C8"/>
    <w:rsid w:val="008C2DAE"/>
    <w:rsid w:val="008C2DBD"/>
    <w:rsid w:val="008C755F"/>
    <w:rsid w:val="008D07B6"/>
    <w:rsid w:val="008D2EA0"/>
    <w:rsid w:val="008D2F71"/>
    <w:rsid w:val="008D44AA"/>
    <w:rsid w:val="008D5BEC"/>
    <w:rsid w:val="008D66E9"/>
    <w:rsid w:val="008E1857"/>
    <w:rsid w:val="008E1BB2"/>
    <w:rsid w:val="008E247B"/>
    <w:rsid w:val="008E2AA6"/>
    <w:rsid w:val="008E3BB9"/>
    <w:rsid w:val="008E3EAA"/>
    <w:rsid w:val="008E5B81"/>
    <w:rsid w:val="008E5D1F"/>
    <w:rsid w:val="008F044F"/>
    <w:rsid w:val="008F0861"/>
    <w:rsid w:val="008F1482"/>
    <w:rsid w:val="008F1A1A"/>
    <w:rsid w:val="008F35E0"/>
    <w:rsid w:val="008F3BF1"/>
    <w:rsid w:val="008F5C31"/>
    <w:rsid w:val="008F6FA4"/>
    <w:rsid w:val="008F7F7C"/>
    <w:rsid w:val="00901688"/>
    <w:rsid w:val="009016FE"/>
    <w:rsid w:val="00902DE6"/>
    <w:rsid w:val="00903696"/>
    <w:rsid w:val="0090388C"/>
    <w:rsid w:val="00904B2A"/>
    <w:rsid w:val="00907D98"/>
    <w:rsid w:val="00914C65"/>
    <w:rsid w:val="009151EF"/>
    <w:rsid w:val="0091541B"/>
    <w:rsid w:val="00915909"/>
    <w:rsid w:val="0091634D"/>
    <w:rsid w:val="009176B4"/>
    <w:rsid w:val="00920FAA"/>
    <w:rsid w:val="0092126B"/>
    <w:rsid w:val="00921570"/>
    <w:rsid w:val="00922F46"/>
    <w:rsid w:val="00924136"/>
    <w:rsid w:val="00924142"/>
    <w:rsid w:val="0092493E"/>
    <w:rsid w:val="00926716"/>
    <w:rsid w:val="0092766E"/>
    <w:rsid w:val="00927A3A"/>
    <w:rsid w:val="00930A77"/>
    <w:rsid w:val="00931B5C"/>
    <w:rsid w:val="0093213A"/>
    <w:rsid w:val="009343DE"/>
    <w:rsid w:val="00934494"/>
    <w:rsid w:val="00935BCD"/>
    <w:rsid w:val="00936245"/>
    <w:rsid w:val="00937081"/>
    <w:rsid w:val="009402EA"/>
    <w:rsid w:val="009413E5"/>
    <w:rsid w:val="0094195A"/>
    <w:rsid w:val="009421B7"/>
    <w:rsid w:val="009428C5"/>
    <w:rsid w:val="00943F1E"/>
    <w:rsid w:val="009463D7"/>
    <w:rsid w:val="009469F5"/>
    <w:rsid w:val="00947B77"/>
    <w:rsid w:val="00955CEE"/>
    <w:rsid w:val="0096056A"/>
    <w:rsid w:val="0096096C"/>
    <w:rsid w:val="00960AE6"/>
    <w:rsid w:val="0096154C"/>
    <w:rsid w:val="00962407"/>
    <w:rsid w:val="00964062"/>
    <w:rsid w:val="00965D5A"/>
    <w:rsid w:val="00966226"/>
    <w:rsid w:val="00967491"/>
    <w:rsid w:val="00967A5E"/>
    <w:rsid w:val="00967D96"/>
    <w:rsid w:val="0097042E"/>
    <w:rsid w:val="009711AF"/>
    <w:rsid w:val="009728AD"/>
    <w:rsid w:val="00973D30"/>
    <w:rsid w:val="0097553F"/>
    <w:rsid w:val="00976055"/>
    <w:rsid w:val="00976301"/>
    <w:rsid w:val="009765F2"/>
    <w:rsid w:val="00976FAB"/>
    <w:rsid w:val="00981269"/>
    <w:rsid w:val="009844E5"/>
    <w:rsid w:val="00985AAC"/>
    <w:rsid w:val="00985D44"/>
    <w:rsid w:val="00986204"/>
    <w:rsid w:val="00986938"/>
    <w:rsid w:val="00987A05"/>
    <w:rsid w:val="00991A1A"/>
    <w:rsid w:val="0099204E"/>
    <w:rsid w:val="009925EB"/>
    <w:rsid w:val="00992979"/>
    <w:rsid w:val="009932E8"/>
    <w:rsid w:val="00993867"/>
    <w:rsid w:val="00994984"/>
    <w:rsid w:val="00995EA0"/>
    <w:rsid w:val="009972E3"/>
    <w:rsid w:val="009973A7"/>
    <w:rsid w:val="009A1392"/>
    <w:rsid w:val="009A1E5E"/>
    <w:rsid w:val="009A315A"/>
    <w:rsid w:val="009A38EE"/>
    <w:rsid w:val="009A57B5"/>
    <w:rsid w:val="009A6542"/>
    <w:rsid w:val="009A77D8"/>
    <w:rsid w:val="009B1F09"/>
    <w:rsid w:val="009B2297"/>
    <w:rsid w:val="009B38B5"/>
    <w:rsid w:val="009B6193"/>
    <w:rsid w:val="009C0452"/>
    <w:rsid w:val="009C23AF"/>
    <w:rsid w:val="009C2687"/>
    <w:rsid w:val="009C429D"/>
    <w:rsid w:val="009C4E10"/>
    <w:rsid w:val="009C5233"/>
    <w:rsid w:val="009C5FD6"/>
    <w:rsid w:val="009D0842"/>
    <w:rsid w:val="009D1029"/>
    <w:rsid w:val="009D1526"/>
    <w:rsid w:val="009D282B"/>
    <w:rsid w:val="009D2CC7"/>
    <w:rsid w:val="009D3FB3"/>
    <w:rsid w:val="009D418B"/>
    <w:rsid w:val="009D5837"/>
    <w:rsid w:val="009D5CA4"/>
    <w:rsid w:val="009D5F11"/>
    <w:rsid w:val="009D72A8"/>
    <w:rsid w:val="009D7424"/>
    <w:rsid w:val="009E1652"/>
    <w:rsid w:val="009E16D0"/>
    <w:rsid w:val="009E183B"/>
    <w:rsid w:val="009E212A"/>
    <w:rsid w:val="009E2EF3"/>
    <w:rsid w:val="009E47EB"/>
    <w:rsid w:val="009E50C1"/>
    <w:rsid w:val="009E6E11"/>
    <w:rsid w:val="009F2B06"/>
    <w:rsid w:val="009F3210"/>
    <w:rsid w:val="009F36F3"/>
    <w:rsid w:val="009F3BBE"/>
    <w:rsid w:val="009F4130"/>
    <w:rsid w:val="009F4322"/>
    <w:rsid w:val="009F4FE3"/>
    <w:rsid w:val="009F5597"/>
    <w:rsid w:val="009F5A8B"/>
    <w:rsid w:val="009F6C71"/>
    <w:rsid w:val="009F7C6F"/>
    <w:rsid w:val="009F7CAC"/>
    <w:rsid w:val="00A00CA8"/>
    <w:rsid w:val="00A02D42"/>
    <w:rsid w:val="00A03BCB"/>
    <w:rsid w:val="00A03D40"/>
    <w:rsid w:val="00A046B0"/>
    <w:rsid w:val="00A051ED"/>
    <w:rsid w:val="00A05A6E"/>
    <w:rsid w:val="00A076B5"/>
    <w:rsid w:val="00A07D45"/>
    <w:rsid w:val="00A11515"/>
    <w:rsid w:val="00A15F24"/>
    <w:rsid w:val="00A20666"/>
    <w:rsid w:val="00A23A71"/>
    <w:rsid w:val="00A262C6"/>
    <w:rsid w:val="00A2647D"/>
    <w:rsid w:val="00A272BE"/>
    <w:rsid w:val="00A30530"/>
    <w:rsid w:val="00A30C9C"/>
    <w:rsid w:val="00A31D83"/>
    <w:rsid w:val="00A31FE5"/>
    <w:rsid w:val="00A3263D"/>
    <w:rsid w:val="00A33F8E"/>
    <w:rsid w:val="00A34CAE"/>
    <w:rsid w:val="00A35627"/>
    <w:rsid w:val="00A35728"/>
    <w:rsid w:val="00A3754E"/>
    <w:rsid w:val="00A379D8"/>
    <w:rsid w:val="00A37F61"/>
    <w:rsid w:val="00A41333"/>
    <w:rsid w:val="00A413C1"/>
    <w:rsid w:val="00A42952"/>
    <w:rsid w:val="00A43499"/>
    <w:rsid w:val="00A44490"/>
    <w:rsid w:val="00A44848"/>
    <w:rsid w:val="00A46F48"/>
    <w:rsid w:val="00A502D5"/>
    <w:rsid w:val="00A50C77"/>
    <w:rsid w:val="00A53581"/>
    <w:rsid w:val="00A53C61"/>
    <w:rsid w:val="00A545D7"/>
    <w:rsid w:val="00A551AF"/>
    <w:rsid w:val="00A55C08"/>
    <w:rsid w:val="00A56043"/>
    <w:rsid w:val="00A56349"/>
    <w:rsid w:val="00A56EE8"/>
    <w:rsid w:val="00A60501"/>
    <w:rsid w:val="00A6189F"/>
    <w:rsid w:val="00A61E73"/>
    <w:rsid w:val="00A61FE6"/>
    <w:rsid w:val="00A629C2"/>
    <w:rsid w:val="00A632A8"/>
    <w:rsid w:val="00A63B34"/>
    <w:rsid w:val="00A64BC1"/>
    <w:rsid w:val="00A64DEB"/>
    <w:rsid w:val="00A66717"/>
    <w:rsid w:val="00A66EE7"/>
    <w:rsid w:val="00A6717D"/>
    <w:rsid w:val="00A720C3"/>
    <w:rsid w:val="00A732C8"/>
    <w:rsid w:val="00A73765"/>
    <w:rsid w:val="00A73990"/>
    <w:rsid w:val="00A74B35"/>
    <w:rsid w:val="00A755E1"/>
    <w:rsid w:val="00A765E4"/>
    <w:rsid w:val="00A7739B"/>
    <w:rsid w:val="00A80950"/>
    <w:rsid w:val="00A81711"/>
    <w:rsid w:val="00A83AA1"/>
    <w:rsid w:val="00A85F68"/>
    <w:rsid w:val="00A90FDA"/>
    <w:rsid w:val="00A91059"/>
    <w:rsid w:val="00A910F6"/>
    <w:rsid w:val="00A924ED"/>
    <w:rsid w:val="00A9349D"/>
    <w:rsid w:val="00A945CB"/>
    <w:rsid w:val="00A951C1"/>
    <w:rsid w:val="00A95831"/>
    <w:rsid w:val="00A95AC5"/>
    <w:rsid w:val="00A95ACB"/>
    <w:rsid w:val="00A95CCB"/>
    <w:rsid w:val="00A9664A"/>
    <w:rsid w:val="00A96A51"/>
    <w:rsid w:val="00A96DB7"/>
    <w:rsid w:val="00A970A6"/>
    <w:rsid w:val="00A97540"/>
    <w:rsid w:val="00AA05C5"/>
    <w:rsid w:val="00AA086A"/>
    <w:rsid w:val="00AA0B55"/>
    <w:rsid w:val="00AA108C"/>
    <w:rsid w:val="00AA1738"/>
    <w:rsid w:val="00AA245F"/>
    <w:rsid w:val="00AA2530"/>
    <w:rsid w:val="00AA2625"/>
    <w:rsid w:val="00AA3FFA"/>
    <w:rsid w:val="00AA4315"/>
    <w:rsid w:val="00AA4DA7"/>
    <w:rsid w:val="00AA56AE"/>
    <w:rsid w:val="00AA5E84"/>
    <w:rsid w:val="00AA6B5B"/>
    <w:rsid w:val="00AA7CEA"/>
    <w:rsid w:val="00AB0411"/>
    <w:rsid w:val="00AB30DB"/>
    <w:rsid w:val="00AB5D1C"/>
    <w:rsid w:val="00AB6E56"/>
    <w:rsid w:val="00AC14AD"/>
    <w:rsid w:val="00AC1857"/>
    <w:rsid w:val="00AC1BED"/>
    <w:rsid w:val="00AC23EB"/>
    <w:rsid w:val="00AC266D"/>
    <w:rsid w:val="00AC272C"/>
    <w:rsid w:val="00AC326A"/>
    <w:rsid w:val="00AC460F"/>
    <w:rsid w:val="00AC6F13"/>
    <w:rsid w:val="00AD0E4F"/>
    <w:rsid w:val="00AD12E6"/>
    <w:rsid w:val="00AD2055"/>
    <w:rsid w:val="00AD34FA"/>
    <w:rsid w:val="00AD3710"/>
    <w:rsid w:val="00AD5D6E"/>
    <w:rsid w:val="00AD6B83"/>
    <w:rsid w:val="00AE032F"/>
    <w:rsid w:val="00AE0F2F"/>
    <w:rsid w:val="00AE13FD"/>
    <w:rsid w:val="00AE317A"/>
    <w:rsid w:val="00AE3D6E"/>
    <w:rsid w:val="00AE43E5"/>
    <w:rsid w:val="00AE7183"/>
    <w:rsid w:val="00AF0215"/>
    <w:rsid w:val="00AF211C"/>
    <w:rsid w:val="00AF2843"/>
    <w:rsid w:val="00AF3866"/>
    <w:rsid w:val="00AF7721"/>
    <w:rsid w:val="00AF7EF1"/>
    <w:rsid w:val="00B01431"/>
    <w:rsid w:val="00B01817"/>
    <w:rsid w:val="00B01DD4"/>
    <w:rsid w:val="00B02440"/>
    <w:rsid w:val="00B03831"/>
    <w:rsid w:val="00B03A15"/>
    <w:rsid w:val="00B04953"/>
    <w:rsid w:val="00B04EF3"/>
    <w:rsid w:val="00B055B7"/>
    <w:rsid w:val="00B05BA8"/>
    <w:rsid w:val="00B069CD"/>
    <w:rsid w:val="00B06A25"/>
    <w:rsid w:val="00B074C3"/>
    <w:rsid w:val="00B1082D"/>
    <w:rsid w:val="00B11403"/>
    <w:rsid w:val="00B1245B"/>
    <w:rsid w:val="00B128DA"/>
    <w:rsid w:val="00B12BAF"/>
    <w:rsid w:val="00B13C1A"/>
    <w:rsid w:val="00B14A4E"/>
    <w:rsid w:val="00B178AF"/>
    <w:rsid w:val="00B17D33"/>
    <w:rsid w:val="00B207A9"/>
    <w:rsid w:val="00B21C6E"/>
    <w:rsid w:val="00B23BA5"/>
    <w:rsid w:val="00B24B70"/>
    <w:rsid w:val="00B255C6"/>
    <w:rsid w:val="00B26244"/>
    <w:rsid w:val="00B27A85"/>
    <w:rsid w:val="00B30D3B"/>
    <w:rsid w:val="00B31B1D"/>
    <w:rsid w:val="00B31F24"/>
    <w:rsid w:val="00B32196"/>
    <w:rsid w:val="00B32CDF"/>
    <w:rsid w:val="00B33727"/>
    <w:rsid w:val="00B33DE0"/>
    <w:rsid w:val="00B3425C"/>
    <w:rsid w:val="00B3508F"/>
    <w:rsid w:val="00B365F3"/>
    <w:rsid w:val="00B366AA"/>
    <w:rsid w:val="00B4202A"/>
    <w:rsid w:val="00B432D4"/>
    <w:rsid w:val="00B45136"/>
    <w:rsid w:val="00B45B00"/>
    <w:rsid w:val="00B45EDC"/>
    <w:rsid w:val="00B46764"/>
    <w:rsid w:val="00B4724D"/>
    <w:rsid w:val="00B4775D"/>
    <w:rsid w:val="00B47926"/>
    <w:rsid w:val="00B47C2D"/>
    <w:rsid w:val="00B50324"/>
    <w:rsid w:val="00B51C59"/>
    <w:rsid w:val="00B52BB1"/>
    <w:rsid w:val="00B52F3F"/>
    <w:rsid w:val="00B532F2"/>
    <w:rsid w:val="00B53384"/>
    <w:rsid w:val="00B53B35"/>
    <w:rsid w:val="00B53CF2"/>
    <w:rsid w:val="00B5401E"/>
    <w:rsid w:val="00B54858"/>
    <w:rsid w:val="00B54B11"/>
    <w:rsid w:val="00B54FC9"/>
    <w:rsid w:val="00B55B49"/>
    <w:rsid w:val="00B56588"/>
    <w:rsid w:val="00B56A7F"/>
    <w:rsid w:val="00B60050"/>
    <w:rsid w:val="00B611D4"/>
    <w:rsid w:val="00B62D75"/>
    <w:rsid w:val="00B62DFB"/>
    <w:rsid w:val="00B62EBB"/>
    <w:rsid w:val="00B63017"/>
    <w:rsid w:val="00B64140"/>
    <w:rsid w:val="00B64979"/>
    <w:rsid w:val="00B66253"/>
    <w:rsid w:val="00B668C7"/>
    <w:rsid w:val="00B66CCF"/>
    <w:rsid w:val="00B70495"/>
    <w:rsid w:val="00B70A29"/>
    <w:rsid w:val="00B7158E"/>
    <w:rsid w:val="00B7726B"/>
    <w:rsid w:val="00B807C1"/>
    <w:rsid w:val="00B813CC"/>
    <w:rsid w:val="00B82128"/>
    <w:rsid w:val="00B83228"/>
    <w:rsid w:val="00B83CE8"/>
    <w:rsid w:val="00B84FF4"/>
    <w:rsid w:val="00B85CF8"/>
    <w:rsid w:val="00B86361"/>
    <w:rsid w:val="00B86AEA"/>
    <w:rsid w:val="00B86D96"/>
    <w:rsid w:val="00B87C20"/>
    <w:rsid w:val="00B9182F"/>
    <w:rsid w:val="00B93792"/>
    <w:rsid w:val="00B93971"/>
    <w:rsid w:val="00B93980"/>
    <w:rsid w:val="00B95A15"/>
    <w:rsid w:val="00B95F0E"/>
    <w:rsid w:val="00BA16EB"/>
    <w:rsid w:val="00BA2314"/>
    <w:rsid w:val="00BA3ACD"/>
    <w:rsid w:val="00BA42AE"/>
    <w:rsid w:val="00BA44D6"/>
    <w:rsid w:val="00BA5CBB"/>
    <w:rsid w:val="00BA61C3"/>
    <w:rsid w:val="00BA66C6"/>
    <w:rsid w:val="00BA79D9"/>
    <w:rsid w:val="00BB0FD6"/>
    <w:rsid w:val="00BB15B2"/>
    <w:rsid w:val="00BB253B"/>
    <w:rsid w:val="00BB2923"/>
    <w:rsid w:val="00BB5521"/>
    <w:rsid w:val="00BB6BFD"/>
    <w:rsid w:val="00BB6CCD"/>
    <w:rsid w:val="00BB7D5C"/>
    <w:rsid w:val="00BC050E"/>
    <w:rsid w:val="00BC13CB"/>
    <w:rsid w:val="00BC61F3"/>
    <w:rsid w:val="00BC64CB"/>
    <w:rsid w:val="00BC6EB8"/>
    <w:rsid w:val="00BC75EF"/>
    <w:rsid w:val="00BD2117"/>
    <w:rsid w:val="00BD3C18"/>
    <w:rsid w:val="00BD6419"/>
    <w:rsid w:val="00BD6793"/>
    <w:rsid w:val="00BD6B8F"/>
    <w:rsid w:val="00BD6DFB"/>
    <w:rsid w:val="00BD7066"/>
    <w:rsid w:val="00BE0F2E"/>
    <w:rsid w:val="00BE115C"/>
    <w:rsid w:val="00BE1668"/>
    <w:rsid w:val="00BE1960"/>
    <w:rsid w:val="00BE297F"/>
    <w:rsid w:val="00BE355F"/>
    <w:rsid w:val="00BE3722"/>
    <w:rsid w:val="00BE3971"/>
    <w:rsid w:val="00BE39B8"/>
    <w:rsid w:val="00BE50ED"/>
    <w:rsid w:val="00BE5472"/>
    <w:rsid w:val="00BE5856"/>
    <w:rsid w:val="00BE75E2"/>
    <w:rsid w:val="00BE7751"/>
    <w:rsid w:val="00BE7CE8"/>
    <w:rsid w:val="00BF201C"/>
    <w:rsid w:val="00BF2991"/>
    <w:rsid w:val="00BF3226"/>
    <w:rsid w:val="00BF39AD"/>
    <w:rsid w:val="00BF42B5"/>
    <w:rsid w:val="00BF4447"/>
    <w:rsid w:val="00BF4B50"/>
    <w:rsid w:val="00BF697E"/>
    <w:rsid w:val="00C006E3"/>
    <w:rsid w:val="00C0087E"/>
    <w:rsid w:val="00C02C73"/>
    <w:rsid w:val="00C03693"/>
    <w:rsid w:val="00C06365"/>
    <w:rsid w:val="00C102D8"/>
    <w:rsid w:val="00C10729"/>
    <w:rsid w:val="00C11631"/>
    <w:rsid w:val="00C13BDC"/>
    <w:rsid w:val="00C13FD7"/>
    <w:rsid w:val="00C14173"/>
    <w:rsid w:val="00C144B8"/>
    <w:rsid w:val="00C14DA9"/>
    <w:rsid w:val="00C15BE9"/>
    <w:rsid w:val="00C177AA"/>
    <w:rsid w:val="00C20474"/>
    <w:rsid w:val="00C2219E"/>
    <w:rsid w:val="00C22611"/>
    <w:rsid w:val="00C24E24"/>
    <w:rsid w:val="00C25918"/>
    <w:rsid w:val="00C2603A"/>
    <w:rsid w:val="00C27BBA"/>
    <w:rsid w:val="00C27CCD"/>
    <w:rsid w:val="00C30DEE"/>
    <w:rsid w:val="00C317E2"/>
    <w:rsid w:val="00C31CD6"/>
    <w:rsid w:val="00C32177"/>
    <w:rsid w:val="00C32321"/>
    <w:rsid w:val="00C3316C"/>
    <w:rsid w:val="00C3376C"/>
    <w:rsid w:val="00C33D26"/>
    <w:rsid w:val="00C3425E"/>
    <w:rsid w:val="00C34BB0"/>
    <w:rsid w:val="00C35497"/>
    <w:rsid w:val="00C35565"/>
    <w:rsid w:val="00C3566E"/>
    <w:rsid w:val="00C35843"/>
    <w:rsid w:val="00C36960"/>
    <w:rsid w:val="00C37639"/>
    <w:rsid w:val="00C3790F"/>
    <w:rsid w:val="00C4041D"/>
    <w:rsid w:val="00C41272"/>
    <w:rsid w:val="00C415DE"/>
    <w:rsid w:val="00C42006"/>
    <w:rsid w:val="00C42B0E"/>
    <w:rsid w:val="00C4366C"/>
    <w:rsid w:val="00C43D5A"/>
    <w:rsid w:val="00C454A6"/>
    <w:rsid w:val="00C51430"/>
    <w:rsid w:val="00C526DA"/>
    <w:rsid w:val="00C5370E"/>
    <w:rsid w:val="00C54A41"/>
    <w:rsid w:val="00C54BFA"/>
    <w:rsid w:val="00C54CBF"/>
    <w:rsid w:val="00C559A6"/>
    <w:rsid w:val="00C55CB6"/>
    <w:rsid w:val="00C55E58"/>
    <w:rsid w:val="00C55F4D"/>
    <w:rsid w:val="00C57BAF"/>
    <w:rsid w:val="00C57EA3"/>
    <w:rsid w:val="00C61876"/>
    <w:rsid w:val="00C62BF3"/>
    <w:rsid w:val="00C630BC"/>
    <w:rsid w:val="00C6328E"/>
    <w:rsid w:val="00C64C69"/>
    <w:rsid w:val="00C660E7"/>
    <w:rsid w:val="00C6678E"/>
    <w:rsid w:val="00C70389"/>
    <w:rsid w:val="00C73C6D"/>
    <w:rsid w:val="00C7591B"/>
    <w:rsid w:val="00C7692B"/>
    <w:rsid w:val="00C76E5B"/>
    <w:rsid w:val="00C825A5"/>
    <w:rsid w:val="00C8297B"/>
    <w:rsid w:val="00C83758"/>
    <w:rsid w:val="00C83ED4"/>
    <w:rsid w:val="00C8571E"/>
    <w:rsid w:val="00C90A3E"/>
    <w:rsid w:val="00C92368"/>
    <w:rsid w:val="00C926C3"/>
    <w:rsid w:val="00C93CFB"/>
    <w:rsid w:val="00C94365"/>
    <w:rsid w:val="00C94636"/>
    <w:rsid w:val="00C94E9B"/>
    <w:rsid w:val="00C95208"/>
    <w:rsid w:val="00C97479"/>
    <w:rsid w:val="00CA16D5"/>
    <w:rsid w:val="00CA246D"/>
    <w:rsid w:val="00CA2608"/>
    <w:rsid w:val="00CA2660"/>
    <w:rsid w:val="00CA2F1C"/>
    <w:rsid w:val="00CA2FFA"/>
    <w:rsid w:val="00CA45CB"/>
    <w:rsid w:val="00CA4731"/>
    <w:rsid w:val="00CA62FD"/>
    <w:rsid w:val="00CA7CE0"/>
    <w:rsid w:val="00CB015E"/>
    <w:rsid w:val="00CB0569"/>
    <w:rsid w:val="00CB14AB"/>
    <w:rsid w:val="00CB5C2F"/>
    <w:rsid w:val="00CC176E"/>
    <w:rsid w:val="00CC1893"/>
    <w:rsid w:val="00CC2373"/>
    <w:rsid w:val="00CC262E"/>
    <w:rsid w:val="00CC3DF9"/>
    <w:rsid w:val="00CC3F57"/>
    <w:rsid w:val="00CC4031"/>
    <w:rsid w:val="00CC4A82"/>
    <w:rsid w:val="00CC4BB4"/>
    <w:rsid w:val="00CC6BBE"/>
    <w:rsid w:val="00CC766A"/>
    <w:rsid w:val="00CD0350"/>
    <w:rsid w:val="00CD0E09"/>
    <w:rsid w:val="00CD1339"/>
    <w:rsid w:val="00CD14C0"/>
    <w:rsid w:val="00CD1F43"/>
    <w:rsid w:val="00CD2A32"/>
    <w:rsid w:val="00CD2DAA"/>
    <w:rsid w:val="00CD3057"/>
    <w:rsid w:val="00CD37D6"/>
    <w:rsid w:val="00CD51AD"/>
    <w:rsid w:val="00CD5911"/>
    <w:rsid w:val="00CD6729"/>
    <w:rsid w:val="00CE3B8E"/>
    <w:rsid w:val="00CE43B3"/>
    <w:rsid w:val="00CE593D"/>
    <w:rsid w:val="00CE60C0"/>
    <w:rsid w:val="00CE6B3C"/>
    <w:rsid w:val="00CF0691"/>
    <w:rsid w:val="00CF1836"/>
    <w:rsid w:val="00CF3C85"/>
    <w:rsid w:val="00CF4236"/>
    <w:rsid w:val="00CF5445"/>
    <w:rsid w:val="00CF580E"/>
    <w:rsid w:val="00CF5D8A"/>
    <w:rsid w:val="00CF626A"/>
    <w:rsid w:val="00D006B4"/>
    <w:rsid w:val="00D01A0C"/>
    <w:rsid w:val="00D03A14"/>
    <w:rsid w:val="00D040FB"/>
    <w:rsid w:val="00D12B5F"/>
    <w:rsid w:val="00D12BFE"/>
    <w:rsid w:val="00D12EE0"/>
    <w:rsid w:val="00D161E8"/>
    <w:rsid w:val="00D1726C"/>
    <w:rsid w:val="00D20077"/>
    <w:rsid w:val="00D21E6B"/>
    <w:rsid w:val="00D22454"/>
    <w:rsid w:val="00D22612"/>
    <w:rsid w:val="00D2311A"/>
    <w:rsid w:val="00D24342"/>
    <w:rsid w:val="00D2467F"/>
    <w:rsid w:val="00D27446"/>
    <w:rsid w:val="00D30328"/>
    <w:rsid w:val="00D303BD"/>
    <w:rsid w:val="00D369EE"/>
    <w:rsid w:val="00D375A7"/>
    <w:rsid w:val="00D376F7"/>
    <w:rsid w:val="00D40325"/>
    <w:rsid w:val="00D40519"/>
    <w:rsid w:val="00D4058C"/>
    <w:rsid w:val="00D406B2"/>
    <w:rsid w:val="00D4131F"/>
    <w:rsid w:val="00D420FA"/>
    <w:rsid w:val="00D422C5"/>
    <w:rsid w:val="00D4337E"/>
    <w:rsid w:val="00D4371A"/>
    <w:rsid w:val="00D43851"/>
    <w:rsid w:val="00D4423E"/>
    <w:rsid w:val="00D44B5A"/>
    <w:rsid w:val="00D45E84"/>
    <w:rsid w:val="00D47F59"/>
    <w:rsid w:val="00D516A1"/>
    <w:rsid w:val="00D52027"/>
    <w:rsid w:val="00D54038"/>
    <w:rsid w:val="00D547F3"/>
    <w:rsid w:val="00D55745"/>
    <w:rsid w:val="00D57453"/>
    <w:rsid w:val="00D5750C"/>
    <w:rsid w:val="00D5791F"/>
    <w:rsid w:val="00D6085F"/>
    <w:rsid w:val="00D61E88"/>
    <w:rsid w:val="00D6525B"/>
    <w:rsid w:val="00D6593A"/>
    <w:rsid w:val="00D6644C"/>
    <w:rsid w:val="00D670DD"/>
    <w:rsid w:val="00D70188"/>
    <w:rsid w:val="00D714F5"/>
    <w:rsid w:val="00D71B1D"/>
    <w:rsid w:val="00D720DF"/>
    <w:rsid w:val="00D732D3"/>
    <w:rsid w:val="00D73ED8"/>
    <w:rsid w:val="00D747F9"/>
    <w:rsid w:val="00D74D58"/>
    <w:rsid w:val="00D756F3"/>
    <w:rsid w:val="00D75E93"/>
    <w:rsid w:val="00D80BF5"/>
    <w:rsid w:val="00D8440B"/>
    <w:rsid w:val="00D84A32"/>
    <w:rsid w:val="00D90EDA"/>
    <w:rsid w:val="00D92558"/>
    <w:rsid w:val="00D93399"/>
    <w:rsid w:val="00D96078"/>
    <w:rsid w:val="00D96AAB"/>
    <w:rsid w:val="00D96B34"/>
    <w:rsid w:val="00D97BD2"/>
    <w:rsid w:val="00DA3C59"/>
    <w:rsid w:val="00DA3F16"/>
    <w:rsid w:val="00DA6F98"/>
    <w:rsid w:val="00DA73F1"/>
    <w:rsid w:val="00DA774A"/>
    <w:rsid w:val="00DA7779"/>
    <w:rsid w:val="00DB0FAA"/>
    <w:rsid w:val="00DB128D"/>
    <w:rsid w:val="00DB1E7D"/>
    <w:rsid w:val="00DB38D6"/>
    <w:rsid w:val="00DB3C56"/>
    <w:rsid w:val="00DB4331"/>
    <w:rsid w:val="00DB5783"/>
    <w:rsid w:val="00DB6C72"/>
    <w:rsid w:val="00DB7282"/>
    <w:rsid w:val="00DB72FA"/>
    <w:rsid w:val="00DB73EF"/>
    <w:rsid w:val="00DB75BB"/>
    <w:rsid w:val="00DB7AEF"/>
    <w:rsid w:val="00DC03F9"/>
    <w:rsid w:val="00DC14BA"/>
    <w:rsid w:val="00DC16AE"/>
    <w:rsid w:val="00DC20D9"/>
    <w:rsid w:val="00DC2B54"/>
    <w:rsid w:val="00DC4FFC"/>
    <w:rsid w:val="00DC6FB3"/>
    <w:rsid w:val="00DD0BF5"/>
    <w:rsid w:val="00DD1265"/>
    <w:rsid w:val="00DD273A"/>
    <w:rsid w:val="00DD3A83"/>
    <w:rsid w:val="00DD5467"/>
    <w:rsid w:val="00DD5EF9"/>
    <w:rsid w:val="00DD664C"/>
    <w:rsid w:val="00DD7359"/>
    <w:rsid w:val="00DD7F0E"/>
    <w:rsid w:val="00DE08E8"/>
    <w:rsid w:val="00DE2231"/>
    <w:rsid w:val="00DE2601"/>
    <w:rsid w:val="00DE37B6"/>
    <w:rsid w:val="00DE42DF"/>
    <w:rsid w:val="00DE4FA4"/>
    <w:rsid w:val="00DE630C"/>
    <w:rsid w:val="00DE6C37"/>
    <w:rsid w:val="00DE7ECC"/>
    <w:rsid w:val="00DE7FC2"/>
    <w:rsid w:val="00DF0929"/>
    <w:rsid w:val="00DF0968"/>
    <w:rsid w:val="00DF0B01"/>
    <w:rsid w:val="00DF1DE8"/>
    <w:rsid w:val="00DF2B34"/>
    <w:rsid w:val="00DF2C67"/>
    <w:rsid w:val="00DF5EB4"/>
    <w:rsid w:val="00E000DC"/>
    <w:rsid w:val="00E00D30"/>
    <w:rsid w:val="00E01494"/>
    <w:rsid w:val="00E02B39"/>
    <w:rsid w:val="00E035EA"/>
    <w:rsid w:val="00E03923"/>
    <w:rsid w:val="00E056A2"/>
    <w:rsid w:val="00E0624F"/>
    <w:rsid w:val="00E075CD"/>
    <w:rsid w:val="00E11216"/>
    <w:rsid w:val="00E11B33"/>
    <w:rsid w:val="00E12196"/>
    <w:rsid w:val="00E12589"/>
    <w:rsid w:val="00E1693D"/>
    <w:rsid w:val="00E169EA"/>
    <w:rsid w:val="00E17B98"/>
    <w:rsid w:val="00E17D99"/>
    <w:rsid w:val="00E2014B"/>
    <w:rsid w:val="00E2237B"/>
    <w:rsid w:val="00E24C09"/>
    <w:rsid w:val="00E2511A"/>
    <w:rsid w:val="00E263D3"/>
    <w:rsid w:val="00E27E40"/>
    <w:rsid w:val="00E310E2"/>
    <w:rsid w:val="00E31ACC"/>
    <w:rsid w:val="00E31AE3"/>
    <w:rsid w:val="00E33A3A"/>
    <w:rsid w:val="00E34237"/>
    <w:rsid w:val="00E36E4C"/>
    <w:rsid w:val="00E36E55"/>
    <w:rsid w:val="00E3797D"/>
    <w:rsid w:val="00E405EA"/>
    <w:rsid w:val="00E40EC5"/>
    <w:rsid w:val="00E411D5"/>
    <w:rsid w:val="00E41ACA"/>
    <w:rsid w:val="00E41D83"/>
    <w:rsid w:val="00E41E35"/>
    <w:rsid w:val="00E420E6"/>
    <w:rsid w:val="00E42B13"/>
    <w:rsid w:val="00E443E4"/>
    <w:rsid w:val="00E44C54"/>
    <w:rsid w:val="00E45382"/>
    <w:rsid w:val="00E4550D"/>
    <w:rsid w:val="00E45672"/>
    <w:rsid w:val="00E45885"/>
    <w:rsid w:val="00E46237"/>
    <w:rsid w:val="00E46336"/>
    <w:rsid w:val="00E46CE1"/>
    <w:rsid w:val="00E46D1B"/>
    <w:rsid w:val="00E513DF"/>
    <w:rsid w:val="00E52E58"/>
    <w:rsid w:val="00E52F73"/>
    <w:rsid w:val="00E5485F"/>
    <w:rsid w:val="00E54BEB"/>
    <w:rsid w:val="00E54D4A"/>
    <w:rsid w:val="00E56523"/>
    <w:rsid w:val="00E57372"/>
    <w:rsid w:val="00E60809"/>
    <w:rsid w:val="00E60BEC"/>
    <w:rsid w:val="00E61BAB"/>
    <w:rsid w:val="00E62787"/>
    <w:rsid w:val="00E66EB9"/>
    <w:rsid w:val="00E67A20"/>
    <w:rsid w:val="00E70539"/>
    <w:rsid w:val="00E709FD"/>
    <w:rsid w:val="00E70BBD"/>
    <w:rsid w:val="00E71AE7"/>
    <w:rsid w:val="00E72505"/>
    <w:rsid w:val="00E72543"/>
    <w:rsid w:val="00E72855"/>
    <w:rsid w:val="00E72FF9"/>
    <w:rsid w:val="00E73ACD"/>
    <w:rsid w:val="00E73C0D"/>
    <w:rsid w:val="00E75081"/>
    <w:rsid w:val="00E7528C"/>
    <w:rsid w:val="00E75F6C"/>
    <w:rsid w:val="00E7677C"/>
    <w:rsid w:val="00E80294"/>
    <w:rsid w:val="00E81D76"/>
    <w:rsid w:val="00E81E84"/>
    <w:rsid w:val="00E823C1"/>
    <w:rsid w:val="00E8308A"/>
    <w:rsid w:val="00E86C0C"/>
    <w:rsid w:val="00E86DE3"/>
    <w:rsid w:val="00E91748"/>
    <w:rsid w:val="00E91A75"/>
    <w:rsid w:val="00E929E6"/>
    <w:rsid w:val="00E92EA3"/>
    <w:rsid w:val="00E936F8"/>
    <w:rsid w:val="00E93828"/>
    <w:rsid w:val="00E94566"/>
    <w:rsid w:val="00E95205"/>
    <w:rsid w:val="00E960C7"/>
    <w:rsid w:val="00EA126F"/>
    <w:rsid w:val="00EA23D4"/>
    <w:rsid w:val="00EA2920"/>
    <w:rsid w:val="00EA3478"/>
    <w:rsid w:val="00EA35D0"/>
    <w:rsid w:val="00EA3C25"/>
    <w:rsid w:val="00EA3FEC"/>
    <w:rsid w:val="00EA4FFC"/>
    <w:rsid w:val="00EA5C14"/>
    <w:rsid w:val="00EA6088"/>
    <w:rsid w:val="00EA66D0"/>
    <w:rsid w:val="00EA689C"/>
    <w:rsid w:val="00EA7D5D"/>
    <w:rsid w:val="00EB001E"/>
    <w:rsid w:val="00EB1144"/>
    <w:rsid w:val="00EB1193"/>
    <w:rsid w:val="00EB3644"/>
    <w:rsid w:val="00EB5D16"/>
    <w:rsid w:val="00EB63DD"/>
    <w:rsid w:val="00EB66A8"/>
    <w:rsid w:val="00EC050C"/>
    <w:rsid w:val="00EC0EA7"/>
    <w:rsid w:val="00EC1497"/>
    <w:rsid w:val="00EC3528"/>
    <w:rsid w:val="00EC5A1F"/>
    <w:rsid w:val="00EC5CF4"/>
    <w:rsid w:val="00EC70BC"/>
    <w:rsid w:val="00EC7674"/>
    <w:rsid w:val="00ED237D"/>
    <w:rsid w:val="00ED3A60"/>
    <w:rsid w:val="00ED586A"/>
    <w:rsid w:val="00ED68CC"/>
    <w:rsid w:val="00ED6A48"/>
    <w:rsid w:val="00EE1B6E"/>
    <w:rsid w:val="00EE1C91"/>
    <w:rsid w:val="00EE215A"/>
    <w:rsid w:val="00EE2A1C"/>
    <w:rsid w:val="00EE3CAC"/>
    <w:rsid w:val="00EE4DE1"/>
    <w:rsid w:val="00EE599D"/>
    <w:rsid w:val="00EE63D3"/>
    <w:rsid w:val="00EE699F"/>
    <w:rsid w:val="00EE6B38"/>
    <w:rsid w:val="00EE71CA"/>
    <w:rsid w:val="00EF0AF4"/>
    <w:rsid w:val="00EF1D97"/>
    <w:rsid w:val="00EF1E17"/>
    <w:rsid w:val="00EF32B2"/>
    <w:rsid w:val="00EF3D4C"/>
    <w:rsid w:val="00EF47C2"/>
    <w:rsid w:val="00EF5211"/>
    <w:rsid w:val="00EF5728"/>
    <w:rsid w:val="00EF73FC"/>
    <w:rsid w:val="00F00EB4"/>
    <w:rsid w:val="00F01180"/>
    <w:rsid w:val="00F03A40"/>
    <w:rsid w:val="00F105D3"/>
    <w:rsid w:val="00F11351"/>
    <w:rsid w:val="00F11CC8"/>
    <w:rsid w:val="00F11E13"/>
    <w:rsid w:val="00F131E7"/>
    <w:rsid w:val="00F13EE6"/>
    <w:rsid w:val="00F14073"/>
    <w:rsid w:val="00F16F35"/>
    <w:rsid w:val="00F17576"/>
    <w:rsid w:val="00F20F2A"/>
    <w:rsid w:val="00F227D9"/>
    <w:rsid w:val="00F24472"/>
    <w:rsid w:val="00F25E0F"/>
    <w:rsid w:val="00F25EB4"/>
    <w:rsid w:val="00F266D8"/>
    <w:rsid w:val="00F2698E"/>
    <w:rsid w:val="00F26DEF"/>
    <w:rsid w:val="00F311BE"/>
    <w:rsid w:val="00F32314"/>
    <w:rsid w:val="00F35008"/>
    <w:rsid w:val="00F37901"/>
    <w:rsid w:val="00F37BD4"/>
    <w:rsid w:val="00F41943"/>
    <w:rsid w:val="00F43A8C"/>
    <w:rsid w:val="00F441DA"/>
    <w:rsid w:val="00F448A3"/>
    <w:rsid w:val="00F45B32"/>
    <w:rsid w:val="00F45E12"/>
    <w:rsid w:val="00F464D5"/>
    <w:rsid w:val="00F46EBC"/>
    <w:rsid w:val="00F4796C"/>
    <w:rsid w:val="00F5012E"/>
    <w:rsid w:val="00F53350"/>
    <w:rsid w:val="00F53727"/>
    <w:rsid w:val="00F54EA0"/>
    <w:rsid w:val="00F556CA"/>
    <w:rsid w:val="00F60CDF"/>
    <w:rsid w:val="00F612D7"/>
    <w:rsid w:val="00F61A05"/>
    <w:rsid w:val="00F62584"/>
    <w:rsid w:val="00F6342F"/>
    <w:rsid w:val="00F63B47"/>
    <w:rsid w:val="00F654FD"/>
    <w:rsid w:val="00F657F3"/>
    <w:rsid w:val="00F6586A"/>
    <w:rsid w:val="00F666A8"/>
    <w:rsid w:val="00F66726"/>
    <w:rsid w:val="00F66BEB"/>
    <w:rsid w:val="00F705E7"/>
    <w:rsid w:val="00F7082C"/>
    <w:rsid w:val="00F710F4"/>
    <w:rsid w:val="00F72E57"/>
    <w:rsid w:val="00F73D94"/>
    <w:rsid w:val="00F7445F"/>
    <w:rsid w:val="00F77DA4"/>
    <w:rsid w:val="00F80BAB"/>
    <w:rsid w:val="00F828D7"/>
    <w:rsid w:val="00F82D5F"/>
    <w:rsid w:val="00F83EC6"/>
    <w:rsid w:val="00F85716"/>
    <w:rsid w:val="00F86D0C"/>
    <w:rsid w:val="00F87A1A"/>
    <w:rsid w:val="00F90232"/>
    <w:rsid w:val="00F90F75"/>
    <w:rsid w:val="00F9297E"/>
    <w:rsid w:val="00F93963"/>
    <w:rsid w:val="00F94A47"/>
    <w:rsid w:val="00F95718"/>
    <w:rsid w:val="00F96762"/>
    <w:rsid w:val="00F96A63"/>
    <w:rsid w:val="00F96F24"/>
    <w:rsid w:val="00F973E5"/>
    <w:rsid w:val="00F97C87"/>
    <w:rsid w:val="00FA09F5"/>
    <w:rsid w:val="00FA0EC0"/>
    <w:rsid w:val="00FA13CD"/>
    <w:rsid w:val="00FA1BF4"/>
    <w:rsid w:val="00FA208E"/>
    <w:rsid w:val="00FA45C5"/>
    <w:rsid w:val="00FA5098"/>
    <w:rsid w:val="00FA56E7"/>
    <w:rsid w:val="00FA580C"/>
    <w:rsid w:val="00FA58A2"/>
    <w:rsid w:val="00FA59CB"/>
    <w:rsid w:val="00FA7535"/>
    <w:rsid w:val="00FB2845"/>
    <w:rsid w:val="00FB335B"/>
    <w:rsid w:val="00FB3ADD"/>
    <w:rsid w:val="00FB555C"/>
    <w:rsid w:val="00FB5C32"/>
    <w:rsid w:val="00FB6359"/>
    <w:rsid w:val="00FB797A"/>
    <w:rsid w:val="00FC0D3A"/>
    <w:rsid w:val="00FC1BBF"/>
    <w:rsid w:val="00FC2603"/>
    <w:rsid w:val="00FC2766"/>
    <w:rsid w:val="00FC2A25"/>
    <w:rsid w:val="00FC2E95"/>
    <w:rsid w:val="00FC3116"/>
    <w:rsid w:val="00FC42AD"/>
    <w:rsid w:val="00FC5152"/>
    <w:rsid w:val="00FC5716"/>
    <w:rsid w:val="00FC6252"/>
    <w:rsid w:val="00FC62D7"/>
    <w:rsid w:val="00FC63CE"/>
    <w:rsid w:val="00FC6963"/>
    <w:rsid w:val="00FD1278"/>
    <w:rsid w:val="00FD3375"/>
    <w:rsid w:val="00FD3EBC"/>
    <w:rsid w:val="00FD4F45"/>
    <w:rsid w:val="00FD66C1"/>
    <w:rsid w:val="00FD6E98"/>
    <w:rsid w:val="00FE0ADC"/>
    <w:rsid w:val="00FE0B12"/>
    <w:rsid w:val="00FE1331"/>
    <w:rsid w:val="00FE246B"/>
    <w:rsid w:val="00FE409E"/>
    <w:rsid w:val="00FE418C"/>
    <w:rsid w:val="00FE43E4"/>
    <w:rsid w:val="00FE46D4"/>
    <w:rsid w:val="00FE577B"/>
    <w:rsid w:val="00FE7E27"/>
    <w:rsid w:val="00FF00E8"/>
    <w:rsid w:val="00FF07AB"/>
    <w:rsid w:val="00FF1E29"/>
    <w:rsid w:val="00FF3824"/>
    <w:rsid w:val="00FF4B9F"/>
    <w:rsid w:val="00FF4DF1"/>
    <w:rsid w:val="00FF596C"/>
    <w:rsid w:val="00FF5DE3"/>
    <w:rsid w:val="00FF61A6"/>
    <w:rsid w:val="00FF6571"/>
    <w:rsid w:val="00FF71CF"/>
  </w:rsids>
  <m:mathPr>
    <m:mathFont m:val="Cambria Math"/>
    <m:brkBin m:val="before"/>
    <m:brkBinSub m:val="--"/>
    <m:smallFrac m:val="0"/>
    <m:dispDef m:val="0"/>
    <m:lMargin m:val="0"/>
    <m:rMargin m:val="0"/>
    <m:defJc m:val="centerGroup"/>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6145">
      <o:colormru v:ext="edit" colors="#7b6c58,#887e6e,#b0a696"/>
    </o:shapedefaults>
    <o:shapelayout v:ext="edit">
      <o:idmap v:ext="edit" data="1"/>
    </o:shapelayout>
  </w:shapeDefaults>
  <w:decimalSymbol w:val=","/>
  <w:listSeparator w:val=";"/>
  <w14:docId w14:val="42C0F99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GB"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1"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index 1" w:uiPriority="0"/>
    <w:lsdException w:name="index 2" w:uiPriority="0"/>
    <w:lsdException w:name="index 3" w:uiPriority="0"/>
    <w:lsdException w:name="index 4" w:uiPriority="0"/>
    <w:lsdException w:name="index 5" w:uiPriority="0"/>
    <w:lsdException w:name="index 6" w:uiPriority="0"/>
    <w:lsdException w:name="index 7" w:uiPriority="0"/>
    <w:lsdException w:name="index 8" w:uiPriority="0"/>
    <w:lsdException w:name="index 9" w:uiPriority="0"/>
    <w:lsdException w:name="toc 1" w:uiPriority="39"/>
    <w:lsdException w:name="toc 2" w:uiPriority="39"/>
    <w:lsdException w:name="toc 3" w:uiPriority="39"/>
    <w:lsdException w:name="toc 4" w:uiPriority="0"/>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footer" w:uiPriority="0"/>
    <w:lsdException w:name="index heading" w:uiPriority="0"/>
    <w:lsdException w:name="caption" w:uiPriority="0" w:qFormat="1"/>
    <w:lsdException w:name="footnote reference" w:uiPriority="0"/>
    <w:lsdException w:name="page number" w:uiPriority="0"/>
    <w:lsdException w:name="List Bullet" w:uiPriority="0"/>
    <w:lsdException w:name="List Number" w:uiPriority="0"/>
    <w:lsdException w:name="List Bullet 3" w:uiPriority="0"/>
    <w:lsdException w:name="List Bullet 4" w:uiPriority="0"/>
    <w:lsdException w:name="List Number 4" w:uiPriority="0"/>
    <w:lsdException w:name="Title" w:semiHidden="0" w:uiPriority="10" w:unhideWhenUsed="0" w:qFormat="1"/>
    <w:lsdException w:name="Default Paragraph Font" w:uiPriority="1"/>
    <w:lsdException w:name="Subtitle" w:semiHidden="0" w:uiPriority="11" w:unhideWhenUsed="0" w:qFormat="1"/>
    <w:lsdException w:name="Date" w:uiPriority="0"/>
    <w:lsdException w:name="Body Text Indent 2" w:uiPriority="0"/>
    <w:lsdException w:name="Strong" w:semiHidden="0" w:uiPriority="22" w:unhideWhenUsed="0" w:qFormat="1"/>
    <w:lsdException w:name="Emphasis" w:semiHidden="0" w:uiPriority="20" w:unhideWhenUsed="0" w:qFormat="1"/>
    <w:lsdException w:name="Document Map" w:uiPriority="0"/>
    <w:lsdException w:name="Table Grid" w:semiHidden="0" w:uiPriority="0" w:unhideWhenUsed="0"/>
    <w:lsdException w:name="Placeholder Text" w:unhideWhenUsed="0"/>
    <w:lsdException w:name="No Spacing"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2126B"/>
    <w:rPr>
      <w:rFonts w:ascii="Arial" w:hAnsi="Arial"/>
      <w:szCs w:val="24"/>
      <w:lang w:val="en-US"/>
    </w:rPr>
  </w:style>
  <w:style w:type="paragraph" w:styleId="Heading1">
    <w:name w:val="heading 1"/>
    <w:aliases w:val="ECC Heading 1"/>
    <w:basedOn w:val="Normal"/>
    <w:next w:val="ECCParagraph"/>
    <w:link w:val="Heading1Char"/>
    <w:autoRedefine/>
    <w:uiPriority w:val="1"/>
    <w:qFormat/>
    <w:rsid w:val="00176CF0"/>
    <w:pPr>
      <w:keepNext/>
      <w:pageBreakBefore/>
      <w:numPr>
        <w:numId w:val="2"/>
      </w:numPr>
      <w:spacing w:before="600" w:after="240"/>
      <w:outlineLvl w:val="0"/>
    </w:pPr>
    <w:rPr>
      <w:rFonts w:cs="Arial"/>
      <w:b/>
      <w:caps/>
      <w:color w:val="D2232A"/>
      <w:kern w:val="32"/>
      <w:szCs w:val="32"/>
      <w:lang w:val="en-GB"/>
    </w:rPr>
  </w:style>
  <w:style w:type="paragraph" w:styleId="Heading2">
    <w:name w:val="heading 2"/>
    <w:aliases w:val="ECC Heading 2,h2,H2,h21,Heading Two,R2,l2,Sub-section"/>
    <w:basedOn w:val="Normal"/>
    <w:next w:val="ECCParagraph"/>
    <w:link w:val="Heading2Char"/>
    <w:autoRedefine/>
    <w:qFormat/>
    <w:rsid w:val="008E5B81"/>
    <w:pPr>
      <w:keepNext/>
      <w:numPr>
        <w:ilvl w:val="1"/>
        <w:numId w:val="2"/>
      </w:numPr>
      <w:spacing w:before="480" w:after="240"/>
      <w:outlineLvl w:val="1"/>
    </w:pPr>
    <w:rPr>
      <w:rFonts w:cs="Arial"/>
      <w:b/>
      <w:bCs/>
      <w:iCs/>
      <w:caps/>
      <w:szCs w:val="28"/>
    </w:rPr>
  </w:style>
  <w:style w:type="paragraph" w:styleId="Heading3">
    <w:name w:val="heading 3"/>
    <w:aliases w:val="ECC Heading 3,h3,3"/>
    <w:basedOn w:val="Normal"/>
    <w:next w:val="ECCParagraph"/>
    <w:link w:val="Heading3Char"/>
    <w:autoRedefine/>
    <w:qFormat/>
    <w:rsid w:val="003435C2"/>
    <w:pPr>
      <w:keepNext/>
      <w:numPr>
        <w:ilvl w:val="2"/>
        <w:numId w:val="2"/>
      </w:numPr>
      <w:spacing w:before="360" w:after="120"/>
      <w:outlineLvl w:val="2"/>
    </w:pPr>
    <w:rPr>
      <w:rFonts w:eastAsiaTheme="minorEastAsia" w:cs="Arial"/>
      <w:b/>
      <w:szCs w:val="20"/>
    </w:rPr>
  </w:style>
  <w:style w:type="paragraph" w:styleId="Heading4">
    <w:name w:val="heading 4"/>
    <w:aliases w:val="ECC Heading 4"/>
    <w:basedOn w:val="Normal"/>
    <w:next w:val="ECCParagraph"/>
    <w:autoRedefine/>
    <w:qFormat/>
    <w:rsid w:val="0071779A"/>
    <w:pPr>
      <w:keepNext/>
      <w:spacing w:before="360" w:after="120"/>
      <w:outlineLvl w:val="3"/>
    </w:pPr>
    <w:rPr>
      <w:rFonts w:cs="Arial"/>
      <w:bCs/>
      <w:i/>
      <w:color w:val="D2232A"/>
      <w:szCs w:val="26"/>
    </w:rPr>
  </w:style>
  <w:style w:type="paragraph" w:styleId="Heading5">
    <w:name w:val="heading 5"/>
    <w:basedOn w:val="Normal"/>
    <w:next w:val="Normal"/>
    <w:link w:val="Heading5Char"/>
    <w:qFormat/>
    <w:rsid w:val="009E47EB"/>
    <w:pPr>
      <w:numPr>
        <w:ilvl w:val="4"/>
        <w:numId w:val="2"/>
      </w:numPr>
      <w:spacing w:before="240" w:after="60"/>
      <w:outlineLvl w:val="4"/>
    </w:pPr>
    <w:rPr>
      <w:b/>
      <w:bCs/>
      <w:i/>
      <w:iCs/>
      <w:sz w:val="26"/>
      <w:szCs w:val="26"/>
    </w:rPr>
  </w:style>
  <w:style w:type="paragraph" w:styleId="Heading6">
    <w:name w:val="heading 6"/>
    <w:basedOn w:val="Normal"/>
    <w:next w:val="Normal"/>
    <w:link w:val="Heading6Char"/>
    <w:qFormat/>
    <w:rsid w:val="009E47EB"/>
    <w:pPr>
      <w:numPr>
        <w:ilvl w:val="5"/>
        <w:numId w:val="2"/>
      </w:numPr>
      <w:spacing w:before="240" w:after="60"/>
      <w:outlineLvl w:val="5"/>
    </w:pPr>
    <w:rPr>
      <w:b/>
      <w:bCs/>
      <w:sz w:val="22"/>
      <w:szCs w:val="22"/>
    </w:rPr>
  </w:style>
  <w:style w:type="paragraph" w:styleId="Heading7">
    <w:name w:val="heading 7"/>
    <w:basedOn w:val="Normal"/>
    <w:next w:val="Normal"/>
    <w:link w:val="Heading7Char"/>
    <w:qFormat/>
    <w:rsid w:val="009E47EB"/>
    <w:pPr>
      <w:numPr>
        <w:ilvl w:val="6"/>
        <w:numId w:val="2"/>
      </w:numPr>
      <w:spacing w:before="240" w:after="60"/>
      <w:outlineLvl w:val="6"/>
    </w:pPr>
    <w:rPr>
      <w:sz w:val="24"/>
    </w:rPr>
  </w:style>
  <w:style w:type="paragraph" w:styleId="Heading8">
    <w:name w:val="heading 8"/>
    <w:basedOn w:val="Normal"/>
    <w:next w:val="Normal"/>
    <w:link w:val="Heading8Char"/>
    <w:qFormat/>
    <w:rsid w:val="009E47EB"/>
    <w:pPr>
      <w:numPr>
        <w:ilvl w:val="7"/>
        <w:numId w:val="2"/>
      </w:numPr>
      <w:spacing w:before="240" w:after="60"/>
      <w:outlineLvl w:val="7"/>
    </w:pPr>
    <w:rPr>
      <w:i/>
      <w:iCs/>
      <w:sz w:val="24"/>
    </w:rPr>
  </w:style>
  <w:style w:type="paragraph" w:styleId="Heading9">
    <w:name w:val="heading 9"/>
    <w:basedOn w:val="Normal"/>
    <w:next w:val="Normal"/>
    <w:link w:val="Heading9Char"/>
    <w:qFormat/>
    <w:rsid w:val="009E47EB"/>
    <w:pPr>
      <w:numPr>
        <w:ilvl w:val="8"/>
        <w:numId w:val="2"/>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Paragraph">
    <w:name w:val="ECC Paragraph"/>
    <w:basedOn w:val="Normal"/>
    <w:link w:val="ECCParagraphZchn"/>
    <w:rsid w:val="004E66F0"/>
    <w:pPr>
      <w:spacing w:after="240"/>
      <w:jc w:val="both"/>
    </w:pPr>
    <w:rPr>
      <w:lang w:val="en-GB"/>
    </w:rPr>
  </w:style>
  <w:style w:type="paragraph" w:customStyle="1" w:styleId="ECCParBulleted">
    <w:name w:val="ECC Par Bulleted"/>
    <w:basedOn w:val="ECCParagraph"/>
    <w:uiPriority w:val="99"/>
    <w:rsid w:val="000904F8"/>
    <w:pPr>
      <w:numPr>
        <w:numId w:val="1"/>
      </w:numPr>
      <w:spacing w:after="120"/>
    </w:pPr>
  </w:style>
  <w:style w:type="paragraph" w:styleId="Header">
    <w:name w:val="header"/>
    <w:aliases w:val="encabezado,he,header odd,header odd1,header odd2"/>
    <w:basedOn w:val="Normal"/>
    <w:link w:val="HeaderChar"/>
    <w:rsid w:val="00C95C7C"/>
    <w:pPr>
      <w:tabs>
        <w:tab w:val="center" w:pos="4320"/>
        <w:tab w:val="right" w:pos="8640"/>
      </w:tabs>
    </w:pPr>
    <w:rPr>
      <w:b/>
      <w:sz w:val="16"/>
    </w:rPr>
  </w:style>
  <w:style w:type="paragraph" w:styleId="Footer">
    <w:name w:val="footer"/>
    <w:basedOn w:val="Normal"/>
    <w:link w:val="FooterChar"/>
    <w:rsid w:val="0077244E"/>
    <w:pPr>
      <w:tabs>
        <w:tab w:val="center" w:pos="4320"/>
        <w:tab w:val="right" w:pos="8640"/>
      </w:tabs>
    </w:pPr>
  </w:style>
  <w:style w:type="paragraph" w:customStyle="1" w:styleId="ECCAnnexheading1">
    <w:name w:val="ECC Annex heading1"/>
    <w:basedOn w:val="Heading1"/>
    <w:next w:val="ECCParagraph"/>
    <w:uiPriority w:val="99"/>
    <w:rsid w:val="00550D79"/>
    <w:pPr>
      <w:numPr>
        <w:numId w:val="4"/>
      </w:numPr>
    </w:pPr>
  </w:style>
  <w:style w:type="paragraph" w:styleId="TOC1">
    <w:name w:val="toc 1"/>
    <w:basedOn w:val="Normal"/>
    <w:next w:val="Normal"/>
    <w:autoRedefine/>
    <w:uiPriority w:val="39"/>
    <w:rsid w:val="006B4E9D"/>
    <w:pPr>
      <w:tabs>
        <w:tab w:val="left" w:pos="360"/>
        <w:tab w:val="right" w:leader="dot" w:pos="9629"/>
      </w:tabs>
      <w:spacing w:before="240"/>
      <w:ind w:left="284" w:hanging="284"/>
    </w:pPr>
    <w:rPr>
      <w:b/>
      <w:caps/>
    </w:rPr>
  </w:style>
  <w:style w:type="character" w:styleId="Hyperlink">
    <w:name w:val="Hyperlink"/>
    <w:basedOn w:val="DefaultParagraphFont"/>
    <w:uiPriority w:val="99"/>
    <w:rsid w:val="00A82384"/>
    <w:rPr>
      <w:color w:val="0000FF"/>
      <w:u w:val="single"/>
    </w:rPr>
  </w:style>
  <w:style w:type="paragraph" w:styleId="TOC2">
    <w:name w:val="toc 2"/>
    <w:basedOn w:val="Normal"/>
    <w:next w:val="Normal"/>
    <w:autoRedefine/>
    <w:uiPriority w:val="39"/>
    <w:rsid w:val="009D0842"/>
    <w:pPr>
      <w:tabs>
        <w:tab w:val="left" w:pos="900"/>
        <w:tab w:val="right" w:leader="dot" w:pos="9629"/>
      </w:tabs>
      <w:ind w:left="851" w:hanging="491"/>
    </w:pPr>
  </w:style>
  <w:style w:type="paragraph" w:styleId="TOC3">
    <w:name w:val="toc 3"/>
    <w:basedOn w:val="Normal"/>
    <w:next w:val="Normal"/>
    <w:autoRedefine/>
    <w:uiPriority w:val="39"/>
    <w:rsid w:val="00CF7259"/>
    <w:pPr>
      <w:tabs>
        <w:tab w:val="left" w:pos="1440"/>
        <w:tab w:val="right" w:leader="dot" w:pos="9629"/>
      </w:tabs>
      <w:ind w:left="900"/>
    </w:pPr>
  </w:style>
  <w:style w:type="paragraph" w:styleId="TOC4">
    <w:name w:val="toc 4"/>
    <w:basedOn w:val="Normal"/>
    <w:next w:val="Normal"/>
    <w:autoRedefine/>
    <w:rsid w:val="007D1E37"/>
    <w:pPr>
      <w:tabs>
        <w:tab w:val="left" w:pos="2340"/>
        <w:tab w:val="right" w:leader="dot" w:pos="9629"/>
      </w:tabs>
      <w:ind w:left="1440"/>
    </w:pPr>
    <w:rPr>
      <w:i/>
    </w:rPr>
  </w:style>
  <w:style w:type="table" w:styleId="TableGrid">
    <w:name w:val="Table Grid"/>
    <w:basedOn w:val="TableNormal"/>
    <w:rsid w:val="006F49B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CCFiguretitle">
    <w:name w:val="ECC Figure title"/>
    <w:basedOn w:val="ECCParagraph"/>
    <w:next w:val="ECCParagraph"/>
    <w:autoRedefine/>
    <w:uiPriority w:val="99"/>
    <w:rsid w:val="00AC460F"/>
    <w:pPr>
      <w:numPr>
        <w:numId w:val="3"/>
      </w:numPr>
      <w:spacing w:before="240" w:after="480"/>
      <w:jc w:val="center"/>
    </w:pPr>
    <w:rPr>
      <w:b/>
      <w:color w:val="D2232A"/>
    </w:rPr>
  </w:style>
  <w:style w:type="paragraph" w:customStyle="1" w:styleId="ECCTabletitle">
    <w:name w:val="ECC Table title"/>
    <w:basedOn w:val="ECCFiguretitle"/>
    <w:next w:val="ECCParagraph"/>
    <w:autoRedefine/>
    <w:rsid w:val="001852B2"/>
    <w:pPr>
      <w:numPr>
        <w:numId w:val="0"/>
      </w:numPr>
      <w:spacing w:before="360" w:after="240"/>
      <w:jc w:val="right"/>
    </w:pPr>
  </w:style>
  <w:style w:type="paragraph" w:customStyle="1" w:styleId="ECCFootnote">
    <w:name w:val="ECC Footnote"/>
    <w:basedOn w:val="Normal"/>
    <w:autoRedefine/>
    <w:uiPriority w:val="99"/>
    <w:rsid w:val="00040BEC"/>
    <w:rPr>
      <w:sz w:val="16"/>
      <w:lang w:val="en-GB"/>
    </w:rPr>
  </w:style>
  <w:style w:type="paragraph" w:styleId="FootnoteText">
    <w:name w:val="footnote text"/>
    <w:aliases w:val="ALTS FOOTNOTE,Footnote Text Char1,Footnote Text Char Char1,Footnote Text Char4 Char Char,Footnote Text Char1 Char1 Char1 Char,Footnote Text Char Char1 Char1 Char Char,Footnote Text Char1 Char1 Char1 Char Char Char1,DNV-FT,DN"/>
    <w:basedOn w:val="Normal"/>
    <w:link w:val="FootnoteTextChar"/>
    <w:rsid w:val="008935B9"/>
    <w:rPr>
      <w:szCs w:val="20"/>
    </w:rPr>
  </w:style>
  <w:style w:type="character" w:styleId="FootnoteReference">
    <w:name w:val="footnote reference"/>
    <w:aliases w:val="Appel note de bas de p,Footnote Reference/,Footnote,Footnote symbol"/>
    <w:basedOn w:val="DefaultParagraphFont"/>
    <w:rsid w:val="008935B9"/>
    <w:rPr>
      <w:vertAlign w:val="superscript"/>
    </w:rPr>
  </w:style>
  <w:style w:type="paragraph" w:customStyle="1" w:styleId="Text">
    <w:name w:val="Text"/>
    <w:basedOn w:val="Normal"/>
    <w:rsid w:val="001F7826"/>
    <w:pPr>
      <w:widowControl w:val="0"/>
      <w:autoSpaceDE w:val="0"/>
      <w:autoSpaceDN w:val="0"/>
      <w:spacing w:line="252" w:lineRule="auto"/>
      <w:ind w:firstLine="202"/>
      <w:jc w:val="both"/>
    </w:pPr>
    <w:rPr>
      <w:szCs w:val="20"/>
    </w:rPr>
  </w:style>
  <w:style w:type="paragraph" w:customStyle="1" w:styleId="ECCTablenote">
    <w:name w:val="ECC Table note"/>
    <w:basedOn w:val="ECCParagraph"/>
    <w:next w:val="ECCParagraph"/>
    <w:autoRedefine/>
    <w:rsid w:val="0077609E"/>
    <w:pPr>
      <w:spacing w:after="0"/>
      <w:ind w:left="284" w:hanging="284"/>
    </w:pPr>
    <w:rPr>
      <w:sz w:val="18"/>
      <w:szCs w:val="18"/>
    </w:rPr>
  </w:style>
  <w:style w:type="paragraph" w:customStyle="1" w:styleId="reference">
    <w:name w:val="reference"/>
    <w:basedOn w:val="Normal"/>
    <w:uiPriority w:val="99"/>
    <w:rsid w:val="00A50B64"/>
    <w:pPr>
      <w:numPr>
        <w:numId w:val="5"/>
      </w:numPr>
    </w:pPr>
    <w:rPr>
      <w:lang w:eastAsia="ja-JP"/>
    </w:rPr>
  </w:style>
  <w:style w:type="paragraph" w:customStyle="1" w:styleId="ECCAnnexheading2">
    <w:name w:val="ECC Annex heading2"/>
    <w:basedOn w:val="Normal"/>
    <w:next w:val="ECCParagraph"/>
    <w:rsid w:val="00C95C7C"/>
    <w:pPr>
      <w:numPr>
        <w:ilvl w:val="1"/>
        <w:numId w:val="4"/>
      </w:numPr>
      <w:overflowPunct w:val="0"/>
      <w:autoSpaceDE w:val="0"/>
      <w:autoSpaceDN w:val="0"/>
      <w:adjustRightInd w:val="0"/>
      <w:spacing w:before="480" w:after="240"/>
      <w:textAlignment w:val="baseline"/>
    </w:pPr>
    <w:rPr>
      <w:b/>
      <w:caps/>
    </w:rPr>
  </w:style>
  <w:style w:type="paragraph" w:customStyle="1" w:styleId="ECCAnnexheading3">
    <w:name w:val="ECC Annex heading3"/>
    <w:basedOn w:val="Normal"/>
    <w:next w:val="ECCParagraph"/>
    <w:rsid w:val="00485B05"/>
    <w:pPr>
      <w:numPr>
        <w:ilvl w:val="2"/>
        <w:numId w:val="4"/>
      </w:numPr>
      <w:overflowPunct w:val="0"/>
      <w:autoSpaceDE w:val="0"/>
      <w:autoSpaceDN w:val="0"/>
      <w:adjustRightInd w:val="0"/>
      <w:spacing w:before="360" w:after="120"/>
      <w:textAlignment w:val="baseline"/>
    </w:pPr>
    <w:rPr>
      <w:b/>
    </w:rPr>
  </w:style>
  <w:style w:type="paragraph" w:customStyle="1" w:styleId="ECCAnnexheading4">
    <w:name w:val="ECC Annex heading4"/>
    <w:basedOn w:val="Normal"/>
    <w:next w:val="ECCParagraph"/>
    <w:rsid w:val="00C95C7C"/>
    <w:pPr>
      <w:numPr>
        <w:ilvl w:val="3"/>
        <w:numId w:val="4"/>
      </w:numPr>
      <w:overflowPunct w:val="0"/>
      <w:autoSpaceDE w:val="0"/>
      <w:autoSpaceDN w:val="0"/>
      <w:adjustRightInd w:val="0"/>
      <w:spacing w:before="360" w:after="120"/>
      <w:textAlignment w:val="baseline"/>
    </w:pPr>
    <w:rPr>
      <w:i/>
      <w:color w:val="D2232A"/>
    </w:rPr>
  </w:style>
  <w:style w:type="paragraph" w:customStyle="1" w:styleId="Lastupdated">
    <w:name w:val="Last updated"/>
    <w:basedOn w:val="Normal"/>
    <w:rsid w:val="00080D86"/>
    <w:pPr>
      <w:spacing w:before="120" w:after="120"/>
      <w:ind w:left="3402"/>
    </w:pPr>
    <w:rPr>
      <w:bCs/>
      <w:sz w:val="18"/>
    </w:rPr>
  </w:style>
  <w:style w:type="paragraph" w:customStyle="1" w:styleId="Reporttitledescription">
    <w:name w:val="Report title/description"/>
    <w:basedOn w:val="Normal"/>
    <w:rsid w:val="009B4646"/>
    <w:pPr>
      <w:spacing w:before="600" w:line="288" w:lineRule="auto"/>
      <w:ind w:left="3402"/>
    </w:pPr>
    <w:rPr>
      <w:sz w:val="24"/>
    </w:rPr>
  </w:style>
  <w:style w:type="paragraph" w:styleId="Caption">
    <w:name w:val="caption"/>
    <w:aliases w:val="Ca,Figure-caption,CAPTION,Figure-caption1,CAPTION1,Figure Caption1,Figure-caption2,CAPTION2,Figure Caption2,Figure-caption3,CAPTION3,Figure Caption3,Figure-caption4,CAPTION4,Figure Caption4,Figure-caption5,CAPTION5"/>
    <w:basedOn w:val="Normal"/>
    <w:next w:val="Normal"/>
    <w:link w:val="CaptionChar"/>
    <w:unhideWhenUsed/>
    <w:qFormat/>
    <w:rsid w:val="00C4710C"/>
    <w:pPr>
      <w:spacing w:before="240" w:after="240"/>
      <w:jc w:val="center"/>
    </w:pPr>
    <w:rPr>
      <w:b/>
      <w:bCs/>
      <w:color w:val="D2232A"/>
      <w:szCs w:val="20"/>
    </w:rPr>
  </w:style>
  <w:style w:type="numbering" w:customStyle="1" w:styleId="ECCBullets">
    <w:name w:val="ECC Bullets"/>
    <w:basedOn w:val="NoList"/>
    <w:rsid w:val="00B113AE"/>
    <w:pPr>
      <w:numPr>
        <w:numId w:val="6"/>
      </w:numPr>
    </w:pPr>
  </w:style>
  <w:style w:type="paragraph" w:customStyle="1" w:styleId="ECCNumbered-LetteredList">
    <w:name w:val="ECC Numbered-Lettered List"/>
    <w:basedOn w:val="Normal"/>
    <w:qFormat/>
    <w:rsid w:val="00DF2C67"/>
    <w:pPr>
      <w:numPr>
        <w:numId w:val="8"/>
      </w:numPr>
    </w:pPr>
  </w:style>
  <w:style w:type="paragraph" w:customStyle="1" w:styleId="ECCNumberedBullets">
    <w:name w:val="ECC Numbered Bullets"/>
    <w:basedOn w:val="Normal"/>
    <w:uiPriority w:val="99"/>
    <w:rsid w:val="000904F8"/>
    <w:pPr>
      <w:numPr>
        <w:numId w:val="7"/>
      </w:numPr>
      <w:spacing w:after="120"/>
    </w:pPr>
  </w:style>
  <w:style w:type="paragraph" w:styleId="BalloonText">
    <w:name w:val="Balloon Text"/>
    <w:basedOn w:val="Normal"/>
    <w:link w:val="BalloonTextChar"/>
    <w:uiPriority w:val="99"/>
    <w:semiHidden/>
    <w:unhideWhenUsed/>
    <w:rsid w:val="009E47E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E47EB"/>
    <w:rPr>
      <w:rFonts w:ascii="Lucida Grande" w:hAnsi="Lucida Grande" w:cs="Lucida Grande"/>
      <w:sz w:val="18"/>
      <w:szCs w:val="18"/>
      <w:lang w:val="en-US"/>
    </w:rPr>
  </w:style>
  <w:style w:type="numbering" w:customStyle="1" w:styleId="ECCNumbers-Bullets">
    <w:name w:val="ECC Numbers-Bullets"/>
    <w:rsid w:val="00DF2C67"/>
    <w:pPr>
      <w:numPr>
        <w:numId w:val="7"/>
      </w:numPr>
    </w:pPr>
  </w:style>
  <w:style w:type="numbering" w:customStyle="1" w:styleId="ECCNumbers-Letters">
    <w:name w:val="ECC Numbers-Letters"/>
    <w:uiPriority w:val="99"/>
    <w:rsid w:val="00DF2C67"/>
    <w:pPr>
      <w:numPr>
        <w:numId w:val="8"/>
      </w:numPr>
    </w:pPr>
  </w:style>
  <w:style w:type="character" w:customStyle="1" w:styleId="Heading1Char">
    <w:name w:val="Heading 1 Char"/>
    <w:aliases w:val="ECC Heading 1 Char"/>
    <w:basedOn w:val="DefaultParagraphFont"/>
    <w:link w:val="Heading1"/>
    <w:uiPriority w:val="1"/>
    <w:locked/>
    <w:rsid w:val="00176CF0"/>
    <w:rPr>
      <w:rFonts w:ascii="Arial" w:hAnsi="Arial" w:cs="Arial"/>
      <w:b/>
      <w:caps/>
      <w:color w:val="D2232A"/>
      <w:kern w:val="32"/>
      <w:szCs w:val="32"/>
    </w:rPr>
  </w:style>
  <w:style w:type="character" w:customStyle="1" w:styleId="FootnoteTextChar">
    <w:name w:val="Footnote Text Char"/>
    <w:aliases w:val="ALTS FOOTNOTE Char,Footnote Text Char1 Char,Footnote Text Char Char1 Char,Footnote Text Char4 Char Char Char,Footnote Text Char1 Char1 Char1 Char Char,Footnote Text Char Char1 Char1 Char Char Char,DNV-FT Char,DN Char"/>
    <w:basedOn w:val="DefaultParagraphFont"/>
    <w:link w:val="FootnoteText"/>
    <w:locked/>
    <w:rsid w:val="00026A63"/>
    <w:rPr>
      <w:rFonts w:ascii="Arial" w:hAnsi="Arial"/>
      <w:lang w:val="en-US"/>
    </w:rPr>
  </w:style>
  <w:style w:type="character" w:customStyle="1" w:styleId="Artdef">
    <w:name w:val="Art_def"/>
    <w:basedOn w:val="DefaultParagraphFont"/>
    <w:uiPriority w:val="99"/>
    <w:rsid w:val="00026A63"/>
    <w:rPr>
      <w:b/>
      <w:bCs/>
      <w:color w:val="auto"/>
    </w:rPr>
  </w:style>
  <w:style w:type="character" w:customStyle="1" w:styleId="Tablefreq">
    <w:name w:val="Table_freq"/>
    <w:basedOn w:val="DefaultParagraphFont"/>
    <w:uiPriority w:val="99"/>
    <w:rsid w:val="00413A48"/>
    <w:rPr>
      <w:b/>
      <w:bCs/>
      <w:color w:val="auto"/>
    </w:rPr>
  </w:style>
  <w:style w:type="paragraph" w:customStyle="1" w:styleId="TableTextS5">
    <w:name w:val="Table_TextS5"/>
    <w:basedOn w:val="Normal"/>
    <w:uiPriority w:val="99"/>
    <w:rsid w:val="00413A48"/>
    <w:pPr>
      <w:tabs>
        <w:tab w:val="left" w:pos="170"/>
        <w:tab w:val="left" w:pos="567"/>
        <w:tab w:val="left" w:pos="737"/>
        <w:tab w:val="left" w:pos="2977"/>
        <w:tab w:val="left" w:pos="3266"/>
      </w:tabs>
      <w:overflowPunct w:val="0"/>
      <w:autoSpaceDE w:val="0"/>
      <w:autoSpaceDN w:val="0"/>
      <w:adjustRightInd w:val="0"/>
      <w:spacing w:before="40" w:after="40"/>
      <w:textAlignment w:val="baseline"/>
    </w:pPr>
    <w:rPr>
      <w:rFonts w:ascii="Times New Roman" w:hAnsi="Times New Roman"/>
      <w:szCs w:val="20"/>
      <w:lang w:val="fr-FR"/>
    </w:rPr>
  </w:style>
  <w:style w:type="character" w:customStyle="1" w:styleId="Artref">
    <w:name w:val="Art_ref"/>
    <w:basedOn w:val="DefaultParagraphFont"/>
    <w:uiPriority w:val="99"/>
    <w:rsid w:val="00413A48"/>
    <w:rPr>
      <w:color w:val="auto"/>
    </w:rPr>
  </w:style>
  <w:style w:type="character" w:customStyle="1" w:styleId="Heading9Char">
    <w:name w:val="Heading 9 Char"/>
    <w:basedOn w:val="DefaultParagraphFont"/>
    <w:link w:val="Heading9"/>
    <w:locked/>
    <w:rsid w:val="00413A48"/>
    <w:rPr>
      <w:rFonts w:ascii="Arial" w:hAnsi="Arial" w:cs="Arial"/>
      <w:sz w:val="22"/>
      <w:szCs w:val="22"/>
      <w:lang w:val="en-US"/>
    </w:rPr>
  </w:style>
  <w:style w:type="character" w:customStyle="1" w:styleId="FooterChar">
    <w:name w:val="Footer Char"/>
    <w:basedOn w:val="DefaultParagraphFont"/>
    <w:link w:val="Footer"/>
    <w:uiPriority w:val="99"/>
    <w:locked/>
    <w:rsid w:val="00413A48"/>
    <w:rPr>
      <w:rFonts w:ascii="Arial" w:hAnsi="Arial"/>
      <w:szCs w:val="24"/>
      <w:lang w:val="en-US"/>
    </w:rPr>
  </w:style>
  <w:style w:type="character" w:styleId="PageNumber">
    <w:name w:val="page number"/>
    <w:basedOn w:val="DefaultParagraphFont"/>
    <w:rsid w:val="00413A48"/>
  </w:style>
  <w:style w:type="paragraph" w:customStyle="1" w:styleId="Note">
    <w:name w:val="Note"/>
    <w:basedOn w:val="Normal"/>
    <w:link w:val="NoteChar"/>
    <w:uiPriority w:val="99"/>
    <w:rsid w:val="00413A48"/>
    <w:pPr>
      <w:tabs>
        <w:tab w:val="left" w:pos="284"/>
        <w:tab w:val="left" w:pos="1134"/>
        <w:tab w:val="left" w:pos="1871"/>
        <w:tab w:val="left" w:pos="2268"/>
      </w:tabs>
      <w:overflowPunct w:val="0"/>
      <w:autoSpaceDE w:val="0"/>
      <w:autoSpaceDN w:val="0"/>
      <w:adjustRightInd w:val="0"/>
      <w:spacing w:before="160"/>
      <w:jc w:val="both"/>
      <w:textAlignment w:val="baseline"/>
    </w:pPr>
    <w:rPr>
      <w:rFonts w:ascii="Times New Roman" w:hAnsi="Times New Roman"/>
      <w:szCs w:val="20"/>
      <w:lang w:val="fr-FR"/>
    </w:rPr>
  </w:style>
  <w:style w:type="character" w:customStyle="1" w:styleId="NoteChar">
    <w:name w:val="Note Char"/>
    <w:basedOn w:val="DefaultParagraphFont"/>
    <w:link w:val="Note"/>
    <w:uiPriority w:val="99"/>
    <w:locked/>
    <w:rsid w:val="00413A48"/>
    <w:rPr>
      <w:lang w:val="fr-FR"/>
    </w:rPr>
  </w:style>
  <w:style w:type="character" w:customStyle="1" w:styleId="Resref">
    <w:name w:val="Res_ref"/>
    <w:basedOn w:val="DefaultParagraphFont"/>
    <w:uiPriority w:val="99"/>
    <w:rsid w:val="00413A48"/>
    <w:rPr>
      <w:color w:val="auto"/>
    </w:rPr>
  </w:style>
  <w:style w:type="paragraph" w:customStyle="1" w:styleId="TAC">
    <w:name w:val="TAC"/>
    <w:basedOn w:val="Normal"/>
    <w:uiPriority w:val="99"/>
    <w:rsid w:val="00413A48"/>
    <w:pPr>
      <w:keepNext/>
      <w:keepLines/>
      <w:autoSpaceDE w:val="0"/>
      <w:autoSpaceDN w:val="0"/>
      <w:jc w:val="center"/>
    </w:pPr>
    <w:rPr>
      <w:rFonts w:cs="Arial"/>
      <w:szCs w:val="20"/>
      <w:lang w:val="de-DE" w:eastAsia="de-DE"/>
    </w:rPr>
  </w:style>
  <w:style w:type="paragraph" w:customStyle="1" w:styleId="TAD">
    <w:name w:val="TAD"/>
    <w:basedOn w:val="TAC"/>
    <w:uiPriority w:val="99"/>
    <w:rsid w:val="00413A48"/>
    <w:pPr>
      <w:keepNext w:val="0"/>
      <w:keepLines w:val="0"/>
      <w:tabs>
        <w:tab w:val="decimal" w:pos="567"/>
      </w:tabs>
      <w:jc w:val="left"/>
    </w:pPr>
  </w:style>
  <w:style w:type="paragraph" w:styleId="NormalWeb">
    <w:name w:val="Normal (Web)"/>
    <w:basedOn w:val="Normal"/>
    <w:uiPriority w:val="99"/>
    <w:rsid w:val="007C3130"/>
    <w:pPr>
      <w:spacing w:before="100" w:beforeAutospacing="1" w:after="100" w:afterAutospacing="1"/>
    </w:pPr>
    <w:rPr>
      <w:rFonts w:ascii="Verdana" w:hAnsi="Verdana" w:cs="Verdana"/>
      <w:sz w:val="24"/>
    </w:rPr>
  </w:style>
  <w:style w:type="character" w:customStyle="1" w:styleId="nowrap">
    <w:name w:val="nowrap"/>
    <w:basedOn w:val="DefaultParagraphFont"/>
    <w:uiPriority w:val="99"/>
    <w:rsid w:val="007C3130"/>
  </w:style>
  <w:style w:type="character" w:styleId="HTMLAcronym">
    <w:name w:val="HTML Acronym"/>
    <w:basedOn w:val="DefaultParagraphFont"/>
    <w:uiPriority w:val="99"/>
    <w:rsid w:val="007C3130"/>
  </w:style>
  <w:style w:type="character" w:styleId="FollowedHyperlink">
    <w:name w:val="FollowedHyperlink"/>
    <w:basedOn w:val="DefaultParagraphFont"/>
    <w:uiPriority w:val="99"/>
    <w:unhideWhenUsed/>
    <w:rsid w:val="00CF580E"/>
    <w:rPr>
      <w:color w:val="800080" w:themeColor="followedHyperlink"/>
      <w:u w:val="single"/>
    </w:rPr>
  </w:style>
  <w:style w:type="paragraph" w:customStyle="1" w:styleId="ListParagraph1">
    <w:name w:val="List Paragraph1"/>
    <w:basedOn w:val="Normal"/>
    <w:qFormat/>
    <w:rsid w:val="006D1BB1"/>
    <w:pPr>
      <w:ind w:left="720"/>
      <w:jc w:val="both"/>
    </w:pPr>
    <w:rPr>
      <w:rFonts w:ascii="Times New Roman" w:hAnsi="Times New Roman"/>
      <w:sz w:val="22"/>
      <w:szCs w:val="22"/>
      <w:lang w:val="en-GB" w:eastAsia="de-DE"/>
    </w:rPr>
  </w:style>
  <w:style w:type="paragraph" w:customStyle="1" w:styleId="Sansinterligne1">
    <w:name w:val="Sans interligne1"/>
    <w:uiPriority w:val="99"/>
    <w:qFormat/>
    <w:rsid w:val="006D1BB1"/>
    <w:rPr>
      <w:sz w:val="24"/>
      <w:szCs w:val="24"/>
      <w:lang w:val="fr-FR" w:eastAsia="fr-FR"/>
    </w:rPr>
  </w:style>
  <w:style w:type="paragraph" w:customStyle="1" w:styleId="Listenabsatz1">
    <w:name w:val="Listenabsatz1"/>
    <w:basedOn w:val="Normal"/>
    <w:uiPriority w:val="34"/>
    <w:qFormat/>
    <w:rsid w:val="00E41E35"/>
    <w:pPr>
      <w:ind w:left="720"/>
      <w:jc w:val="both"/>
    </w:pPr>
    <w:rPr>
      <w:rFonts w:ascii="Times New Roman" w:hAnsi="Times New Roman"/>
      <w:sz w:val="22"/>
      <w:szCs w:val="22"/>
      <w:lang w:val="en-GB" w:eastAsia="de-DE"/>
    </w:rPr>
  </w:style>
  <w:style w:type="paragraph" w:customStyle="1" w:styleId="TableContents">
    <w:name w:val="Table Contents"/>
    <w:basedOn w:val="Normal"/>
    <w:uiPriority w:val="99"/>
    <w:rsid w:val="00E41E35"/>
    <w:pPr>
      <w:suppressLineNumbers/>
      <w:suppressAutoHyphens/>
    </w:pPr>
    <w:rPr>
      <w:rFonts w:ascii="Times New Roman" w:eastAsia="WenQuanYi Micro Hei" w:hAnsi="Times New Roman" w:cs="Lohit Hindi"/>
      <w:kern w:val="2"/>
      <w:sz w:val="24"/>
      <w:lang w:val="en-GB" w:eastAsia="hi-IN" w:bidi="hi-IN"/>
    </w:rPr>
  </w:style>
  <w:style w:type="character" w:styleId="CommentReference">
    <w:name w:val="annotation reference"/>
    <w:uiPriority w:val="99"/>
    <w:unhideWhenUsed/>
    <w:rsid w:val="00E41E35"/>
    <w:rPr>
      <w:rFonts w:ascii="Times New Roman" w:hAnsi="Times New Roman" w:cs="Times New Roman" w:hint="default"/>
      <w:sz w:val="16"/>
      <w:szCs w:val="16"/>
    </w:rPr>
  </w:style>
  <w:style w:type="character" w:customStyle="1" w:styleId="IntensiverVerweis1">
    <w:name w:val="Intensiver Verweis1"/>
    <w:uiPriority w:val="32"/>
    <w:qFormat/>
    <w:rsid w:val="00E41E35"/>
    <w:rPr>
      <w:rFonts w:ascii="Times New Roman" w:hAnsi="Times New Roman" w:cs="Times New Roman" w:hint="default"/>
      <w:b/>
      <w:bCs/>
      <w:smallCaps/>
      <w:color w:val="C0504D"/>
      <w:spacing w:val="5"/>
      <w:u w:val="single"/>
    </w:rPr>
  </w:style>
  <w:style w:type="character" w:customStyle="1" w:styleId="apple-converted-space">
    <w:name w:val="apple-converted-space"/>
    <w:uiPriority w:val="99"/>
    <w:rsid w:val="00E41E35"/>
    <w:rPr>
      <w:rFonts w:ascii="Times New Roman" w:hAnsi="Times New Roman" w:cs="Times New Roman" w:hint="default"/>
    </w:rPr>
  </w:style>
  <w:style w:type="character" w:styleId="BookTitle">
    <w:name w:val="Book Title"/>
    <w:basedOn w:val="DefaultParagraphFont"/>
    <w:uiPriority w:val="33"/>
    <w:qFormat/>
    <w:rsid w:val="00E41E35"/>
    <w:rPr>
      <w:b/>
      <w:bCs/>
      <w:smallCaps/>
      <w:spacing w:val="5"/>
    </w:rPr>
  </w:style>
  <w:style w:type="paragraph" w:styleId="ListParagraph">
    <w:name w:val="List Paragraph"/>
    <w:basedOn w:val="Normal"/>
    <w:uiPriority w:val="34"/>
    <w:qFormat/>
    <w:rsid w:val="007E42E6"/>
    <w:pPr>
      <w:ind w:left="720"/>
      <w:contextualSpacing/>
    </w:pPr>
  </w:style>
  <w:style w:type="paragraph" w:customStyle="1" w:styleId="FigureCaption">
    <w:name w:val="Figure Caption"/>
    <w:basedOn w:val="Normal"/>
    <w:next w:val="BodyText"/>
    <w:uiPriority w:val="99"/>
    <w:rsid w:val="000A0CB7"/>
    <w:pPr>
      <w:keepNext/>
      <w:keepLines/>
      <w:spacing w:before="360" w:after="120" w:line="288" w:lineRule="auto"/>
    </w:pPr>
    <w:rPr>
      <w:b/>
      <w:color w:val="939598"/>
      <w:lang w:val="en-GB" w:eastAsia="en-GB"/>
    </w:rPr>
  </w:style>
  <w:style w:type="paragraph" w:styleId="BodyText">
    <w:name w:val="Body Text"/>
    <w:basedOn w:val="Normal"/>
    <w:link w:val="BodyTextChar"/>
    <w:uiPriority w:val="99"/>
    <w:semiHidden/>
    <w:unhideWhenUsed/>
    <w:rsid w:val="000A0CB7"/>
    <w:pPr>
      <w:spacing w:after="120"/>
    </w:pPr>
  </w:style>
  <w:style w:type="character" w:customStyle="1" w:styleId="BodyTextChar">
    <w:name w:val="Body Text Char"/>
    <w:basedOn w:val="DefaultParagraphFont"/>
    <w:link w:val="BodyText"/>
    <w:uiPriority w:val="99"/>
    <w:semiHidden/>
    <w:rsid w:val="000A0CB7"/>
    <w:rPr>
      <w:rFonts w:ascii="Arial" w:hAnsi="Arial"/>
      <w:szCs w:val="24"/>
      <w:lang w:val="en-US"/>
    </w:rPr>
  </w:style>
  <w:style w:type="paragraph" w:customStyle="1" w:styleId="Default">
    <w:name w:val="Default"/>
    <w:rsid w:val="00100C51"/>
    <w:pPr>
      <w:autoSpaceDE w:val="0"/>
      <w:autoSpaceDN w:val="0"/>
      <w:adjustRightInd w:val="0"/>
    </w:pPr>
    <w:rPr>
      <w:rFonts w:ascii="Arial" w:hAnsi="Arial" w:cs="Arial"/>
      <w:color w:val="000000"/>
      <w:sz w:val="24"/>
      <w:szCs w:val="24"/>
      <w:lang w:val="en-US"/>
    </w:rPr>
  </w:style>
  <w:style w:type="character" w:customStyle="1" w:styleId="ccmtdefault">
    <w:name w:val="ccmtdefault"/>
    <w:rsid w:val="00100C51"/>
  </w:style>
  <w:style w:type="paragraph" w:styleId="BodyTextIndent2">
    <w:name w:val="Body Text Indent 2"/>
    <w:basedOn w:val="Normal"/>
    <w:link w:val="BodyTextIndent2Char"/>
    <w:rsid w:val="00100C51"/>
    <w:pPr>
      <w:numPr>
        <w:numId w:val="9"/>
      </w:numPr>
      <w:tabs>
        <w:tab w:val="clear" w:pos="0"/>
      </w:tabs>
      <w:ind w:left="709" w:firstLine="0"/>
    </w:pPr>
    <w:rPr>
      <w:rFonts w:cs="Arial"/>
      <w:sz w:val="24"/>
      <w:szCs w:val="20"/>
      <w:lang w:val="en-GB"/>
    </w:rPr>
  </w:style>
  <w:style w:type="character" w:customStyle="1" w:styleId="BodyTextIndent2Char">
    <w:name w:val="Body Text Indent 2 Char"/>
    <w:basedOn w:val="DefaultParagraphFont"/>
    <w:link w:val="BodyTextIndent2"/>
    <w:rsid w:val="00100C51"/>
    <w:rPr>
      <w:rFonts w:ascii="Arial" w:hAnsi="Arial" w:cs="Arial"/>
      <w:sz w:val="24"/>
    </w:rPr>
  </w:style>
  <w:style w:type="paragraph" w:customStyle="1" w:styleId="bodyChar">
    <w:name w:val="body Char"/>
    <w:basedOn w:val="Normal"/>
    <w:link w:val="bodyCharCar"/>
    <w:rsid w:val="00100C51"/>
    <w:pPr>
      <w:tabs>
        <w:tab w:val="num" w:pos="360"/>
      </w:tabs>
      <w:spacing w:line="360" w:lineRule="auto"/>
      <w:jc w:val="both"/>
    </w:pPr>
    <w:rPr>
      <w:noProof/>
      <w:sz w:val="22"/>
    </w:rPr>
  </w:style>
  <w:style w:type="character" w:customStyle="1" w:styleId="bodyCharCar">
    <w:name w:val="body Char Car"/>
    <w:link w:val="bodyChar"/>
    <w:rsid w:val="00100C51"/>
    <w:rPr>
      <w:rFonts w:ascii="Arial" w:hAnsi="Arial"/>
      <w:noProof/>
      <w:sz w:val="22"/>
      <w:szCs w:val="24"/>
      <w:lang w:val="en-US"/>
    </w:rPr>
  </w:style>
  <w:style w:type="character" w:customStyle="1" w:styleId="BulletList1Char">
    <w:name w:val="Bullet List 1 Char"/>
    <w:link w:val="BulletList1"/>
    <w:locked/>
    <w:rsid w:val="000D55A2"/>
    <w:rPr>
      <w:rFonts w:ascii="Arial" w:hAnsi="Arial"/>
      <w:sz w:val="24"/>
      <w:lang w:eastAsia="en-GB"/>
    </w:rPr>
  </w:style>
  <w:style w:type="paragraph" w:customStyle="1" w:styleId="BulletList1">
    <w:name w:val="Bullet List 1"/>
    <w:basedOn w:val="Normal"/>
    <w:link w:val="BulletList1Char"/>
    <w:rsid w:val="000D55A2"/>
    <w:pPr>
      <w:numPr>
        <w:numId w:val="10"/>
      </w:numPr>
      <w:spacing w:before="120" w:after="120" w:line="285" w:lineRule="auto"/>
    </w:pPr>
    <w:rPr>
      <w:sz w:val="24"/>
      <w:szCs w:val="20"/>
      <w:lang w:val="en-GB" w:eastAsia="en-GB"/>
    </w:rPr>
  </w:style>
  <w:style w:type="paragraph" w:customStyle="1" w:styleId="BulletList2">
    <w:name w:val="Bullet List 2"/>
    <w:basedOn w:val="BulletList1"/>
    <w:rsid w:val="000D55A2"/>
    <w:pPr>
      <w:numPr>
        <w:ilvl w:val="1"/>
      </w:numPr>
      <w:tabs>
        <w:tab w:val="clear" w:pos="800"/>
        <w:tab w:val="num" w:pos="360"/>
        <w:tab w:val="num" w:pos="576"/>
        <w:tab w:val="num" w:pos="680"/>
        <w:tab w:val="num" w:pos="926"/>
        <w:tab w:val="num" w:pos="1209"/>
      </w:tabs>
      <w:ind w:left="576" w:hanging="576"/>
    </w:pPr>
  </w:style>
  <w:style w:type="paragraph" w:customStyle="1" w:styleId="BulletList3">
    <w:name w:val="Bullet List 3"/>
    <w:basedOn w:val="BulletList2"/>
    <w:rsid w:val="000D55A2"/>
    <w:pPr>
      <w:numPr>
        <w:ilvl w:val="2"/>
      </w:numPr>
      <w:tabs>
        <w:tab w:val="num" w:pos="360"/>
        <w:tab w:val="num" w:pos="576"/>
        <w:tab w:val="num" w:pos="720"/>
        <w:tab w:val="num" w:pos="1021"/>
      </w:tabs>
      <w:ind w:left="720" w:hanging="720"/>
    </w:pPr>
  </w:style>
  <w:style w:type="paragraph" w:customStyle="1" w:styleId="BulletList4">
    <w:name w:val="Bullet List 4"/>
    <w:basedOn w:val="BulletList3"/>
    <w:rsid w:val="000D55A2"/>
    <w:pPr>
      <w:numPr>
        <w:ilvl w:val="3"/>
      </w:numPr>
      <w:tabs>
        <w:tab w:val="clear" w:pos="1360"/>
        <w:tab w:val="num" w:pos="360"/>
        <w:tab w:val="num" w:pos="576"/>
        <w:tab w:val="num" w:pos="864"/>
        <w:tab w:val="num" w:pos="1361"/>
      </w:tabs>
      <w:ind w:left="864" w:hanging="864"/>
    </w:pPr>
  </w:style>
  <w:style w:type="paragraph" w:customStyle="1" w:styleId="BulletList5">
    <w:name w:val="Bullet List 5"/>
    <w:basedOn w:val="BulletList4"/>
    <w:rsid w:val="000D55A2"/>
    <w:pPr>
      <w:numPr>
        <w:ilvl w:val="4"/>
      </w:numPr>
      <w:tabs>
        <w:tab w:val="clear" w:pos="1021"/>
        <w:tab w:val="num" w:pos="360"/>
        <w:tab w:val="num" w:pos="576"/>
        <w:tab w:val="num" w:pos="1008"/>
        <w:tab w:val="num" w:pos="2579"/>
      </w:tabs>
      <w:ind w:left="1008" w:hanging="1008"/>
    </w:pPr>
  </w:style>
  <w:style w:type="paragraph" w:customStyle="1" w:styleId="BulletList6">
    <w:name w:val="Bullet List 6"/>
    <w:basedOn w:val="BulletList5"/>
    <w:rsid w:val="000D55A2"/>
    <w:pPr>
      <w:numPr>
        <w:ilvl w:val="5"/>
      </w:numPr>
      <w:tabs>
        <w:tab w:val="num" w:pos="360"/>
        <w:tab w:val="num" w:pos="576"/>
        <w:tab w:val="num" w:pos="1152"/>
        <w:tab w:val="num" w:pos="3299"/>
      </w:tabs>
      <w:ind w:left="1152" w:hanging="1152"/>
    </w:pPr>
  </w:style>
  <w:style w:type="paragraph" w:customStyle="1" w:styleId="BulletList7">
    <w:name w:val="Bullet List 7"/>
    <w:basedOn w:val="BulletList6"/>
    <w:rsid w:val="000D55A2"/>
    <w:pPr>
      <w:numPr>
        <w:ilvl w:val="6"/>
      </w:numPr>
      <w:tabs>
        <w:tab w:val="num" w:pos="360"/>
        <w:tab w:val="num" w:pos="576"/>
        <w:tab w:val="num" w:pos="1296"/>
        <w:tab w:val="num" w:pos="4019"/>
      </w:tabs>
      <w:ind w:left="1296" w:hanging="1296"/>
    </w:pPr>
  </w:style>
  <w:style w:type="paragraph" w:customStyle="1" w:styleId="BulletList8">
    <w:name w:val="Bullet List 8"/>
    <w:basedOn w:val="BulletList7"/>
    <w:rsid w:val="000D55A2"/>
    <w:pPr>
      <w:numPr>
        <w:ilvl w:val="7"/>
      </w:numPr>
      <w:tabs>
        <w:tab w:val="num" w:pos="360"/>
        <w:tab w:val="num" w:pos="576"/>
        <w:tab w:val="num" w:pos="1440"/>
        <w:tab w:val="num" w:pos="4739"/>
      </w:tabs>
      <w:ind w:left="1440" w:hanging="1440"/>
    </w:pPr>
  </w:style>
  <w:style w:type="paragraph" w:customStyle="1" w:styleId="BulletList9">
    <w:name w:val="Bullet List 9"/>
    <w:basedOn w:val="BulletList8"/>
    <w:rsid w:val="000D55A2"/>
    <w:pPr>
      <w:numPr>
        <w:ilvl w:val="8"/>
      </w:numPr>
      <w:tabs>
        <w:tab w:val="num" w:pos="360"/>
        <w:tab w:val="num" w:pos="576"/>
        <w:tab w:val="num" w:pos="1584"/>
        <w:tab w:val="num" w:pos="5459"/>
      </w:tabs>
      <w:ind w:left="1584" w:hanging="1584"/>
    </w:pPr>
  </w:style>
  <w:style w:type="character" w:customStyle="1" w:styleId="Heading2Char">
    <w:name w:val="Heading 2 Char"/>
    <w:aliases w:val="ECC Heading 2 Char,h2 Char,H2 Char,h21 Char,Heading Two Char,R2 Char,l2 Char,Sub-section Char"/>
    <w:basedOn w:val="DefaultParagraphFont"/>
    <w:link w:val="Heading2"/>
    <w:locked/>
    <w:rsid w:val="008E5B81"/>
    <w:rPr>
      <w:rFonts w:ascii="Arial" w:hAnsi="Arial" w:cs="Arial"/>
      <w:b/>
      <w:bCs/>
      <w:iCs/>
      <w:caps/>
      <w:szCs w:val="28"/>
      <w:lang w:val="en-US"/>
    </w:rPr>
  </w:style>
  <w:style w:type="character" w:customStyle="1" w:styleId="Heading3Char">
    <w:name w:val="Heading 3 Char"/>
    <w:aliases w:val="ECC Heading 3 Char,h3 Char,3 Char"/>
    <w:basedOn w:val="DefaultParagraphFont"/>
    <w:link w:val="Heading3"/>
    <w:locked/>
    <w:rsid w:val="003435C2"/>
    <w:rPr>
      <w:rFonts w:ascii="Arial" w:eastAsiaTheme="minorEastAsia" w:hAnsi="Arial" w:cs="Arial"/>
      <w:b/>
      <w:lang w:val="en-US"/>
    </w:rPr>
  </w:style>
  <w:style w:type="character" w:customStyle="1" w:styleId="Heading5Char">
    <w:name w:val="Heading 5 Char"/>
    <w:basedOn w:val="DefaultParagraphFont"/>
    <w:link w:val="Heading5"/>
    <w:locked/>
    <w:rsid w:val="00AC460F"/>
    <w:rPr>
      <w:rFonts w:ascii="Arial" w:hAnsi="Arial"/>
      <w:b/>
      <w:bCs/>
      <w:i/>
      <w:iCs/>
      <w:sz w:val="26"/>
      <w:szCs w:val="26"/>
      <w:lang w:val="en-US"/>
    </w:rPr>
  </w:style>
  <w:style w:type="character" w:customStyle="1" w:styleId="Heading6Char">
    <w:name w:val="Heading 6 Char"/>
    <w:basedOn w:val="DefaultParagraphFont"/>
    <w:link w:val="Heading6"/>
    <w:locked/>
    <w:rsid w:val="00AC460F"/>
    <w:rPr>
      <w:rFonts w:ascii="Arial" w:hAnsi="Arial"/>
      <w:b/>
      <w:bCs/>
      <w:sz w:val="22"/>
      <w:szCs w:val="22"/>
      <w:lang w:val="en-US"/>
    </w:rPr>
  </w:style>
  <w:style w:type="character" w:customStyle="1" w:styleId="Heading7Char">
    <w:name w:val="Heading 7 Char"/>
    <w:basedOn w:val="DefaultParagraphFont"/>
    <w:link w:val="Heading7"/>
    <w:locked/>
    <w:rsid w:val="00AC460F"/>
    <w:rPr>
      <w:rFonts w:ascii="Arial" w:hAnsi="Arial"/>
      <w:sz w:val="24"/>
      <w:szCs w:val="24"/>
      <w:lang w:val="en-US"/>
    </w:rPr>
  </w:style>
  <w:style w:type="character" w:customStyle="1" w:styleId="Heading8Char">
    <w:name w:val="Heading 8 Char"/>
    <w:basedOn w:val="DefaultParagraphFont"/>
    <w:link w:val="Heading8"/>
    <w:locked/>
    <w:rsid w:val="00AC460F"/>
    <w:rPr>
      <w:rFonts w:ascii="Arial" w:hAnsi="Arial"/>
      <w:i/>
      <w:iCs/>
      <w:sz w:val="24"/>
      <w:szCs w:val="24"/>
      <w:lang w:val="en-US"/>
    </w:rPr>
  </w:style>
  <w:style w:type="paragraph" w:styleId="CommentText">
    <w:name w:val="annotation text"/>
    <w:basedOn w:val="Normal"/>
    <w:link w:val="CommentTextChar"/>
    <w:uiPriority w:val="99"/>
    <w:rsid w:val="00AC460F"/>
    <w:rPr>
      <w:szCs w:val="20"/>
    </w:rPr>
  </w:style>
  <w:style w:type="character" w:customStyle="1" w:styleId="CommentTextChar">
    <w:name w:val="Comment Text Char"/>
    <w:basedOn w:val="DefaultParagraphFont"/>
    <w:link w:val="CommentText"/>
    <w:uiPriority w:val="99"/>
    <w:rsid w:val="00AC460F"/>
    <w:rPr>
      <w:rFonts w:ascii="Arial" w:hAnsi="Arial"/>
      <w:lang w:val="en-US"/>
    </w:rPr>
  </w:style>
  <w:style w:type="character" w:customStyle="1" w:styleId="HeaderChar">
    <w:name w:val="Header Char"/>
    <w:aliases w:val="encabezado Char,he Char,header odd Char,header odd1 Char,header odd2 Char"/>
    <w:basedOn w:val="DefaultParagraphFont"/>
    <w:link w:val="Header"/>
    <w:locked/>
    <w:rsid w:val="00AC460F"/>
    <w:rPr>
      <w:rFonts w:ascii="Arial" w:hAnsi="Arial"/>
      <w:b/>
      <w:sz w:val="16"/>
      <w:szCs w:val="24"/>
      <w:lang w:val="en-US"/>
    </w:rPr>
  </w:style>
  <w:style w:type="paragraph" w:styleId="CommentSubject">
    <w:name w:val="annotation subject"/>
    <w:basedOn w:val="CommentText"/>
    <w:next w:val="CommentText"/>
    <w:link w:val="CommentSubjectChar"/>
    <w:uiPriority w:val="99"/>
    <w:semiHidden/>
    <w:unhideWhenUsed/>
    <w:rsid w:val="00AC460F"/>
    <w:rPr>
      <w:b/>
      <w:bCs/>
    </w:rPr>
  </w:style>
  <w:style w:type="character" w:customStyle="1" w:styleId="CommentSubjectChar">
    <w:name w:val="Comment Subject Char"/>
    <w:basedOn w:val="CommentTextChar"/>
    <w:link w:val="CommentSubject"/>
    <w:uiPriority w:val="99"/>
    <w:semiHidden/>
    <w:rsid w:val="00AC460F"/>
    <w:rPr>
      <w:rFonts w:ascii="Arial" w:hAnsi="Arial"/>
      <w:b/>
      <w:bCs/>
      <w:lang w:val="en-US"/>
    </w:rPr>
  </w:style>
  <w:style w:type="paragraph" w:styleId="Revision">
    <w:name w:val="Revision"/>
    <w:hidden/>
    <w:uiPriority w:val="99"/>
    <w:semiHidden/>
    <w:rsid w:val="00AC460F"/>
    <w:rPr>
      <w:rFonts w:ascii="Arial" w:hAnsi="Arial"/>
      <w:szCs w:val="24"/>
      <w:lang w:val="en-US"/>
    </w:rPr>
  </w:style>
  <w:style w:type="paragraph" w:customStyle="1" w:styleId="eccparagraph0">
    <w:name w:val="eccparagraph"/>
    <w:basedOn w:val="Normal"/>
    <w:rsid w:val="00AC460F"/>
    <w:pPr>
      <w:spacing w:after="240"/>
      <w:jc w:val="both"/>
    </w:pPr>
    <w:rPr>
      <w:rFonts w:cs="Arial"/>
      <w:szCs w:val="20"/>
      <w:lang w:val="da-DK" w:eastAsia="da-DK"/>
    </w:rPr>
  </w:style>
  <w:style w:type="paragraph" w:styleId="TOC5">
    <w:name w:val="toc 5"/>
    <w:basedOn w:val="Normal"/>
    <w:next w:val="Normal"/>
    <w:autoRedefine/>
    <w:uiPriority w:val="39"/>
    <w:unhideWhenUsed/>
    <w:rsid w:val="00BE297F"/>
    <w:pPr>
      <w:spacing w:after="100" w:line="276" w:lineRule="auto"/>
      <w:ind w:left="880"/>
    </w:pPr>
    <w:rPr>
      <w:rFonts w:asciiTheme="minorHAnsi" w:eastAsiaTheme="minorEastAsia" w:hAnsiTheme="minorHAnsi" w:cstheme="minorBidi"/>
      <w:sz w:val="22"/>
      <w:szCs w:val="22"/>
      <w:lang w:val="da-DK" w:eastAsia="da-DK"/>
    </w:rPr>
  </w:style>
  <w:style w:type="paragraph" w:styleId="TOC6">
    <w:name w:val="toc 6"/>
    <w:basedOn w:val="Normal"/>
    <w:next w:val="Normal"/>
    <w:autoRedefine/>
    <w:uiPriority w:val="39"/>
    <w:unhideWhenUsed/>
    <w:rsid w:val="00BE297F"/>
    <w:pPr>
      <w:spacing w:after="100" w:line="276" w:lineRule="auto"/>
      <w:ind w:left="1100"/>
    </w:pPr>
    <w:rPr>
      <w:rFonts w:asciiTheme="minorHAnsi" w:eastAsiaTheme="minorEastAsia" w:hAnsiTheme="minorHAnsi" w:cstheme="minorBidi"/>
      <w:sz w:val="22"/>
      <w:szCs w:val="22"/>
      <w:lang w:val="da-DK" w:eastAsia="da-DK"/>
    </w:rPr>
  </w:style>
  <w:style w:type="paragraph" w:styleId="TOC7">
    <w:name w:val="toc 7"/>
    <w:basedOn w:val="Normal"/>
    <w:next w:val="Normal"/>
    <w:autoRedefine/>
    <w:uiPriority w:val="39"/>
    <w:unhideWhenUsed/>
    <w:rsid w:val="00BE297F"/>
    <w:pPr>
      <w:spacing w:after="100" w:line="276" w:lineRule="auto"/>
      <w:ind w:left="1320"/>
    </w:pPr>
    <w:rPr>
      <w:rFonts w:asciiTheme="minorHAnsi" w:eastAsiaTheme="minorEastAsia" w:hAnsiTheme="minorHAnsi" w:cstheme="minorBidi"/>
      <w:sz w:val="22"/>
      <w:szCs w:val="22"/>
      <w:lang w:val="da-DK" w:eastAsia="da-DK"/>
    </w:rPr>
  </w:style>
  <w:style w:type="paragraph" w:styleId="TOC8">
    <w:name w:val="toc 8"/>
    <w:basedOn w:val="Normal"/>
    <w:next w:val="Normal"/>
    <w:autoRedefine/>
    <w:uiPriority w:val="39"/>
    <w:unhideWhenUsed/>
    <w:rsid w:val="00BE297F"/>
    <w:pPr>
      <w:spacing w:after="100" w:line="276" w:lineRule="auto"/>
      <w:ind w:left="1540"/>
    </w:pPr>
    <w:rPr>
      <w:rFonts w:asciiTheme="minorHAnsi" w:eastAsiaTheme="minorEastAsia" w:hAnsiTheme="minorHAnsi" w:cstheme="minorBidi"/>
      <w:sz w:val="22"/>
      <w:szCs w:val="22"/>
      <w:lang w:val="da-DK" w:eastAsia="da-DK"/>
    </w:rPr>
  </w:style>
  <w:style w:type="paragraph" w:styleId="TOC9">
    <w:name w:val="toc 9"/>
    <w:basedOn w:val="Normal"/>
    <w:next w:val="Normal"/>
    <w:autoRedefine/>
    <w:uiPriority w:val="39"/>
    <w:unhideWhenUsed/>
    <w:rsid w:val="00BE297F"/>
    <w:pPr>
      <w:spacing w:after="100" w:line="276" w:lineRule="auto"/>
      <w:ind w:left="1760"/>
    </w:pPr>
    <w:rPr>
      <w:rFonts w:asciiTheme="minorHAnsi" w:eastAsiaTheme="minorEastAsia" w:hAnsiTheme="minorHAnsi" w:cstheme="minorBidi"/>
      <w:sz w:val="22"/>
      <w:szCs w:val="22"/>
      <w:lang w:val="da-DK" w:eastAsia="da-DK"/>
    </w:rPr>
  </w:style>
  <w:style w:type="paragraph" w:styleId="ListNumber">
    <w:name w:val="List Number"/>
    <w:basedOn w:val="Normal"/>
    <w:rsid w:val="009D7424"/>
    <w:pPr>
      <w:numPr>
        <w:numId w:val="11"/>
      </w:numPr>
      <w:spacing w:after="240"/>
      <w:jc w:val="both"/>
    </w:pPr>
    <w:rPr>
      <w:rFonts w:ascii="Times New Roman" w:hAnsi="Times New Roman"/>
      <w:sz w:val="24"/>
      <w:szCs w:val="20"/>
      <w:lang w:val="en-GB" w:eastAsia="fr-BE"/>
    </w:rPr>
  </w:style>
  <w:style w:type="paragraph" w:customStyle="1" w:styleId="ListNumberLevel2">
    <w:name w:val="List Number (Level 2)"/>
    <w:basedOn w:val="Normal"/>
    <w:rsid w:val="009D7424"/>
    <w:pPr>
      <w:numPr>
        <w:ilvl w:val="1"/>
        <w:numId w:val="11"/>
      </w:numPr>
      <w:spacing w:after="240"/>
      <w:jc w:val="both"/>
    </w:pPr>
    <w:rPr>
      <w:rFonts w:ascii="Times New Roman" w:hAnsi="Times New Roman"/>
      <w:sz w:val="24"/>
      <w:szCs w:val="20"/>
      <w:lang w:val="en-GB" w:eastAsia="fr-BE"/>
    </w:rPr>
  </w:style>
  <w:style w:type="paragraph" w:customStyle="1" w:styleId="ListNumberLevel3">
    <w:name w:val="List Number (Level 3)"/>
    <w:basedOn w:val="Normal"/>
    <w:rsid w:val="009D7424"/>
    <w:pPr>
      <w:numPr>
        <w:ilvl w:val="2"/>
        <w:numId w:val="11"/>
      </w:numPr>
      <w:spacing w:after="240"/>
      <w:jc w:val="both"/>
    </w:pPr>
    <w:rPr>
      <w:rFonts w:ascii="Times New Roman" w:hAnsi="Times New Roman"/>
      <w:sz w:val="24"/>
      <w:szCs w:val="20"/>
      <w:lang w:val="en-GB" w:eastAsia="fr-BE"/>
    </w:rPr>
  </w:style>
  <w:style w:type="paragraph" w:customStyle="1" w:styleId="ListNumberLevel4">
    <w:name w:val="List Number (Level 4)"/>
    <w:basedOn w:val="Normal"/>
    <w:rsid w:val="009D7424"/>
    <w:pPr>
      <w:numPr>
        <w:ilvl w:val="3"/>
        <w:numId w:val="11"/>
      </w:numPr>
      <w:spacing w:after="240"/>
      <w:jc w:val="both"/>
    </w:pPr>
    <w:rPr>
      <w:rFonts w:ascii="Times New Roman" w:hAnsi="Times New Roman"/>
      <w:sz w:val="24"/>
      <w:szCs w:val="20"/>
      <w:lang w:val="en-GB" w:eastAsia="fr-BE"/>
    </w:rPr>
  </w:style>
  <w:style w:type="paragraph" w:customStyle="1" w:styleId="ListDash">
    <w:name w:val="List Dash"/>
    <w:basedOn w:val="Normal"/>
    <w:rsid w:val="009C2687"/>
    <w:pPr>
      <w:numPr>
        <w:numId w:val="12"/>
      </w:numPr>
      <w:spacing w:after="240"/>
      <w:jc w:val="both"/>
    </w:pPr>
    <w:rPr>
      <w:rFonts w:ascii="Times New Roman" w:hAnsi="Times New Roman"/>
      <w:sz w:val="24"/>
      <w:szCs w:val="20"/>
      <w:lang w:val="en-GB" w:eastAsia="fr-BE"/>
    </w:rPr>
  </w:style>
  <w:style w:type="character" w:customStyle="1" w:styleId="st1">
    <w:name w:val="st1"/>
    <w:basedOn w:val="DefaultParagraphFont"/>
    <w:rsid w:val="00FF5DE3"/>
  </w:style>
  <w:style w:type="paragraph" w:styleId="EndnoteText">
    <w:name w:val="endnote text"/>
    <w:basedOn w:val="Normal"/>
    <w:link w:val="EndnoteTextChar"/>
    <w:uiPriority w:val="99"/>
    <w:semiHidden/>
    <w:unhideWhenUsed/>
    <w:rsid w:val="00471042"/>
    <w:rPr>
      <w:rFonts w:asciiTheme="minorHAnsi" w:eastAsiaTheme="minorHAnsi" w:hAnsiTheme="minorHAnsi" w:cstheme="minorBidi"/>
      <w:szCs w:val="20"/>
      <w:lang w:val="da-DK"/>
    </w:rPr>
  </w:style>
  <w:style w:type="character" w:customStyle="1" w:styleId="EndnoteTextChar">
    <w:name w:val="Endnote Text Char"/>
    <w:basedOn w:val="DefaultParagraphFont"/>
    <w:link w:val="EndnoteText"/>
    <w:uiPriority w:val="99"/>
    <w:semiHidden/>
    <w:rsid w:val="00471042"/>
    <w:rPr>
      <w:rFonts w:asciiTheme="minorHAnsi" w:eastAsiaTheme="minorHAnsi" w:hAnsiTheme="minorHAnsi" w:cstheme="minorBidi"/>
      <w:lang w:val="da-DK"/>
    </w:rPr>
  </w:style>
  <w:style w:type="character" w:styleId="EndnoteReference">
    <w:name w:val="endnote reference"/>
    <w:basedOn w:val="DefaultParagraphFont"/>
    <w:uiPriority w:val="99"/>
    <w:semiHidden/>
    <w:unhideWhenUsed/>
    <w:rsid w:val="00471042"/>
    <w:rPr>
      <w:vertAlign w:val="superscript"/>
    </w:rPr>
  </w:style>
  <w:style w:type="numbering" w:customStyle="1" w:styleId="NoList1">
    <w:name w:val="No List1"/>
    <w:next w:val="NoList"/>
    <w:uiPriority w:val="99"/>
    <w:semiHidden/>
    <w:unhideWhenUsed/>
    <w:rsid w:val="00471042"/>
  </w:style>
  <w:style w:type="paragraph" w:customStyle="1" w:styleId="Normalerostyle">
    <w:name w:val="Normal.erostyle"/>
    <w:link w:val="NormalerostyleChar"/>
    <w:rsid w:val="00471042"/>
    <w:pPr>
      <w:suppressAutoHyphens/>
    </w:pPr>
    <w:rPr>
      <w:lang w:val="da-DK" w:eastAsia="en-IE"/>
    </w:rPr>
  </w:style>
  <w:style w:type="table" w:customStyle="1" w:styleId="TableGrid1">
    <w:name w:val="Table Grid1"/>
    <w:basedOn w:val="TableNormal"/>
    <w:next w:val="TableGrid"/>
    <w:rsid w:val="00471042"/>
    <w:pPr>
      <w:overflowPunct w:val="0"/>
      <w:autoSpaceDE w:val="0"/>
      <w:autoSpaceDN w:val="0"/>
      <w:adjustRightInd w:val="0"/>
      <w:textAlignment w:val="baseline"/>
    </w:pPr>
    <w:rPr>
      <w:lang w:val="da-DK" w:eastAsia="da-DK"/>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arCarCar">
    <w:name w:val="Car Car Car"/>
    <w:basedOn w:val="Normal"/>
    <w:rsid w:val="00471042"/>
    <w:pPr>
      <w:tabs>
        <w:tab w:val="left" w:pos="540"/>
        <w:tab w:val="left" w:pos="1260"/>
        <w:tab w:val="left" w:pos="1800"/>
      </w:tabs>
      <w:spacing w:before="240" w:after="160" w:line="240" w:lineRule="exact"/>
    </w:pPr>
    <w:rPr>
      <w:rFonts w:ascii="Verdana" w:hAnsi="Verdana"/>
      <w:sz w:val="24"/>
      <w:szCs w:val="20"/>
    </w:rPr>
  </w:style>
  <w:style w:type="paragraph" w:customStyle="1" w:styleId="ComregBodyTextCharChar">
    <w:name w:val="Comreg Body Text Char Char"/>
    <w:link w:val="ComregBodyTextCharCharChar"/>
    <w:rsid w:val="00471042"/>
    <w:pPr>
      <w:ind w:left="567"/>
    </w:pPr>
    <w:rPr>
      <w:rFonts w:ascii="Arial" w:eastAsia="Times" w:hAnsi="Arial"/>
      <w:sz w:val="24"/>
      <w:szCs w:val="24"/>
    </w:rPr>
  </w:style>
  <w:style w:type="character" w:customStyle="1" w:styleId="ComregBodyTextCharCharChar">
    <w:name w:val="Comreg Body Text Char Char Char"/>
    <w:link w:val="ComregBodyTextCharChar"/>
    <w:rsid w:val="00471042"/>
    <w:rPr>
      <w:rFonts w:ascii="Arial" w:eastAsia="Times" w:hAnsi="Arial"/>
      <w:sz w:val="24"/>
      <w:szCs w:val="24"/>
    </w:rPr>
  </w:style>
  <w:style w:type="paragraph" w:customStyle="1" w:styleId="ZchnZchnCarCar">
    <w:name w:val="Zchn Zchn Car Car"/>
    <w:basedOn w:val="Normal"/>
    <w:rsid w:val="00471042"/>
    <w:pPr>
      <w:tabs>
        <w:tab w:val="left" w:pos="540"/>
        <w:tab w:val="left" w:pos="1260"/>
        <w:tab w:val="left" w:pos="1800"/>
      </w:tabs>
      <w:spacing w:before="240" w:after="160" w:line="240" w:lineRule="exact"/>
    </w:pPr>
    <w:rPr>
      <w:rFonts w:ascii="Verdana" w:hAnsi="Verdana"/>
      <w:sz w:val="24"/>
      <w:szCs w:val="20"/>
    </w:rPr>
  </w:style>
  <w:style w:type="paragraph" w:customStyle="1" w:styleId="Tabletext">
    <w:name w:val="Table text"/>
    <w:basedOn w:val="Normal"/>
    <w:link w:val="TabletextChar"/>
    <w:rsid w:val="00471042"/>
    <w:pPr>
      <w:spacing w:before="60" w:after="60"/>
    </w:pPr>
    <w:rPr>
      <w:rFonts w:cs="Arial"/>
      <w:sz w:val="16"/>
      <w:szCs w:val="16"/>
      <w:lang w:val="da-DK"/>
    </w:rPr>
  </w:style>
  <w:style w:type="character" w:customStyle="1" w:styleId="TabletextChar">
    <w:name w:val="Table text Char"/>
    <w:link w:val="Tabletext"/>
    <w:rsid w:val="00471042"/>
    <w:rPr>
      <w:rFonts w:ascii="Arial" w:hAnsi="Arial" w:cs="Arial"/>
      <w:sz w:val="16"/>
      <w:szCs w:val="16"/>
      <w:lang w:val="da-DK"/>
    </w:rPr>
  </w:style>
  <w:style w:type="paragraph" w:customStyle="1" w:styleId="PT1Head">
    <w:name w:val="PT1_Head"/>
    <w:basedOn w:val="Heading4"/>
    <w:next w:val="Normal"/>
    <w:rsid w:val="00471042"/>
    <w:pPr>
      <w:tabs>
        <w:tab w:val="num" w:pos="580"/>
      </w:tabs>
      <w:spacing w:before="0" w:after="0"/>
      <w:ind w:left="580"/>
    </w:pPr>
    <w:rPr>
      <w:rFonts w:cs="Times New Roman"/>
      <w:b/>
      <w:bCs w:val="0"/>
      <w:i w:val="0"/>
      <w:color w:val="auto"/>
      <w:sz w:val="24"/>
      <w:szCs w:val="20"/>
      <w:lang w:val="en-GB" w:eastAsia="en-IE"/>
    </w:rPr>
  </w:style>
  <w:style w:type="paragraph" w:customStyle="1" w:styleId="ZT">
    <w:name w:val="ZT"/>
    <w:rsid w:val="00471042"/>
    <w:pPr>
      <w:spacing w:after="96" w:line="240" w:lineRule="atLeast"/>
      <w:jc w:val="center"/>
    </w:pPr>
    <w:rPr>
      <w:rFonts w:ascii="Arial" w:hAnsi="Arial" w:cs="Arial"/>
      <w:b/>
      <w:bCs/>
      <w:sz w:val="32"/>
      <w:szCs w:val="32"/>
      <w:lang w:eastAsia="en-IE"/>
    </w:rPr>
  </w:style>
  <w:style w:type="paragraph" w:customStyle="1" w:styleId="CharChar">
    <w:name w:val="Char Char"/>
    <w:basedOn w:val="Normal"/>
    <w:rsid w:val="00471042"/>
    <w:pPr>
      <w:tabs>
        <w:tab w:val="left" w:pos="540"/>
        <w:tab w:val="left" w:pos="1260"/>
        <w:tab w:val="left" w:pos="1800"/>
      </w:tabs>
      <w:spacing w:before="240" w:after="160" w:line="240" w:lineRule="exact"/>
    </w:pPr>
    <w:rPr>
      <w:rFonts w:ascii="Verdana" w:hAnsi="Verdana"/>
      <w:sz w:val="24"/>
      <w:szCs w:val="20"/>
    </w:rPr>
  </w:style>
  <w:style w:type="paragraph" w:styleId="DocumentMap">
    <w:name w:val="Document Map"/>
    <w:basedOn w:val="Normal"/>
    <w:link w:val="DocumentMapChar"/>
    <w:semiHidden/>
    <w:rsid w:val="00471042"/>
    <w:pPr>
      <w:shd w:val="clear" w:color="auto" w:fill="000080"/>
      <w:overflowPunct w:val="0"/>
      <w:autoSpaceDE w:val="0"/>
      <w:autoSpaceDN w:val="0"/>
      <w:adjustRightInd w:val="0"/>
      <w:textAlignment w:val="baseline"/>
    </w:pPr>
    <w:rPr>
      <w:rFonts w:ascii="Tahoma" w:hAnsi="Tahoma" w:cs="Tahoma"/>
      <w:szCs w:val="20"/>
      <w:lang w:val="nl" w:eastAsia="nl-NL"/>
    </w:rPr>
  </w:style>
  <w:style w:type="character" w:customStyle="1" w:styleId="DocumentMapChar">
    <w:name w:val="Document Map Char"/>
    <w:basedOn w:val="DefaultParagraphFont"/>
    <w:link w:val="DocumentMap"/>
    <w:semiHidden/>
    <w:rsid w:val="00471042"/>
    <w:rPr>
      <w:rFonts w:ascii="Tahoma" w:hAnsi="Tahoma" w:cs="Tahoma"/>
      <w:shd w:val="clear" w:color="auto" w:fill="000080"/>
      <w:lang w:val="nl" w:eastAsia="nl-NL"/>
    </w:rPr>
  </w:style>
  <w:style w:type="paragraph" w:customStyle="1" w:styleId="ANNEX">
    <w:name w:val="ANNEX"/>
    <w:basedOn w:val="Heading1"/>
    <w:autoRedefine/>
    <w:rsid w:val="00471042"/>
    <w:pPr>
      <w:numPr>
        <w:numId w:val="14"/>
      </w:numPr>
      <w:spacing w:before="480"/>
      <w:jc w:val="center"/>
    </w:pPr>
    <w:rPr>
      <w:rFonts w:ascii="Times New Roman Bold" w:hAnsi="Times New Roman Bold" w:cs="Times New Roman"/>
      <w:color w:val="auto"/>
    </w:rPr>
  </w:style>
  <w:style w:type="character" w:customStyle="1" w:styleId="NormalerostyleChar">
    <w:name w:val="Normal.erostyle Char"/>
    <w:link w:val="Normalerostyle"/>
    <w:rsid w:val="00471042"/>
    <w:rPr>
      <w:lang w:val="da-DK" w:eastAsia="en-IE"/>
    </w:rPr>
  </w:style>
  <w:style w:type="paragraph" w:styleId="Index1">
    <w:name w:val="index 1"/>
    <w:basedOn w:val="Normal"/>
    <w:next w:val="Normal"/>
    <w:autoRedefine/>
    <w:semiHidden/>
    <w:rsid w:val="00471042"/>
    <w:pPr>
      <w:overflowPunct w:val="0"/>
      <w:autoSpaceDE w:val="0"/>
      <w:autoSpaceDN w:val="0"/>
      <w:adjustRightInd w:val="0"/>
      <w:ind w:left="200" w:hanging="200"/>
      <w:textAlignment w:val="baseline"/>
    </w:pPr>
    <w:rPr>
      <w:rFonts w:ascii="Times New Roman" w:hAnsi="Times New Roman"/>
      <w:szCs w:val="20"/>
      <w:lang w:val="nl" w:eastAsia="nl-NL"/>
    </w:rPr>
  </w:style>
  <w:style w:type="paragraph" w:styleId="Index2">
    <w:name w:val="index 2"/>
    <w:basedOn w:val="Normal"/>
    <w:next w:val="Normal"/>
    <w:autoRedefine/>
    <w:semiHidden/>
    <w:rsid w:val="00471042"/>
    <w:pPr>
      <w:overflowPunct w:val="0"/>
      <w:autoSpaceDE w:val="0"/>
      <w:autoSpaceDN w:val="0"/>
      <w:adjustRightInd w:val="0"/>
      <w:ind w:left="400" w:hanging="200"/>
      <w:textAlignment w:val="baseline"/>
    </w:pPr>
    <w:rPr>
      <w:rFonts w:ascii="Times New Roman" w:hAnsi="Times New Roman"/>
      <w:szCs w:val="20"/>
      <w:lang w:val="nl" w:eastAsia="nl-NL"/>
    </w:rPr>
  </w:style>
  <w:style w:type="paragraph" w:styleId="Index3">
    <w:name w:val="index 3"/>
    <w:basedOn w:val="Normal"/>
    <w:next w:val="Normal"/>
    <w:autoRedefine/>
    <w:semiHidden/>
    <w:rsid w:val="00471042"/>
    <w:pPr>
      <w:overflowPunct w:val="0"/>
      <w:autoSpaceDE w:val="0"/>
      <w:autoSpaceDN w:val="0"/>
      <w:adjustRightInd w:val="0"/>
      <w:ind w:left="600" w:hanging="200"/>
      <w:textAlignment w:val="baseline"/>
    </w:pPr>
    <w:rPr>
      <w:rFonts w:ascii="Times New Roman" w:hAnsi="Times New Roman"/>
      <w:szCs w:val="20"/>
      <w:lang w:val="nl" w:eastAsia="nl-NL"/>
    </w:rPr>
  </w:style>
  <w:style w:type="paragraph" w:styleId="Index4">
    <w:name w:val="index 4"/>
    <w:basedOn w:val="Normal"/>
    <w:next w:val="Normal"/>
    <w:autoRedefine/>
    <w:semiHidden/>
    <w:rsid w:val="00471042"/>
    <w:pPr>
      <w:overflowPunct w:val="0"/>
      <w:autoSpaceDE w:val="0"/>
      <w:autoSpaceDN w:val="0"/>
      <w:adjustRightInd w:val="0"/>
      <w:ind w:left="800" w:hanging="200"/>
      <w:textAlignment w:val="baseline"/>
    </w:pPr>
    <w:rPr>
      <w:rFonts w:ascii="Times New Roman" w:hAnsi="Times New Roman"/>
      <w:szCs w:val="20"/>
      <w:lang w:val="nl" w:eastAsia="nl-NL"/>
    </w:rPr>
  </w:style>
  <w:style w:type="paragraph" w:styleId="Index5">
    <w:name w:val="index 5"/>
    <w:basedOn w:val="Normal"/>
    <w:next w:val="Normal"/>
    <w:autoRedefine/>
    <w:semiHidden/>
    <w:rsid w:val="00471042"/>
    <w:pPr>
      <w:overflowPunct w:val="0"/>
      <w:autoSpaceDE w:val="0"/>
      <w:autoSpaceDN w:val="0"/>
      <w:adjustRightInd w:val="0"/>
      <w:ind w:left="1000" w:hanging="200"/>
      <w:textAlignment w:val="baseline"/>
    </w:pPr>
    <w:rPr>
      <w:rFonts w:ascii="Times New Roman" w:hAnsi="Times New Roman"/>
      <w:szCs w:val="20"/>
      <w:lang w:val="nl" w:eastAsia="nl-NL"/>
    </w:rPr>
  </w:style>
  <w:style w:type="paragraph" w:styleId="Index6">
    <w:name w:val="index 6"/>
    <w:basedOn w:val="Normal"/>
    <w:next w:val="Normal"/>
    <w:autoRedefine/>
    <w:semiHidden/>
    <w:rsid w:val="00471042"/>
    <w:pPr>
      <w:overflowPunct w:val="0"/>
      <w:autoSpaceDE w:val="0"/>
      <w:autoSpaceDN w:val="0"/>
      <w:adjustRightInd w:val="0"/>
      <w:ind w:left="1200" w:hanging="200"/>
      <w:textAlignment w:val="baseline"/>
    </w:pPr>
    <w:rPr>
      <w:rFonts w:ascii="Times New Roman" w:hAnsi="Times New Roman"/>
      <w:szCs w:val="20"/>
      <w:lang w:val="nl" w:eastAsia="nl-NL"/>
    </w:rPr>
  </w:style>
  <w:style w:type="paragraph" w:styleId="Index7">
    <w:name w:val="index 7"/>
    <w:basedOn w:val="Normal"/>
    <w:next w:val="Normal"/>
    <w:autoRedefine/>
    <w:semiHidden/>
    <w:rsid w:val="00471042"/>
    <w:pPr>
      <w:overflowPunct w:val="0"/>
      <w:autoSpaceDE w:val="0"/>
      <w:autoSpaceDN w:val="0"/>
      <w:adjustRightInd w:val="0"/>
      <w:ind w:left="1400" w:hanging="200"/>
      <w:textAlignment w:val="baseline"/>
    </w:pPr>
    <w:rPr>
      <w:rFonts w:ascii="Times New Roman" w:hAnsi="Times New Roman"/>
      <w:szCs w:val="20"/>
      <w:lang w:val="nl" w:eastAsia="nl-NL"/>
    </w:rPr>
  </w:style>
  <w:style w:type="paragraph" w:styleId="Index8">
    <w:name w:val="index 8"/>
    <w:basedOn w:val="Normal"/>
    <w:next w:val="Normal"/>
    <w:autoRedefine/>
    <w:semiHidden/>
    <w:rsid w:val="00471042"/>
    <w:pPr>
      <w:overflowPunct w:val="0"/>
      <w:autoSpaceDE w:val="0"/>
      <w:autoSpaceDN w:val="0"/>
      <w:adjustRightInd w:val="0"/>
      <w:ind w:left="1600" w:hanging="200"/>
      <w:textAlignment w:val="baseline"/>
    </w:pPr>
    <w:rPr>
      <w:rFonts w:ascii="Times New Roman" w:hAnsi="Times New Roman"/>
      <w:szCs w:val="20"/>
      <w:lang w:val="nl" w:eastAsia="nl-NL"/>
    </w:rPr>
  </w:style>
  <w:style w:type="paragraph" w:styleId="Index9">
    <w:name w:val="index 9"/>
    <w:basedOn w:val="Normal"/>
    <w:next w:val="Normal"/>
    <w:autoRedefine/>
    <w:semiHidden/>
    <w:rsid w:val="00471042"/>
    <w:pPr>
      <w:overflowPunct w:val="0"/>
      <w:autoSpaceDE w:val="0"/>
      <w:autoSpaceDN w:val="0"/>
      <w:adjustRightInd w:val="0"/>
      <w:ind w:left="1800" w:hanging="200"/>
      <w:textAlignment w:val="baseline"/>
    </w:pPr>
    <w:rPr>
      <w:rFonts w:ascii="Times New Roman" w:hAnsi="Times New Roman"/>
      <w:szCs w:val="20"/>
      <w:lang w:val="nl" w:eastAsia="nl-NL"/>
    </w:rPr>
  </w:style>
  <w:style w:type="paragraph" w:styleId="IndexHeading">
    <w:name w:val="index heading"/>
    <w:basedOn w:val="Normal"/>
    <w:next w:val="Index1"/>
    <w:semiHidden/>
    <w:rsid w:val="00471042"/>
    <w:pPr>
      <w:overflowPunct w:val="0"/>
      <w:autoSpaceDE w:val="0"/>
      <w:autoSpaceDN w:val="0"/>
      <w:adjustRightInd w:val="0"/>
      <w:spacing w:before="120" w:after="120"/>
      <w:textAlignment w:val="baseline"/>
    </w:pPr>
    <w:rPr>
      <w:rFonts w:ascii="Times New Roman" w:hAnsi="Times New Roman"/>
      <w:b/>
      <w:bCs/>
      <w:i/>
      <w:iCs/>
      <w:szCs w:val="20"/>
      <w:lang w:val="nl" w:eastAsia="nl-NL"/>
    </w:rPr>
  </w:style>
  <w:style w:type="paragraph" w:customStyle="1" w:styleId="StyleHeading1TimesNewRoman10ptLeft0cmBefore24">
    <w:name w:val="Style Heading 1 + Times New Roman 10 pt Left:  0 cm Before:  24 ..."/>
    <w:basedOn w:val="Heading1"/>
    <w:rsid w:val="00471042"/>
    <w:pPr>
      <w:numPr>
        <w:numId w:val="13"/>
      </w:numPr>
      <w:overflowPunct w:val="0"/>
      <w:autoSpaceDE w:val="0"/>
      <w:autoSpaceDN w:val="0"/>
      <w:adjustRightInd w:val="0"/>
      <w:spacing w:before="480"/>
      <w:ind w:left="431" w:hanging="431"/>
      <w:textAlignment w:val="baseline"/>
    </w:pPr>
    <w:rPr>
      <w:rFonts w:ascii="Times New Roman" w:hAnsi="Times New Roman" w:cs="Times New Roman"/>
      <w:bCs/>
      <w:caps w:val="0"/>
      <w:color w:val="auto"/>
      <w:szCs w:val="20"/>
      <w:lang w:val="nl" w:eastAsia="nl-NL"/>
    </w:rPr>
  </w:style>
  <w:style w:type="paragraph" w:customStyle="1" w:styleId="Style11ptBoldCentered">
    <w:name w:val="Style 11 pt Bold Centered"/>
    <w:basedOn w:val="Normal"/>
    <w:autoRedefine/>
    <w:rsid w:val="00471042"/>
    <w:pPr>
      <w:overflowPunct w:val="0"/>
      <w:autoSpaceDE w:val="0"/>
      <w:autoSpaceDN w:val="0"/>
      <w:adjustRightInd w:val="0"/>
      <w:jc w:val="center"/>
      <w:textAlignment w:val="baseline"/>
    </w:pPr>
    <w:rPr>
      <w:rFonts w:ascii="Times New Roman" w:hAnsi="Times New Roman"/>
      <w:b/>
      <w:bCs/>
      <w:szCs w:val="20"/>
      <w:lang w:val="nl" w:eastAsia="nl-NL"/>
    </w:rPr>
  </w:style>
  <w:style w:type="paragraph" w:styleId="ListBullet4">
    <w:name w:val="List Bullet 4"/>
    <w:basedOn w:val="Normal"/>
    <w:rsid w:val="001C7BBC"/>
    <w:pPr>
      <w:numPr>
        <w:numId w:val="15"/>
      </w:numPr>
      <w:spacing w:after="240"/>
      <w:jc w:val="both"/>
    </w:pPr>
    <w:rPr>
      <w:rFonts w:ascii="Times New Roman" w:hAnsi="Times New Roman"/>
      <w:sz w:val="24"/>
      <w:szCs w:val="20"/>
      <w:lang w:val="en-GB" w:eastAsia="fr-BE"/>
    </w:rPr>
  </w:style>
  <w:style w:type="character" w:styleId="Emphasis">
    <w:name w:val="Emphasis"/>
    <w:basedOn w:val="DefaultParagraphFont"/>
    <w:uiPriority w:val="20"/>
    <w:qFormat/>
    <w:rsid w:val="006A5E3C"/>
    <w:rPr>
      <w:b/>
      <w:bCs/>
      <w:i w:val="0"/>
      <w:iCs w:val="0"/>
    </w:rPr>
  </w:style>
  <w:style w:type="paragraph" w:styleId="TableofFigures">
    <w:name w:val="table of figures"/>
    <w:basedOn w:val="Normal"/>
    <w:next w:val="Normal"/>
    <w:uiPriority w:val="99"/>
    <w:unhideWhenUsed/>
    <w:rsid w:val="004B49A0"/>
  </w:style>
  <w:style w:type="paragraph" w:customStyle="1" w:styleId="xmsonormal">
    <w:name w:val="x_msonormal"/>
    <w:basedOn w:val="Normal"/>
    <w:rsid w:val="007202FC"/>
    <w:pPr>
      <w:spacing w:before="100" w:beforeAutospacing="1" w:after="100" w:afterAutospacing="1"/>
    </w:pPr>
    <w:rPr>
      <w:rFonts w:ascii="Times New Roman" w:hAnsi="Times New Roman"/>
      <w:sz w:val="24"/>
      <w:lang w:val="pt-PT" w:eastAsia="pt-PT"/>
    </w:rPr>
  </w:style>
  <w:style w:type="paragraph" w:customStyle="1" w:styleId="En-tte1">
    <w:name w:val="En-tête1"/>
    <w:basedOn w:val="Header"/>
    <w:link w:val="HeaderZchn"/>
    <w:rsid w:val="009D5F11"/>
    <w:pPr>
      <w:tabs>
        <w:tab w:val="clear" w:pos="4320"/>
        <w:tab w:val="clear" w:pos="8640"/>
        <w:tab w:val="center" w:pos="4536"/>
        <w:tab w:val="right" w:pos="9072"/>
      </w:tabs>
      <w:spacing w:before="60" w:line="264" w:lineRule="auto"/>
      <w:ind w:left="57"/>
    </w:pPr>
    <w:rPr>
      <w:sz w:val="22"/>
      <w:szCs w:val="20"/>
      <w:lang w:val="nb-NO" w:eastAsia="de-DE"/>
    </w:rPr>
  </w:style>
  <w:style w:type="character" w:customStyle="1" w:styleId="HeaderZchn">
    <w:name w:val="Header Zchn"/>
    <w:link w:val="En-tte1"/>
    <w:rsid w:val="009D5F11"/>
    <w:rPr>
      <w:rFonts w:ascii="Arial" w:hAnsi="Arial"/>
      <w:b/>
      <w:sz w:val="22"/>
      <w:lang w:val="nb-NO" w:eastAsia="de-DE"/>
    </w:rPr>
  </w:style>
  <w:style w:type="paragraph" w:customStyle="1" w:styleId="AddressTR">
    <w:name w:val="AddressTR"/>
    <w:basedOn w:val="Normal"/>
    <w:next w:val="Normal"/>
    <w:rsid w:val="00C57BAF"/>
    <w:pPr>
      <w:spacing w:after="720"/>
      <w:ind w:left="5103"/>
    </w:pPr>
    <w:rPr>
      <w:rFonts w:ascii="Times New Roman" w:hAnsi="Times New Roman"/>
      <w:sz w:val="24"/>
      <w:szCs w:val="20"/>
      <w:lang w:val="en-GB" w:eastAsia="fr-BE"/>
    </w:rPr>
  </w:style>
  <w:style w:type="paragraph" w:styleId="Date">
    <w:name w:val="Date"/>
    <w:basedOn w:val="Normal"/>
    <w:next w:val="References"/>
    <w:link w:val="DateChar"/>
    <w:rsid w:val="00C57BAF"/>
    <w:pPr>
      <w:ind w:left="5103" w:right="-567"/>
    </w:pPr>
    <w:rPr>
      <w:rFonts w:ascii="Times New Roman" w:hAnsi="Times New Roman"/>
      <w:sz w:val="24"/>
      <w:szCs w:val="20"/>
      <w:lang w:val="en-GB" w:eastAsia="fr-BE"/>
    </w:rPr>
  </w:style>
  <w:style w:type="character" w:customStyle="1" w:styleId="DateChar">
    <w:name w:val="Date Char"/>
    <w:basedOn w:val="DefaultParagraphFont"/>
    <w:link w:val="Date"/>
    <w:rsid w:val="00C57BAF"/>
    <w:rPr>
      <w:sz w:val="24"/>
      <w:lang w:eastAsia="fr-BE"/>
    </w:rPr>
  </w:style>
  <w:style w:type="paragraph" w:customStyle="1" w:styleId="References">
    <w:name w:val="References"/>
    <w:basedOn w:val="Normal"/>
    <w:next w:val="AddressTR"/>
    <w:rsid w:val="00C57BAF"/>
    <w:pPr>
      <w:spacing w:after="240"/>
      <w:ind w:left="5103"/>
    </w:pPr>
    <w:rPr>
      <w:rFonts w:ascii="Times New Roman" w:hAnsi="Times New Roman"/>
      <w:szCs w:val="20"/>
      <w:lang w:val="en-GB" w:eastAsia="fr-BE"/>
    </w:rPr>
  </w:style>
  <w:style w:type="paragraph" w:styleId="ListBullet3">
    <w:name w:val="List Bullet 3"/>
    <w:basedOn w:val="Normal"/>
    <w:rsid w:val="00C57BAF"/>
    <w:pPr>
      <w:numPr>
        <w:numId w:val="25"/>
      </w:numPr>
      <w:spacing w:after="240"/>
      <w:jc w:val="both"/>
    </w:pPr>
    <w:rPr>
      <w:rFonts w:ascii="Times New Roman" w:hAnsi="Times New Roman"/>
      <w:sz w:val="24"/>
      <w:szCs w:val="20"/>
      <w:lang w:val="en-GB" w:eastAsia="fr-BE"/>
    </w:rPr>
  </w:style>
  <w:style w:type="paragraph" w:styleId="ListNumber4">
    <w:name w:val="List Number 4"/>
    <w:basedOn w:val="Normal"/>
    <w:rsid w:val="00C57BAF"/>
    <w:pPr>
      <w:numPr>
        <w:numId w:val="26"/>
      </w:numPr>
      <w:spacing w:after="240"/>
      <w:jc w:val="both"/>
    </w:pPr>
    <w:rPr>
      <w:rFonts w:ascii="Times New Roman" w:hAnsi="Times New Roman"/>
      <w:sz w:val="24"/>
      <w:szCs w:val="20"/>
      <w:lang w:val="en-GB" w:eastAsia="fr-BE"/>
    </w:rPr>
  </w:style>
  <w:style w:type="paragraph" w:customStyle="1" w:styleId="ListNumber4Level2">
    <w:name w:val="List Number 4 (Level 2)"/>
    <w:basedOn w:val="Normal"/>
    <w:rsid w:val="00C57BAF"/>
    <w:pPr>
      <w:numPr>
        <w:ilvl w:val="1"/>
        <w:numId w:val="26"/>
      </w:numPr>
      <w:spacing w:after="240"/>
      <w:jc w:val="both"/>
    </w:pPr>
    <w:rPr>
      <w:rFonts w:ascii="Times New Roman" w:hAnsi="Times New Roman"/>
      <w:sz w:val="24"/>
      <w:szCs w:val="20"/>
      <w:lang w:val="en-GB" w:eastAsia="fr-BE"/>
    </w:rPr>
  </w:style>
  <w:style w:type="paragraph" w:customStyle="1" w:styleId="ListNumber4Level3">
    <w:name w:val="List Number 4 (Level 3)"/>
    <w:basedOn w:val="Normal"/>
    <w:rsid w:val="00C57BAF"/>
    <w:pPr>
      <w:numPr>
        <w:ilvl w:val="2"/>
        <w:numId w:val="26"/>
      </w:numPr>
      <w:spacing w:after="240"/>
      <w:jc w:val="both"/>
    </w:pPr>
    <w:rPr>
      <w:rFonts w:ascii="Times New Roman" w:hAnsi="Times New Roman"/>
      <w:sz w:val="24"/>
      <w:szCs w:val="20"/>
      <w:lang w:val="en-GB" w:eastAsia="fr-BE"/>
    </w:rPr>
  </w:style>
  <w:style w:type="paragraph" w:customStyle="1" w:styleId="ListNumber4Level4">
    <w:name w:val="List Number 4 (Level 4)"/>
    <w:basedOn w:val="Normal"/>
    <w:rsid w:val="00C57BAF"/>
    <w:pPr>
      <w:numPr>
        <w:ilvl w:val="3"/>
        <w:numId w:val="26"/>
      </w:numPr>
      <w:spacing w:after="240"/>
      <w:jc w:val="both"/>
    </w:pPr>
    <w:rPr>
      <w:rFonts w:ascii="Times New Roman" w:hAnsi="Times New Roman"/>
      <w:sz w:val="24"/>
      <w:szCs w:val="20"/>
      <w:lang w:val="en-GB" w:eastAsia="fr-BE"/>
    </w:rPr>
  </w:style>
  <w:style w:type="paragraph" w:customStyle="1" w:styleId="ZCom">
    <w:name w:val="Z_Com"/>
    <w:basedOn w:val="Normal"/>
    <w:next w:val="ZDGName"/>
    <w:rsid w:val="00C57BAF"/>
    <w:pPr>
      <w:widowControl w:val="0"/>
      <w:ind w:right="85"/>
      <w:jc w:val="both"/>
    </w:pPr>
    <w:rPr>
      <w:snapToGrid w:val="0"/>
      <w:sz w:val="24"/>
      <w:szCs w:val="20"/>
      <w:lang w:val="en-GB"/>
    </w:rPr>
  </w:style>
  <w:style w:type="paragraph" w:customStyle="1" w:styleId="ZDGName">
    <w:name w:val="Z_DGName"/>
    <w:basedOn w:val="Normal"/>
    <w:rsid w:val="00C57BAF"/>
    <w:pPr>
      <w:widowControl w:val="0"/>
      <w:ind w:right="85"/>
    </w:pPr>
    <w:rPr>
      <w:snapToGrid w:val="0"/>
      <w:sz w:val="16"/>
      <w:szCs w:val="20"/>
      <w:lang w:val="en-GB"/>
    </w:rPr>
  </w:style>
  <w:style w:type="paragraph" w:customStyle="1" w:styleId="CarCar">
    <w:name w:val="Car Car"/>
    <w:basedOn w:val="Normal"/>
    <w:rsid w:val="00C57BAF"/>
    <w:pPr>
      <w:tabs>
        <w:tab w:val="left" w:pos="540"/>
        <w:tab w:val="left" w:pos="1260"/>
        <w:tab w:val="left" w:pos="1800"/>
      </w:tabs>
      <w:spacing w:before="240" w:after="160" w:line="240" w:lineRule="exact"/>
    </w:pPr>
    <w:rPr>
      <w:rFonts w:ascii="Verdana" w:hAnsi="Verdana"/>
      <w:sz w:val="24"/>
      <w:szCs w:val="20"/>
    </w:rPr>
  </w:style>
  <w:style w:type="paragraph" w:styleId="NoSpacing">
    <w:name w:val="No Spacing"/>
    <w:uiPriority w:val="99"/>
    <w:qFormat/>
    <w:rsid w:val="00677B54"/>
    <w:rPr>
      <w:rFonts w:ascii="Arial" w:eastAsia="Calibri" w:hAnsi="Arial"/>
      <w:sz w:val="24"/>
      <w:szCs w:val="24"/>
    </w:rPr>
  </w:style>
  <w:style w:type="table" w:customStyle="1" w:styleId="TableGrid2">
    <w:name w:val="Table Grid2"/>
    <w:basedOn w:val="TableNormal"/>
    <w:next w:val="TableGrid"/>
    <w:uiPriority w:val="59"/>
    <w:rsid w:val="00677B5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OC51">
    <w:name w:val="TOC 51"/>
    <w:basedOn w:val="Normal"/>
    <w:next w:val="Normal"/>
    <w:autoRedefine/>
    <w:uiPriority w:val="39"/>
    <w:unhideWhenUsed/>
    <w:rsid w:val="00677B54"/>
    <w:pPr>
      <w:spacing w:after="100" w:line="276" w:lineRule="auto"/>
      <w:ind w:left="880"/>
    </w:pPr>
    <w:rPr>
      <w:rFonts w:ascii="Cambria" w:hAnsi="Cambria"/>
      <w:sz w:val="22"/>
      <w:szCs w:val="22"/>
      <w:lang w:val="da-DK" w:eastAsia="da-DK"/>
    </w:rPr>
  </w:style>
  <w:style w:type="paragraph" w:customStyle="1" w:styleId="TOC61">
    <w:name w:val="TOC 61"/>
    <w:basedOn w:val="Normal"/>
    <w:next w:val="Normal"/>
    <w:autoRedefine/>
    <w:uiPriority w:val="39"/>
    <w:unhideWhenUsed/>
    <w:rsid w:val="00677B54"/>
    <w:pPr>
      <w:spacing w:after="100" w:line="276" w:lineRule="auto"/>
      <w:ind w:left="1100"/>
    </w:pPr>
    <w:rPr>
      <w:rFonts w:ascii="Cambria" w:hAnsi="Cambria"/>
      <w:sz w:val="22"/>
      <w:szCs w:val="22"/>
      <w:lang w:val="da-DK" w:eastAsia="da-DK"/>
    </w:rPr>
  </w:style>
  <w:style w:type="paragraph" w:customStyle="1" w:styleId="TOC71">
    <w:name w:val="TOC 71"/>
    <w:basedOn w:val="Normal"/>
    <w:next w:val="Normal"/>
    <w:autoRedefine/>
    <w:uiPriority w:val="39"/>
    <w:unhideWhenUsed/>
    <w:rsid w:val="00677B54"/>
    <w:pPr>
      <w:spacing w:after="100" w:line="276" w:lineRule="auto"/>
      <w:ind w:left="1320"/>
    </w:pPr>
    <w:rPr>
      <w:rFonts w:ascii="Cambria" w:hAnsi="Cambria"/>
      <w:sz w:val="22"/>
      <w:szCs w:val="22"/>
      <w:lang w:val="da-DK" w:eastAsia="da-DK"/>
    </w:rPr>
  </w:style>
  <w:style w:type="paragraph" w:customStyle="1" w:styleId="TOC81">
    <w:name w:val="TOC 81"/>
    <w:basedOn w:val="Normal"/>
    <w:next w:val="Normal"/>
    <w:autoRedefine/>
    <w:uiPriority w:val="39"/>
    <w:unhideWhenUsed/>
    <w:rsid w:val="00677B54"/>
    <w:pPr>
      <w:spacing w:after="100" w:line="276" w:lineRule="auto"/>
      <w:ind w:left="1540"/>
    </w:pPr>
    <w:rPr>
      <w:rFonts w:ascii="Cambria" w:hAnsi="Cambria"/>
      <w:sz w:val="22"/>
      <w:szCs w:val="22"/>
      <w:lang w:val="da-DK" w:eastAsia="da-DK"/>
    </w:rPr>
  </w:style>
  <w:style w:type="paragraph" w:customStyle="1" w:styleId="TOC91">
    <w:name w:val="TOC 91"/>
    <w:basedOn w:val="Normal"/>
    <w:next w:val="Normal"/>
    <w:autoRedefine/>
    <w:uiPriority w:val="39"/>
    <w:unhideWhenUsed/>
    <w:rsid w:val="00677B54"/>
    <w:pPr>
      <w:spacing w:after="100" w:line="276" w:lineRule="auto"/>
      <w:ind w:left="1760"/>
    </w:pPr>
    <w:rPr>
      <w:rFonts w:ascii="Cambria" w:hAnsi="Cambria"/>
      <w:sz w:val="22"/>
      <w:szCs w:val="22"/>
      <w:lang w:val="da-DK" w:eastAsia="da-DK"/>
    </w:rPr>
  </w:style>
  <w:style w:type="paragraph" w:customStyle="1" w:styleId="EndnoteText1">
    <w:name w:val="Endnote Text1"/>
    <w:basedOn w:val="Normal"/>
    <w:next w:val="EndnoteText"/>
    <w:uiPriority w:val="99"/>
    <w:semiHidden/>
    <w:unhideWhenUsed/>
    <w:rsid w:val="00677B54"/>
    <w:rPr>
      <w:rFonts w:ascii="Cambria" w:eastAsia="Cambria" w:hAnsi="Cambria"/>
      <w:sz w:val="22"/>
      <w:szCs w:val="22"/>
      <w:lang w:val="da-DK" w:eastAsia="da-DK"/>
    </w:rPr>
  </w:style>
  <w:style w:type="numbering" w:customStyle="1" w:styleId="NoList11">
    <w:name w:val="No List11"/>
    <w:next w:val="NoList"/>
    <w:semiHidden/>
    <w:unhideWhenUsed/>
    <w:rsid w:val="00677B54"/>
  </w:style>
  <w:style w:type="table" w:customStyle="1" w:styleId="TableGrid11">
    <w:name w:val="Table Grid11"/>
    <w:basedOn w:val="TableNormal"/>
    <w:next w:val="TableGrid"/>
    <w:rsid w:val="00677B54"/>
    <w:pPr>
      <w:overflowPunct w:val="0"/>
      <w:autoSpaceDE w:val="0"/>
      <w:autoSpaceDN w:val="0"/>
      <w:adjustRightInd w:val="0"/>
      <w:textAlignment w:val="baseline"/>
    </w:pPr>
    <w:rPr>
      <w:lang w:val="da-DK" w:eastAsia="da-DK"/>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ndnoteTextChar1">
    <w:name w:val="Endnote Text Char1"/>
    <w:basedOn w:val="DefaultParagraphFont"/>
    <w:uiPriority w:val="99"/>
    <w:semiHidden/>
    <w:rsid w:val="00677B54"/>
    <w:rPr>
      <w:sz w:val="20"/>
      <w:szCs w:val="20"/>
      <w:lang w:val="en-GB" w:eastAsia="en-US"/>
    </w:rPr>
  </w:style>
  <w:style w:type="paragraph" w:customStyle="1" w:styleId="xmsolistparagraph">
    <w:name w:val="x_msolistparagraph"/>
    <w:basedOn w:val="Normal"/>
    <w:rsid w:val="0025720A"/>
    <w:pPr>
      <w:spacing w:before="100" w:beforeAutospacing="1" w:after="100" w:afterAutospacing="1"/>
    </w:pPr>
    <w:rPr>
      <w:rFonts w:ascii="Times New Roman" w:hAnsi="Times New Roman"/>
      <w:sz w:val="24"/>
      <w:lang w:val="pt-PT" w:eastAsia="pt-PT"/>
    </w:rPr>
  </w:style>
  <w:style w:type="paragraph" w:customStyle="1" w:styleId="Text1">
    <w:name w:val="Text 1"/>
    <w:basedOn w:val="Normal"/>
    <w:rsid w:val="00BC6EB8"/>
    <w:pPr>
      <w:spacing w:after="240"/>
      <w:ind w:left="482"/>
      <w:jc w:val="both"/>
    </w:pPr>
    <w:rPr>
      <w:rFonts w:ascii="Times New Roman" w:hAnsi="Times New Roman"/>
      <w:sz w:val="24"/>
      <w:szCs w:val="20"/>
      <w:lang w:val="en-GB" w:eastAsia="fr-BE"/>
    </w:rPr>
  </w:style>
  <w:style w:type="paragraph" w:styleId="ListBullet">
    <w:name w:val="List Bullet"/>
    <w:basedOn w:val="Normal"/>
    <w:rsid w:val="00BC6EB8"/>
    <w:pPr>
      <w:numPr>
        <w:numId w:val="28"/>
      </w:numPr>
      <w:spacing w:after="240"/>
      <w:jc w:val="both"/>
    </w:pPr>
    <w:rPr>
      <w:rFonts w:ascii="Times New Roman" w:hAnsi="Times New Roman"/>
      <w:sz w:val="24"/>
      <w:szCs w:val="20"/>
      <w:lang w:val="en-GB" w:eastAsia="fr-BE"/>
    </w:rPr>
  </w:style>
  <w:style w:type="paragraph" w:customStyle="1" w:styleId="Header3">
    <w:name w:val="Header3"/>
    <w:basedOn w:val="Header"/>
    <w:rsid w:val="000234FD"/>
    <w:pPr>
      <w:tabs>
        <w:tab w:val="clear" w:pos="4320"/>
        <w:tab w:val="clear" w:pos="8640"/>
        <w:tab w:val="center" w:pos="4536"/>
        <w:tab w:val="right" w:pos="9072"/>
      </w:tabs>
    </w:pPr>
    <w:rPr>
      <w:sz w:val="22"/>
      <w:szCs w:val="20"/>
      <w:lang w:val="nb-NO" w:eastAsia="de-DE"/>
    </w:rPr>
  </w:style>
  <w:style w:type="paragraph" w:customStyle="1" w:styleId="Header2">
    <w:name w:val="Header2"/>
    <w:basedOn w:val="Header"/>
    <w:rsid w:val="004552BC"/>
    <w:pPr>
      <w:tabs>
        <w:tab w:val="clear" w:pos="4320"/>
        <w:tab w:val="clear" w:pos="8640"/>
        <w:tab w:val="center" w:pos="4536"/>
        <w:tab w:val="right" w:pos="9072"/>
      </w:tabs>
    </w:pPr>
    <w:rPr>
      <w:sz w:val="22"/>
      <w:szCs w:val="20"/>
      <w:lang w:val="nb-NO" w:eastAsia="de-DE"/>
    </w:rPr>
  </w:style>
  <w:style w:type="table" w:customStyle="1" w:styleId="LightList-Accent11">
    <w:name w:val="Light List - Accent 11"/>
    <w:basedOn w:val="TableNormal"/>
    <w:uiPriority w:val="61"/>
    <w:rsid w:val="0042593E"/>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customStyle="1" w:styleId="TableText0">
    <w:name w:val="TableText"/>
    <w:basedOn w:val="BodyTextIndent"/>
    <w:rsid w:val="00C55CB6"/>
    <w:pPr>
      <w:keepNext/>
      <w:keepLines/>
      <w:overflowPunct w:val="0"/>
      <w:autoSpaceDE w:val="0"/>
      <w:autoSpaceDN w:val="0"/>
      <w:adjustRightInd w:val="0"/>
      <w:spacing w:after="180"/>
      <w:ind w:left="0"/>
      <w:jc w:val="center"/>
      <w:textAlignment w:val="baseline"/>
    </w:pPr>
    <w:rPr>
      <w:rFonts w:ascii="Times New Roman" w:hAnsi="Times New Roman"/>
      <w:snapToGrid w:val="0"/>
      <w:kern w:val="2"/>
      <w:szCs w:val="20"/>
      <w:lang w:val="en-GB"/>
    </w:rPr>
  </w:style>
  <w:style w:type="paragraph" w:styleId="BodyTextIndent">
    <w:name w:val="Body Text Indent"/>
    <w:basedOn w:val="Normal"/>
    <w:link w:val="BodyTextIndentChar"/>
    <w:uiPriority w:val="99"/>
    <w:semiHidden/>
    <w:unhideWhenUsed/>
    <w:rsid w:val="00C55CB6"/>
    <w:pPr>
      <w:spacing w:after="120"/>
      <w:ind w:left="283"/>
    </w:pPr>
  </w:style>
  <w:style w:type="character" w:customStyle="1" w:styleId="BodyTextIndentChar">
    <w:name w:val="Body Text Indent Char"/>
    <w:basedOn w:val="DefaultParagraphFont"/>
    <w:link w:val="BodyTextIndent"/>
    <w:uiPriority w:val="99"/>
    <w:semiHidden/>
    <w:rsid w:val="00C55CB6"/>
    <w:rPr>
      <w:rFonts w:ascii="Arial" w:hAnsi="Arial"/>
      <w:szCs w:val="24"/>
      <w:lang w:val="en-US"/>
    </w:rPr>
  </w:style>
  <w:style w:type="character" w:customStyle="1" w:styleId="CaptionChar">
    <w:name w:val="Caption Char"/>
    <w:aliases w:val="Ca Char,Figure-caption Char,CAPTION Char,Figure-caption1 Char,CAPTION1 Char,Figure Caption1 Char,Figure-caption2 Char,CAPTION2 Char,Figure Caption2 Char,Figure-caption3 Char,CAPTION3 Char,Figure Caption3 Char,Figure-caption4 Char"/>
    <w:link w:val="Caption"/>
    <w:locked/>
    <w:rsid w:val="00C55CB6"/>
    <w:rPr>
      <w:rFonts w:ascii="Arial" w:hAnsi="Arial"/>
      <w:b/>
      <w:bCs/>
      <w:color w:val="D2232A"/>
      <w:lang w:val="en-US"/>
    </w:rPr>
  </w:style>
  <w:style w:type="table" w:customStyle="1" w:styleId="Tabellenraster5">
    <w:name w:val="Tabellenraster5"/>
    <w:basedOn w:val="TableNormal"/>
    <w:next w:val="TableGrid"/>
    <w:uiPriority w:val="59"/>
    <w:rsid w:val="000D7A4A"/>
    <w:rPr>
      <w:rFonts w:ascii="Arial" w:eastAsia="Calibri" w:hAnsi="Arial" w:cs="Arial"/>
      <w:sz w:val="22"/>
      <w:szCs w:val="22"/>
      <w:lang w:val="de-D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CCParagraphZchn">
    <w:name w:val="ECC Paragraph Zchn"/>
    <w:link w:val="ECCParagraph"/>
    <w:locked/>
    <w:rsid w:val="007931AD"/>
    <w:rPr>
      <w:rFonts w:ascii="Arial" w:hAnsi="Arial"/>
      <w:szCs w:val="24"/>
    </w:rPr>
  </w:style>
  <w:style w:type="paragraph" w:customStyle="1" w:styleId="CharChar1CharCharCharCharCharChar2Car">
    <w:name w:val="Char Char1 Char Char Char Char Char Char2 Car"/>
    <w:basedOn w:val="Normal"/>
    <w:rsid w:val="00662240"/>
    <w:pPr>
      <w:tabs>
        <w:tab w:val="left" w:pos="540"/>
        <w:tab w:val="left" w:pos="1260"/>
        <w:tab w:val="left" w:pos="1800"/>
      </w:tabs>
      <w:spacing w:before="240" w:after="160" w:line="240" w:lineRule="exact"/>
    </w:pPr>
    <w:rPr>
      <w:rFonts w:ascii="Verdana" w:hAnsi="Verdana"/>
      <w:sz w:val="24"/>
      <w:szCs w:val="20"/>
    </w:rPr>
  </w:style>
  <w:style w:type="paragraph" w:customStyle="1" w:styleId="ECCAnnex-heading1">
    <w:name w:val="ECC Annex - heading1"/>
    <w:basedOn w:val="Heading1"/>
    <w:next w:val="ECCParagraph"/>
    <w:rsid w:val="00A9349D"/>
    <w:pPr>
      <w:pageBreakBefore w:val="0"/>
      <w:numPr>
        <w:numId w:val="0"/>
      </w:numPr>
      <w:tabs>
        <w:tab w:val="left" w:pos="426"/>
      </w:tabs>
      <w:spacing w:before="400"/>
    </w:pPr>
    <w:rPr>
      <w:b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GB"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1"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index 1" w:uiPriority="0"/>
    <w:lsdException w:name="index 2" w:uiPriority="0"/>
    <w:lsdException w:name="index 3" w:uiPriority="0"/>
    <w:lsdException w:name="index 4" w:uiPriority="0"/>
    <w:lsdException w:name="index 5" w:uiPriority="0"/>
    <w:lsdException w:name="index 6" w:uiPriority="0"/>
    <w:lsdException w:name="index 7" w:uiPriority="0"/>
    <w:lsdException w:name="index 8" w:uiPriority="0"/>
    <w:lsdException w:name="index 9" w:uiPriority="0"/>
    <w:lsdException w:name="toc 1" w:uiPriority="39"/>
    <w:lsdException w:name="toc 2" w:uiPriority="39"/>
    <w:lsdException w:name="toc 3" w:uiPriority="39"/>
    <w:lsdException w:name="toc 4" w:uiPriority="0"/>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footer" w:uiPriority="0"/>
    <w:lsdException w:name="index heading" w:uiPriority="0"/>
    <w:lsdException w:name="caption" w:uiPriority="0" w:qFormat="1"/>
    <w:lsdException w:name="footnote reference" w:uiPriority="0"/>
    <w:lsdException w:name="page number" w:uiPriority="0"/>
    <w:lsdException w:name="List Bullet" w:uiPriority="0"/>
    <w:lsdException w:name="List Number" w:uiPriority="0"/>
    <w:lsdException w:name="List Bullet 3" w:uiPriority="0"/>
    <w:lsdException w:name="List Bullet 4" w:uiPriority="0"/>
    <w:lsdException w:name="List Number 4" w:uiPriority="0"/>
    <w:lsdException w:name="Title" w:semiHidden="0" w:uiPriority="10" w:unhideWhenUsed="0" w:qFormat="1"/>
    <w:lsdException w:name="Default Paragraph Font" w:uiPriority="1"/>
    <w:lsdException w:name="Subtitle" w:semiHidden="0" w:uiPriority="11" w:unhideWhenUsed="0" w:qFormat="1"/>
    <w:lsdException w:name="Date" w:uiPriority="0"/>
    <w:lsdException w:name="Body Text Indent 2" w:uiPriority="0"/>
    <w:lsdException w:name="Strong" w:semiHidden="0" w:uiPriority="22" w:unhideWhenUsed="0" w:qFormat="1"/>
    <w:lsdException w:name="Emphasis" w:semiHidden="0" w:uiPriority="20" w:unhideWhenUsed="0" w:qFormat="1"/>
    <w:lsdException w:name="Document Map" w:uiPriority="0"/>
    <w:lsdException w:name="Table Grid" w:semiHidden="0" w:uiPriority="0" w:unhideWhenUsed="0"/>
    <w:lsdException w:name="Placeholder Text" w:unhideWhenUsed="0"/>
    <w:lsdException w:name="No Spacing"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2126B"/>
    <w:rPr>
      <w:rFonts w:ascii="Arial" w:hAnsi="Arial"/>
      <w:szCs w:val="24"/>
      <w:lang w:val="en-US"/>
    </w:rPr>
  </w:style>
  <w:style w:type="paragraph" w:styleId="Heading1">
    <w:name w:val="heading 1"/>
    <w:aliases w:val="ECC Heading 1"/>
    <w:basedOn w:val="Normal"/>
    <w:next w:val="ECCParagraph"/>
    <w:link w:val="Heading1Char"/>
    <w:autoRedefine/>
    <w:uiPriority w:val="1"/>
    <w:qFormat/>
    <w:rsid w:val="00176CF0"/>
    <w:pPr>
      <w:keepNext/>
      <w:pageBreakBefore/>
      <w:numPr>
        <w:numId w:val="2"/>
      </w:numPr>
      <w:spacing w:before="600" w:after="240"/>
      <w:outlineLvl w:val="0"/>
    </w:pPr>
    <w:rPr>
      <w:rFonts w:cs="Arial"/>
      <w:b/>
      <w:caps/>
      <w:color w:val="D2232A"/>
      <w:kern w:val="32"/>
      <w:szCs w:val="32"/>
      <w:lang w:val="en-GB"/>
    </w:rPr>
  </w:style>
  <w:style w:type="paragraph" w:styleId="Heading2">
    <w:name w:val="heading 2"/>
    <w:aliases w:val="ECC Heading 2,h2,H2,h21,Heading Two,R2,l2,Sub-section"/>
    <w:basedOn w:val="Normal"/>
    <w:next w:val="ECCParagraph"/>
    <w:link w:val="Heading2Char"/>
    <w:autoRedefine/>
    <w:qFormat/>
    <w:rsid w:val="008E5B81"/>
    <w:pPr>
      <w:keepNext/>
      <w:numPr>
        <w:ilvl w:val="1"/>
        <w:numId w:val="2"/>
      </w:numPr>
      <w:spacing w:before="480" w:after="240"/>
      <w:outlineLvl w:val="1"/>
    </w:pPr>
    <w:rPr>
      <w:rFonts w:cs="Arial"/>
      <w:b/>
      <w:bCs/>
      <w:iCs/>
      <w:caps/>
      <w:szCs w:val="28"/>
    </w:rPr>
  </w:style>
  <w:style w:type="paragraph" w:styleId="Heading3">
    <w:name w:val="heading 3"/>
    <w:aliases w:val="ECC Heading 3,h3,3"/>
    <w:basedOn w:val="Normal"/>
    <w:next w:val="ECCParagraph"/>
    <w:link w:val="Heading3Char"/>
    <w:autoRedefine/>
    <w:qFormat/>
    <w:rsid w:val="003435C2"/>
    <w:pPr>
      <w:keepNext/>
      <w:numPr>
        <w:ilvl w:val="2"/>
        <w:numId w:val="2"/>
      </w:numPr>
      <w:spacing w:before="360" w:after="120"/>
      <w:outlineLvl w:val="2"/>
    </w:pPr>
    <w:rPr>
      <w:rFonts w:eastAsiaTheme="minorEastAsia" w:cs="Arial"/>
      <w:b/>
      <w:szCs w:val="20"/>
    </w:rPr>
  </w:style>
  <w:style w:type="paragraph" w:styleId="Heading4">
    <w:name w:val="heading 4"/>
    <w:aliases w:val="ECC Heading 4"/>
    <w:basedOn w:val="Normal"/>
    <w:next w:val="ECCParagraph"/>
    <w:autoRedefine/>
    <w:qFormat/>
    <w:rsid w:val="0071779A"/>
    <w:pPr>
      <w:keepNext/>
      <w:spacing w:before="360" w:after="120"/>
      <w:outlineLvl w:val="3"/>
    </w:pPr>
    <w:rPr>
      <w:rFonts w:cs="Arial"/>
      <w:bCs/>
      <w:i/>
      <w:color w:val="D2232A"/>
      <w:szCs w:val="26"/>
    </w:rPr>
  </w:style>
  <w:style w:type="paragraph" w:styleId="Heading5">
    <w:name w:val="heading 5"/>
    <w:basedOn w:val="Normal"/>
    <w:next w:val="Normal"/>
    <w:link w:val="Heading5Char"/>
    <w:qFormat/>
    <w:rsid w:val="009E47EB"/>
    <w:pPr>
      <w:numPr>
        <w:ilvl w:val="4"/>
        <w:numId w:val="2"/>
      </w:numPr>
      <w:spacing w:before="240" w:after="60"/>
      <w:outlineLvl w:val="4"/>
    </w:pPr>
    <w:rPr>
      <w:b/>
      <w:bCs/>
      <w:i/>
      <w:iCs/>
      <w:sz w:val="26"/>
      <w:szCs w:val="26"/>
    </w:rPr>
  </w:style>
  <w:style w:type="paragraph" w:styleId="Heading6">
    <w:name w:val="heading 6"/>
    <w:basedOn w:val="Normal"/>
    <w:next w:val="Normal"/>
    <w:link w:val="Heading6Char"/>
    <w:qFormat/>
    <w:rsid w:val="009E47EB"/>
    <w:pPr>
      <w:numPr>
        <w:ilvl w:val="5"/>
        <w:numId w:val="2"/>
      </w:numPr>
      <w:spacing w:before="240" w:after="60"/>
      <w:outlineLvl w:val="5"/>
    </w:pPr>
    <w:rPr>
      <w:b/>
      <w:bCs/>
      <w:sz w:val="22"/>
      <w:szCs w:val="22"/>
    </w:rPr>
  </w:style>
  <w:style w:type="paragraph" w:styleId="Heading7">
    <w:name w:val="heading 7"/>
    <w:basedOn w:val="Normal"/>
    <w:next w:val="Normal"/>
    <w:link w:val="Heading7Char"/>
    <w:qFormat/>
    <w:rsid w:val="009E47EB"/>
    <w:pPr>
      <w:numPr>
        <w:ilvl w:val="6"/>
        <w:numId w:val="2"/>
      </w:numPr>
      <w:spacing w:before="240" w:after="60"/>
      <w:outlineLvl w:val="6"/>
    </w:pPr>
    <w:rPr>
      <w:sz w:val="24"/>
    </w:rPr>
  </w:style>
  <w:style w:type="paragraph" w:styleId="Heading8">
    <w:name w:val="heading 8"/>
    <w:basedOn w:val="Normal"/>
    <w:next w:val="Normal"/>
    <w:link w:val="Heading8Char"/>
    <w:qFormat/>
    <w:rsid w:val="009E47EB"/>
    <w:pPr>
      <w:numPr>
        <w:ilvl w:val="7"/>
        <w:numId w:val="2"/>
      </w:numPr>
      <w:spacing w:before="240" w:after="60"/>
      <w:outlineLvl w:val="7"/>
    </w:pPr>
    <w:rPr>
      <w:i/>
      <w:iCs/>
      <w:sz w:val="24"/>
    </w:rPr>
  </w:style>
  <w:style w:type="paragraph" w:styleId="Heading9">
    <w:name w:val="heading 9"/>
    <w:basedOn w:val="Normal"/>
    <w:next w:val="Normal"/>
    <w:link w:val="Heading9Char"/>
    <w:qFormat/>
    <w:rsid w:val="009E47EB"/>
    <w:pPr>
      <w:numPr>
        <w:ilvl w:val="8"/>
        <w:numId w:val="2"/>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Paragraph">
    <w:name w:val="ECC Paragraph"/>
    <w:basedOn w:val="Normal"/>
    <w:link w:val="ECCParagraphZchn"/>
    <w:rsid w:val="004E66F0"/>
    <w:pPr>
      <w:spacing w:after="240"/>
      <w:jc w:val="both"/>
    </w:pPr>
    <w:rPr>
      <w:lang w:val="en-GB"/>
    </w:rPr>
  </w:style>
  <w:style w:type="paragraph" w:customStyle="1" w:styleId="ECCParBulleted">
    <w:name w:val="ECC Par Bulleted"/>
    <w:basedOn w:val="ECCParagraph"/>
    <w:uiPriority w:val="99"/>
    <w:rsid w:val="000904F8"/>
    <w:pPr>
      <w:numPr>
        <w:numId w:val="1"/>
      </w:numPr>
      <w:spacing w:after="120"/>
    </w:pPr>
  </w:style>
  <w:style w:type="paragraph" w:styleId="Header">
    <w:name w:val="header"/>
    <w:aliases w:val="encabezado,he,header odd,header odd1,header odd2"/>
    <w:basedOn w:val="Normal"/>
    <w:link w:val="HeaderChar"/>
    <w:rsid w:val="00C95C7C"/>
    <w:pPr>
      <w:tabs>
        <w:tab w:val="center" w:pos="4320"/>
        <w:tab w:val="right" w:pos="8640"/>
      </w:tabs>
    </w:pPr>
    <w:rPr>
      <w:b/>
      <w:sz w:val="16"/>
    </w:rPr>
  </w:style>
  <w:style w:type="paragraph" w:styleId="Footer">
    <w:name w:val="footer"/>
    <w:basedOn w:val="Normal"/>
    <w:link w:val="FooterChar"/>
    <w:rsid w:val="0077244E"/>
    <w:pPr>
      <w:tabs>
        <w:tab w:val="center" w:pos="4320"/>
        <w:tab w:val="right" w:pos="8640"/>
      </w:tabs>
    </w:pPr>
  </w:style>
  <w:style w:type="paragraph" w:customStyle="1" w:styleId="ECCAnnexheading1">
    <w:name w:val="ECC Annex heading1"/>
    <w:basedOn w:val="Heading1"/>
    <w:next w:val="ECCParagraph"/>
    <w:uiPriority w:val="99"/>
    <w:rsid w:val="00550D79"/>
    <w:pPr>
      <w:numPr>
        <w:numId w:val="4"/>
      </w:numPr>
    </w:pPr>
  </w:style>
  <w:style w:type="paragraph" w:styleId="TOC1">
    <w:name w:val="toc 1"/>
    <w:basedOn w:val="Normal"/>
    <w:next w:val="Normal"/>
    <w:autoRedefine/>
    <w:uiPriority w:val="39"/>
    <w:rsid w:val="006B4E9D"/>
    <w:pPr>
      <w:tabs>
        <w:tab w:val="left" w:pos="360"/>
        <w:tab w:val="right" w:leader="dot" w:pos="9629"/>
      </w:tabs>
      <w:spacing w:before="240"/>
      <w:ind w:left="284" w:hanging="284"/>
    </w:pPr>
    <w:rPr>
      <w:b/>
      <w:caps/>
    </w:rPr>
  </w:style>
  <w:style w:type="character" w:styleId="Hyperlink">
    <w:name w:val="Hyperlink"/>
    <w:basedOn w:val="DefaultParagraphFont"/>
    <w:uiPriority w:val="99"/>
    <w:rsid w:val="00A82384"/>
    <w:rPr>
      <w:color w:val="0000FF"/>
      <w:u w:val="single"/>
    </w:rPr>
  </w:style>
  <w:style w:type="paragraph" w:styleId="TOC2">
    <w:name w:val="toc 2"/>
    <w:basedOn w:val="Normal"/>
    <w:next w:val="Normal"/>
    <w:autoRedefine/>
    <w:uiPriority w:val="39"/>
    <w:rsid w:val="009D0842"/>
    <w:pPr>
      <w:tabs>
        <w:tab w:val="left" w:pos="900"/>
        <w:tab w:val="right" w:leader="dot" w:pos="9629"/>
      </w:tabs>
      <w:ind w:left="851" w:hanging="491"/>
    </w:pPr>
  </w:style>
  <w:style w:type="paragraph" w:styleId="TOC3">
    <w:name w:val="toc 3"/>
    <w:basedOn w:val="Normal"/>
    <w:next w:val="Normal"/>
    <w:autoRedefine/>
    <w:uiPriority w:val="39"/>
    <w:rsid w:val="00CF7259"/>
    <w:pPr>
      <w:tabs>
        <w:tab w:val="left" w:pos="1440"/>
        <w:tab w:val="right" w:leader="dot" w:pos="9629"/>
      </w:tabs>
      <w:ind w:left="900"/>
    </w:pPr>
  </w:style>
  <w:style w:type="paragraph" w:styleId="TOC4">
    <w:name w:val="toc 4"/>
    <w:basedOn w:val="Normal"/>
    <w:next w:val="Normal"/>
    <w:autoRedefine/>
    <w:rsid w:val="007D1E37"/>
    <w:pPr>
      <w:tabs>
        <w:tab w:val="left" w:pos="2340"/>
        <w:tab w:val="right" w:leader="dot" w:pos="9629"/>
      </w:tabs>
      <w:ind w:left="1440"/>
    </w:pPr>
    <w:rPr>
      <w:i/>
    </w:rPr>
  </w:style>
  <w:style w:type="table" w:styleId="TableGrid">
    <w:name w:val="Table Grid"/>
    <w:basedOn w:val="TableNormal"/>
    <w:rsid w:val="006F49B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CCFiguretitle">
    <w:name w:val="ECC Figure title"/>
    <w:basedOn w:val="ECCParagraph"/>
    <w:next w:val="ECCParagraph"/>
    <w:autoRedefine/>
    <w:uiPriority w:val="99"/>
    <w:rsid w:val="00AC460F"/>
    <w:pPr>
      <w:numPr>
        <w:numId w:val="3"/>
      </w:numPr>
      <w:spacing w:before="240" w:after="480"/>
      <w:jc w:val="center"/>
    </w:pPr>
    <w:rPr>
      <w:b/>
      <w:color w:val="D2232A"/>
    </w:rPr>
  </w:style>
  <w:style w:type="paragraph" w:customStyle="1" w:styleId="ECCTabletitle">
    <w:name w:val="ECC Table title"/>
    <w:basedOn w:val="ECCFiguretitle"/>
    <w:next w:val="ECCParagraph"/>
    <w:autoRedefine/>
    <w:rsid w:val="001852B2"/>
    <w:pPr>
      <w:numPr>
        <w:numId w:val="0"/>
      </w:numPr>
      <w:spacing w:before="360" w:after="240"/>
      <w:jc w:val="right"/>
    </w:pPr>
  </w:style>
  <w:style w:type="paragraph" w:customStyle="1" w:styleId="ECCFootnote">
    <w:name w:val="ECC Footnote"/>
    <w:basedOn w:val="Normal"/>
    <w:autoRedefine/>
    <w:uiPriority w:val="99"/>
    <w:rsid w:val="00040BEC"/>
    <w:rPr>
      <w:sz w:val="16"/>
      <w:lang w:val="en-GB"/>
    </w:rPr>
  </w:style>
  <w:style w:type="paragraph" w:styleId="FootnoteText">
    <w:name w:val="footnote text"/>
    <w:aliases w:val="ALTS FOOTNOTE,Footnote Text Char1,Footnote Text Char Char1,Footnote Text Char4 Char Char,Footnote Text Char1 Char1 Char1 Char,Footnote Text Char Char1 Char1 Char Char,Footnote Text Char1 Char1 Char1 Char Char Char1,DNV-FT,DN"/>
    <w:basedOn w:val="Normal"/>
    <w:link w:val="FootnoteTextChar"/>
    <w:rsid w:val="008935B9"/>
    <w:rPr>
      <w:szCs w:val="20"/>
    </w:rPr>
  </w:style>
  <w:style w:type="character" w:styleId="FootnoteReference">
    <w:name w:val="footnote reference"/>
    <w:aliases w:val="Appel note de bas de p,Footnote Reference/,Footnote,Footnote symbol"/>
    <w:basedOn w:val="DefaultParagraphFont"/>
    <w:rsid w:val="008935B9"/>
    <w:rPr>
      <w:vertAlign w:val="superscript"/>
    </w:rPr>
  </w:style>
  <w:style w:type="paragraph" w:customStyle="1" w:styleId="Text">
    <w:name w:val="Text"/>
    <w:basedOn w:val="Normal"/>
    <w:rsid w:val="001F7826"/>
    <w:pPr>
      <w:widowControl w:val="0"/>
      <w:autoSpaceDE w:val="0"/>
      <w:autoSpaceDN w:val="0"/>
      <w:spacing w:line="252" w:lineRule="auto"/>
      <w:ind w:firstLine="202"/>
      <w:jc w:val="both"/>
    </w:pPr>
    <w:rPr>
      <w:szCs w:val="20"/>
    </w:rPr>
  </w:style>
  <w:style w:type="paragraph" w:customStyle="1" w:styleId="ECCTablenote">
    <w:name w:val="ECC Table note"/>
    <w:basedOn w:val="ECCParagraph"/>
    <w:next w:val="ECCParagraph"/>
    <w:autoRedefine/>
    <w:rsid w:val="0077609E"/>
    <w:pPr>
      <w:spacing w:after="0"/>
      <w:ind w:left="284" w:hanging="284"/>
    </w:pPr>
    <w:rPr>
      <w:sz w:val="18"/>
      <w:szCs w:val="18"/>
    </w:rPr>
  </w:style>
  <w:style w:type="paragraph" w:customStyle="1" w:styleId="reference">
    <w:name w:val="reference"/>
    <w:basedOn w:val="Normal"/>
    <w:uiPriority w:val="99"/>
    <w:rsid w:val="00A50B64"/>
    <w:pPr>
      <w:numPr>
        <w:numId w:val="5"/>
      </w:numPr>
    </w:pPr>
    <w:rPr>
      <w:lang w:eastAsia="ja-JP"/>
    </w:rPr>
  </w:style>
  <w:style w:type="paragraph" w:customStyle="1" w:styleId="ECCAnnexheading2">
    <w:name w:val="ECC Annex heading2"/>
    <w:basedOn w:val="Normal"/>
    <w:next w:val="ECCParagraph"/>
    <w:rsid w:val="00C95C7C"/>
    <w:pPr>
      <w:numPr>
        <w:ilvl w:val="1"/>
        <w:numId w:val="4"/>
      </w:numPr>
      <w:overflowPunct w:val="0"/>
      <w:autoSpaceDE w:val="0"/>
      <w:autoSpaceDN w:val="0"/>
      <w:adjustRightInd w:val="0"/>
      <w:spacing w:before="480" w:after="240"/>
      <w:textAlignment w:val="baseline"/>
    </w:pPr>
    <w:rPr>
      <w:b/>
      <w:caps/>
    </w:rPr>
  </w:style>
  <w:style w:type="paragraph" w:customStyle="1" w:styleId="ECCAnnexheading3">
    <w:name w:val="ECC Annex heading3"/>
    <w:basedOn w:val="Normal"/>
    <w:next w:val="ECCParagraph"/>
    <w:rsid w:val="00485B05"/>
    <w:pPr>
      <w:numPr>
        <w:ilvl w:val="2"/>
        <w:numId w:val="4"/>
      </w:numPr>
      <w:overflowPunct w:val="0"/>
      <w:autoSpaceDE w:val="0"/>
      <w:autoSpaceDN w:val="0"/>
      <w:adjustRightInd w:val="0"/>
      <w:spacing w:before="360" w:after="120"/>
      <w:textAlignment w:val="baseline"/>
    </w:pPr>
    <w:rPr>
      <w:b/>
    </w:rPr>
  </w:style>
  <w:style w:type="paragraph" w:customStyle="1" w:styleId="ECCAnnexheading4">
    <w:name w:val="ECC Annex heading4"/>
    <w:basedOn w:val="Normal"/>
    <w:next w:val="ECCParagraph"/>
    <w:rsid w:val="00C95C7C"/>
    <w:pPr>
      <w:numPr>
        <w:ilvl w:val="3"/>
        <w:numId w:val="4"/>
      </w:numPr>
      <w:overflowPunct w:val="0"/>
      <w:autoSpaceDE w:val="0"/>
      <w:autoSpaceDN w:val="0"/>
      <w:adjustRightInd w:val="0"/>
      <w:spacing w:before="360" w:after="120"/>
      <w:textAlignment w:val="baseline"/>
    </w:pPr>
    <w:rPr>
      <w:i/>
      <w:color w:val="D2232A"/>
    </w:rPr>
  </w:style>
  <w:style w:type="paragraph" w:customStyle="1" w:styleId="Lastupdated">
    <w:name w:val="Last updated"/>
    <w:basedOn w:val="Normal"/>
    <w:rsid w:val="00080D86"/>
    <w:pPr>
      <w:spacing w:before="120" w:after="120"/>
      <w:ind w:left="3402"/>
    </w:pPr>
    <w:rPr>
      <w:bCs/>
      <w:sz w:val="18"/>
    </w:rPr>
  </w:style>
  <w:style w:type="paragraph" w:customStyle="1" w:styleId="Reporttitledescription">
    <w:name w:val="Report title/description"/>
    <w:basedOn w:val="Normal"/>
    <w:rsid w:val="009B4646"/>
    <w:pPr>
      <w:spacing w:before="600" w:line="288" w:lineRule="auto"/>
      <w:ind w:left="3402"/>
    </w:pPr>
    <w:rPr>
      <w:sz w:val="24"/>
    </w:rPr>
  </w:style>
  <w:style w:type="paragraph" w:styleId="Caption">
    <w:name w:val="caption"/>
    <w:aliases w:val="Ca,Figure-caption,CAPTION,Figure-caption1,CAPTION1,Figure Caption1,Figure-caption2,CAPTION2,Figure Caption2,Figure-caption3,CAPTION3,Figure Caption3,Figure-caption4,CAPTION4,Figure Caption4,Figure-caption5,CAPTION5"/>
    <w:basedOn w:val="Normal"/>
    <w:next w:val="Normal"/>
    <w:link w:val="CaptionChar"/>
    <w:unhideWhenUsed/>
    <w:qFormat/>
    <w:rsid w:val="00C4710C"/>
    <w:pPr>
      <w:spacing w:before="240" w:after="240"/>
      <w:jc w:val="center"/>
    </w:pPr>
    <w:rPr>
      <w:b/>
      <w:bCs/>
      <w:color w:val="D2232A"/>
      <w:szCs w:val="20"/>
    </w:rPr>
  </w:style>
  <w:style w:type="numbering" w:customStyle="1" w:styleId="ECCBullets">
    <w:name w:val="ECC Bullets"/>
    <w:basedOn w:val="NoList"/>
    <w:rsid w:val="00B113AE"/>
    <w:pPr>
      <w:numPr>
        <w:numId w:val="6"/>
      </w:numPr>
    </w:pPr>
  </w:style>
  <w:style w:type="paragraph" w:customStyle="1" w:styleId="ECCNumbered-LetteredList">
    <w:name w:val="ECC Numbered-Lettered List"/>
    <w:basedOn w:val="Normal"/>
    <w:qFormat/>
    <w:rsid w:val="00DF2C67"/>
    <w:pPr>
      <w:numPr>
        <w:numId w:val="8"/>
      </w:numPr>
    </w:pPr>
  </w:style>
  <w:style w:type="paragraph" w:customStyle="1" w:styleId="ECCNumberedBullets">
    <w:name w:val="ECC Numbered Bullets"/>
    <w:basedOn w:val="Normal"/>
    <w:uiPriority w:val="99"/>
    <w:rsid w:val="000904F8"/>
    <w:pPr>
      <w:numPr>
        <w:numId w:val="7"/>
      </w:numPr>
      <w:spacing w:after="120"/>
    </w:pPr>
  </w:style>
  <w:style w:type="paragraph" w:styleId="BalloonText">
    <w:name w:val="Balloon Text"/>
    <w:basedOn w:val="Normal"/>
    <w:link w:val="BalloonTextChar"/>
    <w:uiPriority w:val="99"/>
    <w:semiHidden/>
    <w:unhideWhenUsed/>
    <w:rsid w:val="009E47E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E47EB"/>
    <w:rPr>
      <w:rFonts w:ascii="Lucida Grande" w:hAnsi="Lucida Grande" w:cs="Lucida Grande"/>
      <w:sz w:val="18"/>
      <w:szCs w:val="18"/>
      <w:lang w:val="en-US"/>
    </w:rPr>
  </w:style>
  <w:style w:type="numbering" w:customStyle="1" w:styleId="ECCNumbers-Bullets">
    <w:name w:val="ECC Numbers-Bullets"/>
    <w:rsid w:val="00DF2C67"/>
    <w:pPr>
      <w:numPr>
        <w:numId w:val="7"/>
      </w:numPr>
    </w:pPr>
  </w:style>
  <w:style w:type="numbering" w:customStyle="1" w:styleId="ECCNumbers-Letters">
    <w:name w:val="ECC Numbers-Letters"/>
    <w:uiPriority w:val="99"/>
    <w:rsid w:val="00DF2C67"/>
    <w:pPr>
      <w:numPr>
        <w:numId w:val="8"/>
      </w:numPr>
    </w:pPr>
  </w:style>
  <w:style w:type="character" w:customStyle="1" w:styleId="Heading1Char">
    <w:name w:val="Heading 1 Char"/>
    <w:aliases w:val="ECC Heading 1 Char"/>
    <w:basedOn w:val="DefaultParagraphFont"/>
    <w:link w:val="Heading1"/>
    <w:uiPriority w:val="1"/>
    <w:locked/>
    <w:rsid w:val="00176CF0"/>
    <w:rPr>
      <w:rFonts w:ascii="Arial" w:hAnsi="Arial" w:cs="Arial"/>
      <w:b/>
      <w:caps/>
      <w:color w:val="D2232A"/>
      <w:kern w:val="32"/>
      <w:szCs w:val="32"/>
    </w:rPr>
  </w:style>
  <w:style w:type="character" w:customStyle="1" w:styleId="FootnoteTextChar">
    <w:name w:val="Footnote Text Char"/>
    <w:aliases w:val="ALTS FOOTNOTE Char,Footnote Text Char1 Char,Footnote Text Char Char1 Char,Footnote Text Char4 Char Char Char,Footnote Text Char1 Char1 Char1 Char Char,Footnote Text Char Char1 Char1 Char Char Char,DNV-FT Char,DN Char"/>
    <w:basedOn w:val="DefaultParagraphFont"/>
    <w:link w:val="FootnoteText"/>
    <w:locked/>
    <w:rsid w:val="00026A63"/>
    <w:rPr>
      <w:rFonts w:ascii="Arial" w:hAnsi="Arial"/>
      <w:lang w:val="en-US"/>
    </w:rPr>
  </w:style>
  <w:style w:type="character" w:customStyle="1" w:styleId="Artdef">
    <w:name w:val="Art_def"/>
    <w:basedOn w:val="DefaultParagraphFont"/>
    <w:uiPriority w:val="99"/>
    <w:rsid w:val="00026A63"/>
    <w:rPr>
      <w:b/>
      <w:bCs/>
      <w:color w:val="auto"/>
    </w:rPr>
  </w:style>
  <w:style w:type="character" w:customStyle="1" w:styleId="Tablefreq">
    <w:name w:val="Table_freq"/>
    <w:basedOn w:val="DefaultParagraphFont"/>
    <w:uiPriority w:val="99"/>
    <w:rsid w:val="00413A48"/>
    <w:rPr>
      <w:b/>
      <w:bCs/>
      <w:color w:val="auto"/>
    </w:rPr>
  </w:style>
  <w:style w:type="paragraph" w:customStyle="1" w:styleId="TableTextS5">
    <w:name w:val="Table_TextS5"/>
    <w:basedOn w:val="Normal"/>
    <w:uiPriority w:val="99"/>
    <w:rsid w:val="00413A48"/>
    <w:pPr>
      <w:tabs>
        <w:tab w:val="left" w:pos="170"/>
        <w:tab w:val="left" w:pos="567"/>
        <w:tab w:val="left" w:pos="737"/>
        <w:tab w:val="left" w:pos="2977"/>
        <w:tab w:val="left" w:pos="3266"/>
      </w:tabs>
      <w:overflowPunct w:val="0"/>
      <w:autoSpaceDE w:val="0"/>
      <w:autoSpaceDN w:val="0"/>
      <w:adjustRightInd w:val="0"/>
      <w:spacing w:before="40" w:after="40"/>
      <w:textAlignment w:val="baseline"/>
    </w:pPr>
    <w:rPr>
      <w:rFonts w:ascii="Times New Roman" w:hAnsi="Times New Roman"/>
      <w:szCs w:val="20"/>
      <w:lang w:val="fr-FR"/>
    </w:rPr>
  </w:style>
  <w:style w:type="character" w:customStyle="1" w:styleId="Artref">
    <w:name w:val="Art_ref"/>
    <w:basedOn w:val="DefaultParagraphFont"/>
    <w:uiPriority w:val="99"/>
    <w:rsid w:val="00413A48"/>
    <w:rPr>
      <w:color w:val="auto"/>
    </w:rPr>
  </w:style>
  <w:style w:type="character" w:customStyle="1" w:styleId="Heading9Char">
    <w:name w:val="Heading 9 Char"/>
    <w:basedOn w:val="DefaultParagraphFont"/>
    <w:link w:val="Heading9"/>
    <w:locked/>
    <w:rsid w:val="00413A48"/>
    <w:rPr>
      <w:rFonts w:ascii="Arial" w:hAnsi="Arial" w:cs="Arial"/>
      <w:sz w:val="22"/>
      <w:szCs w:val="22"/>
      <w:lang w:val="en-US"/>
    </w:rPr>
  </w:style>
  <w:style w:type="character" w:customStyle="1" w:styleId="FooterChar">
    <w:name w:val="Footer Char"/>
    <w:basedOn w:val="DefaultParagraphFont"/>
    <w:link w:val="Footer"/>
    <w:uiPriority w:val="99"/>
    <w:locked/>
    <w:rsid w:val="00413A48"/>
    <w:rPr>
      <w:rFonts w:ascii="Arial" w:hAnsi="Arial"/>
      <w:szCs w:val="24"/>
      <w:lang w:val="en-US"/>
    </w:rPr>
  </w:style>
  <w:style w:type="character" w:styleId="PageNumber">
    <w:name w:val="page number"/>
    <w:basedOn w:val="DefaultParagraphFont"/>
    <w:rsid w:val="00413A48"/>
  </w:style>
  <w:style w:type="paragraph" w:customStyle="1" w:styleId="Note">
    <w:name w:val="Note"/>
    <w:basedOn w:val="Normal"/>
    <w:link w:val="NoteChar"/>
    <w:uiPriority w:val="99"/>
    <w:rsid w:val="00413A48"/>
    <w:pPr>
      <w:tabs>
        <w:tab w:val="left" w:pos="284"/>
        <w:tab w:val="left" w:pos="1134"/>
        <w:tab w:val="left" w:pos="1871"/>
        <w:tab w:val="left" w:pos="2268"/>
      </w:tabs>
      <w:overflowPunct w:val="0"/>
      <w:autoSpaceDE w:val="0"/>
      <w:autoSpaceDN w:val="0"/>
      <w:adjustRightInd w:val="0"/>
      <w:spacing w:before="160"/>
      <w:jc w:val="both"/>
      <w:textAlignment w:val="baseline"/>
    </w:pPr>
    <w:rPr>
      <w:rFonts w:ascii="Times New Roman" w:hAnsi="Times New Roman"/>
      <w:szCs w:val="20"/>
      <w:lang w:val="fr-FR"/>
    </w:rPr>
  </w:style>
  <w:style w:type="character" w:customStyle="1" w:styleId="NoteChar">
    <w:name w:val="Note Char"/>
    <w:basedOn w:val="DefaultParagraphFont"/>
    <w:link w:val="Note"/>
    <w:uiPriority w:val="99"/>
    <w:locked/>
    <w:rsid w:val="00413A48"/>
    <w:rPr>
      <w:lang w:val="fr-FR"/>
    </w:rPr>
  </w:style>
  <w:style w:type="character" w:customStyle="1" w:styleId="Resref">
    <w:name w:val="Res_ref"/>
    <w:basedOn w:val="DefaultParagraphFont"/>
    <w:uiPriority w:val="99"/>
    <w:rsid w:val="00413A48"/>
    <w:rPr>
      <w:color w:val="auto"/>
    </w:rPr>
  </w:style>
  <w:style w:type="paragraph" w:customStyle="1" w:styleId="TAC">
    <w:name w:val="TAC"/>
    <w:basedOn w:val="Normal"/>
    <w:uiPriority w:val="99"/>
    <w:rsid w:val="00413A48"/>
    <w:pPr>
      <w:keepNext/>
      <w:keepLines/>
      <w:autoSpaceDE w:val="0"/>
      <w:autoSpaceDN w:val="0"/>
      <w:jc w:val="center"/>
    </w:pPr>
    <w:rPr>
      <w:rFonts w:cs="Arial"/>
      <w:szCs w:val="20"/>
      <w:lang w:val="de-DE" w:eastAsia="de-DE"/>
    </w:rPr>
  </w:style>
  <w:style w:type="paragraph" w:customStyle="1" w:styleId="TAD">
    <w:name w:val="TAD"/>
    <w:basedOn w:val="TAC"/>
    <w:uiPriority w:val="99"/>
    <w:rsid w:val="00413A48"/>
    <w:pPr>
      <w:keepNext w:val="0"/>
      <w:keepLines w:val="0"/>
      <w:tabs>
        <w:tab w:val="decimal" w:pos="567"/>
      </w:tabs>
      <w:jc w:val="left"/>
    </w:pPr>
  </w:style>
  <w:style w:type="paragraph" w:styleId="NormalWeb">
    <w:name w:val="Normal (Web)"/>
    <w:basedOn w:val="Normal"/>
    <w:uiPriority w:val="99"/>
    <w:rsid w:val="007C3130"/>
    <w:pPr>
      <w:spacing w:before="100" w:beforeAutospacing="1" w:after="100" w:afterAutospacing="1"/>
    </w:pPr>
    <w:rPr>
      <w:rFonts w:ascii="Verdana" w:hAnsi="Verdana" w:cs="Verdana"/>
      <w:sz w:val="24"/>
    </w:rPr>
  </w:style>
  <w:style w:type="character" w:customStyle="1" w:styleId="nowrap">
    <w:name w:val="nowrap"/>
    <w:basedOn w:val="DefaultParagraphFont"/>
    <w:uiPriority w:val="99"/>
    <w:rsid w:val="007C3130"/>
  </w:style>
  <w:style w:type="character" w:styleId="HTMLAcronym">
    <w:name w:val="HTML Acronym"/>
    <w:basedOn w:val="DefaultParagraphFont"/>
    <w:uiPriority w:val="99"/>
    <w:rsid w:val="007C3130"/>
  </w:style>
  <w:style w:type="character" w:styleId="FollowedHyperlink">
    <w:name w:val="FollowedHyperlink"/>
    <w:basedOn w:val="DefaultParagraphFont"/>
    <w:uiPriority w:val="99"/>
    <w:unhideWhenUsed/>
    <w:rsid w:val="00CF580E"/>
    <w:rPr>
      <w:color w:val="800080" w:themeColor="followedHyperlink"/>
      <w:u w:val="single"/>
    </w:rPr>
  </w:style>
  <w:style w:type="paragraph" w:customStyle="1" w:styleId="ListParagraph1">
    <w:name w:val="List Paragraph1"/>
    <w:basedOn w:val="Normal"/>
    <w:qFormat/>
    <w:rsid w:val="006D1BB1"/>
    <w:pPr>
      <w:ind w:left="720"/>
      <w:jc w:val="both"/>
    </w:pPr>
    <w:rPr>
      <w:rFonts w:ascii="Times New Roman" w:hAnsi="Times New Roman"/>
      <w:sz w:val="22"/>
      <w:szCs w:val="22"/>
      <w:lang w:val="en-GB" w:eastAsia="de-DE"/>
    </w:rPr>
  </w:style>
  <w:style w:type="paragraph" w:customStyle="1" w:styleId="Sansinterligne1">
    <w:name w:val="Sans interligne1"/>
    <w:uiPriority w:val="99"/>
    <w:qFormat/>
    <w:rsid w:val="006D1BB1"/>
    <w:rPr>
      <w:sz w:val="24"/>
      <w:szCs w:val="24"/>
      <w:lang w:val="fr-FR" w:eastAsia="fr-FR"/>
    </w:rPr>
  </w:style>
  <w:style w:type="paragraph" w:customStyle="1" w:styleId="Listenabsatz1">
    <w:name w:val="Listenabsatz1"/>
    <w:basedOn w:val="Normal"/>
    <w:uiPriority w:val="34"/>
    <w:qFormat/>
    <w:rsid w:val="00E41E35"/>
    <w:pPr>
      <w:ind w:left="720"/>
      <w:jc w:val="both"/>
    </w:pPr>
    <w:rPr>
      <w:rFonts w:ascii="Times New Roman" w:hAnsi="Times New Roman"/>
      <w:sz w:val="22"/>
      <w:szCs w:val="22"/>
      <w:lang w:val="en-GB" w:eastAsia="de-DE"/>
    </w:rPr>
  </w:style>
  <w:style w:type="paragraph" w:customStyle="1" w:styleId="TableContents">
    <w:name w:val="Table Contents"/>
    <w:basedOn w:val="Normal"/>
    <w:uiPriority w:val="99"/>
    <w:rsid w:val="00E41E35"/>
    <w:pPr>
      <w:suppressLineNumbers/>
      <w:suppressAutoHyphens/>
    </w:pPr>
    <w:rPr>
      <w:rFonts w:ascii="Times New Roman" w:eastAsia="WenQuanYi Micro Hei" w:hAnsi="Times New Roman" w:cs="Lohit Hindi"/>
      <w:kern w:val="2"/>
      <w:sz w:val="24"/>
      <w:lang w:val="en-GB" w:eastAsia="hi-IN" w:bidi="hi-IN"/>
    </w:rPr>
  </w:style>
  <w:style w:type="character" w:styleId="CommentReference">
    <w:name w:val="annotation reference"/>
    <w:uiPriority w:val="99"/>
    <w:unhideWhenUsed/>
    <w:rsid w:val="00E41E35"/>
    <w:rPr>
      <w:rFonts w:ascii="Times New Roman" w:hAnsi="Times New Roman" w:cs="Times New Roman" w:hint="default"/>
      <w:sz w:val="16"/>
      <w:szCs w:val="16"/>
    </w:rPr>
  </w:style>
  <w:style w:type="character" w:customStyle="1" w:styleId="IntensiverVerweis1">
    <w:name w:val="Intensiver Verweis1"/>
    <w:uiPriority w:val="32"/>
    <w:qFormat/>
    <w:rsid w:val="00E41E35"/>
    <w:rPr>
      <w:rFonts w:ascii="Times New Roman" w:hAnsi="Times New Roman" w:cs="Times New Roman" w:hint="default"/>
      <w:b/>
      <w:bCs/>
      <w:smallCaps/>
      <w:color w:val="C0504D"/>
      <w:spacing w:val="5"/>
      <w:u w:val="single"/>
    </w:rPr>
  </w:style>
  <w:style w:type="character" w:customStyle="1" w:styleId="apple-converted-space">
    <w:name w:val="apple-converted-space"/>
    <w:uiPriority w:val="99"/>
    <w:rsid w:val="00E41E35"/>
    <w:rPr>
      <w:rFonts w:ascii="Times New Roman" w:hAnsi="Times New Roman" w:cs="Times New Roman" w:hint="default"/>
    </w:rPr>
  </w:style>
  <w:style w:type="character" w:styleId="BookTitle">
    <w:name w:val="Book Title"/>
    <w:basedOn w:val="DefaultParagraphFont"/>
    <w:uiPriority w:val="33"/>
    <w:qFormat/>
    <w:rsid w:val="00E41E35"/>
    <w:rPr>
      <w:b/>
      <w:bCs/>
      <w:smallCaps/>
      <w:spacing w:val="5"/>
    </w:rPr>
  </w:style>
  <w:style w:type="paragraph" w:styleId="ListParagraph">
    <w:name w:val="List Paragraph"/>
    <w:basedOn w:val="Normal"/>
    <w:uiPriority w:val="34"/>
    <w:qFormat/>
    <w:rsid w:val="007E42E6"/>
    <w:pPr>
      <w:ind w:left="720"/>
      <w:contextualSpacing/>
    </w:pPr>
  </w:style>
  <w:style w:type="paragraph" w:customStyle="1" w:styleId="FigureCaption">
    <w:name w:val="Figure Caption"/>
    <w:basedOn w:val="Normal"/>
    <w:next w:val="BodyText"/>
    <w:uiPriority w:val="99"/>
    <w:rsid w:val="000A0CB7"/>
    <w:pPr>
      <w:keepNext/>
      <w:keepLines/>
      <w:spacing w:before="360" w:after="120" w:line="288" w:lineRule="auto"/>
    </w:pPr>
    <w:rPr>
      <w:b/>
      <w:color w:val="939598"/>
      <w:lang w:val="en-GB" w:eastAsia="en-GB"/>
    </w:rPr>
  </w:style>
  <w:style w:type="paragraph" w:styleId="BodyText">
    <w:name w:val="Body Text"/>
    <w:basedOn w:val="Normal"/>
    <w:link w:val="BodyTextChar"/>
    <w:uiPriority w:val="99"/>
    <w:semiHidden/>
    <w:unhideWhenUsed/>
    <w:rsid w:val="000A0CB7"/>
    <w:pPr>
      <w:spacing w:after="120"/>
    </w:pPr>
  </w:style>
  <w:style w:type="character" w:customStyle="1" w:styleId="BodyTextChar">
    <w:name w:val="Body Text Char"/>
    <w:basedOn w:val="DefaultParagraphFont"/>
    <w:link w:val="BodyText"/>
    <w:uiPriority w:val="99"/>
    <w:semiHidden/>
    <w:rsid w:val="000A0CB7"/>
    <w:rPr>
      <w:rFonts w:ascii="Arial" w:hAnsi="Arial"/>
      <w:szCs w:val="24"/>
      <w:lang w:val="en-US"/>
    </w:rPr>
  </w:style>
  <w:style w:type="paragraph" w:customStyle="1" w:styleId="Default">
    <w:name w:val="Default"/>
    <w:rsid w:val="00100C51"/>
    <w:pPr>
      <w:autoSpaceDE w:val="0"/>
      <w:autoSpaceDN w:val="0"/>
      <w:adjustRightInd w:val="0"/>
    </w:pPr>
    <w:rPr>
      <w:rFonts w:ascii="Arial" w:hAnsi="Arial" w:cs="Arial"/>
      <w:color w:val="000000"/>
      <w:sz w:val="24"/>
      <w:szCs w:val="24"/>
      <w:lang w:val="en-US"/>
    </w:rPr>
  </w:style>
  <w:style w:type="character" w:customStyle="1" w:styleId="ccmtdefault">
    <w:name w:val="ccmtdefault"/>
    <w:rsid w:val="00100C51"/>
  </w:style>
  <w:style w:type="paragraph" w:styleId="BodyTextIndent2">
    <w:name w:val="Body Text Indent 2"/>
    <w:basedOn w:val="Normal"/>
    <w:link w:val="BodyTextIndent2Char"/>
    <w:rsid w:val="00100C51"/>
    <w:pPr>
      <w:numPr>
        <w:numId w:val="9"/>
      </w:numPr>
      <w:tabs>
        <w:tab w:val="clear" w:pos="0"/>
      </w:tabs>
      <w:ind w:left="709" w:firstLine="0"/>
    </w:pPr>
    <w:rPr>
      <w:rFonts w:cs="Arial"/>
      <w:sz w:val="24"/>
      <w:szCs w:val="20"/>
      <w:lang w:val="en-GB"/>
    </w:rPr>
  </w:style>
  <w:style w:type="character" w:customStyle="1" w:styleId="BodyTextIndent2Char">
    <w:name w:val="Body Text Indent 2 Char"/>
    <w:basedOn w:val="DefaultParagraphFont"/>
    <w:link w:val="BodyTextIndent2"/>
    <w:rsid w:val="00100C51"/>
    <w:rPr>
      <w:rFonts w:ascii="Arial" w:hAnsi="Arial" w:cs="Arial"/>
      <w:sz w:val="24"/>
    </w:rPr>
  </w:style>
  <w:style w:type="paragraph" w:customStyle="1" w:styleId="bodyChar">
    <w:name w:val="body Char"/>
    <w:basedOn w:val="Normal"/>
    <w:link w:val="bodyCharCar"/>
    <w:rsid w:val="00100C51"/>
    <w:pPr>
      <w:tabs>
        <w:tab w:val="num" w:pos="360"/>
      </w:tabs>
      <w:spacing w:line="360" w:lineRule="auto"/>
      <w:jc w:val="both"/>
    </w:pPr>
    <w:rPr>
      <w:noProof/>
      <w:sz w:val="22"/>
    </w:rPr>
  </w:style>
  <w:style w:type="character" w:customStyle="1" w:styleId="bodyCharCar">
    <w:name w:val="body Char Car"/>
    <w:link w:val="bodyChar"/>
    <w:rsid w:val="00100C51"/>
    <w:rPr>
      <w:rFonts w:ascii="Arial" w:hAnsi="Arial"/>
      <w:noProof/>
      <w:sz w:val="22"/>
      <w:szCs w:val="24"/>
      <w:lang w:val="en-US"/>
    </w:rPr>
  </w:style>
  <w:style w:type="character" w:customStyle="1" w:styleId="BulletList1Char">
    <w:name w:val="Bullet List 1 Char"/>
    <w:link w:val="BulletList1"/>
    <w:locked/>
    <w:rsid w:val="000D55A2"/>
    <w:rPr>
      <w:rFonts w:ascii="Arial" w:hAnsi="Arial"/>
      <w:sz w:val="24"/>
      <w:lang w:eastAsia="en-GB"/>
    </w:rPr>
  </w:style>
  <w:style w:type="paragraph" w:customStyle="1" w:styleId="BulletList1">
    <w:name w:val="Bullet List 1"/>
    <w:basedOn w:val="Normal"/>
    <w:link w:val="BulletList1Char"/>
    <w:rsid w:val="000D55A2"/>
    <w:pPr>
      <w:numPr>
        <w:numId w:val="10"/>
      </w:numPr>
      <w:spacing w:before="120" w:after="120" w:line="285" w:lineRule="auto"/>
    </w:pPr>
    <w:rPr>
      <w:sz w:val="24"/>
      <w:szCs w:val="20"/>
      <w:lang w:val="en-GB" w:eastAsia="en-GB"/>
    </w:rPr>
  </w:style>
  <w:style w:type="paragraph" w:customStyle="1" w:styleId="BulletList2">
    <w:name w:val="Bullet List 2"/>
    <w:basedOn w:val="BulletList1"/>
    <w:rsid w:val="000D55A2"/>
    <w:pPr>
      <w:numPr>
        <w:ilvl w:val="1"/>
      </w:numPr>
      <w:tabs>
        <w:tab w:val="clear" w:pos="800"/>
        <w:tab w:val="num" w:pos="360"/>
        <w:tab w:val="num" w:pos="576"/>
        <w:tab w:val="num" w:pos="680"/>
        <w:tab w:val="num" w:pos="926"/>
        <w:tab w:val="num" w:pos="1209"/>
      </w:tabs>
      <w:ind w:left="576" w:hanging="576"/>
    </w:pPr>
  </w:style>
  <w:style w:type="paragraph" w:customStyle="1" w:styleId="BulletList3">
    <w:name w:val="Bullet List 3"/>
    <w:basedOn w:val="BulletList2"/>
    <w:rsid w:val="000D55A2"/>
    <w:pPr>
      <w:numPr>
        <w:ilvl w:val="2"/>
      </w:numPr>
      <w:tabs>
        <w:tab w:val="num" w:pos="360"/>
        <w:tab w:val="num" w:pos="576"/>
        <w:tab w:val="num" w:pos="720"/>
        <w:tab w:val="num" w:pos="1021"/>
      </w:tabs>
      <w:ind w:left="720" w:hanging="720"/>
    </w:pPr>
  </w:style>
  <w:style w:type="paragraph" w:customStyle="1" w:styleId="BulletList4">
    <w:name w:val="Bullet List 4"/>
    <w:basedOn w:val="BulletList3"/>
    <w:rsid w:val="000D55A2"/>
    <w:pPr>
      <w:numPr>
        <w:ilvl w:val="3"/>
      </w:numPr>
      <w:tabs>
        <w:tab w:val="clear" w:pos="1360"/>
        <w:tab w:val="num" w:pos="360"/>
        <w:tab w:val="num" w:pos="576"/>
        <w:tab w:val="num" w:pos="864"/>
        <w:tab w:val="num" w:pos="1361"/>
      </w:tabs>
      <w:ind w:left="864" w:hanging="864"/>
    </w:pPr>
  </w:style>
  <w:style w:type="paragraph" w:customStyle="1" w:styleId="BulletList5">
    <w:name w:val="Bullet List 5"/>
    <w:basedOn w:val="BulletList4"/>
    <w:rsid w:val="000D55A2"/>
    <w:pPr>
      <w:numPr>
        <w:ilvl w:val="4"/>
      </w:numPr>
      <w:tabs>
        <w:tab w:val="clear" w:pos="1021"/>
        <w:tab w:val="num" w:pos="360"/>
        <w:tab w:val="num" w:pos="576"/>
        <w:tab w:val="num" w:pos="1008"/>
        <w:tab w:val="num" w:pos="2579"/>
      </w:tabs>
      <w:ind w:left="1008" w:hanging="1008"/>
    </w:pPr>
  </w:style>
  <w:style w:type="paragraph" w:customStyle="1" w:styleId="BulletList6">
    <w:name w:val="Bullet List 6"/>
    <w:basedOn w:val="BulletList5"/>
    <w:rsid w:val="000D55A2"/>
    <w:pPr>
      <w:numPr>
        <w:ilvl w:val="5"/>
      </w:numPr>
      <w:tabs>
        <w:tab w:val="num" w:pos="360"/>
        <w:tab w:val="num" w:pos="576"/>
        <w:tab w:val="num" w:pos="1152"/>
        <w:tab w:val="num" w:pos="3299"/>
      </w:tabs>
      <w:ind w:left="1152" w:hanging="1152"/>
    </w:pPr>
  </w:style>
  <w:style w:type="paragraph" w:customStyle="1" w:styleId="BulletList7">
    <w:name w:val="Bullet List 7"/>
    <w:basedOn w:val="BulletList6"/>
    <w:rsid w:val="000D55A2"/>
    <w:pPr>
      <w:numPr>
        <w:ilvl w:val="6"/>
      </w:numPr>
      <w:tabs>
        <w:tab w:val="num" w:pos="360"/>
        <w:tab w:val="num" w:pos="576"/>
        <w:tab w:val="num" w:pos="1296"/>
        <w:tab w:val="num" w:pos="4019"/>
      </w:tabs>
      <w:ind w:left="1296" w:hanging="1296"/>
    </w:pPr>
  </w:style>
  <w:style w:type="paragraph" w:customStyle="1" w:styleId="BulletList8">
    <w:name w:val="Bullet List 8"/>
    <w:basedOn w:val="BulletList7"/>
    <w:rsid w:val="000D55A2"/>
    <w:pPr>
      <w:numPr>
        <w:ilvl w:val="7"/>
      </w:numPr>
      <w:tabs>
        <w:tab w:val="num" w:pos="360"/>
        <w:tab w:val="num" w:pos="576"/>
        <w:tab w:val="num" w:pos="1440"/>
        <w:tab w:val="num" w:pos="4739"/>
      </w:tabs>
      <w:ind w:left="1440" w:hanging="1440"/>
    </w:pPr>
  </w:style>
  <w:style w:type="paragraph" w:customStyle="1" w:styleId="BulletList9">
    <w:name w:val="Bullet List 9"/>
    <w:basedOn w:val="BulletList8"/>
    <w:rsid w:val="000D55A2"/>
    <w:pPr>
      <w:numPr>
        <w:ilvl w:val="8"/>
      </w:numPr>
      <w:tabs>
        <w:tab w:val="num" w:pos="360"/>
        <w:tab w:val="num" w:pos="576"/>
        <w:tab w:val="num" w:pos="1584"/>
        <w:tab w:val="num" w:pos="5459"/>
      </w:tabs>
      <w:ind w:left="1584" w:hanging="1584"/>
    </w:pPr>
  </w:style>
  <w:style w:type="character" w:customStyle="1" w:styleId="Heading2Char">
    <w:name w:val="Heading 2 Char"/>
    <w:aliases w:val="ECC Heading 2 Char,h2 Char,H2 Char,h21 Char,Heading Two Char,R2 Char,l2 Char,Sub-section Char"/>
    <w:basedOn w:val="DefaultParagraphFont"/>
    <w:link w:val="Heading2"/>
    <w:locked/>
    <w:rsid w:val="008E5B81"/>
    <w:rPr>
      <w:rFonts w:ascii="Arial" w:hAnsi="Arial" w:cs="Arial"/>
      <w:b/>
      <w:bCs/>
      <w:iCs/>
      <w:caps/>
      <w:szCs w:val="28"/>
      <w:lang w:val="en-US"/>
    </w:rPr>
  </w:style>
  <w:style w:type="character" w:customStyle="1" w:styleId="Heading3Char">
    <w:name w:val="Heading 3 Char"/>
    <w:aliases w:val="ECC Heading 3 Char,h3 Char,3 Char"/>
    <w:basedOn w:val="DefaultParagraphFont"/>
    <w:link w:val="Heading3"/>
    <w:locked/>
    <w:rsid w:val="003435C2"/>
    <w:rPr>
      <w:rFonts w:ascii="Arial" w:eastAsiaTheme="minorEastAsia" w:hAnsi="Arial" w:cs="Arial"/>
      <w:b/>
      <w:lang w:val="en-US"/>
    </w:rPr>
  </w:style>
  <w:style w:type="character" w:customStyle="1" w:styleId="Heading5Char">
    <w:name w:val="Heading 5 Char"/>
    <w:basedOn w:val="DefaultParagraphFont"/>
    <w:link w:val="Heading5"/>
    <w:locked/>
    <w:rsid w:val="00AC460F"/>
    <w:rPr>
      <w:rFonts w:ascii="Arial" w:hAnsi="Arial"/>
      <w:b/>
      <w:bCs/>
      <w:i/>
      <w:iCs/>
      <w:sz w:val="26"/>
      <w:szCs w:val="26"/>
      <w:lang w:val="en-US"/>
    </w:rPr>
  </w:style>
  <w:style w:type="character" w:customStyle="1" w:styleId="Heading6Char">
    <w:name w:val="Heading 6 Char"/>
    <w:basedOn w:val="DefaultParagraphFont"/>
    <w:link w:val="Heading6"/>
    <w:locked/>
    <w:rsid w:val="00AC460F"/>
    <w:rPr>
      <w:rFonts w:ascii="Arial" w:hAnsi="Arial"/>
      <w:b/>
      <w:bCs/>
      <w:sz w:val="22"/>
      <w:szCs w:val="22"/>
      <w:lang w:val="en-US"/>
    </w:rPr>
  </w:style>
  <w:style w:type="character" w:customStyle="1" w:styleId="Heading7Char">
    <w:name w:val="Heading 7 Char"/>
    <w:basedOn w:val="DefaultParagraphFont"/>
    <w:link w:val="Heading7"/>
    <w:locked/>
    <w:rsid w:val="00AC460F"/>
    <w:rPr>
      <w:rFonts w:ascii="Arial" w:hAnsi="Arial"/>
      <w:sz w:val="24"/>
      <w:szCs w:val="24"/>
      <w:lang w:val="en-US"/>
    </w:rPr>
  </w:style>
  <w:style w:type="character" w:customStyle="1" w:styleId="Heading8Char">
    <w:name w:val="Heading 8 Char"/>
    <w:basedOn w:val="DefaultParagraphFont"/>
    <w:link w:val="Heading8"/>
    <w:locked/>
    <w:rsid w:val="00AC460F"/>
    <w:rPr>
      <w:rFonts w:ascii="Arial" w:hAnsi="Arial"/>
      <w:i/>
      <w:iCs/>
      <w:sz w:val="24"/>
      <w:szCs w:val="24"/>
      <w:lang w:val="en-US"/>
    </w:rPr>
  </w:style>
  <w:style w:type="paragraph" w:styleId="CommentText">
    <w:name w:val="annotation text"/>
    <w:basedOn w:val="Normal"/>
    <w:link w:val="CommentTextChar"/>
    <w:uiPriority w:val="99"/>
    <w:rsid w:val="00AC460F"/>
    <w:rPr>
      <w:szCs w:val="20"/>
    </w:rPr>
  </w:style>
  <w:style w:type="character" w:customStyle="1" w:styleId="CommentTextChar">
    <w:name w:val="Comment Text Char"/>
    <w:basedOn w:val="DefaultParagraphFont"/>
    <w:link w:val="CommentText"/>
    <w:uiPriority w:val="99"/>
    <w:rsid w:val="00AC460F"/>
    <w:rPr>
      <w:rFonts w:ascii="Arial" w:hAnsi="Arial"/>
      <w:lang w:val="en-US"/>
    </w:rPr>
  </w:style>
  <w:style w:type="character" w:customStyle="1" w:styleId="HeaderChar">
    <w:name w:val="Header Char"/>
    <w:aliases w:val="encabezado Char,he Char,header odd Char,header odd1 Char,header odd2 Char"/>
    <w:basedOn w:val="DefaultParagraphFont"/>
    <w:link w:val="Header"/>
    <w:locked/>
    <w:rsid w:val="00AC460F"/>
    <w:rPr>
      <w:rFonts w:ascii="Arial" w:hAnsi="Arial"/>
      <w:b/>
      <w:sz w:val="16"/>
      <w:szCs w:val="24"/>
      <w:lang w:val="en-US"/>
    </w:rPr>
  </w:style>
  <w:style w:type="paragraph" w:styleId="CommentSubject">
    <w:name w:val="annotation subject"/>
    <w:basedOn w:val="CommentText"/>
    <w:next w:val="CommentText"/>
    <w:link w:val="CommentSubjectChar"/>
    <w:uiPriority w:val="99"/>
    <w:semiHidden/>
    <w:unhideWhenUsed/>
    <w:rsid w:val="00AC460F"/>
    <w:rPr>
      <w:b/>
      <w:bCs/>
    </w:rPr>
  </w:style>
  <w:style w:type="character" w:customStyle="1" w:styleId="CommentSubjectChar">
    <w:name w:val="Comment Subject Char"/>
    <w:basedOn w:val="CommentTextChar"/>
    <w:link w:val="CommentSubject"/>
    <w:uiPriority w:val="99"/>
    <w:semiHidden/>
    <w:rsid w:val="00AC460F"/>
    <w:rPr>
      <w:rFonts w:ascii="Arial" w:hAnsi="Arial"/>
      <w:b/>
      <w:bCs/>
      <w:lang w:val="en-US"/>
    </w:rPr>
  </w:style>
  <w:style w:type="paragraph" w:styleId="Revision">
    <w:name w:val="Revision"/>
    <w:hidden/>
    <w:uiPriority w:val="99"/>
    <w:semiHidden/>
    <w:rsid w:val="00AC460F"/>
    <w:rPr>
      <w:rFonts w:ascii="Arial" w:hAnsi="Arial"/>
      <w:szCs w:val="24"/>
      <w:lang w:val="en-US"/>
    </w:rPr>
  </w:style>
  <w:style w:type="paragraph" w:customStyle="1" w:styleId="eccparagraph0">
    <w:name w:val="eccparagraph"/>
    <w:basedOn w:val="Normal"/>
    <w:rsid w:val="00AC460F"/>
    <w:pPr>
      <w:spacing w:after="240"/>
      <w:jc w:val="both"/>
    </w:pPr>
    <w:rPr>
      <w:rFonts w:cs="Arial"/>
      <w:szCs w:val="20"/>
      <w:lang w:val="da-DK" w:eastAsia="da-DK"/>
    </w:rPr>
  </w:style>
  <w:style w:type="paragraph" w:styleId="TOC5">
    <w:name w:val="toc 5"/>
    <w:basedOn w:val="Normal"/>
    <w:next w:val="Normal"/>
    <w:autoRedefine/>
    <w:uiPriority w:val="39"/>
    <w:unhideWhenUsed/>
    <w:rsid w:val="00BE297F"/>
    <w:pPr>
      <w:spacing w:after="100" w:line="276" w:lineRule="auto"/>
      <w:ind w:left="880"/>
    </w:pPr>
    <w:rPr>
      <w:rFonts w:asciiTheme="minorHAnsi" w:eastAsiaTheme="minorEastAsia" w:hAnsiTheme="minorHAnsi" w:cstheme="minorBidi"/>
      <w:sz w:val="22"/>
      <w:szCs w:val="22"/>
      <w:lang w:val="da-DK" w:eastAsia="da-DK"/>
    </w:rPr>
  </w:style>
  <w:style w:type="paragraph" w:styleId="TOC6">
    <w:name w:val="toc 6"/>
    <w:basedOn w:val="Normal"/>
    <w:next w:val="Normal"/>
    <w:autoRedefine/>
    <w:uiPriority w:val="39"/>
    <w:unhideWhenUsed/>
    <w:rsid w:val="00BE297F"/>
    <w:pPr>
      <w:spacing w:after="100" w:line="276" w:lineRule="auto"/>
      <w:ind w:left="1100"/>
    </w:pPr>
    <w:rPr>
      <w:rFonts w:asciiTheme="minorHAnsi" w:eastAsiaTheme="minorEastAsia" w:hAnsiTheme="minorHAnsi" w:cstheme="minorBidi"/>
      <w:sz w:val="22"/>
      <w:szCs w:val="22"/>
      <w:lang w:val="da-DK" w:eastAsia="da-DK"/>
    </w:rPr>
  </w:style>
  <w:style w:type="paragraph" w:styleId="TOC7">
    <w:name w:val="toc 7"/>
    <w:basedOn w:val="Normal"/>
    <w:next w:val="Normal"/>
    <w:autoRedefine/>
    <w:uiPriority w:val="39"/>
    <w:unhideWhenUsed/>
    <w:rsid w:val="00BE297F"/>
    <w:pPr>
      <w:spacing w:after="100" w:line="276" w:lineRule="auto"/>
      <w:ind w:left="1320"/>
    </w:pPr>
    <w:rPr>
      <w:rFonts w:asciiTheme="minorHAnsi" w:eastAsiaTheme="minorEastAsia" w:hAnsiTheme="minorHAnsi" w:cstheme="minorBidi"/>
      <w:sz w:val="22"/>
      <w:szCs w:val="22"/>
      <w:lang w:val="da-DK" w:eastAsia="da-DK"/>
    </w:rPr>
  </w:style>
  <w:style w:type="paragraph" w:styleId="TOC8">
    <w:name w:val="toc 8"/>
    <w:basedOn w:val="Normal"/>
    <w:next w:val="Normal"/>
    <w:autoRedefine/>
    <w:uiPriority w:val="39"/>
    <w:unhideWhenUsed/>
    <w:rsid w:val="00BE297F"/>
    <w:pPr>
      <w:spacing w:after="100" w:line="276" w:lineRule="auto"/>
      <w:ind w:left="1540"/>
    </w:pPr>
    <w:rPr>
      <w:rFonts w:asciiTheme="minorHAnsi" w:eastAsiaTheme="minorEastAsia" w:hAnsiTheme="minorHAnsi" w:cstheme="minorBidi"/>
      <w:sz w:val="22"/>
      <w:szCs w:val="22"/>
      <w:lang w:val="da-DK" w:eastAsia="da-DK"/>
    </w:rPr>
  </w:style>
  <w:style w:type="paragraph" w:styleId="TOC9">
    <w:name w:val="toc 9"/>
    <w:basedOn w:val="Normal"/>
    <w:next w:val="Normal"/>
    <w:autoRedefine/>
    <w:uiPriority w:val="39"/>
    <w:unhideWhenUsed/>
    <w:rsid w:val="00BE297F"/>
    <w:pPr>
      <w:spacing w:after="100" w:line="276" w:lineRule="auto"/>
      <w:ind w:left="1760"/>
    </w:pPr>
    <w:rPr>
      <w:rFonts w:asciiTheme="minorHAnsi" w:eastAsiaTheme="minorEastAsia" w:hAnsiTheme="minorHAnsi" w:cstheme="minorBidi"/>
      <w:sz w:val="22"/>
      <w:szCs w:val="22"/>
      <w:lang w:val="da-DK" w:eastAsia="da-DK"/>
    </w:rPr>
  </w:style>
  <w:style w:type="paragraph" w:styleId="ListNumber">
    <w:name w:val="List Number"/>
    <w:basedOn w:val="Normal"/>
    <w:rsid w:val="009D7424"/>
    <w:pPr>
      <w:numPr>
        <w:numId w:val="11"/>
      </w:numPr>
      <w:spacing w:after="240"/>
      <w:jc w:val="both"/>
    </w:pPr>
    <w:rPr>
      <w:rFonts w:ascii="Times New Roman" w:hAnsi="Times New Roman"/>
      <w:sz w:val="24"/>
      <w:szCs w:val="20"/>
      <w:lang w:val="en-GB" w:eastAsia="fr-BE"/>
    </w:rPr>
  </w:style>
  <w:style w:type="paragraph" w:customStyle="1" w:styleId="ListNumberLevel2">
    <w:name w:val="List Number (Level 2)"/>
    <w:basedOn w:val="Normal"/>
    <w:rsid w:val="009D7424"/>
    <w:pPr>
      <w:numPr>
        <w:ilvl w:val="1"/>
        <w:numId w:val="11"/>
      </w:numPr>
      <w:spacing w:after="240"/>
      <w:jc w:val="both"/>
    </w:pPr>
    <w:rPr>
      <w:rFonts w:ascii="Times New Roman" w:hAnsi="Times New Roman"/>
      <w:sz w:val="24"/>
      <w:szCs w:val="20"/>
      <w:lang w:val="en-GB" w:eastAsia="fr-BE"/>
    </w:rPr>
  </w:style>
  <w:style w:type="paragraph" w:customStyle="1" w:styleId="ListNumberLevel3">
    <w:name w:val="List Number (Level 3)"/>
    <w:basedOn w:val="Normal"/>
    <w:rsid w:val="009D7424"/>
    <w:pPr>
      <w:numPr>
        <w:ilvl w:val="2"/>
        <w:numId w:val="11"/>
      </w:numPr>
      <w:spacing w:after="240"/>
      <w:jc w:val="both"/>
    </w:pPr>
    <w:rPr>
      <w:rFonts w:ascii="Times New Roman" w:hAnsi="Times New Roman"/>
      <w:sz w:val="24"/>
      <w:szCs w:val="20"/>
      <w:lang w:val="en-GB" w:eastAsia="fr-BE"/>
    </w:rPr>
  </w:style>
  <w:style w:type="paragraph" w:customStyle="1" w:styleId="ListNumberLevel4">
    <w:name w:val="List Number (Level 4)"/>
    <w:basedOn w:val="Normal"/>
    <w:rsid w:val="009D7424"/>
    <w:pPr>
      <w:numPr>
        <w:ilvl w:val="3"/>
        <w:numId w:val="11"/>
      </w:numPr>
      <w:spacing w:after="240"/>
      <w:jc w:val="both"/>
    </w:pPr>
    <w:rPr>
      <w:rFonts w:ascii="Times New Roman" w:hAnsi="Times New Roman"/>
      <w:sz w:val="24"/>
      <w:szCs w:val="20"/>
      <w:lang w:val="en-GB" w:eastAsia="fr-BE"/>
    </w:rPr>
  </w:style>
  <w:style w:type="paragraph" w:customStyle="1" w:styleId="ListDash">
    <w:name w:val="List Dash"/>
    <w:basedOn w:val="Normal"/>
    <w:rsid w:val="009C2687"/>
    <w:pPr>
      <w:numPr>
        <w:numId w:val="12"/>
      </w:numPr>
      <w:spacing w:after="240"/>
      <w:jc w:val="both"/>
    </w:pPr>
    <w:rPr>
      <w:rFonts w:ascii="Times New Roman" w:hAnsi="Times New Roman"/>
      <w:sz w:val="24"/>
      <w:szCs w:val="20"/>
      <w:lang w:val="en-GB" w:eastAsia="fr-BE"/>
    </w:rPr>
  </w:style>
  <w:style w:type="character" w:customStyle="1" w:styleId="st1">
    <w:name w:val="st1"/>
    <w:basedOn w:val="DefaultParagraphFont"/>
    <w:rsid w:val="00FF5DE3"/>
  </w:style>
  <w:style w:type="paragraph" w:styleId="EndnoteText">
    <w:name w:val="endnote text"/>
    <w:basedOn w:val="Normal"/>
    <w:link w:val="EndnoteTextChar"/>
    <w:uiPriority w:val="99"/>
    <w:semiHidden/>
    <w:unhideWhenUsed/>
    <w:rsid w:val="00471042"/>
    <w:rPr>
      <w:rFonts w:asciiTheme="minorHAnsi" w:eastAsiaTheme="minorHAnsi" w:hAnsiTheme="minorHAnsi" w:cstheme="minorBidi"/>
      <w:szCs w:val="20"/>
      <w:lang w:val="da-DK"/>
    </w:rPr>
  </w:style>
  <w:style w:type="character" w:customStyle="1" w:styleId="EndnoteTextChar">
    <w:name w:val="Endnote Text Char"/>
    <w:basedOn w:val="DefaultParagraphFont"/>
    <w:link w:val="EndnoteText"/>
    <w:uiPriority w:val="99"/>
    <w:semiHidden/>
    <w:rsid w:val="00471042"/>
    <w:rPr>
      <w:rFonts w:asciiTheme="minorHAnsi" w:eastAsiaTheme="minorHAnsi" w:hAnsiTheme="minorHAnsi" w:cstheme="minorBidi"/>
      <w:lang w:val="da-DK"/>
    </w:rPr>
  </w:style>
  <w:style w:type="character" w:styleId="EndnoteReference">
    <w:name w:val="endnote reference"/>
    <w:basedOn w:val="DefaultParagraphFont"/>
    <w:uiPriority w:val="99"/>
    <w:semiHidden/>
    <w:unhideWhenUsed/>
    <w:rsid w:val="00471042"/>
    <w:rPr>
      <w:vertAlign w:val="superscript"/>
    </w:rPr>
  </w:style>
  <w:style w:type="numbering" w:customStyle="1" w:styleId="NoList1">
    <w:name w:val="No List1"/>
    <w:next w:val="NoList"/>
    <w:uiPriority w:val="99"/>
    <w:semiHidden/>
    <w:unhideWhenUsed/>
    <w:rsid w:val="00471042"/>
  </w:style>
  <w:style w:type="paragraph" w:customStyle="1" w:styleId="Normalerostyle">
    <w:name w:val="Normal.erostyle"/>
    <w:link w:val="NormalerostyleChar"/>
    <w:rsid w:val="00471042"/>
    <w:pPr>
      <w:suppressAutoHyphens/>
    </w:pPr>
    <w:rPr>
      <w:lang w:val="da-DK" w:eastAsia="en-IE"/>
    </w:rPr>
  </w:style>
  <w:style w:type="table" w:customStyle="1" w:styleId="TableGrid1">
    <w:name w:val="Table Grid1"/>
    <w:basedOn w:val="TableNormal"/>
    <w:next w:val="TableGrid"/>
    <w:rsid w:val="00471042"/>
    <w:pPr>
      <w:overflowPunct w:val="0"/>
      <w:autoSpaceDE w:val="0"/>
      <w:autoSpaceDN w:val="0"/>
      <w:adjustRightInd w:val="0"/>
      <w:textAlignment w:val="baseline"/>
    </w:pPr>
    <w:rPr>
      <w:lang w:val="da-DK" w:eastAsia="da-DK"/>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arCarCar">
    <w:name w:val="Car Car Car"/>
    <w:basedOn w:val="Normal"/>
    <w:rsid w:val="00471042"/>
    <w:pPr>
      <w:tabs>
        <w:tab w:val="left" w:pos="540"/>
        <w:tab w:val="left" w:pos="1260"/>
        <w:tab w:val="left" w:pos="1800"/>
      </w:tabs>
      <w:spacing w:before="240" w:after="160" w:line="240" w:lineRule="exact"/>
    </w:pPr>
    <w:rPr>
      <w:rFonts w:ascii="Verdana" w:hAnsi="Verdana"/>
      <w:sz w:val="24"/>
      <w:szCs w:val="20"/>
    </w:rPr>
  </w:style>
  <w:style w:type="paragraph" w:customStyle="1" w:styleId="ComregBodyTextCharChar">
    <w:name w:val="Comreg Body Text Char Char"/>
    <w:link w:val="ComregBodyTextCharCharChar"/>
    <w:rsid w:val="00471042"/>
    <w:pPr>
      <w:ind w:left="567"/>
    </w:pPr>
    <w:rPr>
      <w:rFonts w:ascii="Arial" w:eastAsia="Times" w:hAnsi="Arial"/>
      <w:sz w:val="24"/>
      <w:szCs w:val="24"/>
    </w:rPr>
  </w:style>
  <w:style w:type="character" w:customStyle="1" w:styleId="ComregBodyTextCharCharChar">
    <w:name w:val="Comreg Body Text Char Char Char"/>
    <w:link w:val="ComregBodyTextCharChar"/>
    <w:rsid w:val="00471042"/>
    <w:rPr>
      <w:rFonts w:ascii="Arial" w:eastAsia="Times" w:hAnsi="Arial"/>
      <w:sz w:val="24"/>
      <w:szCs w:val="24"/>
    </w:rPr>
  </w:style>
  <w:style w:type="paragraph" w:customStyle="1" w:styleId="ZchnZchnCarCar">
    <w:name w:val="Zchn Zchn Car Car"/>
    <w:basedOn w:val="Normal"/>
    <w:rsid w:val="00471042"/>
    <w:pPr>
      <w:tabs>
        <w:tab w:val="left" w:pos="540"/>
        <w:tab w:val="left" w:pos="1260"/>
        <w:tab w:val="left" w:pos="1800"/>
      </w:tabs>
      <w:spacing w:before="240" w:after="160" w:line="240" w:lineRule="exact"/>
    </w:pPr>
    <w:rPr>
      <w:rFonts w:ascii="Verdana" w:hAnsi="Verdana"/>
      <w:sz w:val="24"/>
      <w:szCs w:val="20"/>
    </w:rPr>
  </w:style>
  <w:style w:type="paragraph" w:customStyle="1" w:styleId="Tabletext">
    <w:name w:val="Table text"/>
    <w:basedOn w:val="Normal"/>
    <w:link w:val="TabletextChar"/>
    <w:rsid w:val="00471042"/>
    <w:pPr>
      <w:spacing w:before="60" w:after="60"/>
    </w:pPr>
    <w:rPr>
      <w:rFonts w:cs="Arial"/>
      <w:sz w:val="16"/>
      <w:szCs w:val="16"/>
      <w:lang w:val="da-DK"/>
    </w:rPr>
  </w:style>
  <w:style w:type="character" w:customStyle="1" w:styleId="TabletextChar">
    <w:name w:val="Table text Char"/>
    <w:link w:val="Tabletext"/>
    <w:rsid w:val="00471042"/>
    <w:rPr>
      <w:rFonts w:ascii="Arial" w:hAnsi="Arial" w:cs="Arial"/>
      <w:sz w:val="16"/>
      <w:szCs w:val="16"/>
      <w:lang w:val="da-DK"/>
    </w:rPr>
  </w:style>
  <w:style w:type="paragraph" w:customStyle="1" w:styleId="PT1Head">
    <w:name w:val="PT1_Head"/>
    <w:basedOn w:val="Heading4"/>
    <w:next w:val="Normal"/>
    <w:rsid w:val="00471042"/>
    <w:pPr>
      <w:tabs>
        <w:tab w:val="num" w:pos="580"/>
      </w:tabs>
      <w:spacing w:before="0" w:after="0"/>
      <w:ind w:left="580"/>
    </w:pPr>
    <w:rPr>
      <w:rFonts w:cs="Times New Roman"/>
      <w:b/>
      <w:bCs w:val="0"/>
      <w:i w:val="0"/>
      <w:color w:val="auto"/>
      <w:sz w:val="24"/>
      <w:szCs w:val="20"/>
      <w:lang w:val="en-GB" w:eastAsia="en-IE"/>
    </w:rPr>
  </w:style>
  <w:style w:type="paragraph" w:customStyle="1" w:styleId="ZT">
    <w:name w:val="ZT"/>
    <w:rsid w:val="00471042"/>
    <w:pPr>
      <w:spacing w:after="96" w:line="240" w:lineRule="atLeast"/>
      <w:jc w:val="center"/>
    </w:pPr>
    <w:rPr>
      <w:rFonts w:ascii="Arial" w:hAnsi="Arial" w:cs="Arial"/>
      <w:b/>
      <w:bCs/>
      <w:sz w:val="32"/>
      <w:szCs w:val="32"/>
      <w:lang w:eastAsia="en-IE"/>
    </w:rPr>
  </w:style>
  <w:style w:type="paragraph" w:customStyle="1" w:styleId="CharChar">
    <w:name w:val="Char Char"/>
    <w:basedOn w:val="Normal"/>
    <w:rsid w:val="00471042"/>
    <w:pPr>
      <w:tabs>
        <w:tab w:val="left" w:pos="540"/>
        <w:tab w:val="left" w:pos="1260"/>
        <w:tab w:val="left" w:pos="1800"/>
      </w:tabs>
      <w:spacing w:before="240" w:after="160" w:line="240" w:lineRule="exact"/>
    </w:pPr>
    <w:rPr>
      <w:rFonts w:ascii="Verdana" w:hAnsi="Verdana"/>
      <w:sz w:val="24"/>
      <w:szCs w:val="20"/>
    </w:rPr>
  </w:style>
  <w:style w:type="paragraph" w:styleId="DocumentMap">
    <w:name w:val="Document Map"/>
    <w:basedOn w:val="Normal"/>
    <w:link w:val="DocumentMapChar"/>
    <w:semiHidden/>
    <w:rsid w:val="00471042"/>
    <w:pPr>
      <w:shd w:val="clear" w:color="auto" w:fill="000080"/>
      <w:overflowPunct w:val="0"/>
      <w:autoSpaceDE w:val="0"/>
      <w:autoSpaceDN w:val="0"/>
      <w:adjustRightInd w:val="0"/>
      <w:textAlignment w:val="baseline"/>
    </w:pPr>
    <w:rPr>
      <w:rFonts w:ascii="Tahoma" w:hAnsi="Tahoma" w:cs="Tahoma"/>
      <w:szCs w:val="20"/>
      <w:lang w:val="nl" w:eastAsia="nl-NL"/>
    </w:rPr>
  </w:style>
  <w:style w:type="character" w:customStyle="1" w:styleId="DocumentMapChar">
    <w:name w:val="Document Map Char"/>
    <w:basedOn w:val="DefaultParagraphFont"/>
    <w:link w:val="DocumentMap"/>
    <w:semiHidden/>
    <w:rsid w:val="00471042"/>
    <w:rPr>
      <w:rFonts w:ascii="Tahoma" w:hAnsi="Tahoma" w:cs="Tahoma"/>
      <w:shd w:val="clear" w:color="auto" w:fill="000080"/>
      <w:lang w:val="nl" w:eastAsia="nl-NL"/>
    </w:rPr>
  </w:style>
  <w:style w:type="paragraph" w:customStyle="1" w:styleId="ANNEX">
    <w:name w:val="ANNEX"/>
    <w:basedOn w:val="Heading1"/>
    <w:autoRedefine/>
    <w:rsid w:val="00471042"/>
    <w:pPr>
      <w:numPr>
        <w:numId w:val="14"/>
      </w:numPr>
      <w:spacing w:before="480"/>
      <w:jc w:val="center"/>
    </w:pPr>
    <w:rPr>
      <w:rFonts w:ascii="Times New Roman Bold" w:hAnsi="Times New Roman Bold" w:cs="Times New Roman"/>
      <w:color w:val="auto"/>
    </w:rPr>
  </w:style>
  <w:style w:type="character" w:customStyle="1" w:styleId="NormalerostyleChar">
    <w:name w:val="Normal.erostyle Char"/>
    <w:link w:val="Normalerostyle"/>
    <w:rsid w:val="00471042"/>
    <w:rPr>
      <w:lang w:val="da-DK" w:eastAsia="en-IE"/>
    </w:rPr>
  </w:style>
  <w:style w:type="paragraph" w:styleId="Index1">
    <w:name w:val="index 1"/>
    <w:basedOn w:val="Normal"/>
    <w:next w:val="Normal"/>
    <w:autoRedefine/>
    <w:semiHidden/>
    <w:rsid w:val="00471042"/>
    <w:pPr>
      <w:overflowPunct w:val="0"/>
      <w:autoSpaceDE w:val="0"/>
      <w:autoSpaceDN w:val="0"/>
      <w:adjustRightInd w:val="0"/>
      <w:ind w:left="200" w:hanging="200"/>
      <w:textAlignment w:val="baseline"/>
    </w:pPr>
    <w:rPr>
      <w:rFonts w:ascii="Times New Roman" w:hAnsi="Times New Roman"/>
      <w:szCs w:val="20"/>
      <w:lang w:val="nl" w:eastAsia="nl-NL"/>
    </w:rPr>
  </w:style>
  <w:style w:type="paragraph" w:styleId="Index2">
    <w:name w:val="index 2"/>
    <w:basedOn w:val="Normal"/>
    <w:next w:val="Normal"/>
    <w:autoRedefine/>
    <w:semiHidden/>
    <w:rsid w:val="00471042"/>
    <w:pPr>
      <w:overflowPunct w:val="0"/>
      <w:autoSpaceDE w:val="0"/>
      <w:autoSpaceDN w:val="0"/>
      <w:adjustRightInd w:val="0"/>
      <w:ind w:left="400" w:hanging="200"/>
      <w:textAlignment w:val="baseline"/>
    </w:pPr>
    <w:rPr>
      <w:rFonts w:ascii="Times New Roman" w:hAnsi="Times New Roman"/>
      <w:szCs w:val="20"/>
      <w:lang w:val="nl" w:eastAsia="nl-NL"/>
    </w:rPr>
  </w:style>
  <w:style w:type="paragraph" w:styleId="Index3">
    <w:name w:val="index 3"/>
    <w:basedOn w:val="Normal"/>
    <w:next w:val="Normal"/>
    <w:autoRedefine/>
    <w:semiHidden/>
    <w:rsid w:val="00471042"/>
    <w:pPr>
      <w:overflowPunct w:val="0"/>
      <w:autoSpaceDE w:val="0"/>
      <w:autoSpaceDN w:val="0"/>
      <w:adjustRightInd w:val="0"/>
      <w:ind w:left="600" w:hanging="200"/>
      <w:textAlignment w:val="baseline"/>
    </w:pPr>
    <w:rPr>
      <w:rFonts w:ascii="Times New Roman" w:hAnsi="Times New Roman"/>
      <w:szCs w:val="20"/>
      <w:lang w:val="nl" w:eastAsia="nl-NL"/>
    </w:rPr>
  </w:style>
  <w:style w:type="paragraph" w:styleId="Index4">
    <w:name w:val="index 4"/>
    <w:basedOn w:val="Normal"/>
    <w:next w:val="Normal"/>
    <w:autoRedefine/>
    <w:semiHidden/>
    <w:rsid w:val="00471042"/>
    <w:pPr>
      <w:overflowPunct w:val="0"/>
      <w:autoSpaceDE w:val="0"/>
      <w:autoSpaceDN w:val="0"/>
      <w:adjustRightInd w:val="0"/>
      <w:ind w:left="800" w:hanging="200"/>
      <w:textAlignment w:val="baseline"/>
    </w:pPr>
    <w:rPr>
      <w:rFonts w:ascii="Times New Roman" w:hAnsi="Times New Roman"/>
      <w:szCs w:val="20"/>
      <w:lang w:val="nl" w:eastAsia="nl-NL"/>
    </w:rPr>
  </w:style>
  <w:style w:type="paragraph" w:styleId="Index5">
    <w:name w:val="index 5"/>
    <w:basedOn w:val="Normal"/>
    <w:next w:val="Normal"/>
    <w:autoRedefine/>
    <w:semiHidden/>
    <w:rsid w:val="00471042"/>
    <w:pPr>
      <w:overflowPunct w:val="0"/>
      <w:autoSpaceDE w:val="0"/>
      <w:autoSpaceDN w:val="0"/>
      <w:adjustRightInd w:val="0"/>
      <w:ind w:left="1000" w:hanging="200"/>
      <w:textAlignment w:val="baseline"/>
    </w:pPr>
    <w:rPr>
      <w:rFonts w:ascii="Times New Roman" w:hAnsi="Times New Roman"/>
      <w:szCs w:val="20"/>
      <w:lang w:val="nl" w:eastAsia="nl-NL"/>
    </w:rPr>
  </w:style>
  <w:style w:type="paragraph" w:styleId="Index6">
    <w:name w:val="index 6"/>
    <w:basedOn w:val="Normal"/>
    <w:next w:val="Normal"/>
    <w:autoRedefine/>
    <w:semiHidden/>
    <w:rsid w:val="00471042"/>
    <w:pPr>
      <w:overflowPunct w:val="0"/>
      <w:autoSpaceDE w:val="0"/>
      <w:autoSpaceDN w:val="0"/>
      <w:adjustRightInd w:val="0"/>
      <w:ind w:left="1200" w:hanging="200"/>
      <w:textAlignment w:val="baseline"/>
    </w:pPr>
    <w:rPr>
      <w:rFonts w:ascii="Times New Roman" w:hAnsi="Times New Roman"/>
      <w:szCs w:val="20"/>
      <w:lang w:val="nl" w:eastAsia="nl-NL"/>
    </w:rPr>
  </w:style>
  <w:style w:type="paragraph" w:styleId="Index7">
    <w:name w:val="index 7"/>
    <w:basedOn w:val="Normal"/>
    <w:next w:val="Normal"/>
    <w:autoRedefine/>
    <w:semiHidden/>
    <w:rsid w:val="00471042"/>
    <w:pPr>
      <w:overflowPunct w:val="0"/>
      <w:autoSpaceDE w:val="0"/>
      <w:autoSpaceDN w:val="0"/>
      <w:adjustRightInd w:val="0"/>
      <w:ind w:left="1400" w:hanging="200"/>
      <w:textAlignment w:val="baseline"/>
    </w:pPr>
    <w:rPr>
      <w:rFonts w:ascii="Times New Roman" w:hAnsi="Times New Roman"/>
      <w:szCs w:val="20"/>
      <w:lang w:val="nl" w:eastAsia="nl-NL"/>
    </w:rPr>
  </w:style>
  <w:style w:type="paragraph" w:styleId="Index8">
    <w:name w:val="index 8"/>
    <w:basedOn w:val="Normal"/>
    <w:next w:val="Normal"/>
    <w:autoRedefine/>
    <w:semiHidden/>
    <w:rsid w:val="00471042"/>
    <w:pPr>
      <w:overflowPunct w:val="0"/>
      <w:autoSpaceDE w:val="0"/>
      <w:autoSpaceDN w:val="0"/>
      <w:adjustRightInd w:val="0"/>
      <w:ind w:left="1600" w:hanging="200"/>
      <w:textAlignment w:val="baseline"/>
    </w:pPr>
    <w:rPr>
      <w:rFonts w:ascii="Times New Roman" w:hAnsi="Times New Roman"/>
      <w:szCs w:val="20"/>
      <w:lang w:val="nl" w:eastAsia="nl-NL"/>
    </w:rPr>
  </w:style>
  <w:style w:type="paragraph" w:styleId="Index9">
    <w:name w:val="index 9"/>
    <w:basedOn w:val="Normal"/>
    <w:next w:val="Normal"/>
    <w:autoRedefine/>
    <w:semiHidden/>
    <w:rsid w:val="00471042"/>
    <w:pPr>
      <w:overflowPunct w:val="0"/>
      <w:autoSpaceDE w:val="0"/>
      <w:autoSpaceDN w:val="0"/>
      <w:adjustRightInd w:val="0"/>
      <w:ind w:left="1800" w:hanging="200"/>
      <w:textAlignment w:val="baseline"/>
    </w:pPr>
    <w:rPr>
      <w:rFonts w:ascii="Times New Roman" w:hAnsi="Times New Roman"/>
      <w:szCs w:val="20"/>
      <w:lang w:val="nl" w:eastAsia="nl-NL"/>
    </w:rPr>
  </w:style>
  <w:style w:type="paragraph" w:styleId="IndexHeading">
    <w:name w:val="index heading"/>
    <w:basedOn w:val="Normal"/>
    <w:next w:val="Index1"/>
    <w:semiHidden/>
    <w:rsid w:val="00471042"/>
    <w:pPr>
      <w:overflowPunct w:val="0"/>
      <w:autoSpaceDE w:val="0"/>
      <w:autoSpaceDN w:val="0"/>
      <w:adjustRightInd w:val="0"/>
      <w:spacing w:before="120" w:after="120"/>
      <w:textAlignment w:val="baseline"/>
    </w:pPr>
    <w:rPr>
      <w:rFonts w:ascii="Times New Roman" w:hAnsi="Times New Roman"/>
      <w:b/>
      <w:bCs/>
      <w:i/>
      <w:iCs/>
      <w:szCs w:val="20"/>
      <w:lang w:val="nl" w:eastAsia="nl-NL"/>
    </w:rPr>
  </w:style>
  <w:style w:type="paragraph" w:customStyle="1" w:styleId="StyleHeading1TimesNewRoman10ptLeft0cmBefore24">
    <w:name w:val="Style Heading 1 + Times New Roman 10 pt Left:  0 cm Before:  24 ..."/>
    <w:basedOn w:val="Heading1"/>
    <w:rsid w:val="00471042"/>
    <w:pPr>
      <w:numPr>
        <w:numId w:val="13"/>
      </w:numPr>
      <w:overflowPunct w:val="0"/>
      <w:autoSpaceDE w:val="0"/>
      <w:autoSpaceDN w:val="0"/>
      <w:adjustRightInd w:val="0"/>
      <w:spacing w:before="480"/>
      <w:ind w:left="431" w:hanging="431"/>
      <w:textAlignment w:val="baseline"/>
    </w:pPr>
    <w:rPr>
      <w:rFonts w:ascii="Times New Roman" w:hAnsi="Times New Roman" w:cs="Times New Roman"/>
      <w:bCs/>
      <w:caps w:val="0"/>
      <w:color w:val="auto"/>
      <w:szCs w:val="20"/>
      <w:lang w:val="nl" w:eastAsia="nl-NL"/>
    </w:rPr>
  </w:style>
  <w:style w:type="paragraph" w:customStyle="1" w:styleId="Style11ptBoldCentered">
    <w:name w:val="Style 11 pt Bold Centered"/>
    <w:basedOn w:val="Normal"/>
    <w:autoRedefine/>
    <w:rsid w:val="00471042"/>
    <w:pPr>
      <w:overflowPunct w:val="0"/>
      <w:autoSpaceDE w:val="0"/>
      <w:autoSpaceDN w:val="0"/>
      <w:adjustRightInd w:val="0"/>
      <w:jc w:val="center"/>
      <w:textAlignment w:val="baseline"/>
    </w:pPr>
    <w:rPr>
      <w:rFonts w:ascii="Times New Roman" w:hAnsi="Times New Roman"/>
      <w:b/>
      <w:bCs/>
      <w:szCs w:val="20"/>
      <w:lang w:val="nl" w:eastAsia="nl-NL"/>
    </w:rPr>
  </w:style>
  <w:style w:type="paragraph" w:styleId="ListBullet4">
    <w:name w:val="List Bullet 4"/>
    <w:basedOn w:val="Normal"/>
    <w:rsid w:val="001C7BBC"/>
    <w:pPr>
      <w:numPr>
        <w:numId w:val="15"/>
      </w:numPr>
      <w:spacing w:after="240"/>
      <w:jc w:val="both"/>
    </w:pPr>
    <w:rPr>
      <w:rFonts w:ascii="Times New Roman" w:hAnsi="Times New Roman"/>
      <w:sz w:val="24"/>
      <w:szCs w:val="20"/>
      <w:lang w:val="en-GB" w:eastAsia="fr-BE"/>
    </w:rPr>
  </w:style>
  <w:style w:type="character" w:styleId="Emphasis">
    <w:name w:val="Emphasis"/>
    <w:basedOn w:val="DefaultParagraphFont"/>
    <w:uiPriority w:val="20"/>
    <w:qFormat/>
    <w:rsid w:val="006A5E3C"/>
    <w:rPr>
      <w:b/>
      <w:bCs/>
      <w:i w:val="0"/>
      <w:iCs w:val="0"/>
    </w:rPr>
  </w:style>
  <w:style w:type="paragraph" w:styleId="TableofFigures">
    <w:name w:val="table of figures"/>
    <w:basedOn w:val="Normal"/>
    <w:next w:val="Normal"/>
    <w:uiPriority w:val="99"/>
    <w:unhideWhenUsed/>
    <w:rsid w:val="004B49A0"/>
  </w:style>
  <w:style w:type="paragraph" w:customStyle="1" w:styleId="xmsonormal">
    <w:name w:val="x_msonormal"/>
    <w:basedOn w:val="Normal"/>
    <w:rsid w:val="007202FC"/>
    <w:pPr>
      <w:spacing w:before="100" w:beforeAutospacing="1" w:after="100" w:afterAutospacing="1"/>
    </w:pPr>
    <w:rPr>
      <w:rFonts w:ascii="Times New Roman" w:hAnsi="Times New Roman"/>
      <w:sz w:val="24"/>
      <w:lang w:val="pt-PT" w:eastAsia="pt-PT"/>
    </w:rPr>
  </w:style>
  <w:style w:type="paragraph" w:customStyle="1" w:styleId="En-tte1">
    <w:name w:val="En-tête1"/>
    <w:basedOn w:val="Header"/>
    <w:link w:val="HeaderZchn"/>
    <w:rsid w:val="009D5F11"/>
    <w:pPr>
      <w:tabs>
        <w:tab w:val="clear" w:pos="4320"/>
        <w:tab w:val="clear" w:pos="8640"/>
        <w:tab w:val="center" w:pos="4536"/>
        <w:tab w:val="right" w:pos="9072"/>
      </w:tabs>
      <w:spacing w:before="60" w:line="264" w:lineRule="auto"/>
      <w:ind w:left="57"/>
    </w:pPr>
    <w:rPr>
      <w:sz w:val="22"/>
      <w:szCs w:val="20"/>
      <w:lang w:val="nb-NO" w:eastAsia="de-DE"/>
    </w:rPr>
  </w:style>
  <w:style w:type="character" w:customStyle="1" w:styleId="HeaderZchn">
    <w:name w:val="Header Zchn"/>
    <w:link w:val="En-tte1"/>
    <w:rsid w:val="009D5F11"/>
    <w:rPr>
      <w:rFonts w:ascii="Arial" w:hAnsi="Arial"/>
      <w:b/>
      <w:sz w:val="22"/>
      <w:lang w:val="nb-NO" w:eastAsia="de-DE"/>
    </w:rPr>
  </w:style>
  <w:style w:type="paragraph" w:customStyle="1" w:styleId="AddressTR">
    <w:name w:val="AddressTR"/>
    <w:basedOn w:val="Normal"/>
    <w:next w:val="Normal"/>
    <w:rsid w:val="00C57BAF"/>
    <w:pPr>
      <w:spacing w:after="720"/>
      <w:ind w:left="5103"/>
    </w:pPr>
    <w:rPr>
      <w:rFonts w:ascii="Times New Roman" w:hAnsi="Times New Roman"/>
      <w:sz w:val="24"/>
      <w:szCs w:val="20"/>
      <w:lang w:val="en-GB" w:eastAsia="fr-BE"/>
    </w:rPr>
  </w:style>
  <w:style w:type="paragraph" w:styleId="Date">
    <w:name w:val="Date"/>
    <w:basedOn w:val="Normal"/>
    <w:next w:val="References"/>
    <w:link w:val="DateChar"/>
    <w:rsid w:val="00C57BAF"/>
    <w:pPr>
      <w:ind w:left="5103" w:right="-567"/>
    </w:pPr>
    <w:rPr>
      <w:rFonts w:ascii="Times New Roman" w:hAnsi="Times New Roman"/>
      <w:sz w:val="24"/>
      <w:szCs w:val="20"/>
      <w:lang w:val="en-GB" w:eastAsia="fr-BE"/>
    </w:rPr>
  </w:style>
  <w:style w:type="character" w:customStyle="1" w:styleId="DateChar">
    <w:name w:val="Date Char"/>
    <w:basedOn w:val="DefaultParagraphFont"/>
    <w:link w:val="Date"/>
    <w:rsid w:val="00C57BAF"/>
    <w:rPr>
      <w:sz w:val="24"/>
      <w:lang w:eastAsia="fr-BE"/>
    </w:rPr>
  </w:style>
  <w:style w:type="paragraph" w:customStyle="1" w:styleId="References">
    <w:name w:val="References"/>
    <w:basedOn w:val="Normal"/>
    <w:next w:val="AddressTR"/>
    <w:rsid w:val="00C57BAF"/>
    <w:pPr>
      <w:spacing w:after="240"/>
      <w:ind w:left="5103"/>
    </w:pPr>
    <w:rPr>
      <w:rFonts w:ascii="Times New Roman" w:hAnsi="Times New Roman"/>
      <w:szCs w:val="20"/>
      <w:lang w:val="en-GB" w:eastAsia="fr-BE"/>
    </w:rPr>
  </w:style>
  <w:style w:type="paragraph" w:styleId="ListBullet3">
    <w:name w:val="List Bullet 3"/>
    <w:basedOn w:val="Normal"/>
    <w:rsid w:val="00C57BAF"/>
    <w:pPr>
      <w:numPr>
        <w:numId w:val="25"/>
      </w:numPr>
      <w:spacing w:after="240"/>
      <w:jc w:val="both"/>
    </w:pPr>
    <w:rPr>
      <w:rFonts w:ascii="Times New Roman" w:hAnsi="Times New Roman"/>
      <w:sz w:val="24"/>
      <w:szCs w:val="20"/>
      <w:lang w:val="en-GB" w:eastAsia="fr-BE"/>
    </w:rPr>
  </w:style>
  <w:style w:type="paragraph" w:styleId="ListNumber4">
    <w:name w:val="List Number 4"/>
    <w:basedOn w:val="Normal"/>
    <w:rsid w:val="00C57BAF"/>
    <w:pPr>
      <w:numPr>
        <w:numId w:val="26"/>
      </w:numPr>
      <w:spacing w:after="240"/>
      <w:jc w:val="both"/>
    </w:pPr>
    <w:rPr>
      <w:rFonts w:ascii="Times New Roman" w:hAnsi="Times New Roman"/>
      <w:sz w:val="24"/>
      <w:szCs w:val="20"/>
      <w:lang w:val="en-GB" w:eastAsia="fr-BE"/>
    </w:rPr>
  </w:style>
  <w:style w:type="paragraph" w:customStyle="1" w:styleId="ListNumber4Level2">
    <w:name w:val="List Number 4 (Level 2)"/>
    <w:basedOn w:val="Normal"/>
    <w:rsid w:val="00C57BAF"/>
    <w:pPr>
      <w:numPr>
        <w:ilvl w:val="1"/>
        <w:numId w:val="26"/>
      </w:numPr>
      <w:spacing w:after="240"/>
      <w:jc w:val="both"/>
    </w:pPr>
    <w:rPr>
      <w:rFonts w:ascii="Times New Roman" w:hAnsi="Times New Roman"/>
      <w:sz w:val="24"/>
      <w:szCs w:val="20"/>
      <w:lang w:val="en-GB" w:eastAsia="fr-BE"/>
    </w:rPr>
  </w:style>
  <w:style w:type="paragraph" w:customStyle="1" w:styleId="ListNumber4Level3">
    <w:name w:val="List Number 4 (Level 3)"/>
    <w:basedOn w:val="Normal"/>
    <w:rsid w:val="00C57BAF"/>
    <w:pPr>
      <w:numPr>
        <w:ilvl w:val="2"/>
        <w:numId w:val="26"/>
      </w:numPr>
      <w:spacing w:after="240"/>
      <w:jc w:val="both"/>
    </w:pPr>
    <w:rPr>
      <w:rFonts w:ascii="Times New Roman" w:hAnsi="Times New Roman"/>
      <w:sz w:val="24"/>
      <w:szCs w:val="20"/>
      <w:lang w:val="en-GB" w:eastAsia="fr-BE"/>
    </w:rPr>
  </w:style>
  <w:style w:type="paragraph" w:customStyle="1" w:styleId="ListNumber4Level4">
    <w:name w:val="List Number 4 (Level 4)"/>
    <w:basedOn w:val="Normal"/>
    <w:rsid w:val="00C57BAF"/>
    <w:pPr>
      <w:numPr>
        <w:ilvl w:val="3"/>
        <w:numId w:val="26"/>
      </w:numPr>
      <w:spacing w:after="240"/>
      <w:jc w:val="both"/>
    </w:pPr>
    <w:rPr>
      <w:rFonts w:ascii="Times New Roman" w:hAnsi="Times New Roman"/>
      <w:sz w:val="24"/>
      <w:szCs w:val="20"/>
      <w:lang w:val="en-GB" w:eastAsia="fr-BE"/>
    </w:rPr>
  </w:style>
  <w:style w:type="paragraph" w:customStyle="1" w:styleId="ZCom">
    <w:name w:val="Z_Com"/>
    <w:basedOn w:val="Normal"/>
    <w:next w:val="ZDGName"/>
    <w:rsid w:val="00C57BAF"/>
    <w:pPr>
      <w:widowControl w:val="0"/>
      <w:ind w:right="85"/>
      <w:jc w:val="both"/>
    </w:pPr>
    <w:rPr>
      <w:snapToGrid w:val="0"/>
      <w:sz w:val="24"/>
      <w:szCs w:val="20"/>
      <w:lang w:val="en-GB"/>
    </w:rPr>
  </w:style>
  <w:style w:type="paragraph" w:customStyle="1" w:styleId="ZDGName">
    <w:name w:val="Z_DGName"/>
    <w:basedOn w:val="Normal"/>
    <w:rsid w:val="00C57BAF"/>
    <w:pPr>
      <w:widowControl w:val="0"/>
      <w:ind w:right="85"/>
    </w:pPr>
    <w:rPr>
      <w:snapToGrid w:val="0"/>
      <w:sz w:val="16"/>
      <w:szCs w:val="20"/>
      <w:lang w:val="en-GB"/>
    </w:rPr>
  </w:style>
  <w:style w:type="paragraph" w:customStyle="1" w:styleId="CarCar">
    <w:name w:val="Car Car"/>
    <w:basedOn w:val="Normal"/>
    <w:rsid w:val="00C57BAF"/>
    <w:pPr>
      <w:tabs>
        <w:tab w:val="left" w:pos="540"/>
        <w:tab w:val="left" w:pos="1260"/>
        <w:tab w:val="left" w:pos="1800"/>
      </w:tabs>
      <w:spacing w:before="240" w:after="160" w:line="240" w:lineRule="exact"/>
    </w:pPr>
    <w:rPr>
      <w:rFonts w:ascii="Verdana" w:hAnsi="Verdana"/>
      <w:sz w:val="24"/>
      <w:szCs w:val="20"/>
    </w:rPr>
  </w:style>
  <w:style w:type="paragraph" w:styleId="NoSpacing">
    <w:name w:val="No Spacing"/>
    <w:uiPriority w:val="99"/>
    <w:qFormat/>
    <w:rsid w:val="00677B54"/>
    <w:rPr>
      <w:rFonts w:ascii="Arial" w:eastAsia="Calibri" w:hAnsi="Arial"/>
      <w:sz w:val="24"/>
      <w:szCs w:val="24"/>
    </w:rPr>
  </w:style>
  <w:style w:type="table" w:customStyle="1" w:styleId="TableGrid2">
    <w:name w:val="Table Grid2"/>
    <w:basedOn w:val="TableNormal"/>
    <w:next w:val="TableGrid"/>
    <w:uiPriority w:val="59"/>
    <w:rsid w:val="00677B5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OC51">
    <w:name w:val="TOC 51"/>
    <w:basedOn w:val="Normal"/>
    <w:next w:val="Normal"/>
    <w:autoRedefine/>
    <w:uiPriority w:val="39"/>
    <w:unhideWhenUsed/>
    <w:rsid w:val="00677B54"/>
    <w:pPr>
      <w:spacing w:after="100" w:line="276" w:lineRule="auto"/>
      <w:ind w:left="880"/>
    </w:pPr>
    <w:rPr>
      <w:rFonts w:ascii="Cambria" w:hAnsi="Cambria"/>
      <w:sz w:val="22"/>
      <w:szCs w:val="22"/>
      <w:lang w:val="da-DK" w:eastAsia="da-DK"/>
    </w:rPr>
  </w:style>
  <w:style w:type="paragraph" w:customStyle="1" w:styleId="TOC61">
    <w:name w:val="TOC 61"/>
    <w:basedOn w:val="Normal"/>
    <w:next w:val="Normal"/>
    <w:autoRedefine/>
    <w:uiPriority w:val="39"/>
    <w:unhideWhenUsed/>
    <w:rsid w:val="00677B54"/>
    <w:pPr>
      <w:spacing w:after="100" w:line="276" w:lineRule="auto"/>
      <w:ind w:left="1100"/>
    </w:pPr>
    <w:rPr>
      <w:rFonts w:ascii="Cambria" w:hAnsi="Cambria"/>
      <w:sz w:val="22"/>
      <w:szCs w:val="22"/>
      <w:lang w:val="da-DK" w:eastAsia="da-DK"/>
    </w:rPr>
  </w:style>
  <w:style w:type="paragraph" w:customStyle="1" w:styleId="TOC71">
    <w:name w:val="TOC 71"/>
    <w:basedOn w:val="Normal"/>
    <w:next w:val="Normal"/>
    <w:autoRedefine/>
    <w:uiPriority w:val="39"/>
    <w:unhideWhenUsed/>
    <w:rsid w:val="00677B54"/>
    <w:pPr>
      <w:spacing w:after="100" w:line="276" w:lineRule="auto"/>
      <w:ind w:left="1320"/>
    </w:pPr>
    <w:rPr>
      <w:rFonts w:ascii="Cambria" w:hAnsi="Cambria"/>
      <w:sz w:val="22"/>
      <w:szCs w:val="22"/>
      <w:lang w:val="da-DK" w:eastAsia="da-DK"/>
    </w:rPr>
  </w:style>
  <w:style w:type="paragraph" w:customStyle="1" w:styleId="TOC81">
    <w:name w:val="TOC 81"/>
    <w:basedOn w:val="Normal"/>
    <w:next w:val="Normal"/>
    <w:autoRedefine/>
    <w:uiPriority w:val="39"/>
    <w:unhideWhenUsed/>
    <w:rsid w:val="00677B54"/>
    <w:pPr>
      <w:spacing w:after="100" w:line="276" w:lineRule="auto"/>
      <w:ind w:left="1540"/>
    </w:pPr>
    <w:rPr>
      <w:rFonts w:ascii="Cambria" w:hAnsi="Cambria"/>
      <w:sz w:val="22"/>
      <w:szCs w:val="22"/>
      <w:lang w:val="da-DK" w:eastAsia="da-DK"/>
    </w:rPr>
  </w:style>
  <w:style w:type="paragraph" w:customStyle="1" w:styleId="TOC91">
    <w:name w:val="TOC 91"/>
    <w:basedOn w:val="Normal"/>
    <w:next w:val="Normal"/>
    <w:autoRedefine/>
    <w:uiPriority w:val="39"/>
    <w:unhideWhenUsed/>
    <w:rsid w:val="00677B54"/>
    <w:pPr>
      <w:spacing w:after="100" w:line="276" w:lineRule="auto"/>
      <w:ind w:left="1760"/>
    </w:pPr>
    <w:rPr>
      <w:rFonts w:ascii="Cambria" w:hAnsi="Cambria"/>
      <w:sz w:val="22"/>
      <w:szCs w:val="22"/>
      <w:lang w:val="da-DK" w:eastAsia="da-DK"/>
    </w:rPr>
  </w:style>
  <w:style w:type="paragraph" w:customStyle="1" w:styleId="EndnoteText1">
    <w:name w:val="Endnote Text1"/>
    <w:basedOn w:val="Normal"/>
    <w:next w:val="EndnoteText"/>
    <w:uiPriority w:val="99"/>
    <w:semiHidden/>
    <w:unhideWhenUsed/>
    <w:rsid w:val="00677B54"/>
    <w:rPr>
      <w:rFonts w:ascii="Cambria" w:eastAsia="Cambria" w:hAnsi="Cambria"/>
      <w:sz w:val="22"/>
      <w:szCs w:val="22"/>
      <w:lang w:val="da-DK" w:eastAsia="da-DK"/>
    </w:rPr>
  </w:style>
  <w:style w:type="numbering" w:customStyle="1" w:styleId="NoList11">
    <w:name w:val="No List11"/>
    <w:next w:val="NoList"/>
    <w:semiHidden/>
    <w:unhideWhenUsed/>
    <w:rsid w:val="00677B54"/>
  </w:style>
  <w:style w:type="table" w:customStyle="1" w:styleId="TableGrid11">
    <w:name w:val="Table Grid11"/>
    <w:basedOn w:val="TableNormal"/>
    <w:next w:val="TableGrid"/>
    <w:rsid w:val="00677B54"/>
    <w:pPr>
      <w:overflowPunct w:val="0"/>
      <w:autoSpaceDE w:val="0"/>
      <w:autoSpaceDN w:val="0"/>
      <w:adjustRightInd w:val="0"/>
      <w:textAlignment w:val="baseline"/>
    </w:pPr>
    <w:rPr>
      <w:lang w:val="da-DK" w:eastAsia="da-DK"/>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ndnoteTextChar1">
    <w:name w:val="Endnote Text Char1"/>
    <w:basedOn w:val="DefaultParagraphFont"/>
    <w:uiPriority w:val="99"/>
    <w:semiHidden/>
    <w:rsid w:val="00677B54"/>
    <w:rPr>
      <w:sz w:val="20"/>
      <w:szCs w:val="20"/>
      <w:lang w:val="en-GB" w:eastAsia="en-US"/>
    </w:rPr>
  </w:style>
  <w:style w:type="paragraph" w:customStyle="1" w:styleId="xmsolistparagraph">
    <w:name w:val="x_msolistparagraph"/>
    <w:basedOn w:val="Normal"/>
    <w:rsid w:val="0025720A"/>
    <w:pPr>
      <w:spacing w:before="100" w:beforeAutospacing="1" w:after="100" w:afterAutospacing="1"/>
    </w:pPr>
    <w:rPr>
      <w:rFonts w:ascii="Times New Roman" w:hAnsi="Times New Roman"/>
      <w:sz w:val="24"/>
      <w:lang w:val="pt-PT" w:eastAsia="pt-PT"/>
    </w:rPr>
  </w:style>
  <w:style w:type="paragraph" w:customStyle="1" w:styleId="Text1">
    <w:name w:val="Text 1"/>
    <w:basedOn w:val="Normal"/>
    <w:rsid w:val="00BC6EB8"/>
    <w:pPr>
      <w:spacing w:after="240"/>
      <w:ind w:left="482"/>
      <w:jc w:val="both"/>
    </w:pPr>
    <w:rPr>
      <w:rFonts w:ascii="Times New Roman" w:hAnsi="Times New Roman"/>
      <w:sz w:val="24"/>
      <w:szCs w:val="20"/>
      <w:lang w:val="en-GB" w:eastAsia="fr-BE"/>
    </w:rPr>
  </w:style>
  <w:style w:type="paragraph" w:styleId="ListBullet">
    <w:name w:val="List Bullet"/>
    <w:basedOn w:val="Normal"/>
    <w:rsid w:val="00BC6EB8"/>
    <w:pPr>
      <w:numPr>
        <w:numId w:val="28"/>
      </w:numPr>
      <w:spacing w:after="240"/>
      <w:jc w:val="both"/>
    </w:pPr>
    <w:rPr>
      <w:rFonts w:ascii="Times New Roman" w:hAnsi="Times New Roman"/>
      <w:sz w:val="24"/>
      <w:szCs w:val="20"/>
      <w:lang w:val="en-GB" w:eastAsia="fr-BE"/>
    </w:rPr>
  </w:style>
  <w:style w:type="paragraph" w:customStyle="1" w:styleId="Header3">
    <w:name w:val="Header3"/>
    <w:basedOn w:val="Header"/>
    <w:rsid w:val="000234FD"/>
    <w:pPr>
      <w:tabs>
        <w:tab w:val="clear" w:pos="4320"/>
        <w:tab w:val="clear" w:pos="8640"/>
        <w:tab w:val="center" w:pos="4536"/>
        <w:tab w:val="right" w:pos="9072"/>
      </w:tabs>
    </w:pPr>
    <w:rPr>
      <w:sz w:val="22"/>
      <w:szCs w:val="20"/>
      <w:lang w:val="nb-NO" w:eastAsia="de-DE"/>
    </w:rPr>
  </w:style>
  <w:style w:type="paragraph" w:customStyle="1" w:styleId="Header2">
    <w:name w:val="Header2"/>
    <w:basedOn w:val="Header"/>
    <w:rsid w:val="004552BC"/>
    <w:pPr>
      <w:tabs>
        <w:tab w:val="clear" w:pos="4320"/>
        <w:tab w:val="clear" w:pos="8640"/>
        <w:tab w:val="center" w:pos="4536"/>
        <w:tab w:val="right" w:pos="9072"/>
      </w:tabs>
    </w:pPr>
    <w:rPr>
      <w:sz w:val="22"/>
      <w:szCs w:val="20"/>
      <w:lang w:val="nb-NO" w:eastAsia="de-DE"/>
    </w:rPr>
  </w:style>
  <w:style w:type="table" w:customStyle="1" w:styleId="LightList-Accent11">
    <w:name w:val="Light List - Accent 11"/>
    <w:basedOn w:val="TableNormal"/>
    <w:uiPriority w:val="61"/>
    <w:rsid w:val="0042593E"/>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customStyle="1" w:styleId="TableText0">
    <w:name w:val="TableText"/>
    <w:basedOn w:val="BodyTextIndent"/>
    <w:rsid w:val="00C55CB6"/>
    <w:pPr>
      <w:keepNext/>
      <w:keepLines/>
      <w:overflowPunct w:val="0"/>
      <w:autoSpaceDE w:val="0"/>
      <w:autoSpaceDN w:val="0"/>
      <w:adjustRightInd w:val="0"/>
      <w:spacing w:after="180"/>
      <w:ind w:left="0"/>
      <w:jc w:val="center"/>
      <w:textAlignment w:val="baseline"/>
    </w:pPr>
    <w:rPr>
      <w:rFonts w:ascii="Times New Roman" w:hAnsi="Times New Roman"/>
      <w:snapToGrid w:val="0"/>
      <w:kern w:val="2"/>
      <w:szCs w:val="20"/>
      <w:lang w:val="en-GB"/>
    </w:rPr>
  </w:style>
  <w:style w:type="paragraph" w:styleId="BodyTextIndent">
    <w:name w:val="Body Text Indent"/>
    <w:basedOn w:val="Normal"/>
    <w:link w:val="BodyTextIndentChar"/>
    <w:uiPriority w:val="99"/>
    <w:semiHidden/>
    <w:unhideWhenUsed/>
    <w:rsid w:val="00C55CB6"/>
    <w:pPr>
      <w:spacing w:after="120"/>
      <w:ind w:left="283"/>
    </w:pPr>
  </w:style>
  <w:style w:type="character" w:customStyle="1" w:styleId="BodyTextIndentChar">
    <w:name w:val="Body Text Indent Char"/>
    <w:basedOn w:val="DefaultParagraphFont"/>
    <w:link w:val="BodyTextIndent"/>
    <w:uiPriority w:val="99"/>
    <w:semiHidden/>
    <w:rsid w:val="00C55CB6"/>
    <w:rPr>
      <w:rFonts w:ascii="Arial" w:hAnsi="Arial"/>
      <w:szCs w:val="24"/>
      <w:lang w:val="en-US"/>
    </w:rPr>
  </w:style>
  <w:style w:type="character" w:customStyle="1" w:styleId="CaptionChar">
    <w:name w:val="Caption Char"/>
    <w:aliases w:val="Ca Char,Figure-caption Char,CAPTION Char,Figure-caption1 Char,CAPTION1 Char,Figure Caption1 Char,Figure-caption2 Char,CAPTION2 Char,Figure Caption2 Char,Figure-caption3 Char,CAPTION3 Char,Figure Caption3 Char,Figure-caption4 Char"/>
    <w:link w:val="Caption"/>
    <w:locked/>
    <w:rsid w:val="00C55CB6"/>
    <w:rPr>
      <w:rFonts w:ascii="Arial" w:hAnsi="Arial"/>
      <w:b/>
      <w:bCs/>
      <w:color w:val="D2232A"/>
      <w:lang w:val="en-US"/>
    </w:rPr>
  </w:style>
  <w:style w:type="table" w:customStyle="1" w:styleId="Tabellenraster5">
    <w:name w:val="Tabellenraster5"/>
    <w:basedOn w:val="TableNormal"/>
    <w:next w:val="TableGrid"/>
    <w:uiPriority w:val="59"/>
    <w:rsid w:val="000D7A4A"/>
    <w:rPr>
      <w:rFonts w:ascii="Arial" w:eastAsia="Calibri" w:hAnsi="Arial" w:cs="Arial"/>
      <w:sz w:val="22"/>
      <w:szCs w:val="22"/>
      <w:lang w:val="de-D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CCParagraphZchn">
    <w:name w:val="ECC Paragraph Zchn"/>
    <w:link w:val="ECCParagraph"/>
    <w:locked/>
    <w:rsid w:val="007931AD"/>
    <w:rPr>
      <w:rFonts w:ascii="Arial" w:hAnsi="Arial"/>
      <w:szCs w:val="24"/>
    </w:rPr>
  </w:style>
  <w:style w:type="paragraph" w:customStyle="1" w:styleId="CharChar1CharCharCharCharCharChar2Car">
    <w:name w:val="Char Char1 Char Char Char Char Char Char2 Car"/>
    <w:basedOn w:val="Normal"/>
    <w:rsid w:val="00662240"/>
    <w:pPr>
      <w:tabs>
        <w:tab w:val="left" w:pos="540"/>
        <w:tab w:val="left" w:pos="1260"/>
        <w:tab w:val="left" w:pos="1800"/>
      </w:tabs>
      <w:spacing w:before="240" w:after="160" w:line="240" w:lineRule="exact"/>
    </w:pPr>
    <w:rPr>
      <w:rFonts w:ascii="Verdana" w:hAnsi="Verdana"/>
      <w:sz w:val="24"/>
      <w:szCs w:val="20"/>
    </w:rPr>
  </w:style>
  <w:style w:type="paragraph" w:customStyle="1" w:styleId="ECCAnnex-heading1">
    <w:name w:val="ECC Annex - heading1"/>
    <w:basedOn w:val="Heading1"/>
    <w:next w:val="ECCParagraph"/>
    <w:rsid w:val="00A9349D"/>
    <w:pPr>
      <w:pageBreakBefore w:val="0"/>
      <w:numPr>
        <w:numId w:val="0"/>
      </w:numPr>
      <w:tabs>
        <w:tab w:val="left" w:pos="426"/>
      </w:tabs>
      <w:spacing w:before="400"/>
    </w:pPr>
    <w:rPr>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9964774">
      <w:bodyDiv w:val="1"/>
      <w:marLeft w:val="100"/>
      <w:marRight w:val="100"/>
      <w:marTop w:val="0"/>
      <w:marBottom w:val="100"/>
      <w:divBdr>
        <w:top w:val="none" w:sz="0" w:space="0" w:color="auto"/>
        <w:left w:val="none" w:sz="0" w:space="0" w:color="auto"/>
        <w:bottom w:val="none" w:sz="0" w:space="0" w:color="auto"/>
        <w:right w:val="none" w:sz="0" w:space="0" w:color="auto"/>
      </w:divBdr>
      <w:divsChild>
        <w:div w:id="1794518773">
          <w:marLeft w:val="0"/>
          <w:marRight w:val="0"/>
          <w:marTop w:val="0"/>
          <w:marBottom w:val="0"/>
          <w:divBdr>
            <w:top w:val="none" w:sz="0" w:space="0" w:color="auto"/>
            <w:left w:val="none" w:sz="0" w:space="0" w:color="auto"/>
            <w:bottom w:val="none" w:sz="0" w:space="0" w:color="auto"/>
            <w:right w:val="none" w:sz="0" w:space="0" w:color="auto"/>
          </w:divBdr>
          <w:divsChild>
            <w:div w:id="126318590">
              <w:marLeft w:val="0"/>
              <w:marRight w:val="0"/>
              <w:marTop w:val="0"/>
              <w:marBottom w:val="0"/>
              <w:divBdr>
                <w:top w:val="none" w:sz="0" w:space="0" w:color="auto"/>
                <w:left w:val="none" w:sz="0" w:space="0" w:color="auto"/>
                <w:bottom w:val="none" w:sz="0" w:space="0" w:color="auto"/>
                <w:right w:val="none" w:sz="0" w:space="0" w:color="auto"/>
              </w:divBdr>
              <w:divsChild>
                <w:div w:id="13591135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427776">
      <w:bodyDiv w:val="1"/>
      <w:marLeft w:val="0"/>
      <w:marRight w:val="0"/>
      <w:marTop w:val="0"/>
      <w:marBottom w:val="0"/>
      <w:divBdr>
        <w:top w:val="none" w:sz="0" w:space="0" w:color="auto"/>
        <w:left w:val="none" w:sz="0" w:space="0" w:color="auto"/>
        <w:bottom w:val="none" w:sz="0" w:space="0" w:color="auto"/>
        <w:right w:val="none" w:sz="0" w:space="0" w:color="auto"/>
      </w:divBdr>
    </w:div>
    <w:div w:id="564678482">
      <w:bodyDiv w:val="1"/>
      <w:marLeft w:val="100"/>
      <w:marRight w:val="100"/>
      <w:marTop w:val="0"/>
      <w:marBottom w:val="100"/>
      <w:divBdr>
        <w:top w:val="none" w:sz="0" w:space="0" w:color="auto"/>
        <w:left w:val="none" w:sz="0" w:space="0" w:color="auto"/>
        <w:bottom w:val="none" w:sz="0" w:space="0" w:color="auto"/>
        <w:right w:val="none" w:sz="0" w:space="0" w:color="auto"/>
      </w:divBdr>
      <w:divsChild>
        <w:div w:id="171142489">
          <w:marLeft w:val="0"/>
          <w:marRight w:val="0"/>
          <w:marTop w:val="0"/>
          <w:marBottom w:val="0"/>
          <w:divBdr>
            <w:top w:val="none" w:sz="0" w:space="0" w:color="auto"/>
            <w:left w:val="none" w:sz="0" w:space="0" w:color="auto"/>
            <w:bottom w:val="none" w:sz="0" w:space="0" w:color="auto"/>
            <w:right w:val="none" w:sz="0" w:space="0" w:color="auto"/>
          </w:divBdr>
          <w:divsChild>
            <w:div w:id="1871528124">
              <w:marLeft w:val="0"/>
              <w:marRight w:val="0"/>
              <w:marTop w:val="0"/>
              <w:marBottom w:val="0"/>
              <w:divBdr>
                <w:top w:val="none" w:sz="0" w:space="0" w:color="auto"/>
                <w:left w:val="none" w:sz="0" w:space="0" w:color="auto"/>
                <w:bottom w:val="none" w:sz="0" w:space="0" w:color="auto"/>
                <w:right w:val="none" w:sz="0" w:space="0" w:color="auto"/>
              </w:divBdr>
              <w:divsChild>
                <w:div w:id="444885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4991862">
      <w:bodyDiv w:val="1"/>
      <w:marLeft w:val="0"/>
      <w:marRight w:val="0"/>
      <w:marTop w:val="0"/>
      <w:marBottom w:val="0"/>
      <w:divBdr>
        <w:top w:val="none" w:sz="0" w:space="0" w:color="auto"/>
        <w:left w:val="none" w:sz="0" w:space="0" w:color="auto"/>
        <w:bottom w:val="none" w:sz="0" w:space="0" w:color="auto"/>
        <w:right w:val="none" w:sz="0" w:space="0" w:color="auto"/>
      </w:divBdr>
    </w:div>
    <w:div w:id="592321031">
      <w:bodyDiv w:val="1"/>
      <w:marLeft w:val="0"/>
      <w:marRight w:val="0"/>
      <w:marTop w:val="0"/>
      <w:marBottom w:val="0"/>
      <w:divBdr>
        <w:top w:val="none" w:sz="0" w:space="0" w:color="auto"/>
        <w:left w:val="none" w:sz="0" w:space="0" w:color="auto"/>
        <w:bottom w:val="none" w:sz="0" w:space="0" w:color="auto"/>
        <w:right w:val="none" w:sz="0" w:space="0" w:color="auto"/>
      </w:divBdr>
    </w:div>
    <w:div w:id="638459222">
      <w:bodyDiv w:val="1"/>
      <w:marLeft w:val="0"/>
      <w:marRight w:val="0"/>
      <w:marTop w:val="0"/>
      <w:marBottom w:val="0"/>
      <w:divBdr>
        <w:top w:val="none" w:sz="0" w:space="0" w:color="auto"/>
        <w:left w:val="none" w:sz="0" w:space="0" w:color="auto"/>
        <w:bottom w:val="none" w:sz="0" w:space="0" w:color="auto"/>
        <w:right w:val="none" w:sz="0" w:space="0" w:color="auto"/>
      </w:divBdr>
    </w:div>
    <w:div w:id="644746324">
      <w:bodyDiv w:val="1"/>
      <w:marLeft w:val="0"/>
      <w:marRight w:val="0"/>
      <w:marTop w:val="0"/>
      <w:marBottom w:val="0"/>
      <w:divBdr>
        <w:top w:val="none" w:sz="0" w:space="0" w:color="auto"/>
        <w:left w:val="none" w:sz="0" w:space="0" w:color="auto"/>
        <w:bottom w:val="none" w:sz="0" w:space="0" w:color="auto"/>
        <w:right w:val="none" w:sz="0" w:space="0" w:color="auto"/>
      </w:divBdr>
      <w:divsChild>
        <w:div w:id="29040516">
          <w:marLeft w:val="547"/>
          <w:marRight w:val="0"/>
          <w:marTop w:val="0"/>
          <w:marBottom w:val="0"/>
          <w:divBdr>
            <w:top w:val="none" w:sz="0" w:space="0" w:color="auto"/>
            <w:left w:val="none" w:sz="0" w:space="0" w:color="auto"/>
            <w:bottom w:val="none" w:sz="0" w:space="0" w:color="auto"/>
            <w:right w:val="none" w:sz="0" w:space="0" w:color="auto"/>
          </w:divBdr>
        </w:div>
      </w:divsChild>
    </w:div>
    <w:div w:id="793065669">
      <w:bodyDiv w:val="1"/>
      <w:marLeft w:val="0"/>
      <w:marRight w:val="0"/>
      <w:marTop w:val="0"/>
      <w:marBottom w:val="0"/>
      <w:divBdr>
        <w:top w:val="none" w:sz="0" w:space="0" w:color="auto"/>
        <w:left w:val="none" w:sz="0" w:space="0" w:color="auto"/>
        <w:bottom w:val="none" w:sz="0" w:space="0" w:color="auto"/>
        <w:right w:val="none" w:sz="0" w:space="0" w:color="auto"/>
      </w:divBdr>
      <w:divsChild>
        <w:div w:id="775712657">
          <w:marLeft w:val="0"/>
          <w:marRight w:val="0"/>
          <w:marTop w:val="0"/>
          <w:marBottom w:val="0"/>
          <w:divBdr>
            <w:top w:val="none" w:sz="0" w:space="0" w:color="auto"/>
            <w:left w:val="none" w:sz="0" w:space="0" w:color="auto"/>
            <w:bottom w:val="none" w:sz="0" w:space="0" w:color="auto"/>
            <w:right w:val="none" w:sz="0" w:space="0" w:color="auto"/>
          </w:divBdr>
          <w:divsChild>
            <w:div w:id="1603338852">
              <w:marLeft w:val="0"/>
              <w:marRight w:val="0"/>
              <w:marTop w:val="0"/>
              <w:marBottom w:val="0"/>
              <w:divBdr>
                <w:top w:val="none" w:sz="0" w:space="0" w:color="auto"/>
                <w:left w:val="none" w:sz="0" w:space="0" w:color="auto"/>
                <w:bottom w:val="none" w:sz="0" w:space="0" w:color="auto"/>
                <w:right w:val="none" w:sz="0" w:space="0" w:color="auto"/>
              </w:divBdr>
              <w:divsChild>
                <w:div w:id="1318144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0366276">
      <w:bodyDiv w:val="1"/>
      <w:marLeft w:val="0"/>
      <w:marRight w:val="0"/>
      <w:marTop w:val="0"/>
      <w:marBottom w:val="0"/>
      <w:divBdr>
        <w:top w:val="none" w:sz="0" w:space="0" w:color="auto"/>
        <w:left w:val="none" w:sz="0" w:space="0" w:color="auto"/>
        <w:bottom w:val="none" w:sz="0" w:space="0" w:color="auto"/>
        <w:right w:val="none" w:sz="0" w:space="0" w:color="auto"/>
      </w:divBdr>
      <w:divsChild>
        <w:div w:id="983973770">
          <w:marLeft w:val="547"/>
          <w:marRight w:val="0"/>
          <w:marTop w:val="0"/>
          <w:marBottom w:val="0"/>
          <w:divBdr>
            <w:top w:val="none" w:sz="0" w:space="0" w:color="auto"/>
            <w:left w:val="none" w:sz="0" w:space="0" w:color="auto"/>
            <w:bottom w:val="none" w:sz="0" w:space="0" w:color="auto"/>
            <w:right w:val="none" w:sz="0" w:space="0" w:color="auto"/>
          </w:divBdr>
        </w:div>
      </w:divsChild>
    </w:div>
    <w:div w:id="968240797">
      <w:bodyDiv w:val="1"/>
      <w:marLeft w:val="0"/>
      <w:marRight w:val="0"/>
      <w:marTop w:val="0"/>
      <w:marBottom w:val="0"/>
      <w:divBdr>
        <w:top w:val="none" w:sz="0" w:space="0" w:color="auto"/>
        <w:left w:val="none" w:sz="0" w:space="0" w:color="auto"/>
        <w:bottom w:val="none" w:sz="0" w:space="0" w:color="auto"/>
        <w:right w:val="none" w:sz="0" w:space="0" w:color="auto"/>
      </w:divBdr>
    </w:div>
    <w:div w:id="1062560542">
      <w:bodyDiv w:val="1"/>
      <w:marLeft w:val="0"/>
      <w:marRight w:val="0"/>
      <w:marTop w:val="0"/>
      <w:marBottom w:val="0"/>
      <w:divBdr>
        <w:top w:val="none" w:sz="0" w:space="0" w:color="auto"/>
        <w:left w:val="none" w:sz="0" w:space="0" w:color="auto"/>
        <w:bottom w:val="none" w:sz="0" w:space="0" w:color="auto"/>
        <w:right w:val="none" w:sz="0" w:space="0" w:color="auto"/>
      </w:divBdr>
      <w:divsChild>
        <w:div w:id="1664115901">
          <w:marLeft w:val="547"/>
          <w:marRight w:val="0"/>
          <w:marTop w:val="0"/>
          <w:marBottom w:val="0"/>
          <w:divBdr>
            <w:top w:val="none" w:sz="0" w:space="0" w:color="auto"/>
            <w:left w:val="none" w:sz="0" w:space="0" w:color="auto"/>
            <w:bottom w:val="none" w:sz="0" w:space="0" w:color="auto"/>
            <w:right w:val="none" w:sz="0" w:space="0" w:color="auto"/>
          </w:divBdr>
        </w:div>
      </w:divsChild>
    </w:div>
    <w:div w:id="1112633515">
      <w:bodyDiv w:val="1"/>
      <w:marLeft w:val="0"/>
      <w:marRight w:val="0"/>
      <w:marTop w:val="0"/>
      <w:marBottom w:val="0"/>
      <w:divBdr>
        <w:top w:val="none" w:sz="0" w:space="0" w:color="auto"/>
        <w:left w:val="none" w:sz="0" w:space="0" w:color="auto"/>
        <w:bottom w:val="none" w:sz="0" w:space="0" w:color="auto"/>
        <w:right w:val="none" w:sz="0" w:space="0" w:color="auto"/>
      </w:divBdr>
    </w:div>
    <w:div w:id="1139568888">
      <w:bodyDiv w:val="1"/>
      <w:marLeft w:val="0"/>
      <w:marRight w:val="0"/>
      <w:marTop w:val="0"/>
      <w:marBottom w:val="0"/>
      <w:divBdr>
        <w:top w:val="none" w:sz="0" w:space="0" w:color="auto"/>
        <w:left w:val="none" w:sz="0" w:space="0" w:color="auto"/>
        <w:bottom w:val="none" w:sz="0" w:space="0" w:color="auto"/>
        <w:right w:val="none" w:sz="0" w:space="0" w:color="auto"/>
      </w:divBdr>
    </w:div>
    <w:div w:id="1276522714">
      <w:bodyDiv w:val="1"/>
      <w:marLeft w:val="0"/>
      <w:marRight w:val="0"/>
      <w:marTop w:val="0"/>
      <w:marBottom w:val="0"/>
      <w:divBdr>
        <w:top w:val="none" w:sz="0" w:space="0" w:color="auto"/>
        <w:left w:val="none" w:sz="0" w:space="0" w:color="auto"/>
        <w:bottom w:val="none" w:sz="0" w:space="0" w:color="auto"/>
        <w:right w:val="none" w:sz="0" w:space="0" w:color="auto"/>
      </w:divBdr>
    </w:div>
    <w:div w:id="1536382688">
      <w:bodyDiv w:val="1"/>
      <w:marLeft w:val="0"/>
      <w:marRight w:val="0"/>
      <w:marTop w:val="0"/>
      <w:marBottom w:val="0"/>
      <w:divBdr>
        <w:top w:val="none" w:sz="0" w:space="0" w:color="auto"/>
        <w:left w:val="none" w:sz="0" w:space="0" w:color="auto"/>
        <w:bottom w:val="none" w:sz="0" w:space="0" w:color="auto"/>
        <w:right w:val="none" w:sz="0" w:space="0" w:color="auto"/>
      </w:divBdr>
      <w:divsChild>
        <w:div w:id="2053726194">
          <w:marLeft w:val="547"/>
          <w:marRight w:val="0"/>
          <w:marTop w:val="0"/>
          <w:marBottom w:val="0"/>
          <w:divBdr>
            <w:top w:val="none" w:sz="0" w:space="0" w:color="auto"/>
            <w:left w:val="none" w:sz="0" w:space="0" w:color="auto"/>
            <w:bottom w:val="none" w:sz="0" w:space="0" w:color="auto"/>
            <w:right w:val="none" w:sz="0" w:space="0" w:color="auto"/>
          </w:divBdr>
        </w:div>
      </w:divsChild>
    </w:div>
    <w:div w:id="1720859786">
      <w:bodyDiv w:val="1"/>
      <w:marLeft w:val="0"/>
      <w:marRight w:val="0"/>
      <w:marTop w:val="0"/>
      <w:marBottom w:val="0"/>
      <w:divBdr>
        <w:top w:val="none" w:sz="0" w:space="0" w:color="auto"/>
        <w:left w:val="none" w:sz="0" w:space="0" w:color="auto"/>
        <w:bottom w:val="none" w:sz="0" w:space="0" w:color="auto"/>
        <w:right w:val="none" w:sz="0" w:space="0" w:color="auto"/>
      </w:divBdr>
      <w:divsChild>
        <w:div w:id="736049382">
          <w:marLeft w:val="0"/>
          <w:marRight w:val="0"/>
          <w:marTop w:val="0"/>
          <w:marBottom w:val="0"/>
          <w:divBdr>
            <w:top w:val="none" w:sz="0" w:space="0" w:color="auto"/>
            <w:left w:val="none" w:sz="0" w:space="0" w:color="auto"/>
            <w:bottom w:val="none" w:sz="0" w:space="0" w:color="auto"/>
            <w:right w:val="none" w:sz="0" w:space="0" w:color="auto"/>
          </w:divBdr>
          <w:divsChild>
            <w:div w:id="238953676">
              <w:marLeft w:val="0"/>
              <w:marRight w:val="0"/>
              <w:marTop w:val="0"/>
              <w:marBottom w:val="0"/>
              <w:divBdr>
                <w:top w:val="none" w:sz="0" w:space="0" w:color="auto"/>
                <w:left w:val="none" w:sz="0" w:space="0" w:color="auto"/>
                <w:bottom w:val="none" w:sz="0" w:space="0" w:color="auto"/>
                <w:right w:val="none" w:sz="0" w:space="0" w:color="auto"/>
              </w:divBdr>
              <w:divsChild>
                <w:div w:id="1376150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21153010">
      <w:bodyDiv w:val="1"/>
      <w:marLeft w:val="100"/>
      <w:marRight w:val="100"/>
      <w:marTop w:val="0"/>
      <w:marBottom w:val="100"/>
      <w:divBdr>
        <w:top w:val="none" w:sz="0" w:space="0" w:color="auto"/>
        <w:left w:val="none" w:sz="0" w:space="0" w:color="auto"/>
        <w:bottom w:val="none" w:sz="0" w:space="0" w:color="auto"/>
        <w:right w:val="none" w:sz="0" w:space="0" w:color="auto"/>
      </w:divBdr>
      <w:divsChild>
        <w:div w:id="345405225">
          <w:marLeft w:val="0"/>
          <w:marRight w:val="0"/>
          <w:marTop w:val="0"/>
          <w:marBottom w:val="0"/>
          <w:divBdr>
            <w:top w:val="none" w:sz="0" w:space="0" w:color="auto"/>
            <w:left w:val="none" w:sz="0" w:space="0" w:color="auto"/>
            <w:bottom w:val="none" w:sz="0" w:space="0" w:color="auto"/>
            <w:right w:val="none" w:sz="0" w:space="0" w:color="auto"/>
          </w:divBdr>
          <w:divsChild>
            <w:div w:id="619461373">
              <w:marLeft w:val="0"/>
              <w:marRight w:val="0"/>
              <w:marTop w:val="0"/>
              <w:marBottom w:val="0"/>
              <w:divBdr>
                <w:top w:val="none" w:sz="0" w:space="0" w:color="auto"/>
                <w:left w:val="none" w:sz="0" w:space="0" w:color="auto"/>
                <w:bottom w:val="none" w:sz="0" w:space="0" w:color="auto"/>
                <w:right w:val="none" w:sz="0" w:space="0" w:color="auto"/>
              </w:divBdr>
              <w:divsChild>
                <w:div w:id="7910204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3961488">
      <w:bodyDiv w:val="1"/>
      <w:marLeft w:val="0"/>
      <w:marRight w:val="0"/>
      <w:marTop w:val="0"/>
      <w:marBottom w:val="0"/>
      <w:divBdr>
        <w:top w:val="none" w:sz="0" w:space="0" w:color="auto"/>
        <w:left w:val="none" w:sz="0" w:space="0" w:color="auto"/>
        <w:bottom w:val="none" w:sz="0" w:space="0" w:color="auto"/>
        <w:right w:val="none" w:sz="0" w:space="0" w:color="auto"/>
      </w:divBdr>
    </w:div>
    <w:div w:id="2082361061">
      <w:bodyDiv w:val="1"/>
      <w:marLeft w:val="0"/>
      <w:marRight w:val="0"/>
      <w:marTop w:val="0"/>
      <w:marBottom w:val="0"/>
      <w:divBdr>
        <w:top w:val="none" w:sz="0" w:space="0" w:color="auto"/>
        <w:left w:val="none" w:sz="0" w:space="0" w:color="auto"/>
        <w:bottom w:val="none" w:sz="0" w:space="0" w:color="auto"/>
        <w:right w:val="none" w:sz="0" w:space="0" w:color="auto"/>
      </w:divBdr>
    </w:div>
    <w:div w:id="21280401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efis.dk/" TargetMode="External"/><Relationship Id="rId18" Type="http://schemas.openxmlformats.org/officeDocument/2006/relationships/image" Target="media/image5.emf"/><Relationship Id="rId26" Type="http://schemas.openxmlformats.org/officeDocument/2006/relationships/diagramData" Target="diagrams/data2.xml"/><Relationship Id="rId3" Type="http://schemas.openxmlformats.org/officeDocument/2006/relationships/numbering" Target="numbering.xml"/><Relationship Id="rId21" Type="http://schemas.openxmlformats.org/officeDocument/2006/relationships/diagramData" Target="diagrams/data1.xml"/><Relationship Id="rId34" Type="http://schemas.openxmlformats.org/officeDocument/2006/relationships/header" Target="header4.xml"/><Relationship Id="rId47" Type="http://schemas.microsoft.com/office/2011/relationships/people" Target="people.xml"/><Relationship Id="rId7" Type="http://schemas.openxmlformats.org/officeDocument/2006/relationships/webSettings" Target="webSettings.xml"/><Relationship Id="rId12" Type="http://schemas.openxmlformats.org/officeDocument/2006/relationships/hyperlink" Target="http://www.cept.org/eco/deliverables/eco-reports" TargetMode="External"/><Relationship Id="rId17" Type="http://schemas.openxmlformats.org/officeDocument/2006/relationships/image" Target="media/image4.emf"/><Relationship Id="rId25" Type="http://schemas.microsoft.com/office/2007/relationships/diagramDrawing" Target="diagrams/drawing1.xml"/><Relationship Id="rId33" Type="http://schemas.openxmlformats.org/officeDocument/2006/relationships/header" Target="header3.xml"/><Relationship Id="rId38"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3.emf"/><Relationship Id="rId20" Type="http://schemas.openxmlformats.org/officeDocument/2006/relationships/image" Target="media/image7.jpeg"/><Relationship Id="rId29" Type="http://schemas.openxmlformats.org/officeDocument/2006/relationships/diagramColors" Target="diagrams/colors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www.itu.int/osg/spu/ni/3G/technology/%23Cellular" TargetMode="External"/><Relationship Id="rId24" Type="http://schemas.openxmlformats.org/officeDocument/2006/relationships/diagramColors" Target="diagrams/colors1.xml"/><Relationship Id="rId32" Type="http://schemas.openxmlformats.org/officeDocument/2006/relationships/header" Target="header2.xml"/><Relationship Id="rId37" Type="http://schemas.openxmlformats.org/officeDocument/2006/relationships/fontTable" Target="fontTable.xml"/><Relationship Id="rId5" Type="http://schemas.microsoft.com/office/2007/relationships/stylesWithEffects" Target="stylesWithEffects.xml"/><Relationship Id="rId15" Type="http://schemas.openxmlformats.org/officeDocument/2006/relationships/hyperlink" Target="http://www.phsmou.org/resources/PHSGuidebook_4th.pdf" TargetMode="External"/><Relationship Id="rId23" Type="http://schemas.openxmlformats.org/officeDocument/2006/relationships/diagramQuickStyle" Target="diagrams/quickStyle1.xml"/><Relationship Id="rId28" Type="http://schemas.openxmlformats.org/officeDocument/2006/relationships/diagramQuickStyle" Target="diagrams/quickStyle2.xml"/><Relationship Id="rId36" Type="http://schemas.openxmlformats.org/officeDocument/2006/relationships/header" Target="header5.xml"/><Relationship Id="rId10" Type="http://schemas.openxmlformats.org/officeDocument/2006/relationships/image" Target="media/image1.emf"/><Relationship Id="rId19" Type="http://schemas.openxmlformats.org/officeDocument/2006/relationships/image" Target="media/image6.emf"/><Relationship Id="rId31" Type="http://schemas.openxmlformats.org/officeDocument/2006/relationships/header" Target="header1.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image" Target="media/image2.gif"/><Relationship Id="rId22" Type="http://schemas.openxmlformats.org/officeDocument/2006/relationships/diagramLayout" Target="diagrams/layout1.xml"/><Relationship Id="rId27" Type="http://schemas.openxmlformats.org/officeDocument/2006/relationships/diagramLayout" Target="diagrams/layout2.xml"/><Relationship Id="rId30" Type="http://schemas.microsoft.com/office/2007/relationships/diagramDrawing" Target="diagrams/drawing2.xml"/><Relationship Id="rId35" Type="http://schemas.openxmlformats.org/officeDocument/2006/relationships/footer" Target="footer1.xml"/></Relationships>
</file>

<file path=word/_rels/footnotes.xml.rels><?xml version="1.0" encoding="UTF-8" standalone="yes"?>
<Relationships xmlns="http://schemas.openxmlformats.org/package/2006/relationships"><Relationship Id="rId3" Type="http://schemas.openxmlformats.org/officeDocument/2006/relationships/hyperlink" Target="http://ec.europa.eu/information_society/policy/ecomm/radio_spectrum/get_involved/activities/index_en.htm" TargetMode="External"/><Relationship Id="rId2" Type="http://schemas.openxmlformats.org/officeDocument/2006/relationships/hyperlink" Target="http://ec.europa.eu/information_society/policy/ecomm/radio_spectrum/_document_storage/mandates/2009mandate_2ghz.pdf" TargetMode="External"/><Relationship Id="rId1" Type="http://schemas.openxmlformats.org/officeDocument/2006/relationships/hyperlink" Target="http://imsresearch.com" TargetMode="External"/><Relationship Id="rId5" Type="http://schemas.openxmlformats.org/officeDocument/2006/relationships/hyperlink" Target="http://www.anacom.pt/render.jsp?contentId=1099877" TargetMode="External"/><Relationship Id="rId4" Type="http://schemas.openxmlformats.org/officeDocument/2006/relationships/hyperlink" Target="http://www.anacom.pt/render.jsp?categoryId=97279" TargetMode="External"/></Relationships>
</file>

<file path=word/_rels/header3.xml.rels><?xml version="1.0" encoding="UTF-8" standalone="yes"?>
<Relationships xmlns="http://schemas.openxmlformats.org/package/2006/relationships"><Relationship Id="rId1" Type="http://schemas.openxmlformats.org/officeDocument/2006/relationships/image" Target="media/image8.emf"/></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C826C008-8675-4684-9947-03DD5098ABAF}" type="doc">
      <dgm:prSet loTypeId="urn:microsoft.com/office/officeart/2005/8/layout/lProcess2" loCatId="relationship" qsTypeId="urn:microsoft.com/office/officeart/2005/8/quickstyle/simple1" qsCatId="simple" csTypeId="urn:microsoft.com/office/officeart/2005/8/colors/accent1_2" csCatId="accent1" phldr="1"/>
      <dgm:spPr/>
      <dgm:t>
        <a:bodyPr/>
        <a:lstStyle/>
        <a:p>
          <a:endParaRPr lang="pt-PT"/>
        </a:p>
      </dgm:t>
    </dgm:pt>
    <dgm:pt modelId="{D8D2A067-F5A5-4507-808F-42F008AA6B0B}">
      <dgm:prSet phldrT="[Text]" custT="1"/>
      <dgm:spPr/>
      <dgm:t>
        <a:bodyPr/>
        <a:lstStyle/>
        <a:p>
          <a:r>
            <a:rPr lang="pt-PT" sz="1100">
              <a:solidFill>
                <a:sysClr val="windowText" lastClr="000000"/>
              </a:solidFill>
            </a:rPr>
            <a:t>Direct air to ground communications (DA2GC)</a:t>
          </a:r>
        </a:p>
      </dgm:t>
    </dgm:pt>
    <dgm:pt modelId="{A4AA0CE7-DA8A-4D34-B4BA-450E855D8CDB}" type="parTrans" cxnId="{E131350A-BEB0-45AC-A48B-3D37FF2DE80E}">
      <dgm:prSet/>
      <dgm:spPr/>
      <dgm:t>
        <a:bodyPr/>
        <a:lstStyle/>
        <a:p>
          <a:endParaRPr lang="pt-PT" sz="1100"/>
        </a:p>
      </dgm:t>
    </dgm:pt>
    <dgm:pt modelId="{1AC20C90-67FD-4CA1-9C09-64A68F3E1586}" type="sibTrans" cxnId="{E131350A-BEB0-45AC-A48B-3D37FF2DE80E}">
      <dgm:prSet/>
      <dgm:spPr/>
      <dgm:t>
        <a:bodyPr/>
        <a:lstStyle/>
        <a:p>
          <a:endParaRPr lang="pt-PT" sz="1100"/>
        </a:p>
      </dgm:t>
    </dgm:pt>
    <dgm:pt modelId="{2E6541C1-6902-4A96-A012-B4C5016B8BE4}">
      <dgm:prSet phldrT="[Text]" custT="1"/>
      <dgm:spPr/>
      <dgm:t>
        <a:bodyPr/>
        <a:lstStyle/>
        <a:p>
          <a:r>
            <a:rPr lang="pt-PT" sz="1100"/>
            <a:t>Video links and cordless cameras (VLCC)</a:t>
          </a:r>
        </a:p>
      </dgm:t>
    </dgm:pt>
    <dgm:pt modelId="{1537819F-DE68-4993-A9EB-95E22782FA78}" type="parTrans" cxnId="{E0D71F3B-3C02-4E0A-8794-6E2BAF99D85D}">
      <dgm:prSet/>
      <dgm:spPr/>
      <dgm:t>
        <a:bodyPr/>
        <a:lstStyle/>
        <a:p>
          <a:endParaRPr lang="pt-PT" sz="1100"/>
        </a:p>
      </dgm:t>
    </dgm:pt>
    <dgm:pt modelId="{BB0B07C1-CFFC-4083-BC2B-1D5F71D1BAC5}" type="sibTrans" cxnId="{E0D71F3B-3C02-4E0A-8794-6E2BAF99D85D}">
      <dgm:prSet/>
      <dgm:spPr/>
      <dgm:t>
        <a:bodyPr/>
        <a:lstStyle/>
        <a:p>
          <a:endParaRPr lang="pt-PT" sz="1100"/>
        </a:p>
      </dgm:t>
    </dgm:pt>
    <dgm:pt modelId="{6F7777B7-A317-4E6A-BECC-7D2D4D1629E2}">
      <dgm:prSet phldrT="[Text]" custT="1"/>
      <dgm:spPr/>
      <dgm:t>
        <a:bodyPr/>
        <a:lstStyle/>
        <a:p>
          <a:r>
            <a:rPr lang="pt-PT" sz="1100"/>
            <a:t>PMSE</a:t>
          </a:r>
        </a:p>
      </dgm:t>
    </dgm:pt>
    <dgm:pt modelId="{194593ED-D99C-4734-9045-9058C0E3F51D}" type="parTrans" cxnId="{4B740F93-F778-4CBF-9A0C-FB64AABA0BE2}">
      <dgm:prSet/>
      <dgm:spPr/>
      <dgm:t>
        <a:bodyPr/>
        <a:lstStyle/>
        <a:p>
          <a:endParaRPr lang="pt-PT" sz="1100"/>
        </a:p>
      </dgm:t>
    </dgm:pt>
    <dgm:pt modelId="{CFBE9BFA-64B4-4CC1-A499-B5FAA1F46577}" type="sibTrans" cxnId="{4B740F93-F778-4CBF-9A0C-FB64AABA0BE2}">
      <dgm:prSet/>
      <dgm:spPr/>
      <dgm:t>
        <a:bodyPr/>
        <a:lstStyle/>
        <a:p>
          <a:endParaRPr lang="pt-PT" sz="1100"/>
        </a:p>
      </dgm:t>
    </dgm:pt>
    <dgm:pt modelId="{C1B8F6A6-A787-4776-A8DB-55B0BA71ABE6}">
      <dgm:prSet phldrT="[Text]" custT="1"/>
      <dgm:spPr/>
      <dgm:t>
        <a:bodyPr/>
        <a:lstStyle/>
        <a:p>
          <a:r>
            <a:rPr lang="en-GB" sz="1100" b="0"/>
            <a:t>Applications under general authorisation</a:t>
          </a:r>
          <a:endParaRPr lang="pt-PT" sz="1100" b="0"/>
        </a:p>
      </dgm:t>
    </dgm:pt>
    <dgm:pt modelId="{3EBC0C86-BA1E-4719-9E3B-FDEB3B9F70B3}" type="parTrans" cxnId="{475608D9-A64B-4371-A8C8-D46594CA5101}">
      <dgm:prSet/>
      <dgm:spPr/>
      <dgm:t>
        <a:bodyPr/>
        <a:lstStyle/>
        <a:p>
          <a:endParaRPr lang="pt-PT" sz="1100"/>
        </a:p>
      </dgm:t>
    </dgm:pt>
    <dgm:pt modelId="{B2694546-E0E3-4C1E-B479-F8EA92DD6D60}" type="sibTrans" cxnId="{475608D9-A64B-4371-A8C8-D46594CA5101}">
      <dgm:prSet/>
      <dgm:spPr/>
      <dgm:t>
        <a:bodyPr/>
        <a:lstStyle/>
        <a:p>
          <a:endParaRPr lang="pt-PT" sz="1100"/>
        </a:p>
      </dgm:t>
    </dgm:pt>
    <dgm:pt modelId="{D44EDF43-544B-41DB-8D52-129518206A9F}">
      <dgm:prSet phldrT="[Text]" custT="1"/>
      <dgm:spPr/>
      <dgm:t>
        <a:bodyPr/>
        <a:lstStyle/>
        <a:p>
          <a:r>
            <a:rPr lang="pt-PT" sz="1100"/>
            <a:t>DECT</a:t>
          </a:r>
        </a:p>
      </dgm:t>
    </dgm:pt>
    <dgm:pt modelId="{091AFE89-1C05-4C01-84EB-1A8DC6D00A7F}" type="parTrans" cxnId="{A9E73927-1A0D-498C-90A7-C20D268B5A91}">
      <dgm:prSet/>
      <dgm:spPr/>
      <dgm:t>
        <a:bodyPr/>
        <a:lstStyle/>
        <a:p>
          <a:endParaRPr lang="pt-PT" sz="1100"/>
        </a:p>
      </dgm:t>
    </dgm:pt>
    <dgm:pt modelId="{FC0CB06A-B065-4EAF-8636-AD8C43FF463D}" type="sibTrans" cxnId="{A9E73927-1A0D-498C-90A7-C20D268B5A91}">
      <dgm:prSet/>
      <dgm:spPr/>
      <dgm:t>
        <a:bodyPr/>
        <a:lstStyle/>
        <a:p>
          <a:endParaRPr lang="pt-PT" sz="1100"/>
        </a:p>
      </dgm:t>
    </dgm:pt>
    <dgm:pt modelId="{57027995-174E-4D93-8D44-870459E43F24}">
      <dgm:prSet phldrT="[Text]" custT="1"/>
      <dgm:spPr/>
      <dgm:t>
        <a:bodyPr/>
        <a:lstStyle/>
        <a:p>
          <a:r>
            <a:rPr lang="pt-PT" sz="1100"/>
            <a:t>ad-hoc PPDR</a:t>
          </a:r>
        </a:p>
      </dgm:t>
    </dgm:pt>
    <dgm:pt modelId="{7CC550CC-C06A-4081-AB4E-EAA0E7BFEE24}" type="parTrans" cxnId="{C8DC4C93-5BCC-4C04-94FC-3A128CDD0870}">
      <dgm:prSet/>
      <dgm:spPr/>
      <dgm:t>
        <a:bodyPr/>
        <a:lstStyle/>
        <a:p>
          <a:endParaRPr lang="pt-PT" sz="1100"/>
        </a:p>
      </dgm:t>
    </dgm:pt>
    <dgm:pt modelId="{A2095502-EC6F-4516-BC6D-57E4D221E7B3}" type="sibTrans" cxnId="{C8DC4C93-5BCC-4C04-94FC-3A128CDD0870}">
      <dgm:prSet/>
      <dgm:spPr/>
      <dgm:t>
        <a:bodyPr/>
        <a:lstStyle/>
        <a:p>
          <a:endParaRPr lang="pt-PT" sz="1100"/>
        </a:p>
      </dgm:t>
    </dgm:pt>
    <dgm:pt modelId="{E2DB18F3-0BE2-4470-879B-25617C13353B}">
      <dgm:prSet phldrT="[Text]" custT="1"/>
      <dgm:spPr/>
      <dgm:t>
        <a:bodyPr/>
        <a:lstStyle/>
        <a:p>
          <a:r>
            <a:rPr lang="pt-PT" sz="1100"/>
            <a:t>SRD</a:t>
          </a:r>
        </a:p>
      </dgm:t>
    </dgm:pt>
    <dgm:pt modelId="{FFD77493-89E3-4671-9948-87AD2078D94B}" type="parTrans" cxnId="{6063A038-E3B0-4583-8036-FD8EE0B5E3A5}">
      <dgm:prSet/>
      <dgm:spPr/>
      <dgm:t>
        <a:bodyPr/>
        <a:lstStyle/>
        <a:p>
          <a:endParaRPr lang="pt-PT" sz="1100"/>
        </a:p>
      </dgm:t>
    </dgm:pt>
    <dgm:pt modelId="{14895EC4-C1DD-48A8-9E66-1DACCC8A065E}" type="sibTrans" cxnId="{6063A038-E3B0-4583-8036-FD8EE0B5E3A5}">
      <dgm:prSet/>
      <dgm:spPr/>
      <dgm:t>
        <a:bodyPr/>
        <a:lstStyle/>
        <a:p>
          <a:endParaRPr lang="pt-PT" sz="1100"/>
        </a:p>
      </dgm:t>
    </dgm:pt>
    <dgm:pt modelId="{81B6E100-7905-4A03-A75F-8A51C0BBF7CD}">
      <dgm:prSet phldrT="[Text]" custT="1"/>
      <dgm:spPr/>
      <dgm:t>
        <a:bodyPr/>
        <a:lstStyle/>
        <a:p>
          <a:r>
            <a:rPr lang="pt-PT" sz="1100"/>
            <a:t>DA2GC</a:t>
          </a:r>
        </a:p>
      </dgm:t>
    </dgm:pt>
    <dgm:pt modelId="{0D113A39-722D-451F-9158-F3F81033959F}" type="parTrans" cxnId="{CBB8E035-F128-4AEE-9E73-11E376FC0D2D}">
      <dgm:prSet/>
      <dgm:spPr/>
      <dgm:t>
        <a:bodyPr/>
        <a:lstStyle/>
        <a:p>
          <a:endParaRPr lang="pt-PT"/>
        </a:p>
      </dgm:t>
    </dgm:pt>
    <dgm:pt modelId="{194BD841-08EE-4FFA-83F0-28083AA85BA6}" type="sibTrans" cxnId="{CBB8E035-F128-4AEE-9E73-11E376FC0D2D}">
      <dgm:prSet/>
      <dgm:spPr/>
      <dgm:t>
        <a:bodyPr/>
        <a:lstStyle/>
        <a:p>
          <a:endParaRPr lang="pt-PT"/>
        </a:p>
      </dgm:t>
    </dgm:pt>
    <dgm:pt modelId="{750B23E8-1D50-455F-B044-7B8C39ADD54D}" type="pres">
      <dgm:prSet presAssocID="{C826C008-8675-4684-9947-03DD5098ABAF}" presName="theList" presStyleCnt="0">
        <dgm:presLayoutVars>
          <dgm:dir/>
          <dgm:animLvl val="lvl"/>
          <dgm:resizeHandles val="exact"/>
        </dgm:presLayoutVars>
      </dgm:prSet>
      <dgm:spPr/>
      <dgm:t>
        <a:bodyPr/>
        <a:lstStyle/>
        <a:p>
          <a:endParaRPr lang="pt-PT"/>
        </a:p>
      </dgm:t>
    </dgm:pt>
    <dgm:pt modelId="{347888A4-0860-4F99-BCBF-1932F636CA62}" type="pres">
      <dgm:prSet presAssocID="{D8D2A067-F5A5-4507-808F-42F008AA6B0B}" presName="compNode" presStyleCnt="0"/>
      <dgm:spPr/>
    </dgm:pt>
    <dgm:pt modelId="{6CDCE199-FE28-4FFD-9717-97863E7F9160}" type="pres">
      <dgm:prSet presAssocID="{D8D2A067-F5A5-4507-808F-42F008AA6B0B}" presName="aNode" presStyleLbl="bgShp" presStyleIdx="0" presStyleCnt="3"/>
      <dgm:spPr/>
      <dgm:t>
        <a:bodyPr/>
        <a:lstStyle/>
        <a:p>
          <a:endParaRPr lang="pt-PT"/>
        </a:p>
      </dgm:t>
    </dgm:pt>
    <dgm:pt modelId="{DA4824C8-C7AE-4C04-BBCD-1F1A6AF9FF93}" type="pres">
      <dgm:prSet presAssocID="{D8D2A067-F5A5-4507-808F-42F008AA6B0B}" presName="textNode" presStyleLbl="bgShp" presStyleIdx="0" presStyleCnt="3"/>
      <dgm:spPr/>
      <dgm:t>
        <a:bodyPr/>
        <a:lstStyle/>
        <a:p>
          <a:endParaRPr lang="pt-PT"/>
        </a:p>
      </dgm:t>
    </dgm:pt>
    <dgm:pt modelId="{44AA69A3-762F-403D-894C-B2BE59270698}" type="pres">
      <dgm:prSet presAssocID="{D8D2A067-F5A5-4507-808F-42F008AA6B0B}" presName="compChildNode" presStyleCnt="0"/>
      <dgm:spPr/>
    </dgm:pt>
    <dgm:pt modelId="{2269790C-ECB6-4ED6-894D-B769A937791F}" type="pres">
      <dgm:prSet presAssocID="{D8D2A067-F5A5-4507-808F-42F008AA6B0B}" presName="theInnerList" presStyleCnt="0"/>
      <dgm:spPr/>
    </dgm:pt>
    <dgm:pt modelId="{9E6CC02D-C32F-4B62-86D4-F92B18BC7663}" type="pres">
      <dgm:prSet presAssocID="{81B6E100-7905-4A03-A75F-8A51C0BBF7CD}" presName="childNode" presStyleLbl="node1" presStyleIdx="0" presStyleCnt="5">
        <dgm:presLayoutVars>
          <dgm:bulletEnabled val="1"/>
        </dgm:presLayoutVars>
      </dgm:prSet>
      <dgm:spPr/>
      <dgm:t>
        <a:bodyPr/>
        <a:lstStyle/>
        <a:p>
          <a:endParaRPr lang="pt-PT"/>
        </a:p>
      </dgm:t>
    </dgm:pt>
    <dgm:pt modelId="{A284F24C-7AD6-43DA-A6BB-1539D89CC54C}" type="pres">
      <dgm:prSet presAssocID="{D8D2A067-F5A5-4507-808F-42F008AA6B0B}" presName="aSpace" presStyleCnt="0"/>
      <dgm:spPr/>
    </dgm:pt>
    <dgm:pt modelId="{CC9C2235-1BAC-4540-B3EB-7762EF5475F2}" type="pres">
      <dgm:prSet presAssocID="{2E6541C1-6902-4A96-A012-B4C5016B8BE4}" presName="compNode" presStyleCnt="0"/>
      <dgm:spPr/>
    </dgm:pt>
    <dgm:pt modelId="{8CE6EA87-6963-4DC7-ADE9-95BFF0C09728}" type="pres">
      <dgm:prSet presAssocID="{2E6541C1-6902-4A96-A012-B4C5016B8BE4}" presName="aNode" presStyleLbl="bgShp" presStyleIdx="1" presStyleCnt="3"/>
      <dgm:spPr/>
      <dgm:t>
        <a:bodyPr/>
        <a:lstStyle/>
        <a:p>
          <a:endParaRPr lang="pt-PT"/>
        </a:p>
      </dgm:t>
    </dgm:pt>
    <dgm:pt modelId="{25514001-2CED-42F2-8C9E-2DB59054A98F}" type="pres">
      <dgm:prSet presAssocID="{2E6541C1-6902-4A96-A012-B4C5016B8BE4}" presName="textNode" presStyleLbl="bgShp" presStyleIdx="1" presStyleCnt="3"/>
      <dgm:spPr/>
      <dgm:t>
        <a:bodyPr/>
        <a:lstStyle/>
        <a:p>
          <a:endParaRPr lang="pt-PT"/>
        </a:p>
      </dgm:t>
    </dgm:pt>
    <dgm:pt modelId="{9DAD8FA0-5D4A-4D36-945D-623FA474404A}" type="pres">
      <dgm:prSet presAssocID="{2E6541C1-6902-4A96-A012-B4C5016B8BE4}" presName="compChildNode" presStyleCnt="0"/>
      <dgm:spPr/>
    </dgm:pt>
    <dgm:pt modelId="{7B62B27E-229F-4C6D-875C-110CA14D1A48}" type="pres">
      <dgm:prSet presAssocID="{2E6541C1-6902-4A96-A012-B4C5016B8BE4}" presName="theInnerList" presStyleCnt="0"/>
      <dgm:spPr/>
    </dgm:pt>
    <dgm:pt modelId="{064BCC60-FDAA-4222-BB08-71428DD14FCB}" type="pres">
      <dgm:prSet presAssocID="{6F7777B7-A317-4E6A-BECC-7D2D4D1629E2}" presName="childNode" presStyleLbl="node1" presStyleIdx="1" presStyleCnt="5">
        <dgm:presLayoutVars>
          <dgm:bulletEnabled val="1"/>
        </dgm:presLayoutVars>
      </dgm:prSet>
      <dgm:spPr/>
      <dgm:t>
        <a:bodyPr/>
        <a:lstStyle/>
        <a:p>
          <a:endParaRPr lang="pt-PT"/>
        </a:p>
      </dgm:t>
    </dgm:pt>
    <dgm:pt modelId="{A0A4DF76-586D-4AF3-99E6-3D923EECDC74}" type="pres">
      <dgm:prSet presAssocID="{6F7777B7-A317-4E6A-BECC-7D2D4D1629E2}" presName="aSpace2" presStyleCnt="0"/>
      <dgm:spPr/>
    </dgm:pt>
    <dgm:pt modelId="{E7050C11-62BB-4E20-B213-FA4A461F3D34}" type="pres">
      <dgm:prSet presAssocID="{57027995-174E-4D93-8D44-870459E43F24}" presName="childNode" presStyleLbl="node1" presStyleIdx="2" presStyleCnt="5">
        <dgm:presLayoutVars>
          <dgm:bulletEnabled val="1"/>
        </dgm:presLayoutVars>
      </dgm:prSet>
      <dgm:spPr/>
      <dgm:t>
        <a:bodyPr/>
        <a:lstStyle/>
        <a:p>
          <a:endParaRPr lang="pt-PT"/>
        </a:p>
      </dgm:t>
    </dgm:pt>
    <dgm:pt modelId="{C6C5C9F0-87A5-4938-A7AA-20690A0751F0}" type="pres">
      <dgm:prSet presAssocID="{2E6541C1-6902-4A96-A012-B4C5016B8BE4}" presName="aSpace" presStyleCnt="0"/>
      <dgm:spPr/>
    </dgm:pt>
    <dgm:pt modelId="{55B5ED2F-46A0-48EE-A156-5005F0AA4126}" type="pres">
      <dgm:prSet presAssocID="{C1B8F6A6-A787-4776-A8DB-55B0BA71ABE6}" presName="compNode" presStyleCnt="0"/>
      <dgm:spPr/>
    </dgm:pt>
    <dgm:pt modelId="{70D4A5D4-6824-4C69-83F9-79BA0B20D0C9}" type="pres">
      <dgm:prSet presAssocID="{C1B8F6A6-A787-4776-A8DB-55B0BA71ABE6}" presName="aNode" presStyleLbl="bgShp" presStyleIdx="2" presStyleCnt="3"/>
      <dgm:spPr/>
      <dgm:t>
        <a:bodyPr/>
        <a:lstStyle/>
        <a:p>
          <a:endParaRPr lang="pt-PT"/>
        </a:p>
      </dgm:t>
    </dgm:pt>
    <dgm:pt modelId="{2BC76846-57CF-42B7-A08A-B234374DCB22}" type="pres">
      <dgm:prSet presAssocID="{C1B8F6A6-A787-4776-A8DB-55B0BA71ABE6}" presName="textNode" presStyleLbl="bgShp" presStyleIdx="2" presStyleCnt="3"/>
      <dgm:spPr/>
      <dgm:t>
        <a:bodyPr/>
        <a:lstStyle/>
        <a:p>
          <a:endParaRPr lang="pt-PT"/>
        </a:p>
      </dgm:t>
    </dgm:pt>
    <dgm:pt modelId="{7CFF15BA-5AC4-4CBF-9C1F-FB8BB65E4CC9}" type="pres">
      <dgm:prSet presAssocID="{C1B8F6A6-A787-4776-A8DB-55B0BA71ABE6}" presName="compChildNode" presStyleCnt="0"/>
      <dgm:spPr/>
    </dgm:pt>
    <dgm:pt modelId="{D22E9DAC-C05E-4CD8-BFC6-3022F062BFF3}" type="pres">
      <dgm:prSet presAssocID="{C1B8F6A6-A787-4776-A8DB-55B0BA71ABE6}" presName="theInnerList" presStyleCnt="0"/>
      <dgm:spPr/>
    </dgm:pt>
    <dgm:pt modelId="{141B529F-DAC7-4494-9E05-7D04D61BAC89}" type="pres">
      <dgm:prSet presAssocID="{D44EDF43-544B-41DB-8D52-129518206A9F}" presName="childNode" presStyleLbl="node1" presStyleIdx="3" presStyleCnt="5">
        <dgm:presLayoutVars>
          <dgm:bulletEnabled val="1"/>
        </dgm:presLayoutVars>
      </dgm:prSet>
      <dgm:spPr/>
      <dgm:t>
        <a:bodyPr/>
        <a:lstStyle/>
        <a:p>
          <a:endParaRPr lang="pt-PT"/>
        </a:p>
      </dgm:t>
    </dgm:pt>
    <dgm:pt modelId="{761B90B8-FF4F-43A9-9DBE-B5F6CDE3CD44}" type="pres">
      <dgm:prSet presAssocID="{D44EDF43-544B-41DB-8D52-129518206A9F}" presName="aSpace2" presStyleCnt="0"/>
      <dgm:spPr/>
    </dgm:pt>
    <dgm:pt modelId="{D9219065-6821-43E7-918B-2253DAE55C37}" type="pres">
      <dgm:prSet presAssocID="{E2DB18F3-0BE2-4470-879B-25617C13353B}" presName="childNode" presStyleLbl="node1" presStyleIdx="4" presStyleCnt="5">
        <dgm:presLayoutVars>
          <dgm:bulletEnabled val="1"/>
        </dgm:presLayoutVars>
      </dgm:prSet>
      <dgm:spPr/>
      <dgm:t>
        <a:bodyPr/>
        <a:lstStyle/>
        <a:p>
          <a:endParaRPr lang="pt-PT"/>
        </a:p>
      </dgm:t>
    </dgm:pt>
  </dgm:ptLst>
  <dgm:cxnLst>
    <dgm:cxn modelId="{CBB8E035-F128-4AEE-9E73-11E376FC0D2D}" srcId="{D8D2A067-F5A5-4507-808F-42F008AA6B0B}" destId="{81B6E100-7905-4A03-A75F-8A51C0BBF7CD}" srcOrd="0" destOrd="0" parTransId="{0D113A39-722D-451F-9158-F3F81033959F}" sibTransId="{194BD841-08EE-4FFA-83F0-28083AA85BA6}"/>
    <dgm:cxn modelId="{6D4973A4-62AA-4A40-81BC-A158B7A48D98}" type="presOf" srcId="{2E6541C1-6902-4A96-A012-B4C5016B8BE4}" destId="{8CE6EA87-6963-4DC7-ADE9-95BFF0C09728}" srcOrd="0" destOrd="0" presId="urn:microsoft.com/office/officeart/2005/8/layout/lProcess2"/>
    <dgm:cxn modelId="{E131350A-BEB0-45AC-A48B-3D37FF2DE80E}" srcId="{C826C008-8675-4684-9947-03DD5098ABAF}" destId="{D8D2A067-F5A5-4507-808F-42F008AA6B0B}" srcOrd="0" destOrd="0" parTransId="{A4AA0CE7-DA8A-4D34-B4BA-450E855D8CDB}" sibTransId="{1AC20C90-67FD-4CA1-9C09-64A68F3E1586}"/>
    <dgm:cxn modelId="{4F6E0546-02DA-4E4B-9C65-BF950509552B}" type="presOf" srcId="{6F7777B7-A317-4E6A-BECC-7D2D4D1629E2}" destId="{064BCC60-FDAA-4222-BB08-71428DD14FCB}" srcOrd="0" destOrd="0" presId="urn:microsoft.com/office/officeart/2005/8/layout/lProcess2"/>
    <dgm:cxn modelId="{E9BC4BB2-87F0-4D47-9E77-71CAA1845E63}" type="presOf" srcId="{2E6541C1-6902-4A96-A012-B4C5016B8BE4}" destId="{25514001-2CED-42F2-8C9E-2DB59054A98F}" srcOrd="1" destOrd="0" presId="urn:microsoft.com/office/officeart/2005/8/layout/lProcess2"/>
    <dgm:cxn modelId="{6063A038-E3B0-4583-8036-FD8EE0B5E3A5}" srcId="{C1B8F6A6-A787-4776-A8DB-55B0BA71ABE6}" destId="{E2DB18F3-0BE2-4470-879B-25617C13353B}" srcOrd="1" destOrd="0" parTransId="{FFD77493-89E3-4671-9948-87AD2078D94B}" sibTransId="{14895EC4-C1DD-48A8-9E66-1DACCC8A065E}"/>
    <dgm:cxn modelId="{4B740F93-F778-4CBF-9A0C-FB64AABA0BE2}" srcId="{2E6541C1-6902-4A96-A012-B4C5016B8BE4}" destId="{6F7777B7-A317-4E6A-BECC-7D2D4D1629E2}" srcOrd="0" destOrd="0" parTransId="{194593ED-D99C-4734-9045-9058C0E3F51D}" sibTransId="{CFBE9BFA-64B4-4CC1-A499-B5FAA1F46577}"/>
    <dgm:cxn modelId="{E80F3622-C946-4166-A286-66C836842DC5}" type="presOf" srcId="{D8D2A067-F5A5-4507-808F-42F008AA6B0B}" destId="{DA4824C8-C7AE-4C04-BBCD-1F1A6AF9FF93}" srcOrd="1" destOrd="0" presId="urn:microsoft.com/office/officeart/2005/8/layout/lProcess2"/>
    <dgm:cxn modelId="{9336E9CB-D8AF-42BE-8B20-3B34F4C4AD74}" type="presOf" srcId="{C1B8F6A6-A787-4776-A8DB-55B0BA71ABE6}" destId="{2BC76846-57CF-42B7-A08A-B234374DCB22}" srcOrd="1" destOrd="0" presId="urn:microsoft.com/office/officeart/2005/8/layout/lProcess2"/>
    <dgm:cxn modelId="{C048F866-AE91-4378-9A91-34FB24904E1B}" type="presOf" srcId="{57027995-174E-4D93-8D44-870459E43F24}" destId="{E7050C11-62BB-4E20-B213-FA4A461F3D34}" srcOrd="0" destOrd="0" presId="urn:microsoft.com/office/officeart/2005/8/layout/lProcess2"/>
    <dgm:cxn modelId="{475608D9-A64B-4371-A8C8-D46594CA5101}" srcId="{C826C008-8675-4684-9947-03DD5098ABAF}" destId="{C1B8F6A6-A787-4776-A8DB-55B0BA71ABE6}" srcOrd="2" destOrd="0" parTransId="{3EBC0C86-BA1E-4719-9E3B-FDEB3B9F70B3}" sibTransId="{B2694546-E0E3-4C1E-B479-F8EA92DD6D60}"/>
    <dgm:cxn modelId="{445210CD-1EE2-469D-89C2-15535D74A82A}" type="presOf" srcId="{81B6E100-7905-4A03-A75F-8A51C0BBF7CD}" destId="{9E6CC02D-C32F-4B62-86D4-F92B18BC7663}" srcOrd="0" destOrd="0" presId="urn:microsoft.com/office/officeart/2005/8/layout/lProcess2"/>
    <dgm:cxn modelId="{E0D71F3B-3C02-4E0A-8794-6E2BAF99D85D}" srcId="{C826C008-8675-4684-9947-03DD5098ABAF}" destId="{2E6541C1-6902-4A96-A012-B4C5016B8BE4}" srcOrd="1" destOrd="0" parTransId="{1537819F-DE68-4993-A9EB-95E22782FA78}" sibTransId="{BB0B07C1-CFFC-4083-BC2B-1D5F71D1BAC5}"/>
    <dgm:cxn modelId="{977219A9-C3A9-417D-BAEA-E541B3EF921D}" type="presOf" srcId="{C1B8F6A6-A787-4776-A8DB-55B0BA71ABE6}" destId="{70D4A5D4-6824-4C69-83F9-79BA0B20D0C9}" srcOrd="0" destOrd="0" presId="urn:microsoft.com/office/officeart/2005/8/layout/lProcess2"/>
    <dgm:cxn modelId="{E625F96A-686B-4995-95EC-499A916DDA97}" type="presOf" srcId="{E2DB18F3-0BE2-4470-879B-25617C13353B}" destId="{D9219065-6821-43E7-918B-2253DAE55C37}" srcOrd="0" destOrd="0" presId="urn:microsoft.com/office/officeart/2005/8/layout/lProcess2"/>
    <dgm:cxn modelId="{C8DC4C93-5BCC-4C04-94FC-3A128CDD0870}" srcId="{2E6541C1-6902-4A96-A012-B4C5016B8BE4}" destId="{57027995-174E-4D93-8D44-870459E43F24}" srcOrd="1" destOrd="0" parTransId="{7CC550CC-C06A-4081-AB4E-EAA0E7BFEE24}" sibTransId="{A2095502-EC6F-4516-BC6D-57E4D221E7B3}"/>
    <dgm:cxn modelId="{1FEA8549-3AF2-41BA-9A46-8CB7C29E154D}" type="presOf" srcId="{C826C008-8675-4684-9947-03DD5098ABAF}" destId="{750B23E8-1D50-455F-B044-7B8C39ADD54D}" srcOrd="0" destOrd="0" presId="urn:microsoft.com/office/officeart/2005/8/layout/lProcess2"/>
    <dgm:cxn modelId="{381F9716-C2BF-4866-906B-F0D449A6A13A}" type="presOf" srcId="{D8D2A067-F5A5-4507-808F-42F008AA6B0B}" destId="{6CDCE199-FE28-4FFD-9717-97863E7F9160}" srcOrd="0" destOrd="0" presId="urn:microsoft.com/office/officeart/2005/8/layout/lProcess2"/>
    <dgm:cxn modelId="{A9E73927-1A0D-498C-90A7-C20D268B5A91}" srcId="{C1B8F6A6-A787-4776-A8DB-55B0BA71ABE6}" destId="{D44EDF43-544B-41DB-8D52-129518206A9F}" srcOrd="0" destOrd="0" parTransId="{091AFE89-1C05-4C01-84EB-1A8DC6D00A7F}" sibTransId="{FC0CB06A-B065-4EAF-8636-AD8C43FF463D}"/>
    <dgm:cxn modelId="{02B8A458-EB63-4568-86FC-84EE66DEC88C}" type="presOf" srcId="{D44EDF43-544B-41DB-8D52-129518206A9F}" destId="{141B529F-DAC7-4494-9E05-7D04D61BAC89}" srcOrd="0" destOrd="0" presId="urn:microsoft.com/office/officeart/2005/8/layout/lProcess2"/>
    <dgm:cxn modelId="{BEDA470B-4E24-46BA-B7D4-5BA4E76C402A}" type="presParOf" srcId="{750B23E8-1D50-455F-B044-7B8C39ADD54D}" destId="{347888A4-0860-4F99-BCBF-1932F636CA62}" srcOrd="0" destOrd="0" presId="urn:microsoft.com/office/officeart/2005/8/layout/lProcess2"/>
    <dgm:cxn modelId="{02A1DB92-7911-489E-935B-9A23992EB1F9}" type="presParOf" srcId="{347888A4-0860-4F99-BCBF-1932F636CA62}" destId="{6CDCE199-FE28-4FFD-9717-97863E7F9160}" srcOrd="0" destOrd="0" presId="urn:microsoft.com/office/officeart/2005/8/layout/lProcess2"/>
    <dgm:cxn modelId="{2E7BBB80-B556-4F39-B97B-92FE0A4CC945}" type="presParOf" srcId="{347888A4-0860-4F99-BCBF-1932F636CA62}" destId="{DA4824C8-C7AE-4C04-BBCD-1F1A6AF9FF93}" srcOrd="1" destOrd="0" presId="urn:microsoft.com/office/officeart/2005/8/layout/lProcess2"/>
    <dgm:cxn modelId="{3F17E8E1-39EE-480B-AE61-D9A9997445BA}" type="presParOf" srcId="{347888A4-0860-4F99-BCBF-1932F636CA62}" destId="{44AA69A3-762F-403D-894C-B2BE59270698}" srcOrd="2" destOrd="0" presId="urn:microsoft.com/office/officeart/2005/8/layout/lProcess2"/>
    <dgm:cxn modelId="{CB2FEE08-8AEC-427D-8293-8D24EEF080A2}" type="presParOf" srcId="{44AA69A3-762F-403D-894C-B2BE59270698}" destId="{2269790C-ECB6-4ED6-894D-B769A937791F}" srcOrd="0" destOrd="0" presId="urn:microsoft.com/office/officeart/2005/8/layout/lProcess2"/>
    <dgm:cxn modelId="{058721D9-1175-487D-AD6F-75197CDA5196}" type="presParOf" srcId="{2269790C-ECB6-4ED6-894D-B769A937791F}" destId="{9E6CC02D-C32F-4B62-86D4-F92B18BC7663}" srcOrd="0" destOrd="0" presId="urn:microsoft.com/office/officeart/2005/8/layout/lProcess2"/>
    <dgm:cxn modelId="{6DD53C7A-B223-4053-985F-BF7202E07201}" type="presParOf" srcId="{750B23E8-1D50-455F-B044-7B8C39ADD54D}" destId="{A284F24C-7AD6-43DA-A6BB-1539D89CC54C}" srcOrd="1" destOrd="0" presId="urn:microsoft.com/office/officeart/2005/8/layout/lProcess2"/>
    <dgm:cxn modelId="{04F5E865-6D3B-4995-9D65-CFF4872B3A75}" type="presParOf" srcId="{750B23E8-1D50-455F-B044-7B8C39ADD54D}" destId="{CC9C2235-1BAC-4540-B3EB-7762EF5475F2}" srcOrd="2" destOrd="0" presId="urn:microsoft.com/office/officeart/2005/8/layout/lProcess2"/>
    <dgm:cxn modelId="{9F463739-5336-4DE4-9EB7-F1B055837CD4}" type="presParOf" srcId="{CC9C2235-1BAC-4540-B3EB-7762EF5475F2}" destId="{8CE6EA87-6963-4DC7-ADE9-95BFF0C09728}" srcOrd="0" destOrd="0" presId="urn:microsoft.com/office/officeart/2005/8/layout/lProcess2"/>
    <dgm:cxn modelId="{A7522AE1-E7AE-40B3-899E-C835150202FC}" type="presParOf" srcId="{CC9C2235-1BAC-4540-B3EB-7762EF5475F2}" destId="{25514001-2CED-42F2-8C9E-2DB59054A98F}" srcOrd="1" destOrd="0" presId="urn:microsoft.com/office/officeart/2005/8/layout/lProcess2"/>
    <dgm:cxn modelId="{B8EE333B-8C08-484A-93E8-13E6447EBD40}" type="presParOf" srcId="{CC9C2235-1BAC-4540-B3EB-7762EF5475F2}" destId="{9DAD8FA0-5D4A-4D36-945D-623FA474404A}" srcOrd="2" destOrd="0" presId="urn:microsoft.com/office/officeart/2005/8/layout/lProcess2"/>
    <dgm:cxn modelId="{AE94C6AA-6467-44CA-AE0A-6F05D5B85F0A}" type="presParOf" srcId="{9DAD8FA0-5D4A-4D36-945D-623FA474404A}" destId="{7B62B27E-229F-4C6D-875C-110CA14D1A48}" srcOrd="0" destOrd="0" presId="urn:microsoft.com/office/officeart/2005/8/layout/lProcess2"/>
    <dgm:cxn modelId="{63BF88A4-104B-41BA-A4BE-89C824F2F032}" type="presParOf" srcId="{7B62B27E-229F-4C6D-875C-110CA14D1A48}" destId="{064BCC60-FDAA-4222-BB08-71428DD14FCB}" srcOrd="0" destOrd="0" presId="urn:microsoft.com/office/officeart/2005/8/layout/lProcess2"/>
    <dgm:cxn modelId="{E4932329-D101-4748-BD73-43B4A09B2245}" type="presParOf" srcId="{7B62B27E-229F-4C6D-875C-110CA14D1A48}" destId="{A0A4DF76-586D-4AF3-99E6-3D923EECDC74}" srcOrd="1" destOrd="0" presId="urn:microsoft.com/office/officeart/2005/8/layout/lProcess2"/>
    <dgm:cxn modelId="{93B1CE19-4EDE-4A4D-81A2-B60502A16FE7}" type="presParOf" srcId="{7B62B27E-229F-4C6D-875C-110CA14D1A48}" destId="{E7050C11-62BB-4E20-B213-FA4A461F3D34}" srcOrd="2" destOrd="0" presId="urn:microsoft.com/office/officeart/2005/8/layout/lProcess2"/>
    <dgm:cxn modelId="{F5DE2D3E-BE89-4DFF-99DB-C77B7907FABD}" type="presParOf" srcId="{750B23E8-1D50-455F-B044-7B8C39ADD54D}" destId="{C6C5C9F0-87A5-4938-A7AA-20690A0751F0}" srcOrd="3" destOrd="0" presId="urn:microsoft.com/office/officeart/2005/8/layout/lProcess2"/>
    <dgm:cxn modelId="{E7187495-DCFB-46AD-9868-DC993FED3D60}" type="presParOf" srcId="{750B23E8-1D50-455F-B044-7B8C39ADD54D}" destId="{55B5ED2F-46A0-48EE-A156-5005F0AA4126}" srcOrd="4" destOrd="0" presId="urn:microsoft.com/office/officeart/2005/8/layout/lProcess2"/>
    <dgm:cxn modelId="{BC169E55-12C0-41A7-A35B-4A30C5734AB4}" type="presParOf" srcId="{55B5ED2F-46A0-48EE-A156-5005F0AA4126}" destId="{70D4A5D4-6824-4C69-83F9-79BA0B20D0C9}" srcOrd="0" destOrd="0" presId="urn:microsoft.com/office/officeart/2005/8/layout/lProcess2"/>
    <dgm:cxn modelId="{3A701EA0-17E0-4BA8-8A59-494D90E47292}" type="presParOf" srcId="{55B5ED2F-46A0-48EE-A156-5005F0AA4126}" destId="{2BC76846-57CF-42B7-A08A-B234374DCB22}" srcOrd="1" destOrd="0" presId="urn:microsoft.com/office/officeart/2005/8/layout/lProcess2"/>
    <dgm:cxn modelId="{8166E023-8507-40D6-88B8-ED2B65ACAE4F}" type="presParOf" srcId="{55B5ED2F-46A0-48EE-A156-5005F0AA4126}" destId="{7CFF15BA-5AC4-4CBF-9C1F-FB8BB65E4CC9}" srcOrd="2" destOrd="0" presId="urn:microsoft.com/office/officeart/2005/8/layout/lProcess2"/>
    <dgm:cxn modelId="{8A0E6235-E1E6-432E-910A-9D69187BD656}" type="presParOf" srcId="{7CFF15BA-5AC4-4CBF-9C1F-FB8BB65E4CC9}" destId="{D22E9DAC-C05E-4CD8-BFC6-3022F062BFF3}" srcOrd="0" destOrd="0" presId="urn:microsoft.com/office/officeart/2005/8/layout/lProcess2"/>
    <dgm:cxn modelId="{6F1347E5-D3FC-4637-9CD5-CFE88256517C}" type="presParOf" srcId="{D22E9DAC-C05E-4CD8-BFC6-3022F062BFF3}" destId="{141B529F-DAC7-4494-9E05-7D04D61BAC89}" srcOrd="0" destOrd="0" presId="urn:microsoft.com/office/officeart/2005/8/layout/lProcess2"/>
    <dgm:cxn modelId="{2E75E10B-36AE-4D3C-A5F6-024CDB974728}" type="presParOf" srcId="{D22E9DAC-C05E-4CD8-BFC6-3022F062BFF3}" destId="{761B90B8-FF4F-43A9-9DBE-B5F6CDE3CD44}" srcOrd="1" destOrd="0" presId="urn:microsoft.com/office/officeart/2005/8/layout/lProcess2"/>
    <dgm:cxn modelId="{8F044F56-8837-414F-82B5-2CC4FF087A50}" type="presParOf" srcId="{D22E9DAC-C05E-4CD8-BFC6-3022F062BFF3}" destId="{D9219065-6821-43E7-918B-2253DAE55C37}" srcOrd="2" destOrd="0" presId="urn:microsoft.com/office/officeart/2005/8/layout/lProcess2"/>
  </dgm:cxnLst>
  <dgm:bg/>
  <dgm:whole/>
  <dgm:extLst>
    <a:ext uri="http://schemas.microsoft.com/office/drawing/2008/diagram">
      <dsp:dataModelExt xmlns:dsp="http://schemas.microsoft.com/office/drawing/2008/diagram" relId="rId25"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FC33AE52-68C9-4A61-861B-747A1706DC56}" type="doc">
      <dgm:prSet loTypeId="urn:microsoft.com/office/officeart/2005/8/layout/cycle7" loCatId="cycle" qsTypeId="urn:microsoft.com/office/officeart/2005/8/quickstyle/simple1" qsCatId="simple" csTypeId="urn:microsoft.com/office/officeart/2005/8/colors/accent1_2" csCatId="accent1" phldr="1"/>
      <dgm:spPr/>
      <dgm:t>
        <a:bodyPr/>
        <a:lstStyle/>
        <a:p>
          <a:endParaRPr lang="pt-PT"/>
        </a:p>
      </dgm:t>
    </dgm:pt>
    <dgm:pt modelId="{D8185422-BEBA-452D-965B-3627987BBBE3}">
      <dgm:prSet phldrT="[Text]"/>
      <dgm:spPr/>
      <dgm:t>
        <a:bodyPr/>
        <a:lstStyle/>
        <a:p>
          <a:pPr algn="ctr"/>
          <a:r>
            <a:rPr lang="pt-PT"/>
            <a:t>DA2GC</a:t>
          </a:r>
        </a:p>
      </dgm:t>
    </dgm:pt>
    <dgm:pt modelId="{BB9C46DA-FF84-4687-B497-92AD943DF1DD}" type="parTrans" cxnId="{4727F6A4-9568-44E6-9A52-081A25941AD2}">
      <dgm:prSet/>
      <dgm:spPr/>
      <dgm:t>
        <a:bodyPr/>
        <a:lstStyle/>
        <a:p>
          <a:pPr algn="ctr"/>
          <a:endParaRPr lang="pt-PT"/>
        </a:p>
      </dgm:t>
    </dgm:pt>
    <dgm:pt modelId="{BF0CDE81-AADC-474A-8821-9A41D2D7A4AF}" type="sibTrans" cxnId="{4727F6A4-9568-44E6-9A52-081A25941AD2}">
      <dgm:prSet/>
      <dgm:spPr/>
      <dgm:t>
        <a:bodyPr/>
        <a:lstStyle/>
        <a:p>
          <a:pPr algn="ctr"/>
          <a:endParaRPr lang="pt-PT"/>
        </a:p>
      </dgm:t>
    </dgm:pt>
    <dgm:pt modelId="{6B24811F-C9A9-47ED-8523-F6C6BFDC1C89}">
      <dgm:prSet phldrT="[Text]"/>
      <dgm:spPr/>
      <dgm:t>
        <a:bodyPr/>
        <a:lstStyle/>
        <a:p>
          <a:pPr algn="ctr"/>
          <a:r>
            <a:rPr lang="pt-PT"/>
            <a:t>VLCC</a:t>
          </a:r>
        </a:p>
      </dgm:t>
    </dgm:pt>
    <dgm:pt modelId="{C9D40193-D16C-49F9-A8F1-7F1431723F4E}" type="parTrans" cxnId="{04B4A51E-AB03-4D00-85E2-F8743A755322}">
      <dgm:prSet/>
      <dgm:spPr/>
      <dgm:t>
        <a:bodyPr/>
        <a:lstStyle/>
        <a:p>
          <a:pPr algn="ctr"/>
          <a:endParaRPr lang="pt-PT"/>
        </a:p>
      </dgm:t>
    </dgm:pt>
    <dgm:pt modelId="{C9D3CA69-8907-4971-B27E-38610B3CC3D3}" type="sibTrans" cxnId="{04B4A51E-AB03-4D00-85E2-F8743A755322}">
      <dgm:prSet/>
      <dgm:spPr/>
      <dgm:t>
        <a:bodyPr/>
        <a:lstStyle/>
        <a:p>
          <a:pPr algn="ctr"/>
          <a:endParaRPr lang="pt-PT"/>
        </a:p>
      </dgm:t>
    </dgm:pt>
    <dgm:pt modelId="{9616E239-C8C5-497A-A296-3CB008E71C21}">
      <dgm:prSet phldrT="[Text]"/>
      <dgm:spPr/>
      <dgm:t>
        <a:bodyPr/>
        <a:lstStyle/>
        <a:p>
          <a:pPr algn="ctr"/>
          <a:r>
            <a:rPr lang="pt-PT"/>
            <a:t>Applications Under General Authorisation</a:t>
          </a:r>
        </a:p>
      </dgm:t>
    </dgm:pt>
    <dgm:pt modelId="{90F8FD12-F69D-4846-BE18-E45AE3CD8E40}" type="parTrans" cxnId="{2C8F04BE-9609-468D-A60E-88567FF5F663}">
      <dgm:prSet/>
      <dgm:spPr/>
      <dgm:t>
        <a:bodyPr/>
        <a:lstStyle/>
        <a:p>
          <a:pPr algn="ctr"/>
          <a:endParaRPr lang="pt-PT"/>
        </a:p>
      </dgm:t>
    </dgm:pt>
    <dgm:pt modelId="{286850C9-E39B-42D9-ADF6-EBD72914DA78}" type="sibTrans" cxnId="{2C8F04BE-9609-468D-A60E-88567FF5F663}">
      <dgm:prSet/>
      <dgm:spPr/>
      <dgm:t>
        <a:bodyPr/>
        <a:lstStyle/>
        <a:p>
          <a:pPr algn="ctr"/>
          <a:endParaRPr lang="pt-PT"/>
        </a:p>
      </dgm:t>
    </dgm:pt>
    <dgm:pt modelId="{DFEE4C29-DD6A-4D6F-BB04-75900FE1F5CD}" type="pres">
      <dgm:prSet presAssocID="{FC33AE52-68C9-4A61-861B-747A1706DC56}" presName="Name0" presStyleCnt="0">
        <dgm:presLayoutVars>
          <dgm:dir/>
          <dgm:resizeHandles val="exact"/>
        </dgm:presLayoutVars>
      </dgm:prSet>
      <dgm:spPr/>
      <dgm:t>
        <a:bodyPr/>
        <a:lstStyle/>
        <a:p>
          <a:endParaRPr lang="en-GB"/>
        </a:p>
      </dgm:t>
    </dgm:pt>
    <dgm:pt modelId="{B620BCF0-D50B-4B8F-814C-427BB731C41E}" type="pres">
      <dgm:prSet presAssocID="{D8185422-BEBA-452D-965B-3627987BBBE3}" presName="node" presStyleLbl="node1" presStyleIdx="0" presStyleCnt="3">
        <dgm:presLayoutVars>
          <dgm:bulletEnabled val="1"/>
        </dgm:presLayoutVars>
      </dgm:prSet>
      <dgm:spPr/>
      <dgm:t>
        <a:bodyPr/>
        <a:lstStyle/>
        <a:p>
          <a:endParaRPr lang="en-GB"/>
        </a:p>
      </dgm:t>
    </dgm:pt>
    <dgm:pt modelId="{54CFD058-9547-44D9-ADF3-999DE3274DD1}" type="pres">
      <dgm:prSet presAssocID="{BF0CDE81-AADC-474A-8821-9A41D2D7A4AF}" presName="sibTrans" presStyleLbl="sibTrans2D1" presStyleIdx="0" presStyleCnt="3"/>
      <dgm:spPr/>
      <dgm:t>
        <a:bodyPr/>
        <a:lstStyle/>
        <a:p>
          <a:endParaRPr lang="en-GB"/>
        </a:p>
      </dgm:t>
    </dgm:pt>
    <dgm:pt modelId="{E30E9B8F-190B-4F2E-840C-4A411963AF3B}" type="pres">
      <dgm:prSet presAssocID="{BF0CDE81-AADC-474A-8821-9A41D2D7A4AF}" presName="connectorText" presStyleLbl="sibTrans2D1" presStyleIdx="0" presStyleCnt="3"/>
      <dgm:spPr/>
      <dgm:t>
        <a:bodyPr/>
        <a:lstStyle/>
        <a:p>
          <a:endParaRPr lang="en-GB"/>
        </a:p>
      </dgm:t>
    </dgm:pt>
    <dgm:pt modelId="{326688D9-4B00-4C1D-804A-DF2621C26BDD}" type="pres">
      <dgm:prSet presAssocID="{6B24811F-C9A9-47ED-8523-F6C6BFDC1C89}" presName="node" presStyleLbl="node1" presStyleIdx="1" presStyleCnt="3">
        <dgm:presLayoutVars>
          <dgm:bulletEnabled val="1"/>
        </dgm:presLayoutVars>
      </dgm:prSet>
      <dgm:spPr/>
      <dgm:t>
        <a:bodyPr/>
        <a:lstStyle/>
        <a:p>
          <a:endParaRPr lang="en-GB"/>
        </a:p>
      </dgm:t>
    </dgm:pt>
    <dgm:pt modelId="{C00CE643-C903-48DE-9DAE-EB7C78BCB68D}" type="pres">
      <dgm:prSet presAssocID="{C9D3CA69-8907-4971-B27E-38610B3CC3D3}" presName="sibTrans" presStyleLbl="sibTrans2D1" presStyleIdx="1" presStyleCnt="3"/>
      <dgm:spPr/>
      <dgm:t>
        <a:bodyPr/>
        <a:lstStyle/>
        <a:p>
          <a:endParaRPr lang="en-GB"/>
        </a:p>
      </dgm:t>
    </dgm:pt>
    <dgm:pt modelId="{277C295D-CF2A-4A4E-93DF-21B7D0286DA9}" type="pres">
      <dgm:prSet presAssocID="{C9D3CA69-8907-4971-B27E-38610B3CC3D3}" presName="connectorText" presStyleLbl="sibTrans2D1" presStyleIdx="1" presStyleCnt="3"/>
      <dgm:spPr/>
      <dgm:t>
        <a:bodyPr/>
        <a:lstStyle/>
        <a:p>
          <a:endParaRPr lang="en-GB"/>
        </a:p>
      </dgm:t>
    </dgm:pt>
    <dgm:pt modelId="{4B77DF66-587E-45F7-9D7F-E84036747D5E}" type="pres">
      <dgm:prSet presAssocID="{9616E239-C8C5-497A-A296-3CB008E71C21}" presName="node" presStyleLbl="node1" presStyleIdx="2" presStyleCnt="3">
        <dgm:presLayoutVars>
          <dgm:bulletEnabled val="1"/>
        </dgm:presLayoutVars>
      </dgm:prSet>
      <dgm:spPr/>
      <dgm:t>
        <a:bodyPr/>
        <a:lstStyle/>
        <a:p>
          <a:endParaRPr lang="en-GB"/>
        </a:p>
      </dgm:t>
    </dgm:pt>
    <dgm:pt modelId="{A9EB26EB-F4DE-4E17-BCCA-86ADE37CD202}" type="pres">
      <dgm:prSet presAssocID="{286850C9-E39B-42D9-ADF6-EBD72914DA78}" presName="sibTrans" presStyleLbl="sibTrans2D1" presStyleIdx="2" presStyleCnt="3"/>
      <dgm:spPr/>
      <dgm:t>
        <a:bodyPr/>
        <a:lstStyle/>
        <a:p>
          <a:endParaRPr lang="en-GB"/>
        </a:p>
      </dgm:t>
    </dgm:pt>
    <dgm:pt modelId="{A3A4B40C-2030-4A87-96F9-DE706775C540}" type="pres">
      <dgm:prSet presAssocID="{286850C9-E39B-42D9-ADF6-EBD72914DA78}" presName="connectorText" presStyleLbl="sibTrans2D1" presStyleIdx="2" presStyleCnt="3"/>
      <dgm:spPr/>
      <dgm:t>
        <a:bodyPr/>
        <a:lstStyle/>
        <a:p>
          <a:endParaRPr lang="en-GB"/>
        </a:p>
      </dgm:t>
    </dgm:pt>
  </dgm:ptLst>
  <dgm:cxnLst>
    <dgm:cxn modelId="{04B4A51E-AB03-4D00-85E2-F8743A755322}" srcId="{FC33AE52-68C9-4A61-861B-747A1706DC56}" destId="{6B24811F-C9A9-47ED-8523-F6C6BFDC1C89}" srcOrd="1" destOrd="0" parTransId="{C9D40193-D16C-49F9-A8F1-7F1431723F4E}" sibTransId="{C9D3CA69-8907-4971-B27E-38610B3CC3D3}"/>
    <dgm:cxn modelId="{26EF8A65-DB3F-4283-80EA-B728EF674BF6}" type="presOf" srcId="{286850C9-E39B-42D9-ADF6-EBD72914DA78}" destId="{A3A4B40C-2030-4A87-96F9-DE706775C540}" srcOrd="1" destOrd="0" presId="urn:microsoft.com/office/officeart/2005/8/layout/cycle7"/>
    <dgm:cxn modelId="{F65883FE-C3CD-4A52-8718-EB6A10CECB5D}" type="presOf" srcId="{FC33AE52-68C9-4A61-861B-747A1706DC56}" destId="{DFEE4C29-DD6A-4D6F-BB04-75900FE1F5CD}" srcOrd="0" destOrd="0" presId="urn:microsoft.com/office/officeart/2005/8/layout/cycle7"/>
    <dgm:cxn modelId="{E3B323C0-731B-4054-BE6E-C2FC35097CB7}" type="presOf" srcId="{D8185422-BEBA-452D-965B-3627987BBBE3}" destId="{B620BCF0-D50B-4B8F-814C-427BB731C41E}" srcOrd="0" destOrd="0" presId="urn:microsoft.com/office/officeart/2005/8/layout/cycle7"/>
    <dgm:cxn modelId="{2C8F04BE-9609-468D-A60E-88567FF5F663}" srcId="{FC33AE52-68C9-4A61-861B-747A1706DC56}" destId="{9616E239-C8C5-497A-A296-3CB008E71C21}" srcOrd="2" destOrd="0" parTransId="{90F8FD12-F69D-4846-BE18-E45AE3CD8E40}" sibTransId="{286850C9-E39B-42D9-ADF6-EBD72914DA78}"/>
    <dgm:cxn modelId="{7E021F85-4106-4E54-BC50-1B6EC3217FF1}" type="presOf" srcId="{6B24811F-C9A9-47ED-8523-F6C6BFDC1C89}" destId="{326688D9-4B00-4C1D-804A-DF2621C26BDD}" srcOrd="0" destOrd="0" presId="urn:microsoft.com/office/officeart/2005/8/layout/cycle7"/>
    <dgm:cxn modelId="{2CF38055-5B1D-4B2E-97A2-9BAF665B9DD2}" type="presOf" srcId="{C9D3CA69-8907-4971-B27E-38610B3CC3D3}" destId="{C00CE643-C903-48DE-9DAE-EB7C78BCB68D}" srcOrd="0" destOrd="0" presId="urn:microsoft.com/office/officeart/2005/8/layout/cycle7"/>
    <dgm:cxn modelId="{8A22F568-F104-42B8-B50E-3E9F9F3D992E}" type="presOf" srcId="{C9D3CA69-8907-4971-B27E-38610B3CC3D3}" destId="{277C295D-CF2A-4A4E-93DF-21B7D0286DA9}" srcOrd="1" destOrd="0" presId="urn:microsoft.com/office/officeart/2005/8/layout/cycle7"/>
    <dgm:cxn modelId="{0E58C1AA-A2B3-4CB2-8157-DEBCA9753721}" type="presOf" srcId="{BF0CDE81-AADC-474A-8821-9A41D2D7A4AF}" destId="{E30E9B8F-190B-4F2E-840C-4A411963AF3B}" srcOrd="1" destOrd="0" presId="urn:microsoft.com/office/officeart/2005/8/layout/cycle7"/>
    <dgm:cxn modelId="{7103AE93-4D0D-40EF-B036-4B5EF39740F7}" type="presOf" srcId="{BF0CDE81-AADC-474A-8821-9A41D2D7A4AF}" destId="{54CFD058-9547-44D9-ADF3-999DE3274DD1}" srcOrd="0" destOrd="0" presId="urn:microsoft.com/office/officeart/2005/8/layout/cycle7"/>
    <dgm:cxn modelId="{7F289672-71DD-4394-B112-40080792D66D}" type="presOf" srcId="{286850C9-E39B-42D9-ADF6-EBD72914DA78}" destId="{A9EB26EB-F4DE-4E17-BCCA-86ADE37CD202}" srcOrd="0" destOrd="0" presId="urn:microsoft.com/office/officeart/2005/8/layout/cycle7"/>
    <dgm:cxn modelId="{4727F6A4-9568-44E6-9A52-081A25941AD2}" srcId="{FC33AE52-68C9-4A61-861B-747A1706DC56}" destId="{D8185422-BEBA-452D-965B-3627987BBBE3}" srcOrd="0" destOrd="0" parTransId="{BB9C46DA-FF84-4687-B497-92AD943DF1DD}" sibTransId="{BF0CDE81-AADC-474A-8821-9A41D2D7A4AF}"/>
    <dgm:cxn modelId="{17CC59E2-C048-4302-AC43-87C13869444B}" type="presOf" srcId="{9616E239-C8C5-497A-A296-3CB008E71C21}" destId="{4B77DF66-587E-45F7-9D7F-E84036747D5E}" srcOrd="0" destOrd="0" presId="urn:microsoft.com/office/officeart/2005/8/layout/cycle7"/>
    <dgm:cxn modelId="{2BA64A7E-75C8-48CB-BB49-5AF0186A405F}" type="presParOf" srcId="{DFEE4C29-DD6A-4D6F-BB04-75900FE1F5CD}" destId="{B620BCF0-D50B-4B8F-814C-427BB731C41E}" srcOrd="0" destOrd="0" presId="urn:microsoft.com/office/officeart/2005/8/layout/cycle7"/>
    <dgm:cxn modelId="{B89F6F23-6A06-4D9A-8DEE-4DE453617F71}" type="presParOf" srcId="{DFEE4C29-DD6A-4D6F-BB04-75900FE1F5CD}" destId="{54CFD058-9547-44D9-ADF3-999DE3274DD1}" srcOrd="1" destOrd="0" presId="urn:microsoft.com/office/officeart/2005/8/layout/cycle7"/>
    <dgm:cxn modelId="{28DC1DD8-85C5-48F4-9FF7-6608964C287A}" type="presParOf" srcId="{54CFD058-9547-44D9-ADF3-999DE3274DD1}" destId="{E30E9B8F-190B-4F2E-840C-4A411963AF3B}" srcOrd="0" destOrd="0" presId="urn:microsoft.com/office/officeart/2005/8/layout/cycle7"/>
    <dgm:cxn modelId="{7264C0C2-2547-4B59-9600-9DFB7D1F408B}" type="presParOf" srcId="{DFEE4C29-DD6A-4D6F-BB04-75900FE1F5CD}" destId="{326688D9-4B00-4C1D-804A-DF2621C26BDD}" srcOrd="2" destOrd="0" presId="urn:microsoft.com/office/officeart/2005/8/layout/cycle7"/>
    <dgm:cxn modelId="{75CD9C83-A021-4775-A923-6755DB421C3E}" type="presParOf" srcId="{DFEE4C29-DD6A-4D6F-BB04-75900FE1F5CD}" destId="{C00CE643-C903-48DE-9DAE-EB7C78BCB68D}" srcOrd="3" destOrd="0" presId="urn:microsoft.com/office/officeart/2005/8/layout/cycle7"/>
    <dgm:cxn modelId="{5E92EB2E-1B95-465C-9325-1623FEFF1FDA}" type="presParOf" srcId="{C00CE643-C903-48DE-9DAE-EB7C78BCB68D}" destId="{277C295D-CF2A-4A4E-93DF-21B7D0286DA9}" srcOrd="0" destOrd="0" presId="urn:microsoft.com/office/officeart/2005/8/layout/cycle7"/>
    <dgm:cxn modelId="{39808E7A-6358-4338-807D-106CB0A6658E}" type="presParOf" srcId="{DFEE4C29-DD6A-4D6F-BB04-75900FE1F5CD}" destId="{4B77DF66-587E-45F7-9D7F-E84036747D5E}" srcOrd="4" destOrd="0" presId="urn:microsoft.com/office/officeart/2005/8/layout/cycle7"/>
    <dgm:cxn modelId="{C8D7188B-BD84-49C5-B7DD-330F37E34BB2}" type="presParOf" srcId="{DFEE4C29-DD6A-4D6F-BB04-75900FE1F5CD}" destId="{A9EB26EB-F4DE-4E17-BCCA-86ADE37CD202}" srcOrd="5" destOrd="0" presId="urn:microsoft.com/office/officeart/2005/8/layout/cycle7"/>
    <dgm:cxn modelId="{376324D7-E73D-4C5F-9816-695B40CBE741}" type="presParOf" srcId="{A9EB26EB-F4DE-4E17-BCCA-86ADE37CD202}" destId="{A3A4B40C-2030-4A87-96F9-DE706775C540}" srcOrd="0" destOrd="0" presId="urn:microsoft.com/office/officeart/2005/8/layout/cycle7"/>
  </dgm:cxnLst>
  <dgm:bg/>
  <dgm:whole/>
  <dgm:extLst>
    <a:ext uri="http://schemas.microsoft.com/office/drawing/2008/diagram">
      <dsp:dataModelExt xmlns:dsp="http://schemas.microsoft.com/office/drawing/2008/diagram" relId="rId30"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6CDCE199-FE28-4FFD-9717-97863E7F9160}">
      <dsp:nvSpPr>
        <dsp:cNvPr id="0" name=""/>
        <dsp:cNvSpPr/>
      </dsp:nvSpPr>
      <dsp:spPr>
        <a:xfrm>
          <a:off x="670" y="0"/>
          <a:ext cx="1742419" cy="1272209"/>
        </a:xfrm>
        <a:prstGeom prst="roundRect">
          <a:avLst>
            <a:gd name="adj" fmla="val 1000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txBody>
        <a:bodyPr spcFirstLastPara="0" vert="horz" wrap="square" lIns="41910" tIns="41910" rIns="41910" bIns="41910" numCol="1" spcCol="1270" anchor="ctr" anchorCtr="0">
          <a:noAutofit/>
        </a:bodyPr>
        <a:lstStyle/>
        <a:p>
          <a:pPr lvl="0" algn="ctr" defTabSz="488950">
            <a:lnSpc>
              <a:spcPct val="90000"/>
            </a:lnSpc>
            <a:spcBef>
              <a:spcPct val="0"/>
            </a:spcBef>
            <a:spcAft>
              <a:spcPct val="35000"/>
            </a:spcAft>
          </a:pPr>
          <a:r>
            <a:rPr lang="pt-PT" sz="1100" kern="1200">
              <a:solidFill>
                <a:sysClr val="windowText" lastClr="000000"/>
              </a:solidFill>
            </a:rPr>
            <a:t>Direct air to ground communications (DA2GC)</a:t>
          </a:r>
        </a:p>
      </dsp:txBody>
      <dsp:txXfrm>
        <a:off x="670" y="0"/>
        <a:ext cx="1742419" cy="381662"/>
      </dsp:txXfrm>
    </dsp:sp>
    <dsp:sp modelId="{9E6CC02D-C32F-4B62-86D4-F92B18BC7663}">
      <dsp:nvSpPr>
        <dsp:cNvPr id="0" name=""/>
        <dsp:cNvSpPr/>
      </dsp:nvSpPr>
      <dsp:spPr>
        <a:xfrm>
          <a:off x="174912" y="381662"/>
          <a:ext cx="1393935" cy="826935"/>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7940" tIns="20955" rIns="27940" bIns="20955" numCol="1" spcCol="1270" anchor="ctr" anchorCtr="0">
          <a:noAutofit/>
        </a:bodyPr>
        <a:lstStyle/>
        <a:p>
          <a:pPr lvl="0" algn="ctr" defTabSz="488950">
            <a:lnSpc>
              <a:spcPct val="90000"/>
            </a:lnSpc>
            <a:spcBef>
              <a:spcPct val="0"/>
            </a:spcBef>
            <a:spcAft>
              <a:spcPct val="35000"/>
            </a:spcAft>
          </a:pPr>
          <a:r>
            <a:rPr lang="pt-PT" sz="1100" kern="1200"/>
            <a:t>DA2GC</a:t>
          </a:r>
        </a:p>
      </dsp:txBody>
      <dsp:txXfrm>
        <a:off x="199132" y="405882"/>
        <a:ext cx="1345495" cy="778495"/>
      </dsp:txXfrm>
    </dsp:sp>
    <dsp:sp modelId="{8CE6EA87-6963-4DC7-ADE9-95BFF0C09728}">
      <dsp:nvSpPr>
        <dsp:cNvPr id="0" name=""/>
        <dsp:cNvSpPr/>
      </dsp:nvSpPr>
      <dsp:spPr>
        <a:xfrm>
          <a:off x="1873771" y="0"/>
          <a:ext cx="1742419" cy="1272209"/>
        </a:xfrm>
        <a:prstGeom prst="roundRect">
          <a:avLst>
            <a:gd name="adj" fmla="val 1000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txBody>
        <a:bodyPr spcFirstLastPara="0" vert="horz" wrap="square" lIns="41910" tIns="41910" rIns="41910" bIns="41910" numCol="1" spcCol="1270" anchor="ctr" anchorCtr="0">
          <a:noAutofit/>
        </a:bodyPr>
        <a:lstStyle/>
        <a:p>
          <a:pPr lvl="0" algn="ctr" defTabSz="488950">
            <a:lnSpc>
              <a:spcPct val="90000"/>
            </a:lnSpc>
            <a:spcBef>
              <a:spcPct val="0"/>
            </a:spcBef>
            <a:spcAft>
              <a:spcPct val="35000"/>
            </a:spcAft>
          </a:pPr>
          <a:r>
            <a:rPr lang="pt-PT" sz="1100" kern="1200"/>
            <a:t>Video links and cordless cameras (VLCC)</a:t>
          </a:r>
        </a:p>
      </dsp:txBody>
      <dsp:txXfrm>
        <a:off x="1873771" y="0"/>
        <a:ext cx="1742419" cy="381662"/>
      </dsp:txXfrm>
    </dsp:sp>
    <dsp:sp modelId="{064BCC60-FDAA-4222-BB08-71428DD14FCB}">
      <dsp:nvSpPr>
        <dsp:cNvPr id="0" name=""/>
        <dsp:cNvSpPr/>
      </dsp:nvSpPr>
      <dsp:spPr>
        <a:xfrm>
          <a:off x="2048013" y="382035"/>
          <a:ext cx="1393935" cy="383588"/>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7940" tIns="20955" rIns="27940" bIns="20955" numCol="1" spcCol="1270" anchor="ctr" anchorCtr="0">
          <a:noAutofit/>
        </a:bodyPr>
        <a:lstStyle/>
        <a:p>
          <a:pPr lvl="0" algn="ctr" defTabSz="488950">
            <a:lnSpc>
              <a:spcPct val="90000"/>
            </a:lnSpc>
            <a:spcBef>
              <a:spcPct val="0"/>
            </a:spcBef>
            <a:spcAft>
              <a:spcPct val="35000"/>
            </a:spcAft>
          </a:pPr>
          <a:r>
            <a:rPr lang="pt-PT" sz="1100" kern="1200"/>
            <a:t>PMSE</a:t>
          </a:r>
        </a:p>
      </dsp:txBody>
      <dsp:txXfrm>
        <a:off x="2059248" y="393270"/>
        <a:ext cx="1371465" cy="361118"/>
      </dsp:txXfrm>
    </dsp:sp>
    <dsp:sp modelId="{E7050C11-62BB-4E20-B213-FA4A461F3D34}">
      <dsp:nvSpPr>
        <dsp:cNvPr id="0" name=""/>
        <dsp:cNvSpPr/>
      </dsp:nvSpPr>
      <dsp:spPr>
        <a:xfrm>
          <a:off x="2048013" y="824637"/>
          <a:ext cx="1393935" cy="383588"/>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7940" tIns="20955" rIns="27940" bIns="20955" numCol="1" spcCol="1270" anchor="ctr" anchorCtr="0">
          <a:noAutofit/>
        </a:bodyPr>
        <a:lstStyle/>
        <a:p>
          <a:pPr lvl="0" algn="ctr" defTabSz="488950">
            <a:lnSpc>
              <a:spcPct val="90000"/>
            </a:lnSpc>
            <a:spcBef>
              <a:spcPct val="0"/>
            </a:spcBef>
            <a:spcAft>
              <a:spcPct val="35000"/>
            </a:spcAft>
          </a:pPr>
          <a:r>
            <a:rPr lang="pt-PT" sz="1100" kern="1200"/>
            <a:t>ad-hoc PPDR</a:t>
          </a:r>
        </a:p>
      </dsp:txBody>
      <dsp:txXfrm>
        <a:off x="2059248" y="835872"/>
        <a:ext cx="1371465" cy="361118"/>
      </dsp:txXfrm>
    </dsp:sp>
    <dsp:sp modelId="{70D4A5D4-6824-4C69-83F9-79BA0B20D0C9}">
      <dsp:nvSpPr>
        <dsp:cNvPr id="0" name=""/>
        <dsp:cNvSpPr/>
      </dsp:nvSpPr>
      <dsp:spPr>
        <a:xfrm>
          <a:off x="3746872" y="0"/>
          <a:ext cx="1742419" cy="1272209"/>
        </a:xfrm>
        <a:prstGeom prst="roundRect">
          <a:avLst>
            <a:gd name="adj" fmla="val 1000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txBody>
        <a:bodyPr spcFirstLastPara="0" vert="horz" wrap="square" lIns="41910" tIns="41910" rIns="41910" bIns="41910" numCol="1" spcCol="1270" anchor="ctr" anchorCtr="0">
          <a:noAutofit/>
        </a:bodyPr>
        <a:lstStyle/>
        <a:p>
          <a:pPr lvl="0" algn="ctr" defTabSz="488950">
            <a:lnSpc>
              <a:spcPct val="90000"/>
            </a:lnSpc>
            <a:spcBef>
              <a:spcPct val="0"/>
            </a:spcBef>
            <a:spcAft>
              <a:spcPct val="35000"/>
            </a:spcAft>
          </a:pPr>
          <a:r>
            <a:rPr lang="en-GB" sz="1100" b="0" kern="1200"/>
            <a:t>Applications under general authorisation</a:t>
          </a:r>
          <a:endParaRPr lang="pt-PT" sz="1100" b="0" kern="1200"/>
        </a:p>
      </dsp:txBody>
      <dsp:txXfrm>
        <a:off x="3746872" y="0"/>
        <a:ext cx="1742419" cy="381662"/>
      </dsp:txXfrm>
    </dsp:sp>
    <dsp:sp modelId="{141B529F-DAC7-4494-9E05-7D04D61BAC89}">
      <dsp:nvSpPr>
        <dsp:cNvPr id="0" name=""/>
        <dsp:cNvSpPr/>
      </dsp:nvSpPr>
      <dsp:spPr>
        <a:xfrm>
          <a:off x="3921114" y="382035"/>
          <a:ext cx="1393935" cy="383588"/>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7940" tIns="20955" rIns="27940" bIns="20955" numCol="1" spcCol="1270" anchor="ctr" anchorCtr="0">
          <a:noAutofit/>
        </a:bodyPr>
        <a:lstStyle/>
        <a:p>
          <a:pPr lvl="0" algn="ctr" defTabSz="488950">
            <a:lnSpc>
              <a:spcPct val="90000"/>
            </a:lnSpc>
            <a:spcBef>
              <a:spcPct val="0"/>
            </a:spcBef>
            <a:spcAft>
              <a:spcPct val="35000"/>
            </a:spcAft>
          </a:pPr>
          <a:r>
            <a:rPr lang="pt-PT" sz="1100" kern="1200"/>
            <a:t>DECT</a:t>
          </a:r>
        </a:p>
      </dsp:txBody>
      <dsp:txXfrm>
        <a:off x="3932349" y="393270"/>
        <a:ext cx="1371465" cy="361118"/>
      </dsp:txXfrm>
    </dsp:sp>
    <dsp:sp modelId="{D9219065-6821-43E7-918B-2253DAE55C37}">
      <dsp:nvSpPr>
        <dsp:cNvPr id="0" name=""/>
        <dsp:cNvSpPr/>
      </dsp:nvSpPr>
      <dsp:spPr>
        <a:xfrm>
          <a:off x="3921114" y="824637"/>
          <a:ext cx="1393935" cy="383588"/>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7940" tIns="20955" rIns="27940" bIns="20955" numCol="1" spcCol="1270" anchor="ctr" anchorCtr="0">
          <a:noAutofit/>
        </a:bodyPr>
        <a:lstStyle/>
        <a:p>
          <a:pPr lvl="0" algn="ctr" defTabSz="488950">
            <a:lnSpc>
              <a:spcPct val="90000"/>
            </a:lnSpc>
            <a:spcBef>
              <a:spcPct val="0"/>
            </a:spcBef>
            <a:spcAft>
              <a:spcPct val="35000"/>
            </a:spcAft>
          </a:pPr>
          <a:r>
            <a:rPr lang="pt-PT" sz="1100" kern="1200"/>
            <a:t>SRD</a:t>
          </a:r>
        </a:p>
      </dsp:txBody>
      <dsp:txXfrm>
        <a:off x="3932349" y="835872"/>
        <a:ext cx="1371465" cy="361118"/>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620BCF0-D50B-4B8F-814C-427BB731C41E}">
      <dsp:nvSpPr>
        <dsp:cNvPr id="0" name=""/>
        <dsp:cNvSpPr/>
      </dsp:nvSpPr>
      <dsp:spPr>
        <a:xfrm>
          <a:off x="1370639" y="732"/>
          <a:ext cx="892467" cy="446233"/>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lvl="0" algn="ctr" defTabSz="355600">
            <a:lnSpc>
              <a:spcPct val="90000"/>
            </a:lnSpc>
            <a:spcBef>
              <a:spcPct val="0"/>
            </a:spcBef>
            <a:spcAft>
              <a:spcPct val="35000"/>
            </a:spcAft>
          </a:pPr>
          <a:r>
            <a:rPr lang="pt-PT" sz="800" kern="1200"/>
            <a:t>DA2GC</a:t>
          </a:r>
        </a:p>
      </dsp:txBody>
      <dsp:txXfrm>
        <a:off x="1383709" y="13802"/>
        <a:ext cx="866327" cy="420093"/>
      </dsp:txXfrm>
    </dsp:sp>
    <dsp:sp modelId="{54CFD058-9547-44D9-ADF3-999DE3274DD1}">
      <dsp:nvSpPr>
        <dsp:cNvPr id="0" name=""/>
        <dsp:cNvSpPr/>
      </dsp:nvSpPr>
      <dsp:spPr>
        <a:xfrm rot="3600000">
          <a:off x="1952550" y="784625"/>
          <a:ext cx="466345" cy="156181"/>
        </a:xfrm>
        <a:prstGeom prst="lef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266700">
            <a:lnSpc>
              <a:spcPct val="90000"/>
            </a:lnSpc>
            <a:spcBef>
              <a:spcPct val="0"/>
            </a:spcBef>
            <a:spcAft>
              <a:spcPct val="35000"/>
            </a:spcAft>
          </a:pPr>
          <a:endParaRPr lang="pt-PT" sz="600" kern="1200"/>
        </a:p>
      </dsp:txBody>
      <dsp:txXfrm>
        <a:off x="1999404" y="815861"/>
        <a:ext cx="372637" cy="93709"/>
      </dsp:txXfrm>
    </dsp:sp>
    <dsp:sp modelId="{326688D9-4B00-4C1D-804A-DF2621C26BDD}">
      <dsp:nvSpPr>
        <dsp:cNvPr id="0" name=""/>
        <dsp:cNvSpPr/>
      </dsp:nvSpPr>
      <dsp:spPr>
        <a:xfrm>
          <a:off x="2108338" y="1278466"/>
          <a:ext cx="892467" cy="446233"/>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lvl="0" algn="ctr" defTabSz="355600">
            <a:lnSpc>
              <a:spcPct val="90000"/>
            </a:lnSpc>
            <a:spcBef>
              <a:spcPct val="0"/>
            </a:spcBef>
            <a:spcAft>
              <a:spcPct val="35000"/>
            </a:spcAft>
          </a:pPr>
          <a:r>
            <a:rPr lang="pt-PT" sz="800" kern="1200"/>
            <a:t>VLCC</a:t>
          </a:r>
        </a:p>
      </dsp:txBody>
      <dsp:txXfrm>
        <a:off x="2121408" y="1291536"/>
        <a:ext cx="866327" cy="420093"/>
      </dsp:txXfrm>
    </dsp:sp>
    <dsp:sp modelId="{C00CE643-C903-48DE-9DAE-EB7C78BCB68D}">
      <dsp:nvSpPr>
        <dsp:cNvPr id="0" name=""/>
        <dsp:cNvSpPr/>
      </dsp:nvSpPr>
      <dsp:spPr>
        <a:xfrm rot="10800000">
          <a:off x="1583700" y="1423492"/>
          <a:ext cx="466345" cy="156181"/>
        </a:xfrm>
        <a:prstGeom prst="lef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266700">
            <a:lnSpc>
              <a:spcPct val="90000"/>
            </a:lnSpc>
            <a:spcBef>
              <a:spcPct val="0"/>
            </a:spcBef>
            <a:spcAft>
              <a:spcPct val="35000"/>
            </a:spcAft>
          </a:pPr>
          <a:endParaRPr lang="pt-PT" sz="600" kern="1200"/>
        </a:p>
      </dsp:txBody>
      <dsp:txXfrm rot="10800000">
        <a:off x="1630554" y="1454728"/>
        <a:ext cx="372637" cy="93709"/>
      </dsp:txXfrm>
    </dsp:sp>
    <dsp:sp modelId="{4B77DF66-587E-45F7-9D7F-E84036747D5E}">
      <dsp:nvSpPr>
        <dsp:cNvPr id="0" name=""/>
        <dsp:cNvSpPr/>
      </dsp:nvSpPr>
      <dsp:spPr>
        <a:xfrm>
          <a:off x="632939" y="1278466"/>
          <a:ext cx="892467" cy="446233"/>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lvl="0" algn="ctr" defTabSz="355600">
            <a:lnSpc>
              <a:spcPct val="90000"/>
            </a:lnSpc>
            <a:spcBef>
              <a:spcPct val="0"/>
            </a:spcBef>
            <a:spcAft>
              <a:spcPct val="35000"/>
            </a:spcAft>
          </a:pPr>
          <a:r>
            <a:rPr lang="pt-PT" sz="800" kern="1200"/>
            <a:t>Applications Under General Authorisation</a:t>
          </a:r>
        </a:p>
      </dsp:txBody>
      <dsp:txXfrm>
        <a:off x="646009" y="1291536"/>
        <a:ext cx="866327" cy="420093"/>
      </dsp:txXfrm>
    </dsp:sp>
    <dsp:sp modelId="{A9EB26EB-F4DE-4E17-BCCA-86ADE37CD202}">
      <dsp:nvSpPr>
        <dsp:cNvPr id="0" name=""/>
        <dsp:cNvSpPr/>
      </dsp:nvSpPr>
      <dsp:spPr>
        <a:xfrm rot="18000000">
          <a:off x="1214850" y="784625"/>
          <a:ext cx="466345" cy="156181"/>
        </a:xfrm>
        <a:prstGeom prst="lef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266700">
            <a:lnSpc>
              <a:spcPct val="90000"/>
            </a:lnSpc>
            <a:spcBef>
              <a:spcPct val="0"/>
            </a:spcBef>
            <a:spcAft>
              <a:spcPct val="35000"/>
            </a:spcAft>
          </a:pPr>
          <a:endParaRPr lang="pt-PT" sz="600" kern="1200"/>
        </a:p>
      </dsp:txBody>
      <dsp:txXfrm>
        <a:off x="1261704" y="815861"/>
        <a:ext cx="372637" cy="93709"/>
      </dsp:txXfrm>
    </dsp:sp>
  </dsp:spTree>
</dsp:drawing>
</file>

<file path=word/diagrams/layout1.xml><?xml version="1.0" encoding="utf-8"?>
<dgm:layoutDef xmlns:dgm="http://schemas.openxmlformats.org/drawingml/2006/diagram" xmlns:a="http://schemas.openxmlformats.org/drawingml/2006/main" uniqueId="urn:microsoft.com/office/officeart/2005/8/layout/lProcess2">
  <dgm:title val=""/>
  <dgm:desc val=""/>
  <dgm:catLst>
    <dgm:cat type="list" pri="10000"/>
    <dgm:cat type="relationship" pri="13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13" srcId="1" destId="11" srcOrd="0" destOrd="0"/>
        <dgm:cxn modelId="14" srcId="1" destId="12" srcOrd="0" destOrd="0"/>
        <dgm:cxn modelId="23" srcId="2" destId="21" srcOrd="0" destOrd="0"/>
        <dgm:cxn modelId="24" srcId="2" destId="22" srcOrd="0" destOrd="0"/>
        <dgm:cxn modelId="33" srcId="3" destId="31" srcOrd="0" destOrd="0"/>
        <dgm:cxn modelId="34" srcId="3" destId="32" srcOrd="0" destOrd="0"/>
      </dgm:cxnLst>
      <dgm:bg/>
      <dgm:whole/>
    </dgm:dataModel>
  </dgm:sampData>
  <dgm:styleData useDef="1">
    <dgm:dataModel>
      <dgm:ptLst/>
      <dgm:bg/>
      <dgm:whole/>
    </dgm:dataModel>
  </dgm:styleData>
  <dgm:clrData useDef="1">
    <dgm:dataModel>
      <dgm:ptLst/>
      <dgm:bg/>
      <dgm:whole/>
    </dgm:dataModel>
  </dgm:clrData>
  <dgm:layoutNode name="theList">
    <dgm:varLst>
      <dgm:dir/>
      <dgm:animLvl val="lvl"/>
      <dgm:resizeHandles val="exact"/>
    </dgm:varLst>
    <dgm:choose name="Name0">
      <dgm:if name="Name1" func="var" arg="dir" op="equ" val="norm">
        <dgm:alg type="lin"/>
      </dgm:if>
      <dgm:else name="Name2">
        <dgm:alg type="lin">
          <dgm:param type="linDir" val="fromR"/>
        </dgm:alg>
      </dgm:else>
    </dgm:choose>
    <dgm:shape xmlns:r="http://schemas.openxmlformats.org/officeDocument/2006/relationships" r:blip="">
      <dgm:adjLst/>
    </dgm:shape>
    <dgm:presOf/>
    <dgm:constrLst>
      <dgm:constr type="w" for="ch" forName="compNode" refType="w"/>
      <dgm:constr type="h" for="ch" forName="compNode" refType="h"/>
      <dgm:constr type="w" for="ch" forName="aSpace" refType="w" fact="0.075"/>
      <dgm:constr type="h" for="des" forName="aSpace2" refType="h" fact="0.1"/>
      <dgm:constr type="primFontSz" for="des" forName="textNode" op="equ"/>
      <dgm:constr type="primFontSz" for="des" forName="childNode" op="equ"/>
    </dgm:constrLst>
    <dgm:ruleLst/>
    <dgm:forEach name="aNodeForEach" axis="ch" ptType="node">
      <dgm:layoutNode name="compNode">
        <dgm:alg type="composite"/>
        <dgm:shape xmlns:r="http://schemas.openxmlformats.org/officeDocument/2006/relationships" r:blip="">
          <dgm:adjLst/>
        </dgm:shape>
        <dgm:presOf/>
        <dgm:constrLst>
          <dgm:constr type="w" for="ch" forName="aNode" refType="w"/>
          <dgm:constr type="h" for="ch" forName="aNode" refType="h"/>
          <dgm:constr type="w" for="ch" forName="textNode" refType="w"/>
          <dgm:constr type="h" for="ch" forName="textNode" refType="h" fact="0.3"/>
          <dgm:constr type="ctrX" for="ch" forName="textNode" refType="w" fact="0.5"/>
          <dgm:constr type="w" for="ch" forName="compChildNode" refType="w" fact="0.8"/>
          <dgm:constr type="h" for="ch" forName="compChildNode" refType="h" fact="0.65"/>
          <dgm:constr type="t" for="ch" forName="compChildNode" refType="h" fact="0.3"/>
          <dgm:constr type="ctrX" for="ch" forName="compChildNode" refType="w" fact="0.5"/>
        </dgm:constrLst>
        <dgm:ruleLst/>
        <dgm:layoutNode name="aNode" styleLbl="bgShp">
          <dgm:alg type="sp"/>
          <dgm:shape xmlns:r="http://schemas.openxmlformats.org/officeDocument/2006/relationships" type="roundRect" r:blip="">
            <dgm:adjLst>
              <dgm:adj idx="1" val="0.1"/>
            </dgm:adjLst>
          </dgm:shape>
          <dgm:presOf axis="self"/>
          <dgm:constrLst/>
          <dgm:ruleLst/>
        </dgm:layoutNode>
        <dgm:layoutNode name="textNode" styleLbl="bgShp">
          <dgm:alg type="tx"/>
          <dgm:shape xmlns:r="http://schemas.openxmlformats.org/officeDocument/2006/relationships" type="rect" r:blip="" hideGeom="1">
            <dgm:adjLst>
              <dgm:adj idx="1" val="0.1"/>
            </dgm:adjLst>
          </dgm:shape>
          <dgm:presOf axis="self"/>
          <dgm:constrLst>
            <dgm:constr type="primFontSz" val="65"/>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compChildNode">
          <dgm:alg type="composite"/>
          <dgm:shape xmlns:r="http://schemas.openxmlformats.org/officeDocument/2006/relationships" r:blip="">
            <dgm:adjLst/>
          </dgm:shape>
          <dgm:presOf/>
          <dgm:constrLst>
            <dgm:constr type="w" for="des" forName="childNode" refType="w"/>
            <dgm:constr type="h" for="des" forName="childNode" refType="h"/>
          </dgm:constrLst>
          <dgm:ruleLst/>
          <dgm:layoutNode name="theInnerList">
            <dgm:alg type="lin">
              <dgm:param type="linDir" val="fromT"/>
            </dgm:alg>
            <dgm:shape xmlns:r="http://schemas.openxmlformats.org/officeDocument/2006/relationships" r:blip="">
              <dgm:adjLst/>
            </dgm:shape>
            <dgm:presOf/>
            <dgm:constrLst/>
            <dgm:ruleLst/>
            <dgm:forEach name="childNodeForEach" axis="ch" ptType="node">
              <dgm:layoutNode name="childNode" styleLbl="node1">
                <dgm:varLst>
                  <dgm:bulletEnabled val="1"/>
                </dgm:varLst>
                <dgm:alg type="tx"/>
                <dgm:shape xmlns:r="http://schemas.openxmlformats.org/officeDocument/2006/relationships" type="roundRect" r:blip="">
                  <dgm:adjLst>
                    <dgm:adj idx="1" val="0.1"/>
                  </dgm:adjLst>
                </dgm:shape>
                <dgm:presOf axis="desOrSelf" ptType="node"/>
                <dgm:constrLst>
                  <dgm:constr type="primFontSz" val="65"/>
                  <dgm:constr type="tMarg" refType="primFontSz" fact="0.15"/>
                  <dgm:constr type="bMarg" refType="primFontSz" fact="0.15"/>
                  <dgm:constr type="lMarg" refType="primFontSz" fact="0.2"/>
                  <dgm:constr type="rMarg" refType="primFontSz" fact="0.2"/>
                </dgm:constrLst>
                <dgm:ruleLst>
                  <dgm:rule type="primFontSz" val="5" fact="NaN" max="NaN"/>
                </dgm:ruleLst>
              </dgm:layoutNode>
              <dgm:choose name="Name3">
                <dgm:if name="Name4" axis="self" ptType="node" func="revPos" op="equ" val="1"/>
                <dgm:else name="Name5">
                  <dgm:layoutNode name="aSpace2">
                    <dgm:alg type="sp"/>
                    <dgm:shape xmlns:r="http://schemas.openxmlformats.org/officeDocument/2006/relationships" r:blip="">
                      <dgm:adjLst/>
                    </dgm:shape>
                    <dgm:presOf/>
                    <dgm:constrLst/>
                    <dgm:ruleLst/>
                  </dgm:layoutNode>
                </dgm:else>
              </dgm:choose>
            </dgm:forEach>
          </dgm:layoutNode>
        </dgm:layoutNode>
      </dgm:layoutNode>
      <dgm:choose name="Name6">
        <dgm:if name="Name7" axis="self" ptType="node" func="revPos" op="equ" val="1"/>
        <dgm:else name="Name8">
          <dgm:layoutNode name="aSpace">
            <dgm:alg type="sp"/>
            <dgm:shape xmlns:r="http://schemas.openxmlformats.org/officeDocument/2006/relationships" r:blip="">
              <dgm:adjLst/>
            </dgm:shape>
            <dgm:presOf/>
            <dgm:constrLst/>
            <dgm:ruleLst/>
          </dgm:layoutNode>
        </dgm:else>
      </dgm:choose>
    </dgm:forEach>
  </dgm:layoutNode>
</dgm:layoutDef>
</file>

<file path=word/diagrams/layout2.xml><?xml version="1.0" encoding="utf-8"?>
<dgm:layoutDef xmlns:dgm="http://schemas.openxmlformats.org/drawingml/2006/diagram" xmlns:a="http://schemas.openxmlformats.org/drawingml/2006/main" uniqueId="urn:microsoft.com/office/officeart/2005/8/layout/cycle7">
  <dgm:title val=""/>
  <dgm:desc val=""/>
  <dgm:catLst>
    <dgm:cat type="cycle" pri="6000"/>
  </dgm:catLst>
  <dgm:sampData>
    <dgm:dataModel>
      <dgm:ptLst>
        <dgm:pt modelId="0" type="doc"/>
        <dgm:pt modelId="1">
          <dgm:prSet phldr="1"/>
        </dgm:pt>
        <dgm:pt modelId="2">
          <dgm:prSet phldr="1"/>
        </dgm:pt>
        <dgm:pt modelId="3">
          <dgm:prSet phldr="1"/>
        </dgm:pt>
      </dgm:ptLst>
      <dgm:cxnLst>
        <dgm:cxn modelId="6" srcId="0" destId="1" srcOrd="0" destOrd="0"/>
        <dgm:cxn modelId="7" srcId="0" destId="2" srcOrd="1" destOrd="0"/>
        <dgm:cxn modelId="8" srcId="0" destId="3" srcOrd="2" destOrd="0"/>
      </dgm:cxnLst>
      <dgm:bg/>
      <dgm:whole/>
    </dgm:dataModel>
  </dgm:sampData>
  <dgm:styleData>
    <dgm:dataModel>
      <dgm:ptLst>
        <dgm:pt modelId="0" type="doc"/>
        <dgm:pt modelId="1"/>
        <dgm:pt modelId="2"/>
        <dgm:pt modelId="3"/>
      </dgm:ptLst>
      <dgm:cxnLst>
        <dgm:cxn modelId="4" srcId="0" destId="1" srcOrd="0" destOrd="0"/>
        <dgm:cxn modelId="5" srcId="0" destId="2" srcOrd="1" destOrd="0"/>
        <dgm:cxn modelId="6" srcId="0" destId="3" srcOrd="2"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Name0">
    <dgm:varLst>
      <dgm:dir/>
      <dgm:resizeHandles val="exact"/>
    </dgm:varLst>
    <dgm:choose name="Name1">
      <dgm:if name="Name2" func="var" arg="dir" op="equ" val="norm">
        <dgm:alg type="cycle">
          <dgm:param type="stAng" val="0"/>
          <dgm:param type="spanAng" val="360"/>
        </dgm:alg>
      </dgm:if>
      <dgm:else name="Name3">
        <dgm:alg type="cycle">
          <dgm:param type="stAng" val="0"/>
          <dgm:param type="spanAng" val="-360"/>
        </dgm:alg>
      </dgm:else>
    </dgm:choose>
    <dgm:shape xmlns:r="http://schemas.openxmlformats.org/officeDocument/2006/relationships" r:blip="">
      <dgm:adjLst/>
    </dgm:shape>
    <dgm:presOf/>
    <dgm:constrLst>
      <dgm:constr type="diam" refType="w"/>
      <dgm:constr type="w" for="ch" ptType="node" refType="w"/>
      <dgm:constr type="primFontSz" for="ch" ptType="node" op="equ" val="65"/>
      <dgm:constr type="w" for="ch" forName="sibTrans" refType="w" refFor="ch" refPtType="node" op="equ" fact="0.35"/>
      <dgm:constr type="connDist" for="ch" forName="sibTrans" op="equ"/>
      <dgm:constr type="primFontSz" for="des" forName="connectorText" op="equ" val="55"/>
      <dgm:constr type="primFontSz" for="des" forName="connectorText" refType="primFontSz" refFor="ch" refPtType="node" op="lte" fact="0.8"/>
      <dgm:constr type="sibSp" refType="w" refFor="ch" refPtType="node" op="equ" fact="0.65"/>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5"/>
          <dgm:constr type="tMarg" refType="primFontSz" fact="0.3"/>
          <dgm:constr type="bMarg" refType="primFontSz" fact="0.3"/>
          <dgm:constr type="lMarg" refType="primFontSz" fact="0.3"/>
          <dgm:constr type="rMarg" refType="primFontSz" fact="0.3"/>
        </dgm:constrLst>
        <dgm:ruleLst>
          <dgm:rule type="primFontSz" val="5" fact="NaN" max="NaN"/>
        </dgm:ruleLst>
      </dgm:layoutNode>
      <dgm:choose name="Name4">
        <dgm:if name="Name5" axis="par ch" ptType="doc node" func="cnt" op="gt" val="1">
          <dgm:forEach name="sibTransForEach" axis="followSib" ptType="sibTrans" hideLastTrans="0" cnt="1">
            <dgm:layoutNode name="sibTrans">
              <dgm:choose name="Name6">
                <dgm:if name="Name7" axis="par ch" ptType="doc node" func="posEven" op="equ" val="1">
                  <dgm:alg type="conn">
                    <dgm:param type="begPts" val="radial"/>
                    <dgm:param type="endPts" val="radial"/>
                    <dgm:param type="begSty" val="arr"/>
                    <dgm:param type="endSty" val="arr"/>
                  </dgm:alg>
                </dgm:if>
                <dgm:else name="Name8">
                  <dgm:alg type="conn">
                    <dgm:param type="begPts" val="auto"/>
                    <dgm:param type="endPts" val="auto"/>
                    <dgm:param type="begSty" val="arr"/>
                    <dgm:param type="endSty" val="arr"/>
                  </dgm:alg>
                </dgm:else>
              </dgm:choose>
              <dgm:shape xmlns:r="http://schemas.openxmlformats.org/officeDocument/2006/relationships" type="conn" r:blip="">
                <dgm:adjLst/>
              </dgm:shape>
              <dgm:presOf axis="self"/>
              <dgm:constrLst>
                <dgm:constr type="h" refType="w" fact="0.5"/>
                <dgm:constr type="connDist"/>
                <dgm:constr type="begPad" refType="connDist" fact="0.1"/>
                <dgm:constr type="endPad" refType="connDist" fact="0.1"/>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if>
        <dgm:else name="Name9"/>
      </dgm:choos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bwMode="auto">
        <a:solidFill>
          <a:schemeClr val="accent4">
            <a:lumMod val="20000"/>
            <a:lumOff val="80000"/>
          </a:schemeClr>
        </a:solidFill>
        <a:ln w="9525">
          <a:solidFill>
            <a:srgbClr val="000000"/>
          </a:solidFill>
          <a:miter lim="800000"/>
          <a:headEnd/>
          <a:tailEnd/>
        </a:ln>
        <a:effectLst>
          <a:outerShdw dist="23000" dir="5400000" rotWithShape="0">
            <a:srgbClr val="000000">
              <a:alpha val="34999"/>
            </a:srgbClr>
          </a:outerShdw>
        </a:effectLst>
      </a:spPr>
      <a:bodyPr rot="0" vert="horz" wrap="square" lIns="91440" tIns="45720" rIns="91440" bIns="45720" anchor="ctr" anchorCtr="0" upright="1">
        <a:noAutofit/>
      </a:bodyPr>
      <a:lst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948DADC-9F98-4A23-8C17-A960DA8EB541}">
  <ds:schemaRefs>
    <ds:schemaRef ds:uri="http://schemas.openxmlformats.org/officeDocument/2006/bibliography"/>
  </ds:schemaRefs>
</ds:datastoreItem>
</file>

<file path=customXml/itemProps2.xml><?xml version="1.0" encoding="utf-8"?>
<ds:datastoreItem xmlns:ds="http://schemas.openxmlformats.org/officeDocument/2006/customXml" ds:itemID="{FEA3CD10-E05A-42A7-98F7-358564245FC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43</TotalTime>
  <Pages>76</Pages>
  <Words>28430</Words>
  <Characters>173425</Characters>
  <Application>Microsoft Office Word</Application>
  <DocSecurity>0</DocSecurity>
  <Lines>1445</Lines>
  <Paragraphs>402</Paragraphs>
  <ScaleCrop>false</ScaleCrop>
  <HeadingPairs>
    <vt:vector size="8" baseType="variant">
      <vt:variant>
        <vt:lpstr>Title</vt:lpstr>
      </vt:variant>
      <vt:variant>
        <vt:i4>1</vt:i4>
      </vt:variant>
      <vt:variant>
        <vt:lpstr>Titel</vt:lpstr>
      </vt:variant>
      <vt:variant>
        <vt:i4>1</vt:i4>
      </vt:variant>
      <vt:variant>
        <vt:lpstr>Titre</vt:lpstr>
      </vt:variant>
      <vt:variant>
        <vt:i4>1</vt:i4>
      </vt:variant>
      <vt:variant>
        <vt:lpstr>Название</vt:lpstr>
      </vt:variant>
      <vt:variant>
        <vt:i4>1</vt:i4>
      </vt:variant>
    </vt:vector>
  </HeadingPairs>
  <TitlesOfParts>
    <vt:vector size="4" baseType="lpstr">
      <vt:lpstr>Draft CEPT Report, 2 GHz</vt:lpstr>
      <vt:lpstr>Draft CEPT Report, 2 GHz</vt:lpstr>
      <vt:lpstr>Draft CEPT Report, 2 GHz</vt:lpstr>
      <vt:lpstr>New ECC Report Style</vt:lpstr>
    </vt:vector>
  </TitlesOfParts>
  <Manager>Thomas.Weilacher@BNetzA.de</Manager>
  <Company>WG FM</Company>
  <LinksUpToDate>false</LinksUpToDate>
  <CharactersWithSpaces>201453</CharactersWithSpaces>
  <SharedDoc>false</SharedDoc>
  <HLinks>
    <vt:vector size="12" baseType="variant">
      <vt:variant>
        <vt:i4>1703987</vt:i4>
      </vt:variant>
      <vt:variant>
        <vt:i4>-1</vt:i4>
      </vt:variant>
      <vt:variant>
        <vt:i4>2049</vt:i4>
      </vt:variant>
      <vt:variant>
        <vt:i4>1</vt:i4>
      </vt:variant>
      <vt:variant>
        <vt:lpwstr>cept logo</vt:lpwstr>
      </vt:variant>
      <vt:variant>
        <vt:lpwstr/>
      </vt:variant>
      <vt:variant>
        <vt:i4>3932173</vt:i4>
      </vt:variant>
      <vt:variant>
        <vt:i4>-1</vt:i4>
      </vt:variant>
      <vt:variant>
        <vt:i4>2050</vt:i4>
      </vt:variant>
      <vt:variant>
        <vt:i4>1</vt:i4>
      </vt:variant>
      <vt:variant>
        <vt:lpwstr>ecc_logo</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Draft CEPT Report, 2 GHz</dc:title>
  <dc:subject>Input ECC, March 2016, Ghent</dc:subject>
  <dc:creator>Bente Pedersen</dc:creator>
  <cp:keywords>05 February 2016</cp:keywords>
  <cp:lastModifiedBy>Bente Pedersen</cp:lastModifiedBy>
  <cp:revision>6</cp:revision>
  <cp:lastPrinted>2016-03-07T14:51:00Z</cp:lastPrinted>
  <dcterms:created xsi:type="dcterms:W3CDTF">2016-03-07T14:17:00Z</dcterms:created>
  <dcterms:modified xsi:type="dcterms:W3CDTF">2016-03-08T11:13:00Z</dcterms:modified>
  <cp:contentStatus>Output WGFM#84, Cluj-Napoca</cp:contentStatus>
</cp:coreProperties>
</file>