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31D759" w14:textId="77777777" w:rsidR="006C03D0" w:rsidRPr="00FF7641" w:rsidRDefault="006C03D0">
      <w:pPr>
        <w:rPr>
          <w:lang w:val="en-GB"/>
        </w:rPr>
      </w:pPr>
    </w:p>
    <w:p w14:paraId="581F2555" w14:textId="77777777" w:rsidR="006C03D0" w:rsidRPr="00FF7641" w:rsidRDefault="006C03D0" w:rsidP="006C03D0">
      <w:pPr>
        <w:jc w:val="center"/>
        <w:rPr>
          <w:lang w:val="en-GB"/>
        </w:rPr>
      </w:pPr>
    </w:p>
    <w:p w14:paraId="3DE809F7" w14:textId="77777777" w:rsidR="006C03D0" w:rsidRPr="00FF7641" w:rsidRDefault="006C03D0" w:rsidP="006C03D0">
      <w:pPr>
        <w:jc w:val="center"/>
        <w:rPr>
          <w:lang w:val="en-GB"/>
        </w:rPr>
      </w:pPr>
    </w:p>
    <w:p w14:paraId="09D32BA4" w14:textId="77777777" w:rsidR="006C03D0" w:rsidRPr="00FF7641" w:rsidRDefault="006C03D0" w:rsidP="006C03D0">
      <w:pPr>
        <w:rPr>
          <w:lang w:val="en-GB"/>
        </w:rPr>
      </w:pPr>
    </w:p>
    <w:p w14:paraId="053DDD11" w14:textId="77777777" w:rsidR="006C03D0" w:rsidRPr="00FF7641" w:rsidRDefault="006C03D0" w:rsidP="006C03D0">
      <w:pPr>
        <w:rPr>
          <w:lang w:val="en-GB"/>
        </w:rPr>
      </w:pPr>
    </w:p>
    <w:p w14:paraId="31568847" w14:textId="77777777" w:rsidR="006C03D0" w:rsidRPr="00FF7641" w:rsidRDefault="007C6571" w:rsidP="006C03D0">
      <w:pPr>
        <w:jc w:val="center"/>
        <w:rPr>
          <w:b/>
          <w:sz w:val="24"/>
          <w:lang w:val="en-GB"/>
        </w:rPr>
      </w:pPr>
      <w:r w:rsidRPr="00FF7641">
        <w:rPr>
          <w:b/>
          <w:noProof/>
          <w:sz w:val="24"/>
          <w:szCs w:val="20"/>
          <w:lang w:val="de-DE" w:eastAsia="de-DE"/>
        </w:rPr>
        <mc:AlternateContent>
          <mc:Choice Requires="wpg">
            <w:drawing>
              <wp:anchor distT="0" distB="0" distL="114300" distR="114300" simplePos="0" relativeHeight="251657728" behindDoc="0" locked="0" layoutInCell="1" allowOverlap="1" wp14:anchorId="79038248" wp14:editId="16AA05DC">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E9636A" w14:textId="1406273E" w:rsidR="00053D3B" w:rsidRPr="00FE1795" w:rsidRDefault="00053D3B" w:rsidP="006C03D0">
                              <w:pPr>
                                <w:rPr>
                                  <w:color w:val="57433E"/>
                                  <w:sz w:val="68"/>
                                </w:rPr>
                              </w:pPr>
                              <w:r w:rsidRPr="00FE1795">
                                <w:rPr>
                                  <w:color w:val="FFFFFF"/>
                                  <w:sz w:val="68"/>
                                </w:rPr>
                                <w:t xml:space="preserve">ECC Decision </w:t>
                              </w:r>
                              <w:r w:rsidRPr="001E2FAA">
                                <w:rPr>
                                  <w:color w:val="887E6E"/>
                                  <w:sz w:val="68"/>
                                </w:rPr>
                                <w:t>(</w:t>
                              </w:r>
                              <w:r>
                                <w:rPr>
                                  <w:color w:val="887E6E"/>
                                  <w:sz w:val="68"/>
                                </w:rPr>
                                <w:t>08</w:t>
                              </w:r>
                              <w:r w:rsidRPr="001E2FAA">
                                <w:rPr>
                                  <w:color w:val="887E6E"/>
                                  <w:sz w:val="68"/>
                                </w:rPr>
                                <w:t>)</w:t>
                              </w:r>
                              <w:r>
                                <w:rPr>
                                  <w:color w:val="887E6E"/>
                                  <w:sz w:val="68"/>
                                </w:rPr>
                                <w:t>01</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9038248"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Al5158&#10;YgMAAGYNAAAOAAAAAAAAAAAAAAAAAC4CAABkcnMvZTJvRG9jLnhtbFBLAQItABQABgAIAAAAIQBY&#10;WjD64gAAAA0BAAAPAAAAAAAAAAAAAAAAALwFAABkcnMvZG93bnJldi54bWxQSwUGAAAAAAQABADz&#10;AAAAyw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12E9636A" w14:textId="1406273E" w:rsidR="00053D3B" w:rsidRPr="00FE1795" w:rsidRDefault="00053D3B" w:rsidP="006C03D0">
                        <w:pPr>
                          <w:rPr>
                            <w:color w:val="57433E"/>
                            <w:sz w:val="68"/>
                          </w:rPr>
                        </w:pPr>
                        <w:r w:rsidRPr="00FE1795">
                          <w:rPr>
                            <w:color w:val="FFFFFF"/>
                            <w:sz w:val="68"/>
                          </w:rPr>
                          <w:t xml:space="preserve">ECC Decision </w:t>
                        </w:r>
                        <w:r w:rsidRPr="001E2FAA">
                          <w:rPr>
                            <w:color w:val="887E6E"/>
                            <w:sz w:val="68"/>
                          </w:rPr>
                          <w:t>(</w:t>
                        </w:r>
                        <w:r>
                          <w:rPr>
                            <w:color w:val="887E6E"/>
                            <w:sz w:val="68"/>
                          </w:rPr>
                          <w:t>08</w:t>
                        </w:r>
                        <w:r w:rsidRPr="001E2FAA">
                          <w:rPr>
                            <w:color w:val="887E6E"/>
                            <w:sz w:val="68"/>
                          </w:rPr>
                          <w:t>)</w:t>
                        </w:r>
                        <w:r>
                          <w:rPr>
                            <w:color w:val="887E6E"/>
                            <w:sz w:val="68"/>
                          </w:rPr>
                          <w:t>01</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5FB6E0FC" w14:textId="77777777" w:rsidR="006C03D0" w:rsidRPr="00FF7641" w:rsidRDefault="006C03D0" w:rsidP="006C03D0">
      <w:pPr>
        <w:jc w:val="center"/>
        <w:rPr>
          <w:b/>
          <w:sz w:val="24"/>
          <w:lang w:val="en-GB"/>
        </w:rPr>
      </w:pPr>
    </w:p>
    <w:p w14:paraId="05E2118C" w14:textId="77777777" w:rsidR="006C03D0" w:rsidRPr="00FF7641" w:rsidRDefault="006C03D0" w:rsidP="006C03D0">
      <w:pPr>
        <w:jc w:val="center"/>
        <w:rPr>
          <w:b/>
          <w:sz w:val="24"/>
          <w:lang w:val="en-GB"/>
        </w:rPr>
      </w:pPr>
    </w:p>
    <w:p w14:paraId="4CC7CDD9" w14:textId="77777777" w:rsidR="006C03D0" w:rsidRPr="00FF7641" w:rsidRDefault="006C03D0" w:rsidP="006C03D0">
      <w:pPr>
        <w:jc w:val="center"/>
        <w:rPr>
          <w:b/>
          <w:sz w:val="24"/>
          <w:lang w:val="en-GB"/>
        </w:rPr>
      </w:pPr>
    </w:p>
    <w:p w14:paraId="2830DB32" w14:textId="77777777" w:rsidR="006C03D0" w:rsidRPr="00FF7641" w:rsidRDefault="006C03D0" w:rsidP="006C03D0">
      <w:pPr>
        <w:jc w:val="center"/>
        <w:rPr>
          <w:b/>
          <w:sz w:val="24"/>
          <w:lang w:val="en-GB"/>
        </w:rPr>
      </w:pPr>
    </w:p>
    <w:p w14:paraId="7555CD13" w14:textId="77777777" w:rsidR="006C03D0" w:rsidRPr="00FF7641" w:rsidRDefault="006C03D0" w:rsidP="006C03D0">
      <w:pPr>
        <w:jc w:val="center"/>
        <w:rPr>
          <w:b/>
          <w:sz w:val="24"/>
          <w:lang w:val="en-GB"/>
        </w:rPr>
      </w:pPr>
    </w:p>
    <w:p w14:paraId="77A94FC7" w14:textId="77777777" w:rsidR="006C03D0" w:rsidRPr="00FF7641" w:rsidRDefault="006C03D0" w:rsidP="006C03D0">
      <w:pPr>
        <w:jc w:val="center"/>
        <w:rPr>
          <w:b/>
          <w:sz w:val="24"/>
          <w:lang w:val="en-GB"/>
        </w:rPr>
      </w:pPr>
    </w:p>
    <w:p w14:paraId="35668B7E" w14:textId="77777777" w:rsidR="006C03D0" w:rsidRPr="00FF7641" w:rsidRDefault="006C03D0" w:rsidP="006C03D0">
      <w:pPr>
        <w:jc w:val="center"/>
        <w:rPr>
          <w:b/>
          <w:sz w:val="24"/>
          <w:lang w:val="en-GB"/>
        </w:rPr>
      </w:pPr>
    </w:p>
    <w:p w14:paraId="3A02208A" w14:textId="77777777" w:rsidR="006C03D0" w:rsidRPr="00FF7641" w:rsidRDefault="006C03D0" w:rsidP="006C03D0">
      <w:pPr>
        <w:jc w:val="center"/>
        <w:rPr>
          <w:b/>
          <w:sz w:val="24"/>
          <w:lang w:val="en-GB"/>
        </w:rPr>
      </w:pPr>
    </w:p>
    <w:p w14:paraId="7EA717B5" w14:textId="77777777" w:rsidR="006C03D0" w:rsidRPr="00FF7641" w:rsidRDefault="006C03D0" w:rsidP="006C03D0">
      <w:pPr>
        <w:jc w:val="center"/>
        <w:rPr>
          <w:b/>
          <w:sz w:val="24"/>
          <w:lang w:val="en-GB"/>
        </w:rPr>
      </w:pPr>
    </w:p>
    <w:p w14:paraId="6B458931" w14:textId="77777777" w:rsidR="006C03D0" w:rsidRPr="00FF7641" w:rsidRDefault="006C03D0" w:rsidP="006C03D0">
      <w:pPr>
        <w:jc w:val="center"/>
        <w:rPr>
          <w:b/>
          <w:sz w:val="24"/>
          <w:lang w:val="en-GB"/>
        </w:rPr>
      </w:pPr>
    </w:p>
    <w:p w14:paraId="65AD022D" w14:textId="77777777" w:rsidR="006C03D0" w:rsidRPr="00FF7641" w:rsidRDefault="006C03D0" w:rsidP="006C03D0">
      <w:pPr>
        <w:rPr>
          <w:b/>
          <w:sz w:val="24"/>
          <w:lang w:val="en-GB"/>
        </w:rPr>
      </w:pPr>
    </w:p>
    <w:p w14:paraId="39396F69" w14:textId="77777777" w:rsidR="006C03D0" w:rsidRPr="00FF7641" w:rsidRDefault="006C03D0" w:rsidP="006C03D0">
      <w:pPr>
        <w:jc w:val="center"/>
        <w:rPr>
          <w:b/>
          <w:sz w:val="24"/>
          <w:lang w:val="en-GB"/>
        </w:rPr>
      </w:pPr>
    </w:p>
    <w:p w14:paraId="6B73DAAC" w14:textId="1F2B180B" w:rsidR="006C03D0" w:rsidRPr="00FF7641" w:rsidRDefault="00C368A0" w:rsidP="006C03D0">
      <w:pPr>
        <w:pStyle w:val="Reporttitledescription"/>
        <w:rPr>
          <w:color w:val="auto"/>
          <w:lang w:val="en-GB"/>
        </w:rPr>
      </w:pPr>
      <w:r w:rsidRPr="00FF7641">
        <w:rPr>
          <w:color w:val="auto"/>
          <w:lang w:val="en-GB"/>
        </w:rPr>
        <w:fldChar w:fldCharType="begin">
          <w:ffData>
            <w:name w:val="Text7"/>
            <w:enabled/>
            <w:calcOnExit w:val="0"/>
            <w:textInput>
              <w:default w:val="The harmonised use of Safety-Related Intelligent Transport Systems (ITS) in the 5875-5935 MHz frequency band  "/>
            </w:textInput>
          </w:ffData>
        </w:fldChar>
      </w:r>
      <w:bookmarkStart w:id="0" w:name="Text7"/>
      <w:r w:rsidRPr="00FF7641">
        <w:rPr>
          <w:color w:val="auto"/>
          <w:lang w:val="en-GB"/>
        </w:rPr>
        <w:instrText xml:space="preserve"> FORMTEXT </w:instrText>
      </w:r>
      <w:r w:rsidRPr="00FF7641">
        <w:rPr>
          <w:color w:val="auto"/>
          <w:lang w:val="en-GB"/>
        </w:rPr>
      </w:r>
      <w:r w:rsidRPr="00FF7641">
        <w:rPr>
          <w:color w:val="auto"/>
          <w:lang w:val="en-GB"/>
        </w:rPr>
        <w:fldChar w:fldCharType="separate"/>
      </w:r>
      <w:r w:rsidRPr="00FF7641">
        <w:rPr>
          <w:color w:val="auto"/>
          <w:lang w:val="en-GB"/>
        </w:rPr>
        <w:t>The harmonised use of Safety-Related Intelligent Transport Systems (ITS) in the 5875-5935 MHz frequency band</w:t>
      </w:r>
      <w:r w:rsidRPr="00FF7641">
        <w:rPr>
          <w:color w:val="auto"/>
          <w:lang w:val="en-GB"/>
        </w:rPr>
        <w:fldChar w:fldCharType="end"/>
      </w:r>
      <w:bookmarkEnd w:id="0"/>
      <w:r w:rsidRPr="00FF7641">
        <w:rPr>
          <w:rStyle w:val="FootnoteReference"/>
          <w:color w:val="auto"/>
          <w:lang w:val="en-GB"/>
        </w:rPr>
        <w:footnoteReference w:id="1"/>
      </w:r>
    </w:p>
    <w:p w14:paraId="5698D5EB" w14:textId="77D490B9" w:rsidR="006C03D0" w:rsidRPr="00FF7641" w:rsidRDefault="00C368A0" w:rsidP="006C03D0">
      <w:pPr>
        <w:pStyle w:val="Reporttitledescription"/>
        <w:rPr>
          <w:b/>
          <w:color w:val="auto"/>
          <w:sz w:val="18"/>
          <w:lang w:val="en-GB"/>
        </w:rPr>
      </w:pPr>
      <w:r w:rsidRPr="00FF7641">
        <w:rPr>
          <w:b/>
          <w:color w:val="auto"/>
          <w:sz w:val="18"/>
          <w:lang w:val="en-GB"/>
        </w:rPr>
        <w:fldChar w:fldCharType="begin">
          <w:ffData>
            <w:name w:val="Text8"/>
            <w:enabled/>
            <w:calcOnExit w:val="0"/>
            <w:textInput>
              <w:default w:val="approved 14 March 2008"/>
            </w:textInput>
          </w:ffData>
        </w:fldChar>
      </w:r>
      <w:bookmarkStart w:id="1" w:name="Text8"/>
      <w:r w:rsidRPr="00FF7641">
        <w:rPr>
          <w:b/>
          <w:color w:val="auto"/>
          <w:sz w:val="18"/>
          <w:lang w:val="en-GB"/>
        </w:rPr>
        <w:instrText xml:space="preserve"> FORMTEXT </w:instrText>
      </w:r>
      <w:r w:rsidRPr="00FF7641">
        <w:rPr>
          <w:b/>
          <w:color w:val="auto"/>
          <w:sz w:val="18"/>
          <w:lang w:val="en-GB"/>
        </w:rPr>
      </w:r>
      <w:r w:rsidRPr="00FF7641">
        <w:rPr>
          <w:b/>
          <w:color w:val="auto"/>
          <w:sz w:val="18"/>
          <w:lang w:val="en-GB"/>
        </w:rPr>
        <w:fldChar w:fldCharType="separate"/>
      </w:r>
      <w:r w:rsidRPr="00FF7641">
        <w:rPr>
          <w:b/>
          <w:color w:val="auto"/>
          <w:sz w:val="18"/>
          <w:lang w:val="en-GB"/>
        </w:rPr>
        <w:t>approved 14 March 2008</w:t>
      </w:r>
      <w:r w:rsidRPr="00FF7641">
        <w:rPr>
          <w:b/>
          <w:color w:val="auto"/>
          <w:sz w:val="18"/>
          <w:lang w:val="en-GB"/>
        </w:rPr>
        <w:fldChar w:fldCharType="end"/>
      </w:r>
      <w:bookmarkEnd w:id="1"/>
    </w:p>
    <w:p w14:paraId="405385B1" w14:textId="1C4802B2" w:rsidR="006C03D0" w:rsidRPr="00FF7641" w:rsidRDefault="002E6885" w:rsidP="006C03D0">
      <w:pPr>
        <w:pStyle w:val="Lastupdated"/>
        <w:rPr>
          <w:b/>
          <w:lang w:val="en-GB"/>
        </w:rPr>
      </w:pPr>
      <w:r>
        <w:rPr>
          <w:b/>
          <w:lang w:val="en-GB"/>
        </w:rPr>
        <w:fldChar w:fldCharType="begin">
          <w:ffData>
            <w:name w:val="Text3"/>
            <w:enabled/>
            <w:calcOnExit w:val="0"/>
            <w:textInput>
              <w:default w:val="latest amended 7 March 2025"/>
            </w:textInput>
          </w:ffData>
        </w:fldChar>
      </w:r>
      <w:r>
        <w:rPr>
          <w:b/>
          <w:lang w:val="en-GB"/>
        </w:rPr>
        <w:instrText xml:space="preserve"> </w:instrText>
      </w:r>
      <w:bookmarkStart w:id="2" w:name="Text3"/>
      <w:r>
        <w:rPr>
          <w:b/>
          <w:lang w:val="en-GB"/>
        </w:rPr>
        <w:instrText xml:space="preserve">FORMTEXT </w:instrText>
      </w:r>
      <w:r>
        <w:rPr>
          <w:b/>
          <w:lang w:val="en-GB"/>
        </w:rPr>
      </w:r>
      <w:r>
        <w:rPr>
          <w:b/>
          <w:lang w:val="en-GB"/>
        </w:rPr>
        <w:fldChar w:fldCharType="separate"/>
      </w:r>
      <w:r>
        <w:rPr>
          <w:b/>
          <w:noProof/>
          <w:lang w:val="en-GB"/>
        </w:rPr>
        <w:t>latest amended 7 March 2025</w:t>
      </w:r>
      <w:r>
        <w:rPr>
          <w:b/>
          <w:lang w:val="en-GB"/>
        </w:rPr>
        <w:fldChar w:fldCharType="end"/>
      </w:r>
      <w:bookmarkEnd w:id="2"/>
    </w:p>
    <w:p w14:paraId="5F3CB1AA" w14:textId="75C11DCD" w:rsidR="006C03D0" w:rsidRPr="00FF7641" w:rsidRDefault="005F7AD5" w:rsidP="005F6EB7">
      <w:pPr>
        <w:pStyle w:val="Heading1"/>
      </w:pPr>
      <w:r w:rsidRPr="00FF7641">
        <w:lastRenderedPageBreak/>
        <w:t>explanatory memorandum</w:t>
      </w:r>
    </w:p>
    <w:p w14:paraId="3678A2D8" w14:textId="0CA13863" w:rsidR="006C03D0" w:rsidRPr="00FF7641" w:rsidRDefault="005F7AD5" w:rsidP="006C03D0">
      <w:pPr>
        <w:pStyle w:val="Heading2"/>
        <w:rPr>
          <w:lang w:val="en-GB"/>
        </w:rPr>
      </w:pPr>
      <w:r w:rsidRPr="00FF7641">
        <w:rPr>
          <w:lang w:val="en-GB"/>
        </w:rPr>
        <w:t>INTRODUCTION</w:t>
      </w:r>
    </w:p>
    <w:p w14:paraId="737AF736" w14:textId="11A78CC2" w:rsidR="00C368A0" w:rsidRPr="00FF7641" w:rsidRDefault="00C368A0" w:rsidP="00C368A0">
      <w:pPr>
        <w:pStyle w:val="ECCParagraph"/>
      </w:pPr>
      <w:r w:rsidRPr="00FF7641">
        <w:t xml:space="preserve">This ECC Decision addresses frequency designation within the band 5875-5935 MHz for the harmonised implementation of safety-related </w:t>
      </w:r>
      <w:r w:rsidRPr="00FF7641">
        <w:rPr>
          <w:b/>
          <w:bCs/>
        </w:rPr>
        <w:t>I</w:t>
      </w:r>
      <w:r w:rsidRPr="00FF7641">
        <w:rPr>
          <w:bCs/>
        </w:rPr>
        <w:t>ntelligent</w:t>
      </w:r>
      <w:r w:rsidRPr="00FF7641">
        <w:rPr>
          <w:b/>
          <w:bCs/>
        </w:rPr>
        <w:t xml:space="preserve"> T</w:t>
      </w:r>
      <w:r w:rsidRPr="00FF7641">
        <w:rPr>
          <w:bCs/>
        </w:rPr>
        <w:t>ransport</w:t>
      </w:r>
      <w:r w:rsidRPr="00FF7641">
        <w:rPr>
          <w:b/>
          <w:bCs/>
        </w:rPr>
        <w:t xml:space="preserve"> S</w:t>
      </w:r>
      <w:r w:rsidRPr="00FF7641">
        <w:rPr>
          <w:bCs/>
        </w:rPr>
        <w:t>ystems</w:t>
      </w:r>
      <w:r w:rsidRPr="00FF7641">
        <w:rPr>
          <w:b/>
          <w:bCs/>
        </w:rPr>
        <w:t xml:space="preserve"> (ITS)</w:t>
      </w:r>
      <w:r w:rsidRPr="00FF7641">
        <w:t>.</w:t>
      </w:r>
    </w:p>
    <w:p w14:paraId="4F6AB6A5" w14:textId="5C1C3DBA" w:rsidR="00C368A0" w:rsidRPr="00FF7641" w:rsidRDefault="00C368A0" w:rsidP="00C368A0">
      <w:pPr>
        <w:pStyle w:val="ECCParagraph"/>
        <w:rPr>
          <w:color w:val="000000"/>
        </w:rPr>
      </w:pPr>
      <w:r w:rsidRPr="00FF7641">
        <w:t xml:space="preserve">Throughout this ECC Decision where the term ITS </w:t>
      </w:r>
      <w:proofErr w:type="gramStart"/>
      <w:r w:rsidRPr="00FF7641">
        <w:t>is used</w:t>
      </w:r>
      <w:r w:rsidR="00806F05">
        <w:t>,</w:t>
      </w:r>
      <w:proofErr w:type="gramEnd"/>
      <w:r w:rsidRPr="00FF7641">
        <w:t xml:space="preserve"> it is related to safety-related ITS unless otherwise stated.</w:t>
      </w:r>
    </w:p>
    <w:p w14:paraId="4BEDC4A9" w14:textId="1EAAA77D" w:rsidR="00C368A0" w:rsidRPr="00FF7641" w:rsidRDefault="00C368A0" w:rsidP="00C368A0">
      <w:pPr>
        <w:pStyle w:val="ECCParagraph"/>
        <w:rPr>
          <w:color w:val="000000"/>
        </w:rPr>
      </w:pPr>
      <w:r w:rsidRPr="00FF7641">
        <w:rPr>
          <w:color w:val="000000"/>
        </w:rPr>
        <w:t>ITS encompass Road ITS and Urban Rail ITS. Road ITS include any kind of ground-based transportation systems, e.g. cars, trucks, bicycles, motor bicycles, tramways, pedestrians, constructions equipment, agricultural equipment, etc. Urban Rail ITS mean urban or suburban railway lines segregated from road and pedestrian traffic.</w:t>
      </w:r>
    </w:p>
    <w:p w14:paraId="7B9E76BC" w14:textId="14F69976" w:rsidR="00C368A0" w:rsidRPr="00FF7641" w:rsidRDefault="00C368A0" w:rsidP="00C368A0">
      <w:pPr>
        <w:pStyle w:val="ECCParagraph"/>
        <w:rPr>
          <w:color w:val="000000"/>
        </w:rPr>
      </w:pPr>
      <w:r w:rsidRPr="00FF7641">
        <w:rPr>
          <w:color w:val="000000"/>
        </w:rPr>
        <w:t xml:space="preserve">The objective of frequency designation for road safety applications in the 5.9 GHz band is to support the European Union </w:t>
      </w:r>
      <w:r w:rsidR="0060700F">
        <w:rPr>
          <w:color w:val="000000"/>
        </w:rPr>
        <w:t>Vision Zero</w:t>
      </w:r>
      <w:r w:rsidRPr="00FF7641">
        <w:rPr>
          <w:color w:val="000000"/>
        </w:rPr>
        <w:t xml:space="preserve"> initiative with its goals to reduce the number of road fatalities and </w:t>
      </w:r>
      <w:r w:rsidR="0060700F">
        <w:rPr>
          <w:color w:val="000000"/>
        </w:rPr>
        <w:t xml:space="preserve">to </w:t>
      </w:r>
      <w:r w:rsidRPr="00FF7641">
        <w:rPr>
          <w:color w:val="000000"/>
        </w:rPr>
        <w:t>improv</w:t>
      </w:r>
      <w:r w:rsidR="0060700F">
        <w:rPr>
          <w:color w:val="000000"/>
        </w:rPr>
        <w:t>e</w:t>
      </w:r>
      <w:r w:rsidRPr="00FF7641">
        <w:rPr>
          <w:color w:val="000000"/>
        </w:rPr>
        <w:t xml:space="preserve"> the efficiency of road traffic </w:t>
      </w:r>
      <w:r w:rsidR="0060700F">
        <w:rPr>
          <w:color w:val="000000"/>
        </w:rPr>
        <w:t>by using ITS</w:t>
      </w:r>
      <w:r w:rsidRPr="00FF7641">
        <w:rPr>
          <w:color w:val="000000"/>
        </w:rPr>
        <w:t>.</w:t>
      </w:r>
    </w:p>
    <w:p w14:paraId="093E075B" w14:textId="66A788B1" w:rsidR="00C368A0" w:rsidRPr="00FF7641" w:rsidRDefault="00C368A0" w:rsidP="00C368A0">
      <w:pPr>
        <w:pStyle w:val="ECCParagraph"/>
      </w:pPr>
      <w:r w:rsidRPr="00FF7641">
        <w:t>Road ITS traffic safety and efficiency communication</w:t>
      </w:r>
      <w:r w:rsidR="0060700F">
        <w:t>s encompass</w:t>
      </w:r>
      <w:r w:rsidRPr="00FF7641">
        <w:t xml:space="preserve"> Infrastructure to Vehicle (I2V) </w:t>
      </w:r>
      <w:r w:rsidR="0060700F">
        <w:t xml:space="preserve">and Vehicle to Vehicle (V2V) </w:t>
      </w:r>
      <w:r w:rsidRPr="00FF7641">
        <w:t>communication</w:t>
      </w:r>
      <w:r w:rsidR="0060700F">
        <w:t>s</w:t>
      </w:r>
      <w:r w:rsidR="00F41D56">
        <w:t xml:space="preserve"> between</w:t>
      </w:r>
      <w:r w:rsidRPr="00FF7641">
        <w:t xml:space="preserve"> ITS stations. Throughout this ECC Decision, portable ITS stations are also covered by the terminology “vehicle”, when V2V or I2V is addressed.</w:t>
      </w:r>
    </w:p>
    <w:p w14:paraId="2BACE7AE" w14:textId="721E8217" w:rsidR="00C368A0" w:rsidRPr="00FF7641" w:rsidRDefault="00AC7756" w:rsidP="00C368A0">
      <w:pPr>
        <w:pStyle w:val="ECCParagraph"/>
      </w:pPr>
      <w:r>
        <w:t>The</w:t>
      </w:r>
      <w:r w:rsidR="00C368A0" w:rsidRPr="00FF7641">
        <w:t xml:space="preserve"> frequency designation in the 5.9 GHz band is </w:t>
      </w:r>
      <w:r>
        <w:t>also for</w:t>
      </w:r>
      <w:r w:rsidR="00C368A0" w:rsidRPr="00FF7641">
        <w:t xml:space="preserve"> Urban Rail ITS, such as Communication-Based Train Control (CBTC) systems, provid</w:t>
      </w:r>
      <w:r w:rsidR="00D2387D">
        <w:t>ing</w:t>
      </w:r>
      <w:r w:rsidR="00C368A0" w:rsidRPr="00FF7641">
        <w:t xml:space="preserve"> wireless automatic train control with and without driver.</w:t>
      </w:r>
    </w:p>
    <w:p w14:paraId="4B7F4E4B" w14:textId="7A2A8ACB" w:rsidR="003F341A" w:rsidRPr="00FF7641" w:rsidRDefault="003F341A" w:rsidP="003F341A">
      <w:pPr>
        <w:pStyle w:val="Heading2"/>
        <w:rPr>
          <w:lang w:val="en-GB"/>
        </w:rPr>
      </w:pPr>
      <w:r w:rsidRPr="00FF7641">
        <w:rPr>
          <w:lang w:val="en-GB"/>
        </w:rPr>
        <w:t>BACKGROUND</w:t>
      </w:r>
    </w:p>
    <w:p w14:paraId="39555325" w14:textId="40331B43" w:rsidR="00320118" w:rsidRDefault="00320118" w:rsidP="00320118">
      <w:pPr>
        <w:pStyle w:val="ECCParagraph"/>
      </w:pPr>
      <w:r w:rsidRPr="00FD11BB">
        <w:t>The use of the</w:t>
      </w:r>
      <w:r>
        <w:t xml:space="preserve"> frequency</w:t>
      </w:r>
      <w:r w:rsidRPr="00FD11BB">
        <w:t xml:space="preserve"> band 5855-5925 MHz for </w:t>
      </w:r>
      <w:r>
        <w:t>R</w:t>
      </w:r>
      <w:r w:rsidRPr="00FD11BB">
        <w:t xml:space="preserve">oad ITS has been considered within compatibility studies documented in ECC Report 101 </w:t>
      </w:r>
      <w:r w:rsidR="00C96194">
        <w:fldChar w:fldCharType="begin"/>
      </w:r>
      <w:r w:rsidR="00C96194">
        <w:instrText xml:space="preserve"> REF _Ref179481649 \r \h </w:instrText>
      </w:r>
      <w:r w:rsidR="00C96194">
        <w:fldChar w:fldCharType="separate"/>
      </w:r>
      <w:r w:rsidR="00C96194">
        <w:t>[2]</w:t>
      </w:r>
      <w:r w:rsidR="00C96194">
        <w:fldChar w:fldCharType="end"/>
      </w:r>
      <w:r w:rsidRPr="00FD11BB">
        <w:t xml:space="preserve">, ECC Report 228 </w:t>
      </w:r>
      <w:r w:rsidR="00C96194">
        <w:fldChar w:fldCharType="begin"/>
      </w:r>
      <w:r w:rsidR="00C96194">
        <w:instrText xml:space="preserve"> REF _Ref179481692 \r \h </w:instrText>
      </w:r>
      <w:r w:rsidR="00C96194">
        <w:fldChar w:fldCharType="separate"/>
      </w:r>
      <w:r w:rsidR="00C96194">
        <w:t>[3]</w:t>
      </w:r>
      <w:r w:rsidR="00C96194">
        <w:fldChar w:fldCharType="end"/>
      </w:r>
      <w:r w:rsidRPr="00FD11BB">
        <w:t xml:space="preserve">, ECC Report 290 </w:t>
      </w:r>
      <w:r w:rsidR="00C96194">
        <w:fldChar w:fldCharType="begin"/>
      </w:r>
      <w:r w:rsidR="00C96194">
        <w:instrText xml:space="preserve"> REF _Ref179481706 \r \h </w:instrText>
      </w:r>
      <w:r w:rsidR="00C96194">
        <w:fldChar w:fldCharType="separate"/>
      </w:r>
      <w:r w:rsidR="00C96194">
        <w:t>[4]</w:t>
      </w:r>
      <w:r w:rsidR="00C96194">
        <w:fldChar w:fldCharType="end"/>
      </w:r>
      <w:r>
        <w:t xml:space="preserve"> </w:t>
      </w:r>
      <w:r w:rsidRPr="00FD11BB">
        <w:t>and ECC Report 291</w:t>
      </w:r>
      <w:r>
        <w:t xml:space="preserve"> </w:t>
      </w:r>
      <w:r w:rsidR="00C96194">
        <w:fldChar w:fldCharType="begin"/>
      </w:r>
      <w:r w:rsidR="00C96194">
        <w:instrText xml:space="preserve"> REF _Ref179481717 \r \h </w:instrText>
      </w:r>
      <w:r w:rsidR="00C96194">
        <w:fldChar w:fldCharType="separate"/>
      </w:r>
      <w:r w:rsidR="00C96194">
        <w:t>[5]</w:t>
      </w:r>
      <w:r w:rsidR="00C96194">
        <w:fldChar w:fldCharType="end"/>
      </w:r>
      <w:r w:rsidRPr="00FD11BB">
        <w:t>.</w:t>
      </w:r>
    </w:p>
    <w:p w14:paraId="196384DD" w14:textId="1DD079F7" w:rsidR="00320118" w:rsidRPr="00FF7641" w:rsidRDefault="00320118" w:rsidP="00320118">
      <w:pPr>
        <w:pStyle w:val="ECCParagraph"/>
      </w:pPr>
      <w:r>
        <w:t>In 2005, t</w:t>
      </w:r>
      <w:r w:rsidRPr="00FF7641">
        <w:t xml:space="preserve">he frequency band 5875-5925 MHz </w:t>
      </w:r>
      <w:r>
        <w:t>was</w:t>
      </w:r>
      <w:r w:rsidRPr="00FF7641">
        <w:t xml:space="preserve"> identified by ETSI within their System Reference Document TR 102 492-1/2 </w:t>
      </w:r>
      <w:r w:rsidRPr="00FF7641">
        <w:fldChar w:fldCharType="begin"/>
      </w:r>
      <w:r w:rsidRPr="00FF7641">
        <w:instrText xml:space="preserve"> REF _Ref34828301 \r \h </w:instrText>
      </w:r>
      <w:r w:rsidRPr="00FF7641">
        <w:fldChar w:fldCharType="separate"/>
      </w:r>
      <w:r w:rsidR="00C96194">
        <w:t>[7]</w:t>
      </w:r>
      <w:r w:rsidRPr="00FF7641">
        <w:fldChar w:fldCharType="end"/>
      </w:r>
      <w:r w:rsidRPr="00FF7641">
        <w:t xml:space="preserve"> as the most suitable frequency band for development and deployment of Road ITS providing road safety and traffic efficiency applications all over Europe.</w:t>
      </w:r>
    </w:p>
    <w:p w14:paraId="19ECE4A2" w14:textId="40200125" w:rsidR="00320118" w:rsidRDefault="00320118" w:rsidP="00320118">
      <w:pPr>
        <w:pStyle w:val="ECCParagraph"/>
      </w:pPr>
      <w:r w:rsidRPr="00FF7641">
        <w:t xml:space="preserve">In October 2017, the EC issued a </w:t>
      </w:r>
      <w:r>
        <w:t>M</w:t>
      </w:r>
      <w:r w:rsidRPr="00FF7641">
        <w:t xml:space="preserve">andate </w:t>
      </w:r>
      <w:r>
        <w:t>to</w:t>
      </w:r>
      <w:r w:rsidRPr="00FF7641">
        <w:t xml:space="preserve"> CEPT </w:t>
      </w:r>
      <w:r w:rsidRPr="00FF7641">
        <w:fldChar w:fldCharType="begin"/>
      </w:r>
      <w:r w:rsidRPr="00FF7641">
        <w:instrText xml:space="preserve"> REF _Ref34828382 \r \h </w:instrText>
      </w:r>
      <w:r w:rsidRPr="00FF7641">
        <w:fldChar w:fldCharType="separate"/>
      </w:r>
      <w:r w:rsidR="00C96194">
        <w:t>[10]</w:t>
      </w:r>
      <w:r w:rsidRPr="00FF7641">
        <w:fldChar w:fldCharType="end"/>
      </w:r>
      <w:r w:rsidRPr="00FF7641">
        <w:t xml:space="preserve"> to study the extension of the ITS safety-related band at 5.9 GHz. </w:t>
      </w:r>
      <w:r>
        <w:t xml:space="preserve">CEPT Report 71 </w:t>
      </w:r>
      <w:r w:rsidR="00C96194">
        <w:fldChar w:fldCharType="begin"/>
      </w:r>
      <w:r w:rsidR="00C96194">
        <w:instrText xml:space="preserve"> REF _Ref179481797 \r \h </w:instrText>
      </w:r>
      <w:r w:rsidR="00C96194">
        <w:fldChar w:fldCharType="separate"/>
      </w:r>
      <w:r w:rsidR="00C96194">
        <w:t>[1]</w:t>
      </w:r>
      <w:r w:rsidR="00C96194">
        <w:fldChar w:fldCharType="end"/>
      </w:r>
      <w:r>
        <w:t xml:space="preserve"> provide</w:t>
      </w:r>
      <w:r w:rsidR="003362CE">
        <w:t>d</w:t>
      </w:r>
      <w:r>
        <w:t xml:space="preserve"> the response to</w:t>
      </w:r>
      <w:r w:rsidRPr="00FF7641">
        <w:t xml:space="preserve"> this </w:t>
      </w:r>
      <w:r>
        <w:t>EC M</w:t>
      </w:r>
      <w:r w:rsidRPr="00FF7641">
        <w:t>andate</w:t>
      </w:r>
      <w:r>
        <w:t>. The outcome was the e</w:t>
      </w:r>
      <w:r w:rsidRPr="00FF7641">
        <w:t>xten</w:t>
      </w:r>
      <w:r>
        <w:t>sion of</w:t>
      </w:r>
      <w:r w:rsidRPr="00FF7641">
        <w:t xml:space="preserve"> the upper edge of the EC harmonised safety-related ITS band (5875-5905 MHz) by 20 MHz up to 5925</w:t>
      </w:r>
      <w:r w:rsidR="002901E4">
        <w:t> </w:t>
      </w:r>
      <w:r w:rsidRPr="00FF7641">
        <w:t>MHz</w:t>
      </w:r>
      <w:r>
        <w:t xml:space="preserve">, </w:t>
      </w:r>
      <w:r w:rsidRPr="00E71049">
        <w:t xml:space="preserve">as well as a further extension of the safety-related ITS band from 5925 to 5935 MHz for </w:t>
      </w:r>
      <w:r>
        <w:t>U</w:t>
      </w:r>
      <w:r w:rsidRPr="00E71049">
        <w:t xml:space="preserve">rban </w:t>
      </w:r>
      <w:r>
        <w:t>R</w:t>
      </w:r>
      <w:r w:rsidRPr="00E71049">
        <w:t>ail ITS. It was noted that in some CEPT countries Road ITS were using frequencies in 5875-5905 MHz and Urban Rail ITS frequencies in 5905-5975 MHz.</w:t>
      </w:r>
    </w:p>
    <w:p w14:paraId="300BE63B" w14:textId="61FE9438" w:rsidR="00320118" w:rsidRDefault="00320118" w:rsidP="00320118">
      <w:pPr>
        <w:pStyle w:val="ECCParagraph"/>
      </w:pPr>
      <w:r w:rsidRPr="00D27E2C">
        <w:t xml:space="preserve">In 2023, ETSI provided </w:t>
      </w:r>
      <w:r w:rsidRPr="00FF7641">
        <w:t xml:space="preserve">their System Reference Document </w:t>
      </w:r>
      <w:r w:rsidRPr="00D27E2C">
        <w:t>TR 103 853</w:t>
      </w:r>
      <w:r>
        <w:t xml:space="preserve"> </w:t>
      </w:r>
      <w:r>
        <w:fldChar w:fldCharType="begin"/>
      </w:r>
      <w:r>
        <w:instrText xml:space="preserve"> REF _Ref178843850 \r \h </w:instrText>
      </w:r>
      <w:r>
        <w:fldChar w:fldCharType="separate"/>
      </w:r>
      <w:r w:rsidR="00C96194">
        <w:t>[15]</w:t>
      </w:r>
      <w:r>
        <w:fldChar w:fldCharType="end"/>
      </w:r>
      <w:r w:rsidRPr="00D27E2C">
        <w:t xml:space="preserve"> requesting a revision of radio spectrum regulation for </w:t>
      </w:r>
      <w:r>
        <w:t>R</w:t>
      </w:r>
      <w:r w:rsidRPr="00D27E2C">
        <w:t>oad ITS operating in 5.9 GHz enabling channels with 20 MHz bandwidth.</w:t>
      </w:r>
    </w:p>
    <w:p w14:paraId="1F1D5BE8" w14:textId="6A960E72" w:rsidR="00C368A0" w:rsidRPr="00FF7641" w:rsidRDefault="00C368A0" w:rsidP="00C368A0">
      <w:pPr>
        <w:pStyle w:val="ECCParagraph"/>
      </w:pPr>
      <w:r w:rsidRPr="00FF7641">
        <w:t xml:space="preserve">The CEPT/ECC compatibility studies addressed in ECC Report 101 </w:t>
      </w:r>
      <w:r w:rsidR="005C712C">
        <w:t xml:space="preserve">compatibility in the band 5855-5925 MHz between ITS and other systems and </w:t>
      </w:r>
      <w:r w:rsidRPr="00FF7641">
        <w:t>conclude</w:t>
      </w:r>
      <w:r w:rsidR="005C712C">
        <w:t>d</w:t>
      </w:r>
      <w:r w:rsidRPr="00FF7641">
        <w:t xml:space="preserve"> that </w:t>
      </w:r>
      <w:r w:rsidR="005C712C">
        <w:t>Road</w:t>
      </w:r>
      <w:r w:rsidRPr="00FF7641">
        <w:t xml:space="preserve"> ITS will not suffer from excessive interference resulting from other systems/services</w:t>
      </w:r>
      <w:r w:rsidR="005C712C" w:rsidRPr="00D25D9F">
        <w:t>, that compatibility between the Fixed</w:t>
      </w:r>
      <w:r w:rsidR="005C712C">
        <w:t>-</w:t>
      </w:r>
      <w:r w:rsidR="005C712C" w:rsidRPr="00D25D9F">
        <w:t>Satellite Service (FSS) satellite receiver in</w:t>
      </w:r>
      <w:r w:rsidR="005C712C">
        <w:t xml:space="preserve"> </w:t>
      </w:r>
      <w:r w:rsidR="005C712C" w:rsidRPr="00D25D9F">
        <w:t xml:space="preserve">5850-6725 MHz and </w:t>
      </w:r>
      <w:r w:rsidR="005C712C">
        <w:t>R</w:t>
      </w:r>
      <w:r w:rsidR="005C712C" w:rsidRPr="00D25D9F">
        <w:t>oad ITS is feasible</w:t>
      </w:r>
      <w:r w:rsidR="005C712C">
        <w:t xml:space="preserve">, </w:t>
      </w:r>
      <w:r w:rsidR="005C712C" w:rsidRPr="00D25D9F">
        <w:t>taking into account that ITS devices in a given area do not all transmit at the same time</w:t>
      </w:r>
      <w:r w:rsidR="005C712C">
        <w:t>,</w:t>
      </w:r>
      <w:r w:rsidR="005C712C" w:rsidRPr="00D25D9F">
        <w:t xml:space="preserve"> and that compatibility between the Broadband Fixed Wireless Access (BFWA) in 5725-5875 MHz and </w:t>
      </w:r>
      <w:r w:rsidR="005C712C">
        <w:t>R</w:t>
      </w:r>
      <w:r w:rsidR="005C712C" w:rsidRPr="00D25D9F">
        <w:t>oad ITS is achieved</w:t>
      </w:r>
      <w:r w:rsidRPr="00FF7641">
        <w:t xml:space="preserve">. </w:t>
      </w:r>
    </w:p>
    <w:p w14:paraId="445B8ACE" w14:textId="76AF5774" w:rsidR="00C368A0" w:rsidRPr="00FF7641" w:rsidRDefault="00C368A0" w:rsidP="00E71B44">
      <w:pPr>
        <w:pStyle w:val="ECCParBulleted"/>
        <w:numPr>
          <w:ilvl w:val="0"/>
          <w:numId w:val="0"/>
        </w:numPr>
      </w:pPr>
      <w:r w:rsidRPr="00FF7641">
        <w:t xml:space="preserve">ECC Report 228 </w:t>
      </w:r>
      <w:r w:rsidR="000F0329">
        <w:fldChar w:fldCharType="begin"/>
      </w:r>
      <w:r w:rsidR="000F0329">
        <w:instrText xml:space="preserve"> REF _Ref179481692 \r \h </w:instrText>
      </w:r>
      <w:r w:rsidR="000F0329">
        <w:fldChar w:fldCharType="separate"/>
      </w:r>
      <w:r w:rsidR="000F0329">
        <w:t>[3]</w:t>
      </w:r>
      <w:r w:rsidR="000F0329">
        <w:fldChar w:fldCharType="end"/>
      </w:r>
      <w:r w:rsidR="000F0329">
        <w:t xml:space="preserve"> </w:t>
      </w:r>
      <w:r w:rsidR="00C96194">
        <w:t>addressed</w:t>
      </w:r>
      <w:r w:rsidRPr="00FF7641">
        <w:t xml:space="preserve"> compatibility studies between ITS in the frequency band 5855-5925 MHz and other systems in adjacent bands and concluded that </w:t>
      </w:r>
      <w:r w:rsidR="00E71B44" w:rsidRPr="00CD62CC">
        <w:t xml:space="preserve">compatibility with the Fixed Service (FS) in the 5925-6425 MHz band is achieved if Road ITS unwanted emissions in that band are limited to -30 dBm/MHz </w:t>
      </w:r>
      <w:r w:rsidR="00E71B44" w:rsidRPr="002E6885">
        <w:rPr>
          <w:i/>
          <w:iCs/>
        </w:rPr>
        <w:t>e.i.r.p.</w:t>
      </w:r>
      <w:r w:rsidR="00E71B44" w:rsidRPr="00CD62CC">
        <w:t xml:space="preserve"> The Report also concluded that protection of road tolling in the 5795-5815 MHz band is achieved if Road</w:t>
      </w:r>
      <w:r w:rsidRPr="00FF7641">
        <w:t xml:space="preserve"> ITS unwanted emissions </w:t>
      </w:r>
      <w:r w:rsidR="00E71B44">
        <w:t>remain below</w:t>
      </w:r>
      <w:r w:rsidRPr="00FF7641">
        <w:t xml:space="preserve"> -65 dBm/MHz </w:t>
      </w:r>
      <w:r w:rsidRPr="002E6885">
        <w:rPr>
          <w:i/>
          <w:iCs/>
        </w:rPr>
        <w:t>e.i.r.p</w:t>
      </w:r>
      <w:r w:rsidRPr="00FF7641">
        <w:t xml:space="preserve">. </w:t>
      </w:r>
      <w:r w:rsidR="00E71B44">
        <w:t xml:space="preserve">inside a defined zone. Alternatively, higher unwanted </w:t>
      </w:r>
      <w:r w:rsidR="00E71B44">
        <w:lastRenderedPageBreak/>
        <w:t>emissions could be allowed together with</w:t>
      </w:r>
      <w:r w:rsidR="00E71B44" w:rsidRPr="00FF7641">
        <w:t xml:space="preserve"> mitigation techniques </w:t>
      </w:r>
      <w:r w:rsidR="00E71B44">
        <w:t xml:space="preserve">equivalent to those described in ETSI TS 102 792 v1.1.1 </w:t>
      </w:r>
      <w:r w:rsidR="00E71B44">
        <w:fldChar w:fldCharType="begin"/>
      </w:r>
      <w:r w:rsidR="00E71B44">
        <w:instrText xml:space="preserve"> REF _Ref34828558 \r \h </w:instrText>
      </w:r>
      <w:r w:rsidR="00E71B44">
        <w:fldChar w:fldCharType="separate"/>
      </w:r>
      <w:r w:rsidR="00C96194">
        <w:t>[13]</w:t>
      </w:r>
      <w:r w:rsidR="00E71B44">
        <w:fldChar w:fldCharType="end"/>
      </w:r>
      <w:r w:rsidR="00E71B44" w:rsidRPr="00FF7641">
        <w:t>.</w:t>
      </w:r>
    </w:p>
    <w:p w14:paraId="06E8CB2B" w14:textId="70237A28" w:rsidR="00C368A0" w:rsidRPr="00FF7641" w:rsidRDefault="00C368A0" w:rsidP="00C368A0">
      <w:pPr>
        <w:pStyle w:val="ECCParagraph"/>
      </w:pPr>
      <w:r w:rsidRPr="00FF7641">
        <w:t>ECC Report 290</w:t>
      </w:r>
      <w:r w:rsidR="009D558B">
        <w:t xml:space="preserve"> </w:t>
      </w:r>
      <w:r w:rsidR="009D558B">
        <w:fldChar w:fldCharType="begin"/>
      </w:r>
      <w:r w:rsidR="009D558B">
        <w:instrText xml:space="preserve"> REF _Ref179481706 \r \h </w:instrText>
      </w:r>
      <w:r w:rsidR="009D558B">
        <w:fldChar w:fldCharType="separate"/>
      </w:r>
      <w:r w:rsidR="009D558B">
        <w:t>[4]</w:t>
      </w:r>
      <w:r w:rsidR="009D558B">
        <w:fldChar w:fldCharType="end"/>
      </w:r>
      <w:r w:rsidRPr="00FF7641">
        <w:t xml:space="preserve"> </w:t>
      </w:r>
      <w:r w:rsidR="007D4C8E">
        <w:t>addressed</w:t>
      </w:r>
      <w:r w:rsidR="001D3C20">
        <w:t xml:space="preserve"> compatibility studies to </w:t>
      </w:r>
      <w:r w:rsidRPr="00FF7641">
        <w:t xml:space="preserve">examine the applicability of ECC Reports 101 and 228 for </w:t>
      </w:r>
      <w:r w:rsidR="001D3C20">
        <w:t xml:space="preserve">various ITS technologies </w:t>
      </w:r>
      <w:r w:rsidR="001D3C20" w:rsidRPr="000F7CFC">
        <w:t>and concluded that</w:t>
      </w:r>
      <w:r w:rsidR="001D3C20">
        <w:t xml:space="preserve"> for </w:t>
      </w:r>
      <w:r w:rsidR="001D3C20" w:rsidRPr="000F7CFC">
        <w:t>Urban Rail ITS compatibility with FS and road tolling is feasible</w:t>
      </w:r>
      <w:r w:rsidR="000D4115">
        <w:t>. H</w:t>
      </w:r>
      <w:r w:rsidR="001D3C20" w:rsidRPr="000F7CFC">
        <w:t xml:space="preserve">owever, in case of proximity to road tolling communication zones or situations where the FS beam is pointing towards the Urban Rail ITS tracks, an adequate system design for </w:t>
      </w:r>
      <w:r w:rsidR="001D3C20">
        <w:t xml:space="preserve">CBTC </w:t>
      </w:r>
      <w:r w:rsidR="001D3C20" w:rsidRPr="000F7CFC">
        <w:t>may be required</w:t>
      </w:r>
      <w:r w:rsidR="00977BC0">
        <w:t xml:space="preserve"> </w:t>
      </w:r>
      <w:r w:rsidR="00977BC0" w:rsidRPr="00977BC0">
        <w:rPr>
          <w:lang w:val="en-US"/>
        </w:rPr>
        <w:t>and coordination may be required between Urban Rail ITS and road tolling when the separation distance is below 40 m</w:t>
      </w:r>
      <w:r w:rsidR="001D3C20" w:rsidRPr="000F7CFC">
        <w:t xml:space="preserve">. The outcomes of ECC Report 101 </w:t>
      </w:r>
      <w:r w:rsidR="000F0329">
        <w:fldChar w:fldCharType="begin"/>
      </w:r>
      <w:r w:rsidR="000F0329">
        <w:instrText xml:space="preserve"> REF _Ref179481649 \r \h </w:instrText>
      </w:r>
      <w:r w:rsidR="000F0329">
        <w:fldChar w:fldCharType="separate"/>
      </w:r>
      <w:r w:rsidR="000F0329">
        <w:t>[2]</w:t>
      </w:r>
      <w:r w:rsidR="000F0329">
        <w:fldChar w:fldCharType="end"/>
      </w:r>
      <w:r w:rsidR="000F0329">
        <w:t xml:space="preserve"> </w:t>
      </w:r>
      <w:r w:rsidR="001D3C20" w:rsidRPr="000F7CFC">
        <w:t>related to the compatibility with FSS were considered valid.</w:t>
      </w:r>
    </w:p>
    <w:p w14:paraId="1172CF02" w14:textId="331C06FF" w:rsidR="00C368A0" w:rsidRPr="00FF7641" w:rsidRDefault="00C368A0" w:rsidP="00C368A0">
      <w:pPr>
        <w:pStyle w:val="ECCParagraph"/>
      </w:pPr>
      <w:r w:rsidRPr="00FF7641">
        <w:t>ECC Report 291</w:t>
      </w:r>
      <w:r w:rsidR="00E24F5C" w:rsidRPr="00FF7641">
        <w:t xml:space="preserve"> </w:t>
      </w:r>
      <w:r w:rsidR="002C0887">
        <w:fldChar w:fldCharType="begin"/>
      </w:r>
      <w:r w:rsidR="002C0887">
        <w:instrText xml:space="preserve"> REF _Ref179481717 \r \h </w:instrText>
      </w:r>
      <w:r w:rsidR="002C0887">
        <w:fldChar w:fldCharType="separate"/>
      </w:r>
      <w:r w:rsidR="002C0887">
        <w:t>[5]</w:t>
      </w:r>
      <w:r w:rsidR="002C0887">
        <w:fldChar w:fldCharType="end"/>
      </w:r>
      <w:r w:rsidR="002C0887">
        <w:t xml:space="preserve"> </w:t>
      </w:r>
      <w:r w:rsidR="00C96194">
        <w:t>addressed</w:t>
      </w:r>
      <w:r w:rsidRPr="00FF7641">
        <w:t xml:space="preserve"> the compatibility between smart tachograph, weight &amp; dimension applications and systems operating in the band 5795-5815 MHz and in the adjacent bands</w:t>
      </w:r>
      <w:r w:rsidR="009123CE">
        <w:t>,</w:t>
      </w:r>
      <w:r w:rsidR="009123CE" w:rsidRPr="00E57F2A">
        <w:t xml:space="preserve"> and concluded that it is only close to the remote early detection communication reader (REDCR) where Road ITS unwanted emissions may cause interference. Compatibility with ITS was feasible with an unwanted emissions limit of -30 dBm/MHz </w:t>
      </w:r>
      <w:r w:rsidR="009123CE" w:rsidRPr="002E6885">
        <w:rPr>
          <w:i/>
          <w:iCs/>
        </w:rPr>
        <w:t>e.i.r.p.</w:t>
      </w:r>
      <w:r w:rsidR="009123CE" w:rsidRPr="00E57F2A">
        <w:t xml:space="preserve">, also assuming ITS message generation equivalent to those described in ETSI EN 302 637-2 </w:t>
      </w:r>
      <w:r w:rsidR="009123CE" w:rsidRPr="00E57F2A">
        <w:fldChar w:fldCharType="begin"/>
      </w:r>
      <w:r w:rsidR="009123CE" w:rsidRPr="00E57F2A">
        <w:instrText xml:space="preserve"> REF _Ref178844661 \r \h </w:instrText>
      </w:r>
      <w:r w:rsidR="009123CE">
        <w:instrText xml:space="preserve"> \* MERGEFORMAT </w:instrText>
      </w:r>
      <w:r w:rsidR="009123CE" w:rsidRPr="00E57F2A">
        <w:fldChar w:fldCharType="separate"/>
      </w:r>
      <w:r w:rsidR="00C96194">
        <w:t>[16]</w:t>
      </w:r>
      <w:r w:rsidR="009123CE" w:rsidRPr="00E57F2A">
        <w:fldChar w:fldCharType="end"/>
      </w:r>
      <w:r w:rsidRPr="00FF7641">
        <w:t>.</w:t>
      </w:r>
    </w:p>
    <w:p w14:paraId="78E7B7A7" w14:textId="0B897C69" w:rsidR="004B273C" w:rsidRPr="00FF7641" w:rsidRDefault="004B273C" w:rsidP="004B273C">
      <w:pPr>
        <w:pStyle w:val="ECCParagraph"/>
      </w:pPr>
      <w:r w:rsidRPr="00976898">
        <w:t>ECC Report 228</w:t>
      </w:r>
      <w:r w:rsidR="000F0329">
        <w:t xml:space="preserve"> </w:t>
      </w:r>
      <w:r w:rsidR="000F0329">
        <w:fldChar w:fldCharType="begin"/>
      </w:r>
      <w:r w:rsidR="000F0329">
        <w:instrText xml:space="preserve"> REF _Ref179481692 \r \h </w:instrText>
      </w:r>
      <w:r w:rsidR="000F0329">
        <w:fldChar w:fldCharType="separate"/>
      </w:r>
      <w:r w:rsidR="000F0329">
        <w:t>[3]</w:t>
      </w:r>
      <w:r w:rsidR="000F0329">
        <w:fldChar w:fldCharType="end"/>
      </w:r>
      <w:r w:rsidRPr="00976898">
        <w:t xml:space="preserve">, ECC Report 290 </w:t>
      </w:r>
      <w:r w:rsidR="009D558B">
        <w:fldChar w:fldCharType="begin"/>
      </w:r>
      <w:r w:rsidR="009D558B">
        <w:instrText xml:space="preserve"> REF _Ref179481706 \r \h </w:instrText>
      </w:r>
      <w:r w:rsidR="009D558B">
        <w:fldChar w:fldCharType="separate"/>
      </w:r>
      <w:r w:rsidR="009D558B">
        <w:t>[4]</w:t>
      </w:r>
      <w:r w:rsidR="009D558B">
        <w:fldChar w:fldCharType="end"/>
      </w:r>
      <w:r w:rsidR="009D558B">
        <w:t xml:space="preserve"> </w:t>
      </w:r>
      <w:r w:rsidRPr="00976898">
        <w:t xml:space="preserve">and ECC Report 291 </w:t>
      </w:r>
      <w:r w:rsidR="002C0887">
        <w:fldChar w:fldCharType="begin"/>
      </w:r>
      <w:r w:rsidR="002C0887">
        <w:instrText xml:space="preserve"> REF _Ref179481717 \r \h </w:instrText>
      </w:r>
      <w:r w:rsidR="002C0887">
        <w:fldChar w:fldCharType="separate"/>
      </w:r>
      <w:r w:rsidR="002C0887">
        <w:t>[5]</w:t>
      </w:r>
      <w:r w:rsidR="002C0887">
        <w:fldChar w:fldCharType="end"/>
      </w:r>
      <w:r w:rsidR="002C0887">
        <w:t xml:space="preserve"> </w:t>
      </w:r>
      <w:r w:rsidRPr="00976898">
        <w:t>assume</w:t>
      </w:r>
      <w:r w:rsidR="000C1CE3">
        <w:t>d</w:t>
      </w:r>
      <w:r w:rsidRPr="00976898">
        <w:t xml:space="preserve"> </w:t>
      </w:r>
      <w:r>
        <w:t xml:space="preserve">a </w:t>
      </w:r>
      <w:r w:rsidRPr="00976898">
        <w:t xml:space="preserve">typical </w:t>
      </w:r>
      <w:r w:rsidR="00E04A89">
        <w:t>R</w:t>
      </w:r>
      <w:r w:rsidRPr="00976898">
        <w:t xml:space="preserve">oad ITS duty cycle when transmitting CAM </w:t>
      </w:r>
      <w:r>
        <w:t xml:space="preserve">of </w:t>
      </w:r>
      <w:r w:rsidRPr="00976898">
        <w:t xml:space="preserve">1% over 1 hour, </w:t>
      </w:r>
      <w:r>
        <w:t>with a duty cycle of</w:t>
      </w:r>
      <w:r w:rsidRPr="00976898">
        <w:t xml:space="preserve"> 2% over 1 hour </w:t>
      </w:r>
      <w:r>
        <w:t>in some studies</w:t>
      </w:r>
      <w:r w:rsidRPr="00976898">
        <w:t xml:space="preserve"> where </w:t>
      </w:r>
      <w:r>
        <w:t>message retransmissions (one retransmission of a CAM) are implementation specific.</w:t>
      </w:r>
    </w:p>
    <w:p w14:paraId="7C7C4B8D" w14:textId="60E6D2B1" w:rsidR="00C368A0" w:rsidRPr="00FF7641" w:rsidRDefault="00C368A0" w:rsidP="00C368A0">
      <w:pPr>
        <w:pStyle w:val="ECCParagraph"/>
      </w:pPr>
      <w:r w:rsidRPr="00FF7641">
        <w:t xml:space="preserve">ECC Report 302 </w:t>
      </w:r>
      <w:r w:rsidR="00E24F5C" w:rsidRPr="00FF7641">
        <w:fldChar w:fldCharType="begin"/>
      </w:r>
      <w:r w:rsidR="00E24F5C" w:rsidRPr="00FF7641">
        <w:instrText xml:space="preserve"> REF _Ref34828170 \r \h </w:instrText>
      </w:r>
      <w:r w:rsidR="00E24F5C" w:rsidRPr="00FF7641">
        <w:fldChar w:fldCharType="separate"/>
      </w:r>
      <w:r w:rsidR="00C96194">
        <w:t>[6]</w:t>
      </w:r>
      <w:r w:rsidR="00E24F5C" w:rsidRPr="00FF7641">
        <w:fldChar w:fldCharType="end"/>
      </w:r>
      <w:r w:rsidRPr="00FF7641">
        <w:t xml:space="preserve"> </w:t>
      </w:r>
      <w:r w:rsidR="00710E88">
        <w:t xml:space="preserve">and ECC Report 355 </w:t>
      </w:r>
      <w:r w:rsidR="00710E88">
        <w:fldChar w:fldCharType="begin"/>
      </w:r>
      <w:r w:rsidR="00710E88">
        <w:instrText xml:space="preserve"> REF _Ref178844789 \r \h </w:instrText>
      </w:r>
      <w:r w:rsidR="00710E88">
        <w:fldChar w:fldCharType="separate"/>
      </w:r>
      <w:r w:rsidR="00C96194">
        <w:t>[17]</w:t>
      </w:r>
      <w:r w:rsidR="00710E88">
        <w:fldChar w:fldCharType="end"/>
      </w:r>
      <w:r w:rsidR="00710E88">
        <w:t xml:space="preserve"> addressed</w:t>
      </w:r>
      <w:r w:rsidRPr="00FF7641">
        <w:t xml:space="preserve"> compatibility </w:t>
      </w:r>
      <w:r w:rsidR="00710E88">
        <w:t xml:space="preserve">studies </w:t>
      </w:r>
      <w:r w:rsidRPr="00FF7641">
        <w:t>between WAS/RLAN in 5925</w:t>
      </w:r>
      <w:r w:rsidR="009F0F79">
        <w:t> </w:t>
      </w:r>
      <w:r w:rsidRPr="00FF7641">
        <w:t>-</w:t>
      </w:r>
      <w:r w:rsidR="009F0F79">
        <w:t> </w:t>
      </w:r>
      <w:r w:rsidRPr="00FF7641">
        <w:t xml:space="preserve">6425 MHz and </w:t>
      </w:r>
      <w:r w:rsidR="0005287E">
        <w:t>Urban Rail ITS in 5915-5935 MHz</w:t>
      </w:r>
      <w:r w:rsidRPr="00FF7641">
        <w:t>.</w:t>
      </w:r>
    </w:p>
    <w:p w14:paraId="48028BD2" w14:textId="77777777" w:rsidR="006C03D0" w:rsidRPr="00FF7641" w:rsidRDefault="005F7AD5" w:rsidP="006C03D0">
      <w:pPr>
        <w:pStyle w:val="Heading2"/>
        <w:rPr>
          <w:lang w:val="en-GB"/>
        </w:rPr>
      </w:pPr>
      <w:r w:rsidRPr="00FF7641">
        <w:rPr>
          <w:lang w:val="en-GB"/>
        </w:rPr>
        <w:t>REQUIREMENT FOR AN ECC DECISION</w:t>
      </w:r>
    </w:p>
    <w:p w14:paraId="7B916685" w14:textId="1EDA5694" w:rsidR="00C368A0" w:rsidRPr="00FF7641" w:rsidRDefault="00C368A0" w:rsidP="00C368A0">
      <w:pPr>
        <w:pStyle w:val="ECCParagraph"/>
      </w:pPr>
      <w:r w:rsidRPr="00FF7641">
        <w:t xml:space="preserve">The allocation or designation of frequency bands for use by a service or system under specified conditions in CEPT administrations is laid down by law, regulation or administrative action. ECC Decisions are required to deal with radio spectrum related matters and the carriage and </w:t>
      </w:r>
      <w:r w:rsidR="00B04356">
        <w:t xml:space="preserve">while in </w:t>
      </w:r>
      <w:r w:rsidRPr="00FF7641">
        <w:t xml:space="preserve">use of </w:t>
      </w:r>
      <w:r w:rsidR="00B04356">
        <w:t xml:space="preserve">radiocommunication </w:t>
      </w:r>
      <w:r w:rsidRPr="00FF7641">
        <w:t xml:space="preserve">equipment throughout Europe. The harmonisation on a European basis supports the Directive 2014/53/EU </w:t>
      </w:r>
      <w:r w:rsidR="002B26E8" w:rsidRPr="00FF7641">
        <w:fldChar w:fldCharType="begin"/>
      </w:r>
      <w:r w:rsidR="002B26E8" w:rsidRPr="00FF7641">
        <w:instrText xml:space="preserve"> REF _Ref34828468 \r \h </w:instrText>
      </w:r>
      <w:r w:rsidR="002B26E8" w:rsidRPr="00FF7641">
        <w:fldChar w:fldCharType="separate"/>
      </w:r>
      <w:r w:rsidR="00C96194">
        <w:t>[11]</w:t>
      </w:r>
      <w:r w:rsidR="002B26E8" w:rsidRPr="00FF7641">
        <w:fldChar w:fldCharType="end"/>
      </w:r>
      <w:r w:rsidRPr="00FF7641">
        <w:t xml:space="preserve"> of the European Parliament and of the Council of 16 April 2014 on the harmonisation of the laws of the Member States relating to the making available on the market of radio equipment. A commitment by CEPT administrations to implement an ECC Decision will provide a clear indication that the required frequency bands will be made available on time and on a European-wide basis.</w:t>
      </w:r>
    </w:p>
    <w:p w14:paraId="7E97B0AD" w14:textId="5287A6A9" w:rsidR="00C368A0" w:rsidRPr="00FF7641" w:rsidRDefault="00C368A0" w:rsidP="005F6EB7">
      <w:pPr>
        <w:pStyle w:val="Heading1"/>
      </w:pPr>
      <w:r w:rsidRPr="00FF7641">
        <w:lastRenderedPageBreak/>
        <w:t>ECC Decision of 14 March 2008 on the harmonised use of safety-related Intelligent Transport Systems (ITS) in the 5875-5935 MHz frequency band (ECC</w:t>
      </w:r>
      <w:r w:rsidR="005F6EB7">
        <w:t xml:space="preserve"> </w:t>
      </w:r>
      <w:r w:rsidRPr="00FF7641">
        <w:t>DEC</w:t>
      </w:r>
      <w:r w:rsidR="005F6EB7">
        <w:t xml:space="preserve">ision </w:t>
      </w:r>
      <w:r w:rsidRPr="00FF7641">
        <w:t>(08)01), amended 3 July 2015</w:t>
      </w:r>
      <w:r w:rsidR="00374813">
        <w:t>,</w:t>
      </w:r>
      <w:r w:rsidRPr="00FF7641">
        <w:t xml:space="preserve"> </w:t>
      </w:r>
      <w:r w:rsidR="002B1B70" w:rsidRPr="00FF7641">
        <w:t xml:space="preserve">amended </w:t>
      </w:r>
      <w:r w:rsidRPr="00FF7641">
        <w:t>6 March 2020</w:t>
      </w:r>
      <w:r w:rsidR="009D4458">
        <w:t>,</w:t>
      </w:r>
      <w:r w:rsidR="00374813">
        <w:t xml:space="preserve"> updated 18 November 2022</w:t>
      </w:r>
      <w:r w:rsidR="009D4458">
        <w:t xml:space="preserve"> and amended </w:t>
      </w:r>
      <w:r w:rsidR="00A609D3">
        <w:t>7</w:t>
      </w:r>
      <w:r w:rsidR="009D4458">
        <w:t xml:space="preserve"> March 2025</w:t>
      </w:r>
    </w:p>
    <w:p w14:paraId="04748DA6" w14:textId="314EFE54" w:rsidR="006C03D0" w:rsidRPr="00FF7641" w:rsidRDefault="005F7AD5" w:rsidP="00C368A0">
      <w:pPr>
        <w:pStyle w:val="ECCParagraph"/>
      </w:pPr>
      <w:r w:rsidRPr="00FF7641">
        <w:t xml:space="preserve">“The European Conference of Postal and Telecommunications Administrations, </w:t>
      </w:r>
    </w:p>
    <w:p w14:paraId="066AD2C7" w14:textId="2C1A16B7" w:rsidR="006C03D0" w:rsidRPr="00FF7641" w:rsidRDefault="005F7AD5" w:rsidP="006C03D0">
      <w:pPr>
        <w:pStyle w:val="ECCParagraph"/>
        <w:rPr>
          <w:i/>
          <w:color w:val="D2232A"/>
        </w:rPr>
      </w:pPr>
      <w:r w:rsidRPr="00FF7641">
        <w:rPr>
          <w:i/>
          <w:color w:val="D2232A"/>
        </w:rPr>
        <w:t>considering</w:t>
      </w:r>
    </w:p>
    <w:p w14:paraId="5580CCE5" w14:textId="697EE30F" w:rsidR="00A85D85" w:rsidRPr="00FF7641" w:rsidRDefault="00A85D85" w:rsidP="00A85D85">
      <w:pPr>
        <w:pStyle w:val="ECCParagraph"/>
        <w:numPr>
          <w:ilvl w:val="0"/>
          <w:numId w:val="25"/>
        </w:numPr>
        <w:tabs>
          <w:tab w:val="clear" w:pos="7449"/>
        </w:tabs>
        <w:spacing w:after="200"/>
        <w:ind w:left="357" w:hanging="357"/>
      </w:pPr>
      <w:r w:rsidRPr="00FF7641">
        <w:t xml:space="preserve">that Directive 2010/40/EU </w:t>
      </w:r>
      <w:r w:rsidRPr="00FF7641">
        <w:fldChar w:fldCharType="begin"/>
      </w:r>
      <w:r w:rsidRPr="00FF7641">
        <w:instrText xml:space="preserve"> REF _Ref34828515 \r \h  \* MERGEFORMAT </w:instrText>
      </w:r>
      <w:r w:rsidRPr="00FF7641">
        <w:fldChar w:fldCharType="separate"/>
      </w:r>
      <w:r>
        <w:t>[12]</w:t>
      </w:r>
      <w:r w:rsidRPr="00FF7641">
        <w:fldChar w:fldCharType="end"/>
      </w:r>
      <w:r w:rsidRPr="00FF7641">
        <w:t xml:space="preserve"> for the deployment of Intelligent Transport Systems</w:t>
      </w:r>
      <w:r w:rsidR="00695A07">
        <w:t xml:space="preserve"> (ITS)</w:t>
      </w:r>
      <w:r w:rsidRPr="00FF7641">
        <w:t xml:space="preserve"> in the field of road transport and for interfaces with other modes of transport was adopted;</w:t>
      </w:r>
    </w:p>
    <w:p w14:paraId="3F923618" w14:textId="77777777" w:rsidR="00F0000B" w:rsidRPr="00FF7641" w:rsidRDefault="00F0000B" w:rsidP="00F0000B">
      <w:pPr>
        <w:pStyle w:val="ECCParagraph"/>
        <w:numPr>
          <w:ilvl w:val="0"/>
          <w:numId w:val="25"/>
        </w:numPr>
        <w:tabs>
          <w:tab w:val="clear" w:pos="7449"/>
        </w:tabs>
        <w:spacing w:after="200"/>
        <w:ind w:left="357" w:hanging="357"/>
      </w:pPr>
      <w:r w:rsidRPr="00FF7641">
        <w:t>that</w:t>
      </w:r>
      <w:r>
        <w:t xml:space="preserve"> </w:t>
      </w:r>
      <w:r w:rsidRPr="00890BCC">
        <w:t xml:space="preserve">the status of safety service in No. </w:t>
      </w:r>
      <w:r w:rsidRPr="00890BCC">
        <w:rPr>
          <w:b/>
          <w:bCs/>
        </w:rPr>
        <w:t>1.59</w:t>
      </w:r>
      <w:r w:rsidRPr="00890BCC">
        <w:t xml:space="preserve"> of the ITU Radio Regulations is not applicable to safety-related</w:t>
      </w:r>
      <w:r w:rsidRPr="00FF7641">
        <w:t xml:space="preserve"> ITS;</w:t>
      </w:r>
    </w:p>
    <w:p w14:paraId="7145841B" w14:textId="45346C86" w:rsidR="002E1C5F" w:rsidRPr="00FF7641" w:rsidRDefault="002E1C5F" w:rsidP="002E1C5F">
      <w:pPr>
        <w:pStyle w:val="ECCParagraph"/>
        <w:numPr>
          <w:ilvl w:val="0"/>
          <w:numId w:val="25"/>
        </w:numPr>
        <w:tabs>
          <w:tab w:val="clear" w:pos="7449"/>
        </w:tabs>
        <w:spacing w:after="200"/>
        <w:ind w:left="357" w:hanging="357"/>
      </w:pPr>
      <w:r w:rsidRPr="00FF7641">
        <w:t>that ITS encompass Road ITS and Urban Rail ITS;</w:t>
      </w:r>
    </w:p>
    <w:p w14:paraId="7FE62D17" w14:textId="10508FFE" w:rsidR="00C368A0" w:rsidRPr="00FF7641" w:rsidRDefault="00C368A0" w:rsidP="00A70F91">
      <w:pPr>
        <w:pStyle w:val="ECCParagraph"/>
        <w:numPr>
          <w:ilvl w:val="0"/>
          <w:numId w:val="25"/>
        </w:numPr>
        <w:tabs>
          <w:tab w:val="clear" w:pos="7449"/>
        </w:tabs>
        <w:spacing w:after="200"/>
        <w:ind w:left="357" w:hanging="357"/>
      </w:pPr>
      <w:r w:rsidRPr="00FF7641">
        <w:t xml:space="preserve">that </w:t>
      </w:r>
      <w:r w:rsidR="005D30BF">
        <w:t xml:space="preserve">safety-related </w:t>
      </w:r>
      <w:r w:rsidRPr="00FF7641">
        <w:t>ITS</w:t>
      </w:r>
      <w:r w:rsidR="00CC1F5E">
        <w:t xml:space="preserve"> </w:t>
      </w:r>
      <w:r w:rsidR="00CC1F5E" w:rsidRPr="00E71049">
        <w:t>are being deployed across CEPT within the band 5875-5935 MHz</w:t>
      </w:r>
      <w:r w:rsidRPr="00FF7641">
        <w:t>;</w:t>
      </w:r>
    </w:p>
    <w:p w14:paraId="612093CF" w14:textId="01E95833" w:rsidR="00FF5EF4" w:rsidRPr="00FF7641" w:rsidRDefault="00FF5EF4" w:rsidP="00FF5EF4">
      <w:pPr>
        <w:pStyle w:val="ECCParagraph"/>
        <w:numPr>
          <w:ilvl w:val="0"/>
          <w:numId w:val="25"/>
        </w:numPr>
        <w:tabs>
          <w:tab w:val="clear" w:pos="7449"/>
        </w:tabs>
        <w:spacing w:after="200"/>
        <w:ind w:left="357" w:hanging="357"/>
      </w:pPr>
      <w:r w:rsidRPr="00FF7641">
        <w:t xml:space="preserve">that, in some CEPT countries, Urban Rail ITS are currently using frequencies in </w:t>
      </w:r>
      <w:r>
        <w:t xml:space="preserve">the range </w:t>
      </w:r>
      <w:r w:rsidRPr="00FF7641">
        <w:t>5905-5975 MHz;</w:t>
      </w:r>
    </w:p>
    <w:p w14:paraId="00D3C9FB" w14:textId="77777777" w:rsidR="005D4F8F" w:rsidRDefault="005D4F8F" w:rsidP="005D4F8F">
      <w:pPr>
        <w:pStyle w:val="ECCParagraph"/>
        <w:numPr>
          <w:ilvl w:val="0"/>
          <w:numId w:val="25"/>
        </w:numPr>
        <w:tabs>
          <w:tab w:val="clear" w:pos="7449"/>
        </w:tabs>
        <w:spacing w:after="200"/>
        <w:ind w:left="357" w:hanging="357"/>
      </w:pPr>
      <w:r w:rsidRPr="00E40C38">
        <w:t xml:space="preserve">that the radiolocation service in 5250-5850 MHz operates immediately adjacent to </w:t>
      </w:r>
      <w:r w:rsidRPr="00E40C38">
        <w:rPr>
          <w:lang w:val="en-US"/>
        </w:rPr>
        <w:t>Wireless Access Systems including Radio Local Area Networks (</w:t>
      </w:r>
      <w:r w:rsidRPr="00E40C38">
        <w:t>WAS/RLAN)</w:t>
      </w:r>
      <w:r>
        <w:t>,</w:t>
      </w:r>
      <w:r w:rsidRPr="00E40C38">
        <w:t xml:space="preserve"> which means that the much lower unwanted emissions from ITS are negligible in comparison;</w:t>
      </w:r>
    </w:p>
    <w:p w14:paraId="72A724FF" w14:textId="5EF9AA47" w:rsidR="00A6502C" w:rsidRPr="00FF7641" w:rsidRDefault="00A6502C" w:rsidP="00A6502C">
      <w:pPr>
        <w:pStyle w:val="ECCParagraph"/>
        <w:numPr>
          <w:ilvl w:val="0"/>
          <w:numId w:val="25"/>
        </w:numPr>
        <w:tabs>
          <w:tab w:val="clear" w:pos="7449"/>
        </w:tabs>
        <w:spacing w:after="200"/>
        <w:ind w:left="357" w:hanging="357"/>
      </w:pPr>
      <w:r w:rsidRPr="00FF7641">
        <w:t>that Fixed Service</w:t>
      </w:r>
      <w:r>
        <w:t xml:space="preserve"> (FS)</w:t>
      </w:r>
      <w:r w:rsidRPr="00FF7641">
        <w:t xml:space="preserve"> links are widespread above 5925 MHz</w:t>
      </w:r>
      <w:r>
        <w:t xml:space="preserve"> in some CEPT countries</w:t>
      </w:r>
      <w:r w:rsidRPr="00FF7641">
        <w:t>, and therefore Road ITS are not considered above 5925 MHz;</w:t>
      </w:r>
    </w:p>
    <w:p w14:paraId="69A87DB3" w14:textId="77777777" w:rsidR="00C75343" w:rsidRDefault="00C75343" w:rsidP="00C75343">
      <w:pPr>
        <w:pStyle w:val="ECCParagraph"/>
        <w:numPr>
          <w:ilvl w:val="0"/>
          <w:numId w:val="25"/>
        </w:numPr>
        <w:tabs>
          <w:tab w:val="clear" w:pos="7449"/>
        </w:tabs>
        <w:spacing w:after="200"/>
        <w:ind w:left="357" w:hanging="357"/>
      </w:pPr>
      <w:r w:rsidRPr="00E40C38">
        <w:t>that studies concluded that compatibility between ITS and Fixed Service (FS) in 5925-6425 MHz is feasible if ITS unwanted emissions in that band are limited (ECC Report 228</w:t>
      </w:r>
      <w:r>
        <w:t xml:space="preserve"> </w:t>
      </w:r>
      <w:r>
        <w:fldChar w:fldCharType="begin"/>
      </w:r>
      <w:r>
        <w:instrText xml:space="preserve"> REF _Ref179481692 \r \h </w:instrText>
      </w:r>
      <w:r>
        <w:fldChar w:fldCharType="separate"/>
      </w:r>
      <w:r>
        <w:t>[3]</w:t>
      </w:r>
      <w:r>
        <w:fldChar w:fldCharType="end"/>
      </w:r>
      <w:r w:rsidRPr="00E40C38">
        <w:t>);</w:t>
      </w:r>
    </w:p>
    <w:p w14:paraId="11434213" w14:textId="5ED6DA78" w:rsidR="00A6502C" w:rsidRPr="00FF7641" w:rsidRDefault="00A6502C" w:rsidP="00A6502C">
      <w:pPr>
        <w:pStyle w:val="ECCParagraph"/>
        <w:numPr>
          <w:ilvl w:val="0"/>
          <w:numId w:val="25"/>
        </w:numPr>
        <w:tabs>
          <w:tab w:val="clear" w:pos="7449"/>
        </w:tabs>
        <w:spacing w:after="200"/>
        <w:ind w:left="357" w:hanging="357"/>
      </w:pPr>
      <w:r w:rsidRPr="00FF7641">
        <w:t>that coordination with FS may be needed when deploying Urban Rail ITS in 5925-5935 MHz</w:t>
      </w:r>
      <w:r>
        <w:t xml:space="preserve"> (ECC Report 290</w:t>
      </w:r>
      <w:r w:rsidR="009D558B">
        <w:t xml:space="preserve"> </w:t>
      </w:r>
      <w:r w:rsidR="009D558B">
        <w:fldChar w:fldCharType="begin"/>
      </w:r>
      <w:r w:rsidR="009D558B">
        <w:instrText xml:space="preserve"> REF _Ref179481706 \r \h </w:instrText>
      </w:r>
      <w:r w:rsidR="009D558B">
        <w:fldChar w:fldCharType="separate"/>
      </w:r>
      <w:r w:rsidR="009D558B">
        <w:t>[4]</w:t>
      </w:r>
      <w:r w:rsidR="009D558B">
        <w:fldChar w:fldCharType="end"/>
      </w:r>
      <w:r>
        <w:t>)</w:t>
      </w:r>
      <w:r w:rsidRPr="00FF7641">
        <w:t>;</w:t>
      </w:r>
    </w:p>
    <w:p w14:paraId="5BA0C5BC" w14:textId="77777777" w:rsidR="00DC31BD" w:rsidRDefault="00DC31BD" w:rsidP="00DC31BD">
      <w:pPr>
        <w:pStyle w:val="ECCParagraph"/>
        <w:numPr>
          <w:ilvl w:val="0"/>
          <w:numId w:val="25"/>
        </w:numPr>
        <w:tabs>
          <w:tab w:val="clear" w:pos="7449"/>
        </w:tabs>
        <w:spacing w:after="200"/>
        <w:ind w:left="357" w:hanging="357"/>
      </w:pPr>
      <w:r w:rsidRPr="00890BCC">
        <w:t xml:space="preserve">that studies concluded that in-band compatibility between ITS and FSS is feasible, taking into account the limited number of ITS devices that transmit at the same time (ECC Report 101 </w:t>
      </w:r>
      <w:r w:rsidRPr="00890BCC">
        <w:fldChar w:fldCharType="begin"/>
      </w:r>
      <w:r w:rsidRPr="00890BCC">
        <w:instrText xml:space="preserve"> REF _Ref34827920 \r \h  \* MERGEFORMAT </w:instrText>
      </w:r>
      <w:r w:rsidRPr="00890BCC">
        <w:fldChar w:fldCharType="separate"/>
      </w:r>
      <w:r>
        <w:t>[2]</w:t>
      </w:r>
      <w:r w:rsidRPr="00890BCC">
        <w:fldChar w:fldCharType="end"/>
      </w:r>
      <w:r>
        <w:t xml:space="preserve"> and</w:t>
      </w:r>
      <w:r w:rsidRPr="00890BCC">
        <w:t xml:space="preserve"> ECC Report 290 </w:t>
      </w:r>
      <w:r>
        <w:fldChar w:fldCharType="begin"/>
      </w:r>
      <w:r>
        <w:instrText xml:space="preserve"> REF _Ref179481706 \r \h </w:instrText>
      </w:r>
      <w:r>
        <w:fldChar w:fldCharType="separate"/>
      </w:r>
      <w:r>
        <w:t>[4]</w:t>
      </w:r>
      <w:r>
        <w:fldChar w:fldCharType="end"/>
      </w:r>
      <w:r w:rsidRPr="00890BCC">
        <w:t>);</w:t>
      </w:r>
    </w:p>
    <w:p w14:paraId="7E56CDC3" w14:textId="77777777" w:rsidR="0046659D" w:rsidRDefault="0046659D" w:rsidP="0046659D">
      <w:pPr>
        <w:pStyle w:val="ECCParagraph"/>
        <w:numPr>
          <w:ilvl w:val="0"/>
          <w:numId w:val="25"/>
        </w:numPr>
        <w:tabs>
          <w:tab w:val="clear" w:pos="7449"/>
        </w:tabs>
        <w:spacing w:after="200"/>
        <w:ind w:left="357" w:hanging="357"/>
      </w:pPr>
      <w:r w:rsidRPr="006E032C">
        <w:rPr>
          <w:lang w:val="en-US"/>
        </w:rPr>
        <w:t xml:space="preserve">that the message generation rules of Road ITS can contribute to </w:t>
      </w:r>
      <w:proofErr w:type="gramStart"/>
      <w:r w:rsidRPr="006E032C">
        <w:rPr>
          <w:lang w:val="en-US"/>
        </w:rPr>
        <w:t>mitigate</w:t>
      </w:r>
      <w:proofErr w:type="gramEnd"/>
      <w:r w:rsidRPr="006E032C">
        <w:rPr>
          <w:lang w:val="en-US"/>
        </w:rPr>
        <w:t xml:space="preserve"> interference from </w:t>
      </w:r>
      <w:proofErr w:type="gramStart"/>
      <w:r w:rsidRPr="006E032C">
        <w:rPr>
          <w:lang w:val="en-US"/>
        </w:rPr>
        <w:t>ITS;</w:t>
      </w:r>
      <w:proofErr w:type="gramEnd"/>
    </w:p>
    <w:p w14:paraId="6320B88F" w14:textId="73C01567" w:rsidR="0046659D" w:rsidRDefault="0046659D" w:rsidP="0046659D">
      <w:pPr>
        <w:pStyle w:val="ECCParagraph"/>
        <w:numPr>
          <w:ilvl w:val="0"/>
          <w:numId w:val="25"/>
        </w:numPr>
        <w:tabs>
          <w:tab w:val="clear" w:pos="7449"/>
        </w:tabs>
        <w:spacing w:after="200"/>
        <w:ind w:left="357" w:hanging="357"/>
      </w:pPr>
      <w:r w:rsidRPr="00CD59E2">
        <w:rPr>
          <w:lang w:val="en-US"/>
        </w:rPr>
        <w:t>that technical coexistence studies concluded that compatibility with road tolling operating in 5795</w:t>
      </w:r>
      <w:r w:rsidR="009D558B">
        <w:rPr>
          <w:lang w:val="en-US"/>
        </w:rPr>
        <w:t> </w:t>
      </w:r>
      <w:r w:rsidRPr="00CD59E2">
        <w:rPr>
          <w:lang w:val="en-US"/>
        </w:rPr>
        <w:t>-</w:t>
      </w:r>
      <w:r w:rsidR="009D558B">
        <w:rPr>
          <w:lang w:val="en-US"/>
        </w:rPr>
        <w:t> </w:t>
      </w:r>
      <w:r w:rsidRPr="00CD59E2">
        <w:rPr>
          <w:lang w:val="en-US"/>
        </w:rPr>
        <w:t>5815</w:t>
      </w:r>
      <w:r>
        <w:rPr>
          <w:lang w:val="en-US"/>
        </w:rPr>
        <w:t> </w:t>
      </w:r>
      <w:r w:rsidRPr="00CD59E2">
        <w:rPr>
          <w:lang w:val="en-US"/>
        </w:rPr>
        <w:t xml:space="preserve">MHz within a defined “protection zone” was achieved with an ITS unwanted emissions below </w:t>
      </w:r>
      <w:r w:rsidRPr="00CD59E2">
        <w:rPr>
          <w:lang w:val="en-US"/>
        </w:rPr>
        <w:br/>
        <w:t xml:space="preserve">-65 dBm/MHz </w:t>
      </w:r>
      <w:r w:rsidRPr="002E6885">
        <w:rPr>
          <w:i/>
          <w:iCs/>
          <w:lang w:val="en-US"/>
        </w:rPr>
        <w:t>e.i.r.p.</w:t>
      </w:r>
      <w:r w:rsidRPr="00CD59E2">
        <w:rPr>
          <w:lang w:val="en-US"/>
        </w:rPr>
        <w:t xml:space="preserve"> without mitigation techniques, or alternatively -45 dBm/MHz </w:t>
      </w:r>
      <w:r w:rsidRPr="002E6885">
        <w:rPr>
          <w:i/>
          <w:iCs/>
          <w:lang w:val="en-US"/>
        </w:rPr>
        <w:t>e.i.r.p.</w:t>
      </w:r>
      <w:r w:rsidRPr="00CD59E2">
        <w:rPr>
          <w:lang w:val="en-US"/>
        </w:rPr>
        <w:t xml:space="preserve"> together with mitigation techniques equivalent to those in described in ETSI TS 102 792 v1.1.1 </w:t>
      </w:r>
      <w:r w:rsidRPr="00CD59E2">
        <w:rPr>
          <w:lang w:val="en-US"/>
        </w:rPr>
        <w:fldChar w:fldCharType="begin"/>
      </w:r>
      <w:r w:rsidRPr="00CD59E2">
        <w:rPr>
          <w:lang w:val="en-US"/>
        </w:rPr>
        <w:instrText xml:space="preserve"> REF _Ref34828558 \r \h  \* MERGEFORMAT </w:instrText>
      </w:r>
      <w:r w:rsidRPr="00CD59E2">
        <w:rPr>
          <w:lang w:val="en-US"/>
        </w:rPr>
      </w:r>
      <w:r w:rsidRPr="00CD59E2">
        <w:rPr>
          <w:lang w:val="en-US"/>
        </w:rPr>
        <w:fldChar w:fldCharType="separate"/>
      </w:r>
      <w:r>
        <w:rPr>
          <w:lang w:val="en-US"/>
        </w:rPr>
        <w:t>[13]</w:t>
      </w:r>
      <w:r w:rsidRPr="00CD59E2">
        <w:fldChar w:fldCharType="end"/>
      </w:r>
      <w:r w:rsidRPr="00601E2D">
        <w:rPr>
          <w:lang w:val="en-US"/>
        </w:rPr>
        <w:t xml:space="preserve"> (ECC Report 228 and ECC Report 290)</w:t>
      </w:r>
      <w:r w:rsidRPr="00CD59E2">
        <w:rPr>
          <w:lang w:val="en-US"/>
        </w:rPr>
        <w:t>;</w:t>
      </w:r>
    </w:p>
    <w:p w14:paraId="7944BEDC" w14:textId="77777777" w:rsidR="00117683" w:rsidRDefault="00117683" w:rsidP="00117683">
      <w:pPr>
        <w:pStyle w:val="ECCParagraph"/>
        <w:numPr>
          <w:ilvl w:val="0"/>
          <w:numId w:val="25"/>
        </w:numPr>
        <w:tabs>
          <w:tab w:val="clear" w:pos="7449"/>
        </w:tabs>
        <w:spacing w:after="200"/>
        <w:ind w:left="357" w:hanging="357"/>
      </w:pPr>
      <w:r w:rsidRPr="00FF7641">
        <w:t xml:space="preserve">that </w:t>
      </w:r>
      <w:r>
        <w:t>studies concluded</w:t>
      </w:r>
      <w:r w:rsidRPr="00FF7641">
        <w:t xml:space="preserve"> compatibility between</w:t>
      </w:r>
      <w:r>
        <w:t xml:space="preserve"> Road</w:t>
      </w:r>
      <w:r w:rsidRPr="00FF7641">
        <w:t xml:space="preserve"> </w:t>
      </w:r>
      <w:r>
        <w:t xml:space="preserve">ITS and </w:t>
      </w:r>
      <w:r w:rsidRPr="00FF7641">
        <w:t>smart tachograph, weight &amp; dimension applications</w:t>
      </w:r>
      <w:r>
        <w:t xml:space="preserve">, but in certain conditions unwanted emissions from Road ITS may affect these applications (ECC Report 291 </w:t>
      </w:r>
      <w:r>
        <w:fldChar w:fldCharType="begin"/>
      </w:r>
      <w:r>
        <w:instrText xml:space="preserve"> REF _Ref179481717 \r \h </w:instrText>
      </w:r>
      <w:r>
        <w:fldChar w:fldCharType="separate"/>
      </w:r>
      <w:r>
        <w:t>[5]</w:t>
      </w:r>
      <w:r>
        <w:fldChar w:fldCharType="end"/>
      </w:r>
      <w:r>
        <w:t>);</w:t>
      </w:r>
    </w:p>
    <w:p w14:paraId="4FBA5296" w14:textId="77777777" w:rsidR="00035425" w:rsidRPr="00CA7A36" w:rsidRDefault="00035425" w:rsidP="00035425">
      <w:pPr>
        <w:pStyle w:val="ECCParagraph"/>
        <w:numPr>
          <w:ilvl w:val="0"/>
          <w:numId w:val="25"/>
        </w:numPr>
        <w:tabs>
          <w:tab w:val="clear" w:pos="7449"/>
        </w:tabs>
        <w:spacing w:after="200"/>
        <w:ind w:left="357" w:hanging="357"/>
      </w:pPr>
      <w:r w:rsidRPr="00CA7A36">
        <w:t>that for Road ITS the unwanted emissions, the total power and the power spectral density (PSD) limits applicable for a 10 MHz channel bandwidth are also appli</w:t>
      </w:r>
      <w:r>
        <w:t>cable</w:t>
      </w:r>
      <w:r w:rsidRPr="00CA7A36">
        <w:t xml:space="preserve"> to a 20 MHz channel bandwidth, </w:t>
      </w:r>
      <w:r>
        <w:t xml:space="preserve">and that </w:t>
      </w:r>
      <w:r w:rsidRPr="00CA7A36">
        <w:t xml:space="preserve">the conclusions on compatibility </w:t>
      </w:r>
      <w:r>
        <w:t>of</w:t>
      </w:r>
      <w:r w:rsidRPr="00CA7A36">
        <w:t xml:space="preserve"> Road ITS with other services and applications in the band as well as in adjacent bands also remain valid for a 20 MHz channel bandwidth;</w:t>
      </w:r>
    </w:p>
    <w:p w14:paraId="374C3B11" w14:textId="588B6E55" w:rsidR="0012783E" w:rsidRPr="006E032C" w:rsidRDefault="0012783E" w:rsidP="0012783E">
      <w:pPr>
        <w:pStyle w:val="ECCParagraph"/>
        <w:numPr>
          <w:ilvl w:val="0"/>
          <w:numId w:val="25"/>
        </w:numPr>
        <w:tabs>
          <w:tab w:val="clear" w:pos="7449"/>
        </w:tabs>
        <w:spacing w:after="200"/>
        <w:ind w:left="357" w:hanging="357"/>
      </w:pPr>
      <w:r w:rsidRPr="006E032C">
        <w:rPr>
          <w:lang w:val="en-US"/>
        </w:rPr>
        <w:t xml:space="preserve">that ETSI EN 302 571 </w:t>
      </w:r>
      <w:r w:rsidRPr="006E032C">
        <w:rPr>
          <w:lang w:val="en-US"/>
        </w:rPr>
        <w:fldChar w:fldCharType="begin"/>
      </w:r>
      <w:r w:rsidRPr="006E032C">
        <w:rPr>
          <w:lang w:val="en-US"/>
        </w:rPr>
        <w:instrText xml:space="preserve"> REF _Ref34828325 \r \h  \* MERGEFORMAT </w:instrText>
      </w:r>
      <w:r w:rsidRPr="006E032C">
        <w:rPr>
          <w:lang w:val="en-US"/>
        </w:rPr>
      </w:r>
      <w:r w:rsidRPr="006E032C">
        <w:rPr>
          <w:lang w:val="en-US"/>
        </w:rPr>
        <w:fldChar w:fldCharType="separate"/>
      </w:r>
      <w:r>
        <w:rPr>
          <w:lang w:val="en-US"/>
        </w:rPr>
        <w:t>[8]</w:t>
      </w:r>
      <w:r w:rsidRPr="006E032C">
        <w:fldChar w:fldCharType="end"/>
      </w:r>
      <w:r w:rsidRPr="006E032C">
        <w:rPr>
          <w:lang w:val="en-US"/>
        </w:rPr>
        <w:t xml:space="preserve"> </w:t>
      </w:r>
      <w:r w:rsidR="00C2612A">
        <w:rPr>
          <w:lang w:val="en-US"/>
        </w:rPr>
        <w:t>including</w:t>
      </w:r>
      <w:r w:rsidRPr="006E032C">
        <w:rPr>
          <w:lang w:val="en-US"/>
        </w:rPr>
        <w:t xml:space="preserve"> Road ITS equipment </w:t>
      </w:r>
      <w:r w:rsidR="00A85E0E">
        <w:rPr>
          <w:lang w:val="en-US"/>
        </w:rPr>
        <w:t>s</w:t>
      </w:r>
      <w:r w:rsidR="00E82D1A">
        <w:rPr>
          <w:lang w:val="en-US"/>
        </w:rPr>
        <w:t>et</w:t>
      </w:r>
      <w:r w:rsidR="00A85E0E">
        <w:rPr>
          <w:lang w:val="en-US"/>
        </w:rPr>
        <w:t>s</w:t>
      </w:r>
      <w:r w:rsidRPr="006E032C">
        <w:rPr>
          <w:lang w:val="en-US"/>
        </w:rPr>
        <w:t xml:space="preserve"> requirements regarding the protection of existing services in 5855-5925 MHz and in adjacent </w:t>
      </w:r>
      <w:proofErr w:type="gramStart"/>
      <w:r w:rsidRPr="006E032C">
        <w:rPr>
          <w:lang w:val="en-US"/>
        </w:rPr>
        <w:t>bands;</w:t>
      </w:r>
      <w:proofErr w:type="gramEnd"/>
    </w:p>
    <w:p w14:paraId="4B412F3A" w14:textId="6AA2BB6F" w:rsidR="00C368A0" w:rsidRPr="00FF7641" w:rsidRDefault="00C368A0" w:rsidP="00A70F91">
      <w:pPr>
        <w:pStyle w:val="ECCParagraph"/>
        <w:numPr>
          <w:ilvl w:val="0"/>
          <w:numId w:val="25"/>
        </w:numPr>
        <w:tabs>
          <w:tab w:val="clear" w:pos="7449"/>
        </w:tabs>
        <w:spacing w:after="200"/>
        <w:ind w:left="357" w:hanging="357"/>
      </w:pPr>
      <w:r w:rsidRPr="00FF7641">
        <w:t xml:space="preserve">that ITS devices cannot claim protection from </w:t>
      </w:r>
      <w:r w:rsidR="009F5FF4">
        <w:t>Fixed Satellite Service (</w:t>
      </w:r>
      <w:r w:rsidRPr="00FF7641">
        <w:t>FSS</w:t>
      </w:r>
      <w:r w:rsidR="009F5FF4">
        <w:t>)</w:t>
      </w:r>
      <w:r w:rsidRPr="00FF7641">
        <w:t xml:space="preserve"> earth stations in the frequency band 5875-5935 MHz and administrations, when authorising new FSS </w:t>
      </w:r>
      <w:r w:rsidR="009F5FF4">
        <w:t xml:space="preserve">transmitting </w:t>
      </w:r>
      <w:r w:rsidRPr="00FF7641">
        <w:t>earth stations, may consider the potential impact on ITS;</w:t>
      </w:r>
    </w:p>
    <w:p w14:paraId="479AD5E5" w14:textId="77777777" w:rsidR="009E4ED0" w:rsidRPr="00FF7641" w:rsidRDefault="009E4ED0" w:rsidP="009E4ED0">
      <w:pPr>
        <w:pStyle w:val="ECCParagraph"/>
        <w:numPr>
          <w:ilvl w:val="0"/>
          <w:numId w:val="25"/>
        </w:numPr>
        <w:tabs>
          <w:tab w:val="clear" w:pos="7449"/>
        </w:tabs>
        <w:spacing w:after="200"/>
        <w:ind w:left="357" w:hanging="357"/>
      </w:pPr>
      <w:r w:rsidRPr="00FF7641">
        <w:lastRenderedPageBreak/>
        <w:t>that Urban Rail ITS receivers should be robust against WAS/RLAN emissions in 5945-6425 MHz</w:t>
      </w:r>
      <w:r w:rsidRPr="00830B8E">
        <w:t>, which are harmonised by ECC</w:t>
      </w:r>
      <w:r>
        <w:t xml:space="preserve"> Decision </w:t>
      </w:r>
      <w:r w:rsidRPr="00830B8E">
        <w:t>(20)01</w:t>
      </w:r>
      <w:r w:rsidRPr="00E802A1">
        <w:t xml:space="preserve"> </w:t>
      </w:r>
      <w:r w:rsidRPr="00830B8E">
        <w:fldChar w:fldCharType="begin"/>
      </w:r>
      <w:r w:rsidRPr="00E802A1">
        <w:instrText xml:space="preserve"> REF _Ref116388088 \r \h </w:instrText>
      </w:r>
      <w:r>
        <w:instrText xml:space="preserve"> \* MERGEFORMAT </w:instrText>
      </w:r>
      <w:r w:rsidRPr="00830B8E">
        <w:fldChar w:fldCharType="separate"/>
      </w:r>
      <w:r>
        <w:t>[14]</w:t>
      </w:r>
      <w:r w:rsidRPr="00830B8E">
        <w:fldChar w:fldCharType="end"/>
      </w:r>
      <w:r w:rsidRPr="00FF7641">
        <w:t>;</w:t>
      </w:r>
    </w:p>
    <w:p w14:paraId="1B42CB15" w14:textId="4AE9B3DD" w:rsidR="00C368A0" w:rsidRPr="00FF7641" w:rsidRDefault="00C368A0" w:rsidP="00A70F91">
      <w:pPr>
        <w:pStyle w:val="ECCParagraph"/>
        <w:numPr>
          <w:ilvl w:val="0"/>
          <w:numId w:val="25"/>
        </w:numPr>
        <w:tabs>
          <w:tab w:val="clear" w:pos="7449"/>
        </w:tabs>
        <w:spacing w:after="200"/>
        <w:ind w:left="357" w:hanging="357"/>
      </w:pPr>
      <w:bookmarkStart w:id="3" w:name="_Ref5003756"/>
      <w:r w:rsidRPr="00FF7641">
        <w:t>that on a national basis</w:t>
      </w:r>
      <w:r w:rsidR="00C01D52">
        <w:t>,</w:t>
      </w:r>
      <w:r w:rsidRPr="00FF7641">
        <w:t xml:space="preserve"> Road ITS applications </w:t>
      </w:r>
      <w:r w:rsidR="00C01D52">
        <w:t>for</w:t>
      </w:r>
      <w:r w:rsidRPr="00FF7641">
        <w:t xml:space="preserve"> infrastructure to vehicle (I2V) communications may be permitted and coordinated </w:t>
      </w:r>
      <w:r w:rsidR="00C01D52" w:rsidRPr="00830B8E">
        <w:t xml:space="preserve">with Urban Rail ITS </w:t>
      </w:r>
      <w:r w:rsidRPr="00FF7641">
        <w:t xml:space="preserve">in 5915-5925 MHz, and that vehicle-to-vehicle (V2V) communications </w:t>
      </w:r>
      <w:r w:rsidR="00C01D52" w:rsidRPr="00830B8E">
        <w:t>will</w:t>
      </w:r>
      <w:r w:rsidR="00C01D52" w:rsidRPr="00200CFB">
        <w:t xml:space="preserve"> be </w:t>
      </w:r>
      <w:r w:rsidR="00C01D52" w:rsidRPr="00830B8E">
        <w:t>possible in 5915-5925 MHz</w:t>
      </w:r>
      <w:r w:rsidRPr="00FF7641">
        <w:t xml:space="preserve"> when solutions ensuring protection of Urban Rail ITS become available </w:t>
      </w:r>
      <w:r w:rsidR="00C01D52">
        <w:t>through</w:t>
      </w:r>
      <w:r w:rsidRPr="00FF7641">
        <w:t xml:space="preserve"> standardisation in ETSI</w:t>
      </w:r>
      <w:r w:rsidR="000E0E11" w:rsidRPr="00FF7641">
        <w:t>;</w:t>
      </w:r>
      <w:bookmarkEnd w:id="3"/>
    </w:p>
    <w:p w14:paraId="6C759F12" w14:textId="77777777" w:rsidR="00C368A0" w:rsidRPr="00FF7641" w:rsidRDefault="00C368A0" w:rsidP="00A70F91">
      <w:pPr>
        <w:pStyle w:val="ECCParagraph"/>
        <w:numPr>
          <w:ilvl w:val="0"/>
          <w:numId w:val="25"/>
        </w:numPr>
        <w:tabs>
          <w:tab w:val="clear" w:pos="7449"/>
        </w:tabs>
        <w:spacing w:after="200"/>
        <w:ind w:left="357" w:hanging="357"/>
      </w:pPr>
      <w:r w:rsidRPr="00FF7641">
        <w:t>that CEPT administrations may implement an individual authorisation regime for Urban Rail ITS in 5915-5935 MHz and for Road ITS infrastructure in 5915-5925 MHz in order to facilitate coexistence between Urban Rail ITS and Road ITS in 5915-5925 MHz as well as between Urban Rail ITS and Fixed Service above 5925 MHz;</w:t>
      </w:r>
    </w:p>
    <w:p w14:paraId="284B4EEF" w14:textId="72091071" w:rsidR="00C368A0" w:rsidRPr="00FF7641" w:rsidRDefault="00C368A0" w:rsidP="00A70F91">
      <w:pPr>
        <w:pStyle w:val="ECCParagraph"/>
        <w:numPr>
          <w:ilvl w:val="0"/>
          <w:numId w:val="25"/>
        </w:numPr>
        <w:tabs>
          <w:tab w:val="clear" w:pos="7449"/>
        </w:tabs>
        <w:spacing w:after="220"/>
        <w:ind w:left="357" w:hanging="357"/>
      </w:pPr>
      <w:r w:rsidRPr="00FF7641">
        <w:t xml:space="preserve">that in EU/EFTA countries the radio equipment that is under the scope of this Decision shall comply with the Directive 2014/53/EU </w:t>
      </w:r>
      <w:r w:rsidR="002B26E8" w:rsidRPr="00FF7641">
        <w:fldChar w:fldCharType="begin"/>
      </w:r>
      <w:r w:rsidR="002B26E8" w:rsidRPr="00FF7641">
        <w:instrText xml:space="preserve"> REF _Ref34828468 \r \h </w:instrText>
      </w:r>
      <w:r w:rsidR="002B26E8" w:rsidRPr="00FF7641">
        <w:fldChar w:fldCharType="separate"/>
      </w:r>
      <w:r w:rsidR="00EF1E7D">
        <w:t>[11]</w:t>
      </w:r>
      <w:r w:rsidR="002B26E8" w:rsidRPr="00FF7641">
        <w:fldChar w:fldCharType="end"/>
      </w:r>
      <w:r w:rsidRPr="00FF7641">
        <w:t>. Conformity with the essential requirements of the Directive 2014/53/EU may be demonstrated by compliance with the applicable harmonised European standard(s) or by using the other conformity assessment procedures set out in the Directive 2014/53/EU</w:t>
      </w:r>
      <w:r w:rsidR="008876AA">
        <w:t>;</w:t>
      </w:r>
    </w:p>
    <w:p w14:paraId="3FC28DD0" w14:textId="365A38CF" w:rsidR="006C03D0" w:rsidRPr="00FF7641" w:rsidRDefault="005F7AD5" w:rsidP="006C03D0">
      <w:pPr>
        <w:pStyle w:val="ECCParagraph"/>
        <w:rPr>
          <w:color w:val="D2232A"/>
        </w:rPr>
      </w:pPr>
      <w:r w:rsidRPr="00FF7641">
        <w:rPr>
          <w:i/>
          <w:color w:val="D2232A"/>
        </w:rPr>
        <w:t>DECIDES</w:t>
      </w:r>
      <w:r w:rsidRPr="00FF7641">
        <w:rPr>
          <w:color w:val="D2232A"/>
        </w:rPr>
        <w:t xml:space="preserve"> </w:t>
      </w:r>
    </w:p>
    <w:p w14:paraId="032F0B0D" w14:textId="42FE5BEF" w:rsidR="00E24F5C" w:rsidRPr="00FF7641" w:rsidRDefault="00E24F5C" w:rsidP="008F6779">
      <w:pPr>
        <w:pStyle w:val="NumberedList"/>
        <w:tabs>
          <w:tab w:val="left" w:pos="397"/>
        </w:tabs>
        <w:spacing w:after="200"/>
      </w:pPr>
      <w:r w:rsidRPr="00FF7641">
        <w:t>that the purpose of this ECC Decision is to harmonise the use of safety-related Intelligent Transport Systems (ITS) in the 5875-59</w:t>
      </w:r>
      <w:r w:rsidR="001E54A6">
        <w:t>3</w:t>
      </w:r>
      <w:r w:rsidRPr="00FF7641">
        <w:t>5 MHz frequency band;</w:t>
      </w:r>
    </w:p>
    <w:p w14:paraId="41DFF5C7" w14:textId="25983A9F" w:rsidR="00774136" w:rsidRDefault="00774136" w:rsidP="00C5017F">
      <w:pPr>
        <w:pStyle w:val="NumberedList"/>
        <w:tabs>
          <w:tab w:val="left" w:pos="397"/>
        </w:tabs>
        <w:spacing w:after="200"/>
      </w:pPr>
      <w:r w:rsidRPr="003D4B8E">
        <w:t xml:space="preserve">that, for the purpose of this ECC Decision, the following </w:t>
      </w:r>
      <w:r w:rsidRPr="00774136">
        <w:t>definitions</w:t>
      </w:r>
      <w:r w:rsidRPr="003D4B8E">
        <w:t xml:space="preserve"> apply:</w:t>
      </w:r>
    </w:p>
    <w:p w14:paraId="597A49FF" w14:textId="338FB1EC" w:rsidR="00E24F5C" w:rsidRPr="00FF7641" w:rsidRDefault="00E24F5C" w:rsidP="00A609D3">
      <w:pPr>
        <w:pStyle w:val="NumberedList"/>
        <w:numPr>
          <w:ilvl w:val="0"/>
          <w:numId w:val="27"/>
        </w:numPr>
        <w:spacing w:after="200"/>
      </w:pPr>
      <w:r w:rsidRPr="00FF7641">
        <w:t xml:space="preserve">safety-related Road ITS </w:t>
      </w:r>
      <w:r w:rsidR="00737A70">
        <w:t>are</w:t>
      </w:r>
      <w:r w:rsidRPr="00FF7641">
        <w:t xml:space="preserve"> those applications whose aim is to reduce the number of traffic fatalities or accidents using communications between ITS stations;</w:t>
      </w:r>
    </w:p>
    <w:p w14:paraId="4375A85C" w14:textId="40141DD5" w:rsidR="00E24F5C" w:rsidRPr="00FF7641" w:rsidRDefault="00E24F5C" w:rsidP="00A609D3">
      <w:pPr>
        <w:pStyle w:val="NumberedList"/>
        <w:numPr>
          <w:ilvl w:val="0"/>
          <w:numId w:val="27"/>
        </w:numPr>
        <w:spacing w:after="200"/>
      </w:pPr>
      <w:r w:rsidRPr="00FF7641">
        <w:t xml:space="preserve">safety-related Urban Rail ITS </w:t>
      </w:r>
      <w:r w:rsidR="00737A70">
        <w:t>are</w:t>
      </w:r>
      <w:r w:rsidRPr="00FF7641">
        <w:t xml:space="preserve"> wireless Automatic Train Control (ATC) applications used along urban or suburban railway lines segregated from road and pedestrian traffic</w:t>
      </w:r>
      <w:r w:rsidRPr="00FF7641">
        <w:rPr>
          <w:rStyle w:val="FootnoteReference"/>
        </w:rPr>
        <w:footnoteReference w:id="2"/>
      </w:r>
      <w:r w:rsidRPr="00FF7641">
        <w:t>;</w:t>
      </w:r>
    </w:p>
    <w:p w14:paraId="072E18C7" w14:textId="22BD0120" w:rsidR="003073F9" w:rsidRDefault="00E24F5C" w:rsidP="00C5017F">
      <w:pPr>
        <w:pStyle w:val="NumberedList"/>
        <w:tabs>
          <w:tab w:val="left" w:pos="397"/>
        </w:tabs>
        <w:spacing w:after="200"/>
      </w:pPr>
      <w:bookmarkStart w:id="4" w:name="_Ref179477943"/>
      <w:r w:rsidRPr="00FF7641">
        <w:t>that CEPT administrations shall</w:t>
      </w:r>
      <w:r w:rsidR="005E31EA">
        <w:t>:</w:t>
      </w:r>
      <w:r w:rsidRPr="00FF7641">
        <w:t xml:space="preserve"> </w:t>
      </w:r>
    </w:p>
    <w:p w14:paraId="13C89A68" w14:textId="26D0D81A" w:rsidR="00E24F5C" w:rsidRPr="00FF7641" w:rsidRDefault="00E24F5C" w:rsidP="00894A15">
      <w:pPr>
        <w:pStyle w:val="NumberedList"/>
        <w:numPr>
          <w:ilvl w:val="0"/>
          <w:numId w:val="29"/>
        </w:numPr>
        <w:spacing w:after="200"/>
      </w:pPr>
      <w:r w:rsidRPr="00FF7641">
        <w:t>designate the frequency band 5875-5925 MHz on a non-exclusive basis for all safety-related ITS and that Road ITS shall have priority below 5915 MHz and Urban Rail ITS shall have priority above 5915 MHz, so that protection is afforded to the applications having priority;</w:t>
      </w:r>
      <w:bookmarkEnd w:id="4"/>
      <w:r w:rsidRPr="00FF7641" w:rsidDel="00D43B4F">
        <w:t xml:space="preserve"> </w:t>
      </w:r>
    </w:p>
    <w:p w14:paraId="2EED6A15" w14:textId="679BD44D" w:rsidR="00E24F5C" w:rsidRPr="00FF7641" w:rsidRDefault="00E24F5C" w:rsidP="00A609D3">
      <w:pPr>
        <w:pStyle w:val="NumberedList"/>
        <w:numPr>
          <w:ilvl w:val="0"/>
          <w:numId w:val="29"/>
        </w:numPr>
        <w:spacing w:after="200"/>
      </w:pPr>
      <w:r w:rsidRPr="00FF7641">
        <w:t>designate the frequency band 5925-5935 MHz on a non-exclusive basis for safety-related Urban Rail ITS, subject to national market demand</w:t>
      </w:r>
      <w:r w:rsidR="00766FD0" w:rsidRPr="00FF7641">
        <w:t xml:space="preserve"> </w:t>
      </w:r>
      <w:r w:rsidR="00766FD0">
        <w:t>for Urban Rail ITS</w:t>
      </w:r>
      <w:r w:rsidRPr="00FF7641">
        <w:t xml:space="preserve"> and </w:t>
      </w:r>
      <w:r w:rsidR="00766FD0">
        <w:t xml:space="preserve">national circumstances including </w:t>
      </w:r>
      <w:r w:rsidRPr="00FF7641">
        <w:t xml:space="preserve">coordination with existing </w:t>
      </w:r>
      <w:r w:rsidR="00766FD0">
        <w:t>FS</w:t>
      </w:r>
      <w:r w:rsidRPr="00FF7641">
        <w:t xml:space="preserve"> links;</w:t>
      </w:r>
    </w:p>
    <w:p w14:paraId="2C3754E0" w14:textId="2EB2EB68" w:rsidR="002C6701" w:rsidRDefault="00903F6A" w:rsidP="00A609D3">
      <w:pPr>
        <w:pStyle w:val="NumberedList"/>
        <w:numPr>
          <w:ilvl w:val="0"/>
          <w:numId w:val="29"/>
        </w:numPr>
        <w:spacing w:after="200"/>
      </w:pPr>
      <w:r>
        <w:t>allow</w:t>
      </w:r>
      <w:r w:rsidRPr="00FF7641">
        <w:t xml:space="preserve"> free circulation and use of ITS equipment subject to the provisions of this Decision;</w:t>
      </w:r>
    </w:p>
    <w:p w14:paraId="366C9105" w14:textId="23A911BF" w:rsidR="00903F6A" w:rsidRDefault="00903F6A" w:rsidP="00A609D3">
      <w:pPr>
        <w:pStyle w:val="NumberedList"/>
        <w:numPr>
          <w:ilvl w:val="0"/>
          <w:numId w:val="29"/>
        </w:numPr>
        <w:spacing w:after="200"/>
      </w:pPr>
      <w:r w:rsidRPr="00FF7641">
        <w:t xml:space="preserve">exempt all </w:t>
      </w:r>
      <w:r>
        <w:t xml:space="preserve">vehicle-installed and mobile </w:t>
      </w:r>
      <w:r w:rsidRPr="00FF7641">
        <w:t xml:space="preserve">ITS equipment </w:t>
      </w:r>
      <w:r>
        <w:t xml:space="preserve">subject to the provisions of </w:t>
      </w:r>
      <w:r w:rsidRPr="00FF7641">
        <w:t>this Decision from individual licensing;</w:t>
      </w:r>
    </w:p>
    <w:p w14:paraId="68E178FB" w14:textId="172B6A96" w:rsidR="00903F6A" w:rsidRDefault="00903F6A" w:rsidP="00A609D3">
      <w:pPr>
        <w:pStyle w:val="NumberedList"/>
        <w:numPr>
          <w:ilvl w:val="0"/>
          <w:numId w:val="29"/>
        </w:numPr>
        <w:spacing w:after="200"/>
      </w:pPr>
      <w:r w:rsidRPr="00FF7641" w:rsidDel="00874F4B">
        <w:t xml:space="preserve">exempt Road ITS road-side equipment </w:t>
      </w:r>
      <w:r>
        <w:t>subject to the provisions of</w:t>
      </w:r>
      <w:r w:rsidRPr="00FF7641" w:rsidDel="00874F4B">
        <w:t xml:space="preserve"> this Decision from individual licensing in 5875-5915 MHz;</w:t>
      </w:r>
    </w:p>
    <w:p w14:paraId="5A9FE3B6" w14:textId="4850CF96" w:rsidR="000E47F2" w:rsidRDefault="00833B5E" w:rsidP="00C5017F">
      <w:pPr>
        <w:pStyle w:val="NumberedList"/>
        <w:tabs>
          <w:tab w:val="left" w:pos="397"/>
        </w:tabs>
        <w:spacing w:after="200"/>
      </w:pPr>
      <w:r w:rsidRPr="00833B5E">
        <w:t xml:space="preserve">that the frequency arrangement defined in </w:t>
      </w:r>
      <w:r w:rsidR="00DE0A6A">
        <w:fldChar w:fldCharType="begin"/>
      </w:r>
      <w:r w:rsidR="00DE0A6A">
        <w:instrText xml:space="preserve"> REF _Ref192659511 \r \h </w:instrText>
      </w:r>
      <w:r w:rsidR="00DE0A6A">
        <w:fldChar w:fldCharType="separate"/>
      </w:r>
      <w:r w:rsidR="00DE0A6A">
        <w:t>Annex 1</w:t>
      </w:r>
      <w:r w:rsidR="00DE0A6A">
        <w:fldChar w:fldCharType="end"/>
      </w:r>
      <w:r w:rsidRPr="00833B5E">
        <w:t xml:space="preserve"> applies</w:t>
      </w:r>
      <w:r w:rsidR="00E35F9B">
        <w:t xml:space="preserve"> to </w:t>
      </w:r>
      <w:r w:rsidR="00E35F9B" w:rsidRPr="00833B5E">
        <w:t>safety</w:t>
      </w:r>
      <w:r w:rsidR="00E35F9B">
        <w:t>-</w:t>
      </w:r>
      <w:r w:rsidR="00E35F9B" w:rsidRPr="00833B5E">
        <w:t>related ITS</w:t>
      </w:r>
      <w:r w:rsidRPr="00833B5E">
        <w:t>;</w:t>
      </w:r>
    </w:p>
    <w:p w14:paraId="08F955B6" w14:textId="5F3893EB" w:rsidR="00833B5E" w:rsidRDefault="00873921" w:rsidP="00C5017F">
      <w:pPr>
        <w:pStyle w:val="NumberedList"/>
        <w:tabs>
          <w:tab w:val="left" w:pos="397"/>
        </w:tabs>
        <w:spacing w:after="200"/>
      </w:pPr>
      <w:r w:rsidRPr="00A568FF">
        <w:t xml:space="preserve">that the technical conditions in </w:t>
      </w:r>
      <w:r w:rsidR="008939BA">
        <w:fldChar w:fldCharType="begin"/>
      </w:r>
      <w:r w:rsidR="008939BA">
        <w:instrText xml:space="preserve"> REF _Ref192659534 \r \h </w:instrText>
      </w:r>
      <w:r w:rsidR="008939BA">
        <w:fldChar w:fldCharType="separate"/>
      </w:r>
      <w:r w:rsidR="008939BA">
        <w:t>Annex 2</w:t>
      </w:r>
      <w:r w:rsidR="008939BA">
        <w:fldChar w:fldCharType="end"/>
      </w:r>
      <w:r w:rsidRPr="00A568FF">
        <w:t xml:space="preserve"> apply</w:t>
      </w:r>
      <w:r w:rsidR="00E35F9B">
        <w:t xml:space="preserve"> to </w:t>
      </w:r>
      <w:r w:rsidR="00E35F9B" w:rsidRPr="00A568FF">
        <w:t>safety</w:t>
      </w:r>
      <w:r w:rsidR="00E35F9B">
        <w:t>-</w:t>
      </w:r>
      <w:r w:rsidR="00E35F9B" w:rsidRPr="00A568FF">
        <w:t>related ITS devices</w:t>
      </w:r>
      <w:r w:rsidRPr="00A568FF">
        <w:t>;</w:t>
      </w:r>
    </w:p>
    <w:p w14:paraId="68B73046" w14:textId="7814879F" w:rsidR="00873921" w:rsidRDefault="00873921" w:rsidP="00C5017F">
      <w:pPr>
        <w:pStyle w:val="NumberedList"/>
        <w:tabs>
          <w:tab w:val="left" w:pos="397"/>
        </w:tabs>
        <w:spacing w:after="200"/>
      </w:pPr>
      <w:bookmarkStart w:id="5" w:name="_Ref178856991"/>
      <w:r w:rsidRPr="00FF7641">
        <w:t xml:space="preserve">that Road ITS and Urban Rail ITS shall </w:t>
      </w:r>
      <w:r>
        <w:t>use</w:t>
      </w:r>
      <w:r w:rsidRPr="00FF7641">
        <w:t xml:space="preserve"> their respective prioritised frequency range until co-channel sharing mechanisms are defined by ETSI, unless </w:t>
      </w:r>
      <w:r w:rsidRPr="00FF7641">
        <w:rPr>
          <w:i/>
          <w:iCs/>
        </w:rPr>
        <w:t xml:space="preserve">considering </w:t>
      </w:r>
      <w:r w:rsidRPr="0048079E">
        <w:rPr>
          <w:i/>
          <w:iCs/>
        </w:rPr>
        <w:fldChar w:fldCharType="begin"/>
      </w:r>
      <w:r w:rsidRPr="000C5858">
        <w:rPr>
          <w:i/>
          <w:iCs/>
        </w:rPr>
        <w:instrText xml:space="preserve"> REF _Ref5003756 \r \h </w:instrText>
      </w:r>
      <w:r>
        <w:rPr>
          <w:i/>
          <w:iCs/>
        </w:rPr>
        <w:instrText xml:space="preserve"> \* MERGEFORMAT </w:instrText>
      </w:r>
      <w:r w:rsidRPr="0048079E">
        <w:rPr>
          <w:i/>
          <w:iCs/>
        </w:rPr>
      </w:r>
      <w:r w:rsidRPr="0048079E">
        <w:rPr>
          <w:i/>
          <w:iCs/>
        </w:rPr>
        <w:fldChar w:fldCharType="separate"/>
      </w:r>
      <w:r w:rsidR="001B7915">
        <w:rPr>
          <w:i/>
          <w:iCs/>
        </w:rPr>
        <w:t>r)</w:t>
      </w:r>
      <w:r w:rsidRPr="0048079E">
        <w:rPr>
          <w:i/>
          <w:iCs/>
        </w:rPr>
        <w:fldChar w:fldCharType="end"/>
      </w:r>
      <w:r>
        <w:t xml:space="preserve"> </w:t>
      </w:r>
      <w:r w:rsidRPr="00FF7641">
        <w:t>is applied on a national basis;</w:t>
      </w:r>
      <w:bookmarkEnd w:id="5"/>
    </w:p>
    <w:p w14:paraId="2AC70FE9" w14:textId="31517452" w:rsidR="0023668E" w:rsidRDefault="0023668E" w:rsidP="00C5017F">
      <w:pPr>
        <w:pStyle w:val="NumberedList"/>
        <w:tabs>
          <w:tab w:val="left" w:pos="397"/>
        </w:tabs>
        <w:spacing w:after="200"/>
      </w:pPr>
      <w:r w:rsidRPr="0023668E">
        <w:rPr>
          <w:lang w:val="en-US"/>
        </w:rPr>
        <w:t xml:space="preserve">that the existing services in the ITS bands and in adjacent bands need to be </w:t>
      </w:r>
      <w:proofErr w:type="gramStart"/>
      <w:r w:rsidRPr="0023668E">
        <w:rPr>
          <w:lang w:val="en-US"/>
        </w:rPr>
        <w:t>protected;</w:t>
      </w:r>
      <w:proofErr w:type="gramEnd"/>
    </w:p>
    <w:p w14:paraId="702D01DB" w14:textId="5118FAF6" w:rsidR="00E24F5C" w:rsidRPr="00FF7641" w:rsidRDefault="00E24F5C" w:rsidP="00C5017F">
      <w:pPr>
        <w:pStyle w:val="NumberedList"/>
        <w:tabs>
          <w:tab w:val="left" w:pos="397"/>
        </w:tabs>
        <w:spacing w:after="200"/>
      </w:pPr>
      <w:r w:rsidRPr="00FF7641">
        <w:t xml:space="preserve">that this Decision enters into force on </w:t>
      </w:r>
      <w:r w:rsidR="002E6885">
        <w:t>7 March 2025</w:t>
      </w:r>
      <w:r w:rsidRPr="00FF7641">
        <w:t>;</w:t>
      </w:r>
    </w:p>
    <w:p w14:paraId="09AD1630" w14:textId="46607E1E" w:rsidR="00E24F5C" w:rsidRPr="00FF7641" w:rsidRDefault="00E24F5C" w:rsidP="00C5017F">
      <w:pPr>
        <w:pStyle w:val="NumberedList"/>
        <w:tabs>
          <w:tab w:val="left" w:pos="397"/>
        </w:tabs>
        <w:spacing w:after="200"/>
        <w:rPr>
          <w:color w:val="000000"/>
        </w:rPr>
      </w:pPr>
      <w:r w:rsidRPr="00FF7641">
        <w:lastRenderedPageBreak/>
        <w:t xml:space="preserve">that the preferred date for implementation of this Decision shall be </w:t>
      </w:r>
      <w:r w:rsidR="002E6885">
        <w:t xml:space="preserve">7 </w:t>
      </w:r>
      <w:r w:rsidR="002E6885">
        <w:t>September</w:t>
      </w:r>
      <w:r w:rsidR="002E6885">
        <w:t xml:space="preserve"> 2025</w:t>
      </w:r>
      <w:r w:rsidRPr="00FF7641">
        <w:rPr>
          <w:color w:val="000000"/>
        </w:rPr>
        <w:t>;</w:t>
      </w:r>
    </w:p>
    <w:p w14:paraId="5038EB01" w14:textId="29420E10" w:rsidR="00E24F5C" w:rsidRPr="00FF7641" w:rsidRDefault="00E24F5C" w:rsidP="00C5017F">
      <w:pPr>
        <w:pStyle w:val="NumberedList"/>
        <w:tabs>
          <w:tab w:val="left" w:pos="397"/>
        </w:tabs>
        <w:spacing w:after="200"/>
      </w:pPr>
      <w:r w:rsidRPr="00FF7641">
        <w:t>that CEPT administrations shall communicate the national measures implementing this Decision to the ECC chairman and the Office when the Decision is nationally implemented</w:t>
      </w:r>
      <w:r w:rsidR="000E602B">
        <w:t>.”</w:t>
      </w:r>
    </w:p>
    <w:p w14:paraId="613E520D" w14:textId="77777777" w:rsidR="001C46EA" w:rsidRPr="00FF7641" w:rsidRDefault="001C46EA" w:rsidP="00D90B0A">
      <w:pPr>
        <w:pStyle w:val="ECCParagraph"/>
        <w:keepNext/>
        <w:rPr>
          <w:i/>
          <w:color w:val="D2232A"/>
        </w:rPr>
      </w:pPr>
      <w:r w:rsidRPr="00FF7641">
        <w:rPr>
          <w:i/>
          <w:color w:val="D2232A"/>
        </w:rPr>
        <w:t xml:space="preserve">Note: </w:t>
      </w:r>
    </w:p>
    <w:p w14:paraId="2EDEA7A6" w14:textId="53A9B4A6" w:rsidR="001C46EA" w:rsidRPr="00FF7641" w:rsidRDefault="001C46EA" w:rsidP="00D90B0A">
      <w:pPr>
        <w:pStyle w:val="ECCParagraph"/>
        <w:keepNext/>
      </w:pPr>
      <w:r w:rsidRPr="00FF7641">
        <w:rPr>
          <w:i/>
          <w:szCs w:val="20"/>
        </w:rPr>
        <w:t xml:space="preserve">Please check the Office documentation database </w:t>
      </w:r>
      <w:hyperlink r:id="rId8" w:history="1">
        <w:r w:rsidR="008F340D" w:rsidRPr="001C58AB">
          <w:rPr>
            <w:rStyle w:val="Hyperlink"/>
            <w:i/>
            <w:szCs w:val="20"/>
          </w:rPr>
          <w:t>https://docdb.cept.org/</w:t>
        </w:r>
      </w:hyperlink>
      <w:r w:rsidR="00D023C0" w:rsidRPr="00FF7641">
        <w:rPr>
          <w:i/>
          <w:szCs w:val="20"/>
        </w:rPr>
        <w:t xml:space="preserve"> </w:t>
      </w:r>
      <w:r w:rsidRPr="00FF7641">
        <w:rPr>
          <w:i/>
          <w:szCs w:val="20"/>
        </w:rPr>
        <w:t xml:space="preserve">for the </w:t>
      </w:r>
      <w:proofErr w:type="gramStart"/>
      <w:r w:rsidRPr="00FF7641">
        <w:rPr>
          <w:i/>
          <w:szCs w:val="20"/>
        </w:rPr>
        <w:t>up to date</w:t>
      </w:r>
      <w:proofErr w:type="gramEnd"/>
      <w:r w:rsidRPr="00FF7641">
        <w:rPr>
          <w:i/>
          <w:szCs w:val="20"/>
        </w:rPr>
        <w:t xml:space="preserve"> position on the implementation of this and other </w:t>
      </w:r>
      <w:smartTag w:uri="urn:schemas-microsoft-com:office:smarttags" w:element="stockticker">
        <w:r w:rsidRPr="00FF7641">
          <w:rPr>
            <w:i/>
            <w:szCs w:val="20"/>
          </w:rPr>
          <w:t>ECC</w:t>
        </w:r>
      </w:smartTag>
      <w:r w:rsidRPr="00FF7641">
        <w:rPr>
          <w:i/>
          <w:szCs w:val="20"/>
        </w:rPr>
        <w:t xml:space="preserve"> Decisions.</w:t>
      </w:r>
    </w:p>
    <w:p w14:paraId="7553877D" w14:textId="77777777" w:rsidR="00E24F5C" w:rsidRPr="00FF7641" w:rsidRDefault="00E24F5C" w:rsidP="005F6EB7">
      <w:pPr>
        <w:pStyle w:val="ECCAnnex-heading1"/>
      </w:pPr>
      <w:bookmarkStart w:id="6" w:name="_Ref192659511"/>
      <w:r w:rsidRPr="00FF7641">
        <w:lastRenderedPageBreak/>
        <w:t>Frequency arrangement</w:t>
      </w:r>
      <w:bookmarkEnd w:id="6"/>
    </w:p>
    <w:p w14:paraId="2081B515" w14:textId="7FB70C28" w:rsidR="00E24F5C" w:rsidRPr="00FF7641" w:rsidRDefault="00E24F5C" w:rsidP="00E24F5C">
      <w:pPr>
        <w:pStyle w:val="ECCParagraph"/>
        <w:rPr>
          <w:iCs/>
        </w:rPr>
      </w:pPr>
      <w:r w:rsidRPr="00FF7641">
        <w:rPr>
          <w:iCs/>
        </w:rPr>
        <w:t xml:space="preserve">The frequency arrangement is based on a block size of 10 MHz starting at the lower edge of the band at </w:t>
      </w:r>
      <w:r w:rsidRPr="00FF7641">
        <w:t>5875 MHz</w:t>
      </w:r>
      <w:r w:rsidRPr="00FF7641">
        <w:rPr>
          <w:iCs/>
        </w:rPr>
        <w:t>.</w:t>
      </w:r>
    </w:p>
    <w:p w14:paraId="2B0CBBF9" w14:textId="77777777" w:rsidR="00E24F5C" w:rsidRPr="00FF7641" w:rsidRDefault="00E24F5C" w:rsidP="00E24F5C">
      <w:pPr>
        <w:pStyle w:val="ECCParagraph"/>
        <w:rPr>
          <w:iCs/>
        </w:rPr>
      </w:pPr>
    </w:p>
    <w:p w14:paraId="22941507" w14:textId="77777777" w:rsidR="00E24F5C" w:rsidRPr="00FF7641" w:rsidRDefault="00E24F5C" w:rsidP="00E24F5C">
      <w:pPr>
        <w:pStyle w:val="ECCParagraph"/>
        <w:rPr>
          <w:iCs/>
          <w:u w:val="single"/>
        </w:rPr>
      </w:pPr>
      <w:r w:rsidRPr="00FF7641">
        <w:rPr>
          <w:iCs/>
          <w:u w:val="single"/>
        </w:rPr>
        <w:t>For Road ITS:</w:t>
      </w:r>
    </w:p>
    <w:p w14:paraId="25F771A8" w14:textId="77777777" w:rsidR="00E24F5C" w:rsidRPr="00FF7641" w:rsidRDefault="00E24F5C" w:rsidP="00E24F5C">
      <w:pPr>
        <w:pStyle w:val="ECCParagraph"/>
        <w:rPr>
          <w:iCs/>
        </w:rPr>
      </w:pPr>
      <w:r w:rsidRPr="00FF7641">
        <w:rPr>
          <w:noProof/>
          <w:lang w:val="de-DE" w:eastAsia="de-DE"/>
        </w:rPr>
        <w:drawing>
          <wp:inline distT="0" distB="0" distL="0" distR="0" wp14:anchorId="5D18575A" wp14:editId="09DBECD1">
            <wp:extent cx="6130290" cy="442595"/>
            <wp:effectExtent l="0" t="0" r="381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a:picLocks noChangeAspect="1"/>
                    </pic:cNvPicPr>
                  </pic:nvPicPr>
                  <pic:blipFill>
                    <a:blip r:embed="rId9"/>
                    <a:srcRect l="4452" r="4337"/>
                    <a:stretch>
                      <a:fillRect/>
                    </a:stretch>
                  </pic:blipFill>
                  <pic:spPr>
                    <a:xfrm>
                      <a:off x="0" y="0"/>
                      <a:ext cx="6130800" cy="442800"/>
                    </a:xfrm>
                    <a:prstGeom prst="rect">
                      <a:avLst/>
                    </a:prstGeom>
                    <a:ln>
                      <a:noFill/>
                    </a:ln>
                  </pic:spPr>
                </pic:pic>
              </a:graphicData>
            </a:graphic>
          </wp:inline>
        </w:drawing>
      </w:r>
    </w:p>
    <w:p w14:paraId="3B8E31CB" w14:textId="2E52FF8D" w:rsidR="00E37BC3" w:rsidRPr="00A568FF" w:rsidRDefault="00E37BC3" w:rsidP="00E37BC3">
      <w:pPr>
        <w:spacing w:after="200" w:line="276" w:lineRule="auto"/>
        <w:jc w:val="center"/>
        <w:rPr>
          <w:b/>
          <w:bCs/>
          <w:iCs/>
          <w:lang w:val="en-GB"/>
        </w:rPr>
      </w:pPr>
      <w:r w:rsidRPr="002E6885">
        <w:rPr>
          <w:b/>
          <w:bCs/>
          <w:iCs/>
          <w:color w:val="D2232A"/>
          <w:lang w:val="en-GB"/>
        </w:rPr>
        <w:t xml:space="preserve">Figure </w:t>
      </w:r>
      <w:r w:rsidRPr="002E6885">
        <w:rPr>
          <w:b/>
          <w:bCs/>
          <w:iCs/>
          <w:color w:val="D2232A"/>
          <w:lang w:val="en-GB"/>
        </w:rPr>
        <w:fldChar w:fldCharType="begin"/>
      </w:r>
      <w:r w:rsidRPr="002E6885">
        <w:rPr>
          <w:b/>
          <w:bCs/>
          <w:iCs/>
          <w:color w:val="D2232A"/>
          <w:lang w:val="en-GB"/>
        </w:rPr>
        <w:instrText xml:space="preserve"> SEQ Figure \* ARABIC </w:instrText>
      </w:r>
      <w:r w:rsidRPr="002E6885">
        <w:rPr>
          <w:b/>
          <w:bCs/>
          <w:iCs/>
          <w:color w:val="D2232A"/>
          <w:lang w:val="en-GB"/>
        </w:rPr>
        <w:fldChar w:fldCharType="separate"/>
      </w:r>
      <w:r w:rsidRPr="002E6885">
        <w:rPr>
          <w:b/>
          <w:bCs/>
          <w:iCs/>
          <w:color w:val="D2232A"/>
          <w:lang w:val="en-GB"/>
        </w:rPr>
        <w:t>1</w:t>
      </w:r>
      <w:r w:rsidRPr="002E6885">
        <w:rPr>
          <w:iCs/>
          <w:color w:val="D2232A"/>
          <w:lang w:val="en-GB"/>
        </w:rPr>
        <w:fldChar w:fldCharType="end"/>
      </w:r>
      <w:r w:rsidRPr="002E6885">
        <w:rPr>
          <w:b/>
          <w:bCs/>
          <w:iCs/>
          <w:color w:val="D2232A"/>
          <w:lang w:val="en-GB"/>
        </w:rPr>
        <w:t xml:space="preserve">: </w:t>
      </w:r>
      <w:r w:rsidRPr="00A568FF">
        <w:rPr>
          <w:rFonts w:eastAsia="Calibri" w:cs="Arial"/>
          <w:b/>
          <w:color w:val="C00000"/>
          <w:szCs w:val="22"/>
          <w:lang w:val="en-GB"/>
        </w:rPr>
        <w:t xml:space="preserve">Frequency arrangement for </w:t>
      </w:r>
      <w:r>
        <w:rPr>
          <w:rFonts w:eastAsia="Calibri" w:cs="Arial"/>
          <w:b/>
          <w:color w:val="C00000"/>
          <w:szCs w:val="22"/>
          <w:lang w:val="en-GB"/>
        </w:rPr>
        <w:t>R</w:t>
      </w:r>
      <w:r w:rsidRPr="00A568FF">
        <w:rPr>
          <w:rFonts w:eastAsia="Calibri" w:cs="Arial"/>
          <w:b/>
          <w:color w:val="C00000"/>
          <w:szCs w:val="22"/>
          <w:lang w:val="en-GB"/>
        </w:rPr>
        <w:t>oad ITS</w:t>
      </w:r>
    </w:p>
    <w:p w14:paraId="20CFF1C8" w14:textId="5A5B7997" w:rsidR="00E24F5C" w:rsidRPr="00FF7641" w:rsidRDefault="00E24F5C" w:rsidP="00E24F5C">
      <w:pPr>
        <w:pStyle w:val="ECCParagraph"/>
        <w:rPr>
          <w:iCs/>
        </w:rPr>
      </w:pPr>
      <w:r w:rsidRPr="00FF7641">
        <w:rPr>
          <w:iCs/>
        </w:rPr>
        <w:t xml:space="preserve">Road ITS </w:t>
      </w:r>
      <w:r w:rsidR="00714F3E">
        <w:rPr>
          <w:iCs/>
        </w:rPr>
        <w:t xml:space="preserve">in </w:t>
      </w:r>
      <w:r w:rsidR="00714F3E" w:rsidRPr="00FF7641">
        <w:rPr>
          <w:iCs/>
        </w:rPr>
        <w:t>5875-5925 MHz</w:t>
      </w:r>
      <w:r w:rsidRPr="00FF7641">
        <w:rPr>
          <w:iCs/>
        </w:rPr>
        <w:t xml:space="preserve"> shall use channels within the boundaries of each 10 MHz block. Channel bandwidth may be lower than 10 MHz.</w:t>
      </w:r>
    </w:p>
    <w:p w14:paraId="47497D7C" w14:textId="1CB35399" w:rsidR="00714F3E" w:rsidRPr="00A568FF" w:rsidRDefault="00714F3E" w:rsidP="00714F3E">
      <w:pPr>
        <w:suppressAutoHyphens/>
        <w:spacing w:after="120"/>
        <w:rPr>
          <w:rFonts w:cs="Arial"/>
          <w:szCs w:val="22"/>
          <w:lang w:val="en-GB"/>
        </w:rPr>
      </w:pPr>
      <w:r w:rsidRPr="00A568FF">
        <w:t>Two blocks can be combined to one contiguous 20 MHz channel.</w:t>
      </w:r>
    </w:p>
    <w:p w14:paraId="695FD676" w14:textId="58363471" w:rsidR="00714F3E" w:rsidRPr="00A568FF" w:rsidRDefault="00714F3E" w:rsidP="0ED333DF">
      <w:pPr>
        <w:pStyle w:val="ECCParagraph"/>
        <w:rPr>
          <w:rFonts w:cs="Arial"/>
        </w:rPr>
      </w:pPr>
      <w:r w:rsidRPr="0ED333DF">
        <w:rPr>
          <w:rFonts w:eastAsia="Calibri" w:cs="Arial"/>
        </w:rPr>
        <w:t>The 20 MHz channel formed by 2 blocks of 10 MHz between 5905-5925 MHz can be used</w:t>
      </w:r>
      <w:r w:rsidRPr="0ED333DF">
        <w:rPr>
          <w:rFonts w:cs="Arial"/>
        </w:rPr>
        <w:t xml:space="preserve"> but limited to I2V communications, noting that restrictions apply to </w:t>
      </w:r>
      <w:r w:rsidRPr="0ED333DF">
        <w:rPr>
          <w:rFonts w:eastAsia="Calibri" w:cs="Arial"/>
        </w:rPr>
        <w:t xml:space="preserve">5915-5925 MHz </w:t>
      </w:r>
      <w:r w:rsidRPr="0ED333DF">
        <w:rPr>
          <w:rFonts w:cs="Arial"/>
        </w:rPr>
        <w:t xml:space="preserve">in accordance </w:t>
      </w:r>
      <w:r w:rsidR="57BEB4D1" w:rsidRPr="0ED333DF">
        <w:rPr>
          <w:rFonts w:cs="Arial"/>
        </w:rPr>
        <w:t>with</w:t>
      </w:r>
      <w:r w:rsidRPr="0ED333DF">
        <w:rPr>
          <w:rFonts w:cs="Arial"/>
        </w:rPr>
        <w:t xml:space="preserve"> the priority defined in </w:t>
      </w:r>
      <w:r w:rsidR="000E2128" w:rsidRPr="0ED333DF">
        <w:rPr>
          <w:rFonts w:cs="Arial"/>
          <w:i/>
          <w:iCs/>
        </w:rPr>
        <w:t xml:space="preserve">decides </w:t>
      </w:r>
      <w:r w:rsidRPr="0ED333DF">
        <w:rPr>
          <w:rFonts w:cs="Arial"/>
          <w:i/>
          <w:iCs/>
        </w:rPr>
        <w:fldChar w:fldCharType="begin"/>
      </w:r>
      <w:r w:rsidRPr="0ED333DF">
        <w:rPr>
          <w:rFonts w:cs="Arial"/>
          <w:i/>
          <w:iCs/>
        </w:rPr>
        <w:instrText xml:space="preserve"> REF _Ref179477943 \r \h </w:instrText>
      </w:r>
      <w:r w:rsidRPr="0ED333DF">
        <w:rPr>
          <w:rFonts w:cs="Arial"/>
          <w:i/>
          <w:iCs/>
        </w:rPr>
      </w:r>
      <w:r w:rsidRPr="0ED333DF">
        <w:rPr>
          <w:rFonts w:cs="Arial"/>
          <w:i/>
          <w:iCs/>
        </w:rPr>
        <w:fldChar w:fldCharType="separate"/>
      </w:r>
      <w:r w:rsidR="007937FC" w:rsidRPr="0ED333DF">
        <w:rPr>
          <w:rFonts w:cs="Arial"/>
          <w:i/>
          <w:iCs/>
        </w:rPr>
        <w:t>3</w:t>
      </w:r>
      <w:r w:rsidRPr="0ED333DF">
        <w:rPr>
          <w:rFonts w:cs="Arial"/>
          <w:i/>
          <w:iCs/>
        </w:rPr>
        <w:fldChar w:fldCharType="end"/>
      </w:r>
      <w:r w:rsidR="00E72325">
        <w:rPr>
          <w:rFonts w:cs="Arial"/>
          <w:i/>
          <w:iCs/>
        </w:rPr>
        <w:t>a</w:t>
      </w:r>
      <w:r w:rsidRPr="0ED333DF">
        <w:rPr>
          <w:rFonts w:cs="Arial"/>
        </w:rPr>
        <w:t>.</w:t>
      </w:r>
    </w:p>
    <w:p w14:paraId="647B3E86" w14:textId="77777777" w:rsidR="00E24F5C" w:rsidRPr="00FF7641" w:rsidRDefault="00E24F5C" w:rsidP="00E24F5C">
      <w:pPr>
        <w:pStyle w:val="ECCParagraph"/>
        <w:rPr>
          <w:iCs/>
        </w:rPr>
      </w:pPr>
    </w:p>
    <w:p w14:paraId="671A95B6" w14:textId="77777777" w:rsidR="00E24F5C" w:rsidRPr="00FF7641" w:rsidRDefault="00E24F5C" w:rsidP="00E24F5C">
      <w:pPr>
        <w:pStyle w:val="ECCParagraph"/>
        <w:rPr>
          <w:iCs/>
          <w:u w:val="single"/>
        </w:rPr>
      </w:pPr>
      <w:r w:rsidRPr="00FF7641">
        <w:rPr>
          <w:iCs/>
          <w:u w:val="single"/>
        </w:rPr>
        <w:t>For Urban Rail ITS:</w:t>
      </w:r>
    </w:p>
    <w:p w14:paraId="01EE4AB3" w14:textId="77777777" w:rsidR="00E24F5C" w:rsidRPr="00FF7641" w:rsidRDefault="00E24F5C" w:rsidP="00E24F5C">
      <w:pPr>
        <w:pStyle w:val="ECCParagraph"/>
        <w:rPr>
          <w:iCs/>
          <w:u w:val="single"/>
        </w:rPr>
      </w:pPr>
      <w:r w:rsidRPr="00FF7641">
        <w:rPr>
          <w:iCs/>
          <w:noProof/>
          <w:u w:val="single"/>
          <w:lang w:val="de-DE" w:eastAsia="de-DE"/>
        </w:rPr>
        <w:drawing>
          <wp:inline distT="0" distB="0" distL="0" distR="0" wp14:anchorId="5518CE97" wp14:editId="33BA4754">
            <wp:extent cx="6163310" cy="445135"/>
            <wp:effectExtent l="0" t="0" r="889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63310" cy="445135"/>
                    </a:xfrm>
                    <a:prstGeom prst="rect">
                      <a:avLst/>
                    </a:prstGeom>
                    <a:noFill/>
                  </pic:spPr>
                </pic:pic>
              </a:graphicData>
            </a:graphic>
          </wp:inline>
        </w:drawing>
      </w:r>
    </w:p>
    <w:p w14:paraId="38EBD805" w14:textId="43012D0A" w:rsidR="00A624A6" w:rsidRPr="00A568FF" w:rsidRDefault="00A624A6" w:rsidP="00A624A6">
      <w:pPr>
        <w:spacing w:after="200" w:line="276" w:lineRule="auto"/>
        <w:jc w:val="center"/>
        <w:rPr>
          <w:b/>
          <w:bCs/>
          <w:iCs/>
          <w:lang w:val="en-GB"/>
        </w:rPr>
      </w:pPr>
      <w:r w:rsidRPr="002E6885">
        <w:rPr>
          <w:b/>
          <w:bCs/>
          <w:iCs/>
          <w:color w:val="D2232A"/>
          <w:lang w:val="en-GB"/>
        </w:rPr>
        <w:t xml:space="preserve">Figure </w:t>
      </w:r>
      <w:r w:rsidRPr="002E6885">
        <w:rPr>
          <w:b/>
          <w:bCs/>
          <w:iCs/>
          <w:color w:val="D2232A"/>
          <w:lang w:val="en-GB"/>
        </w:rPr>
        <w:fldChar w:fldCharType="begin"/>
      </w:r>
      <w:r w:rsidRPr="002E6885">
        <w:rPr>
          <w:b/>
          <w:bCs/>
          <w:iCs/>
          <w:color w:val="D2232A"/>
          <w:lang w:val="en-GB"/>
        </w:rPr>
        <w:instrText xml:space="preserve"> SEQ Figure \* ARABIC </w:instrText>
      </w:r>
      <w:r w:rsidRPr="002E6885">
        <w:rPr>
          <w:b/>
          <w:bCs/>
          <w:iCs/>
          <w:color w:val="D2232A"/>
          <w:lang w:val="en-GB"/>
        </w:rPr>
        <w:fldChar w:fldCharType="separate"/>
      </w:r>
      <w:r w:rsidRPr="002E6885">
        <w:rPr>
          <w:b/>
          <w:bCs/>
          <w:iCs/>
          <w:noProof/>
          <w:color w:val="D2232A"/>
          <w:lang w:val="en-GB"/>
        </w:rPr>
        <w:t>2</w:t>
      </w:r>
      <w:r w:rsidRPr="002E6885">
        <w:rPr>
          <w:iCs/>
          <w:color w:val="D2232A"/>
          <w:lang w:val="en-GB"/>
        </w:rPr>
        <w:fldChar w:fldCharType="end"/>
      </w:r>
      <w:r w:rsidRPr="002E6885">
        <w:rPr>
          <w:b/>
          <w:bCs/>
          <w:iCs/>
          <w:color w:val="D2232A"/>
          <w:lang w:val="en-GB"/>
        </w:rPr>
        <w:t xml:space="preserve">: </w:t>
      </w:r>
      <w:r w:rsidRPr="002E6885">
        <w:rPr>
          <w:rFonts w:eastAsia="Calibri" w:cs="Arial"/>
          <w:b/>
          <w:color w:val="D2232A"/>
          <w:szCs w:val="22"/>
          <w:lang w:val="en-GB"/>
        </w:rPr>
        <w:t>Frequency</w:t>
      </w:r>
      <w:r w:rsidRPr="00A568FF">
        <w:rPr>
          <w:rFonts w:eastAsia="Calibri" w:cs="Arial"/>
          <w:b/>
          <w:color w:val="C00000"/>
          <w:szCs w:val="22"/>
          <w:lang w:val="en-GB"/>
        </w:rPr>
        <w:t xml:space="preserve"> arrangement for </w:t>
      </w:r>
      <w:r>
        <w:rPr>
          <w:rFonts w:eastAsia="Calibri" w:cs="Arial"/>
          <w:b/>
          <w:color w:val="C00000"/>
          <w:szCs w:val="22"/>
          <w:lang w:val="en-GB"/>
        </w:rPr>
        <w:t>Urban Rail</w:t>
      </w:r>
      <w:r w:rsidRPr="00A568FF">
        <w:rPr>
          <w:rFonts w:eastAsia="Calibri" w:cs="Arial"/>
          <w:b/>
          <w:color w:val="C00000"/>
          <w:szCs w:val="22"/>
          <w:lang w:val="en-GB"/>
        </w:rPr>
        <w:t xml:space="preserve"> ITS</w:t>
      </w:r>
    </w:p>
    <w:p w14:paraId="7F673406" w14:textId="0EFD6CB6" w:rsidR="00E24F5C" w:rsidRPr="00FF7641" w:rsidRDefault="00E24F5C" w:rsidP="00E24F5C">
      <w:pPr>
        <w:pStyle w:val="ECCParagraph"/>
        <w:rPr>
          <w:iCs/>
        </w:rPr>
      </w:pPr>
      <w:r w:rsidRPr="00FF7641">
        <w:rPr>
          <w:iCs/>
        </w:rPr>
        <w:t xml:space="preserve">Urban Rail ITS </w:t>
      </w:r>
      <w:r w:rsidR="008A3048">
        <w:rPr>
          <w:iCs/>
        </w:rPr>
        <w:t xml:space="preserve">in </w:t>
      </w:r>
      <w:r w:rsidR="008A3048" w:rsidRPr="00FF7641">
        <w:rPr>
          <w:iCs/>
        </w:rPr>
        <w:t>5875-5915 MHz</w:t>
      </w:r>
      <w:r w:rsidRPr="00FF7641">
        <w:rPr>
          <w:iCs/>
        </w:rPr>
        <w:t xml:space="preserve"> shall use channels within the boundaries of each 10 MHz block. Channel bandwidth may be lower than 10 MHz.</w:t>
      </w:r>
    </w:p>
    <w:p w14:paraId="3543B9C0" w14:textId="2B40288F" w:rsidR="00E24F5C" w:rsidRPr="00FF7641" w:rsidRDefault="00E24F5C" w:rsidP="00E24F5C">
      <w:pPr>
        <w:pStyle w:val="ECCParagraph"/>
        <w:rPr>
          <w:iCs/>
        </w:rPr>
      </w:pPr>
      <w:r w:rsidRPr="00FF7641">
        <w:rPr>
          <w:iCs/>
        </w:rPr>
        <w:t>In 5915-5935 MHz, the maximum channel bandwidth is 10 MHz for Urban Rail ITS. The dotted line shows the preferred harmonised frequency arrangement but, at national level, some rollouts may use a channel centred at 5925 MHz.</w:t>
      </w:r>
    </w:p>
    <w:p w14:paraId="0239C010" w14:textId="77777777" w:rsidR="00E24F5C" w:rsidRPr="00FF7641" w:rsidRDefault="00E24F5C" w:rsidP="00E24F5C">
      <w:pPr>
        <w:spacing w:after="200" w:line="276" w:lineRule="auto"/>
        <w:rPr>
          <w:iCs/>
          <w:lang w:val="en-GB"/>
        </w:rPr>
      </w:pPr>
      <w:r w:rsidRPr="00FF7641">
        <w:rPr>
          <w:iCs/>
          <w:lang w:val="en-GB"/>
        </w:rPr>
        <w:br w:type="page"/>
      </w:r>
    </w:p>
    <w:p w14:paraId="3F086CEF" w14:textId="13792827" w:rsidR="00C67F54" w:rsidRPr="00FF7641" w:rsidRDefault="00A165CD" w:rsidP="00C67F54">
      <w:pPr>
        <w:pStyle w:val="ECCAnnex-heading1"/>
      </w:pPr>
      <w:bookmarkStart w:id="7" w:name="_Ref192659534"/>
      <w:r>
        <w:lastRenderedPageBreak/>
        <w:t>Technical conditions</w:t>
      </w:r>
      <w:bookmarkEnd w:id="7"/>
    </w:p>
    <w:p w14:paraId="1FCFB1DC" w14:textId="02094D4A" w:rsidR="00A165CD" w:rsidRPr="005A1E89" w:rsidRDefault="00A165CD" w:rsidP="00A165CD">
      <w:pPr>
        <w:pStyle w:val="ECCAnnexheading2"/>
      </w:pPr>
      <w:r w:rsidRPr="005A1E89">
        <w:t>Technical conditions for all ITS devices IN THE 5875-5935 MHz</w:t>
      </w:r>
      <w:r w:rsidR="00E72325">
        <w:t xml:space="preserve"> band</w:t>
      </w:r>
    </w:p>
    <w:p w14:paraId="7DE717F0" w14:textId="746D2EF3" w:rsidR="00A165CD" w:rsidRPr="00F65AD5" w:rsidRDefault="00A165CD" w:rsidP="00A165CD">
      <w:pPr>
        <w:spacing w:after="200" w:line="276" w:lineRule="auto"/>
        <w:jc w:val="center"/>
        <w:rPr>
          <w:rFonts w:eastAsia="Calibri" w:cs="Arial"/>
          <w:b/>
          <w:color w:val="C00000"/>
          <w:szCs w:val="22"/>
          <w:lang w:val="en-GB"/>
        </w:rPr>
      </w:pPr>
      <w:bookmarkStart w:id="8" w:name="_Hlk171696766"/>
      <w:r w:rsidRPr="00F65AD5">
        <w:rPr>
          <w:rFonts w:eastAsia="Calibri" w:cs="Arial"/>
          <w:b/>
          <w:bCs/>
          <w:color w:val="C00000"/>
          <w:szCs w:val="22"/>
          <w:lang w:val="en-GB"/>
        </w:rPr>
        <w:t xml:space="preserve">Table </w:t>
      </w:r>
      <w:r w:rsidRPr="00F65AD5">
        <w:rPr>
          <w:rFonts w:eastAsia="Calibri" w:cs="Arial"/>
          <w:b/>
          <w:bCs/>
          <w:color w:val="C00000"/>
          <w:szCs w:val="22"/>
          <w:lang w:val="en-GB"/>
        </w:rPr>
        <w:fldChar w:fldCharType="begin"/>
      </w:r>
      <w:r w:rsidRPr="00F65AD5">
        <w:rPr>
          <w:rFonts w:eastAsia="Calibri" w:cs="Arial"/>
          <w:b/>
          <w:bCs/>
          <w:color w:val="C00000"/>
          <w:szCs w:val="22"/>
          <w:lang w:val="en-GB"/>
        </w:rPr>
        <w:instrText xml:space="preserve"> SEQ Table \* ARABIC </w:instrText>
      </w:r>
      <w:r w:rsidRPr="00F65AD5">
        <w:rPr>
          <w:rFonts w:eastAsia="Calibri" w:cs="Arial"/>
          <w:b/>
          <w:bCs/>
          <w:color w:val="C00000"/>
          <w:szCs w:val="22"/>
          <w:lang w:val="en-GB"/>
        </w:rPr>
        <w:fldChar w:fldCharType="separate"/>
      </w:r>
      <w:r w:rsidRPr="00F65AD5">
        <w:rPr>
          <w:rFonts w:eastAsia="Calibri" w:cs="Arial"/>
          <w:b/>
          <w:bCs/>
          <w:color w:val="C00000"/>
          <w:szCs w:val="22"/>
          <w:lang w:val="en-GB"/>
        </w:rPr>
        <w:t>1</w:t>
      </w:r>
      <w:r w:rsidRPr="00F65AD5">
        <w:rPr>
          <w:rFonts w:eastAsia="Calibri" w:cs="Arial"/>
          <w:b/>
          <w:color w:val="C00000"/>
          <w:szCs w:val="22"/>
          <w:lang w:val="en-GB"/>
        </w:rPr>
        <w:fldChar w:fldCharType="end"/>
      </w:r>
      <w:r w:rsidRPr="00F65AD5">
        <w:rPr>
          <w:rFonts w:eastAsia="Calibri" w:cs="Arial"/>
          <w:b/>
          <w:bCs/>
          <w:color w:val="C00000"/>
          <w:szCs w:val="22"/>
          <w:lang w:val="en-GB"/>
        </w:rPr>
        <w:t xml:space="preserve">: </w:t>
      </w:r>
      <w:r w:rsidRPr="00F65AD5">
        <w:rPr>
          <w:rFonts w:eastAsia="Calibri" w:cs="Arial"/>
          <w:b/>
          <w:color w:val="C00000"/>
          <w:szCs w:val="22"/>
          <w:lang w:val="en-GB"/>
        </w:rPr>
        <w:t>Requirements on all ITS devices in the 5875-5935 MHz</w:t>
      </w:r>
      <w:r w:rsidR="00E72325">
        <w:rPr>
          <w:rFonts w:eastAsia="Calibri" w:cs="Arial"/>
          <w:b/>
          <w:color w:val="C00000"/>
          <w:szCs w:val="22"/>
          <w:lang w:val="en-GB"/>
        </w:rPr>
        <w:t xml:space="preserve"> band</w:t>
      </w:r>
    </w:p>
    <w:tbl>
      <w:tblPr>
        <w:tblStyle w:val="ECCTable-redheader"/>
        <w:tblW w:w="5000" w:type="pct"/>
        <w:tblInd w:w="0" w:type="dxa"/>
        <w:tblLook w:val="04A0" w:firstRow="1" w:lastRow="0" w:firstColumn="1" w:lastColumn="0" w:noHBand="0" w:noVBand="1"/>
      </w:tblPr>
      <w:tblGrid>
        <w:gridCol w:w="2440"/>
        <w:gridCol w:w="7189"/>
      </w:tblGrid>
      <w:tr w:rsidR="00A165CD" w:rsidRPr="00F65AD5" w14:paraId="2E548AD4" w14:textId="77777777" w:rsidTr="002E6885">
        <w:trPr>
          <w:cnfStyle w:val="100000000000" w:firstRow="1" w:lastRow="0" w:firstColumn="0" w:lastColumn="0" w:oddVBand="0" w:evenVBand="0" w:oddHBand="0" w:evenHBand="0" w:firstRowFirstColumn="0" w:firstRowLastColumn="0" w:lastRowFirstColumn="0" w:lastRowLastColumn="0"/>
        </w:trPr>
        <w:tc>
          <w:tcPr>
            <w:tcW w:w="1267" w:type="pct"/>
          </w:tcPr>
          <w:p w14:paraId="258E5C48" w14:textId="77777777" w:rsidR="00A165CD" w:rsidRPr="00F65AD5" w:rsidRDefault="00A165CD" w:rsidP="00A165CD">
            <w:pPr>
              <w:rPr>
                <w:b w:val="0"/>
              </w:rPr>
            </w:pPr>
          </w:p>
        </w:tc>
        <w:tc>
          <w:tcPr>
            <w:tcW w:w="3733" w:type="pct"/>
          </w:tcPr>
          <w:p w14:paraId="61770701" w14:textId="77777777" w:rsidR="00A165CD" w:rsidRPr="00F65AD5" w:rsidRDefault="00A165CD" w:rsidP="00A165CD">
            <w:pPr>
              <w:rPr>
                <w:b w:val="0"/>
              </w:rPr>
            </w:pPr>
            <w:r w:rsidRPr="00F65AD5">
              <w:rPr>
                <w:rFonts w:cs="Arial"/>
                <w:color w:val="FFFFFF"/>
                <w:szCs w:val="20"/>
                <w:lang w:val="en-GB"/>
              </w:rPr>
              <w:t>Technical conditions</w:t>
            </w:r>
          </w:p>
        </w:tc>
      </w:tr>
      <w:tr w:rsidR="00E72325" w:rsidRPr="00F65AD5" w14:paraId="1E0D5F04" w14:textId="77777777" w:rsidTr="002E6885">
        <w:tc>
          <w:tcPr>
            <w:tcW w:w="1267" w:type="pct"/>
          </w:tcPr>
          <w:p w14:paraId="1FBD2069" w14:textId="66C938BF" w:rsidR="00E72325" w:rsidRPr="00F65AD5" w:rsidRDefault="00E72325" w:rsidP="00BD101B">
            <w:pPr>
              <w:jc w:val="left"/>
            </w:pPr>
            <w:r>
              <w:t>Power spectral density</w:t>
            </w:r>
          </w:p>
        </w:tc>
        <w:tc>
          <w:tcPr>
            <w:tcW w:w="3733" w:type="pct"/>
          </w:tcPr>
          <w:p w14:paraId="359130E4" w14:textId="180E230C" w:rsidR="00E72325" w:rsidRPr="00F65AD5" w:rsidRDefault="00E72325" w:rsidP="00BD101B">
            <w:pPr>
              <w:suppressAutoHyphens/>
              <w:spacing w:after="120"/>
              <w:jc w:val="left"/>
              <w:rPr>
                <w:rFonts w:cs="Arial"/>
                <w:szCs w:val="20"/>
                <w:lang w:val="en-GB"/>
              </w:rPr>
            </w:pPr>
            <w:r w:rsidRPr="00F65AD5">
              <w:rPr>
                <w:rFonts w:cs="Arial"/>
                <w:szCs w:val="20"/>
                <w:lang w:val="en-GB"/>
              </w:rPr>
              <w:t xml:space="preserve">≤ 23 dBm/MHz </w:t>
            </w:r>
            <w:r w:rsidRPr="002E6885">
              <w:rPr>
                <w:rFonts w:cs="Arial"/>
                <w:i/>
                <w:iCs/>
                <w:szCs w:val="20"/>
                <w:lang w:val="en-GB"/>
              </w:rPr>
              <w:t>e.i.r.p.</w:t>
            </w:r>
          </w:p>
        </w:tc>
      </w:tr>
      <w:tr w:rsidR="00A165CD" w:rsidRPr="00F65AD5" w14:paraId="3F33B59D" w14:textId="77777777" w:rsidTr="002E6885">
        <w:tc>
          <w:tcPr>
            <w:tcW w:w="1267" w:type="pct"/>
          </w:tcPr>
          <w:p w14:paraId="7C5EBC35" w14:textId="77777777" w:rsidR="00A165CD" w:rsidRPr="00F65AD5" w:rsidRDefault="00A165CD" w:rsidP="00BD101B">
            <w:pPr>
              <w:jc w:val="left"/>
            </w:pPr>
            <w:r w:rsidRPr="00F65AD5">
              <w:t>Transmit power</w:t>
            </w:r>
          </w:p>
        </w:tc>
        <w:tc>
          <w:tcPr>
            <w:tcW w:w="3733" w:type="pct"/>
          </w:tcPr>
          <w:p w14:paraId="76543769" w14:textId="6CB8C5DC" w:rsidR="00BD101B" w:rsidRDefault="00A165CD" w:rsidP="00BD101B">
            <w:pPr>
              <w:jc w:val="left"/>
              <w:rPr>
                <w:rFonts w:cs="Arial"/>
                <w:szCs w:val="20"/>
                <w:lang w:val="en-GB"/>
              </w:rPr>
            </w:pPr>
            <w:r w:rsidRPr="00F65AD5">
              <w:rPr>
                <w:rFonts w:cs="Arial"/>
                <w:szCs w:val="20"/>
                <w:lang w:val="en-GB"/>
              </w:rPr>
              <w:t xml:space="preserve">≤ 33 dBm </w:t>
            </w:r>
            <w:r w:rsidRPr="002E6885">
              <w:rPr>
                <w:rFonts w:cs="Arial"/>
                <w:i/>
                <w:iCs/>
                <w:szCs w:val="20"/>
                <w:lang w:val="en-GB"/>
              </w:rPr>
              <w:t>e.i.r.p.</w:t>
            </w:r>
            <w:r w:rsidR="00E72325">
              <w:rPr>
                <w:rFonts w:cs="Arial"/>
                <w:szCs w:val="20"/>
                <w:lang w:val="en-GB"/>
              </w:rPr>
              <w:t xml:space="preserve"> with </w:t>
            </w:r>
            <w:r w:rsidRPr="00F65AD5">
              <w:rPr>
                <w:rFonts w:cs="Arial"/>
                <w:szCs w:val="20"/>
                <w:lang w:val="en-GB"/>
              </w:rPr>
              <w:t>Transmit Power Control (TPC)</w:t>
            </w:r>
          </w:p>
          <w:p w14:paraId="36B7AB4F" w14:textId="078B8AA0" w:rsidR="00A165CD" w:rsidRPr="00F65AD5" w:rsidRDefault="00BD101B" w:rsidP="00BD101B">
            <w:pPr>
              <w:jc w:val="left"/>
            </w:pPr>
            <w:r>
              <w:rPr>
                <w:rFonts w:cs="Arial"/>
                <w:szCs w:val="20"/>
                <w:lang w:val="en-GB"/>
              </w:rPr>
              <w:t>TPC</w:t>
            </w:r>
            <w:r w:rsidR="00A165CD" w:rsidRPr="00F65AD5">
              <w:rPr>
                <w:rFonts w:cs="Arial"/>
                <w:szCs w:val="20"/>
                <w:lang w:val="en-GB"/>
              </w:rPr>
              <w:t xml:space="preserve"> shall be able to reduce the total power from its maximum to 3 dBm </w:t>
            </w:r>
            <w:r w:rsidR="00A165CD" w:rsidRPr="002E6885">
              <w:rPr>
                <w:rFonts w:cs="Arial"/>
                <w:i/>
                <w:iCs/>
                <w:szCs w:val="20"/>
                <w:lang w:val="en-GB"/>
              </w:rPr>
              <w:t>e.i.r.p.</w:t>
            </w:r>
          </w:p>
        </w:tc>
      </w:tr>
      <w:bookmarkEnd w:id="8"/>
    </w:tbl>
    <w:p w14:paraId="2F29F6B7" w14:textId="77777777" w:rsidR="00A165CD" w:rsidRPr="00FF7641" w:rsidRDefault="00A165CD" w:rsidP="00A165CD">
      <w:pPr>
        <w:pStyle w:val="ECCParagraph"/>
        <w:rPr>
          <w:iCs/>
        </w:rPr>
      </w:pPr>
    </w:p>
    <w:p w14:paraId="3DCB1F8D" w14:textId="77777777" w:rsidR="00A165CD" w:rsidRPr="00F65AD5" w:rsidRDefault="00A165CD" w:rsidP="00A165CD">
      <w:pPr>
        <w:pStyle w:val="ECCAnnexheading2"/>
      </w:pPr>
      <w:r w:rsidRPr="00F65AD5">
        <w:t>Specific technical conditions for road ITS devices</w:t>
      </w:r>
    </w:p>
    <w:p w14:paraId="3486440F" w14:textId="77777777" w:rsidR="00A165CD" w:rsidRPr="00F65AD5" w:rsidRDefault="00A165CD" w:rsidP="00A165CD">
      <w:pPr>
        <w:spacing w:after="200" w:line="276" w:lineRule="auto"/>
        <w:jc w:val="center"/>
        <w:rPr>
          <w:rFonts w:eastAsia="Calibri" w:cs="Arial"/>
          <w:b/>
          <w:color w:val="C00000"/>
          <w:szCs w:val="22"/>
          <w:lang w:val="en-GB"/>
        </w:rPr>
      </w:pPr>
      <w:r w:rsidRPr="00F65AD5">
        <w:rPr>
          <w:rFonts w:eastAsia="Calibri" w:cs="Arial"/>
          <w:b/>
          <w:bCs/>
          <w:color w:val="C00000"/>
          <w:szCs w:val="22"/>
          <w:lang w:val="en-GB"/>
        </w:rPr>
        <w:t xml:space="preserve">Table </w:t>
      </w:r>
      <w:r w:rsidRPr="00F65AD5">
        <w:rPr>
          <w:rFonts w:eastAsia="Calibri" w:cs="Arial"/>
          <w:b/>
          <w:bCs/>
          <w:color w:val="C00000"/>
          <w:szCs w:val="22"/>
          <w:lang w:val="en-GB"/>
        </w:rPr>
        <w:fldChar w:fldCharType="begin"/>
      </w:r>
      <w:r w:rsidRPr="00F65AD5">
        <w:rPr>
          <w:rFonts w:eastAsia="Calibri" w:cs="Arial"/>
          <w:b/>
          <w:bCs/>
          <w:color w:val="C00000"/>
          <w:szCs w:val="22"/>
          <w:lang w:val="en-GB"/>
        </w:rPr>
        <w:instrText xml:space="preserve"> SEQ Table \* ARABIC </w:instrText>
      </w:r>
      <w:r w:rsidRPr="00F65AD5">
        <w:rPr>
          <w:rFonts w:eastAsia="Calibri" w:cs="Arial"/>
          <w:b/>
          <w:bCs/>
          <w:color w:val="C00000"/>
          <w:szCs w:val="22"/>
          <w:lang w:val="en-GB"/>
        </w:rPr>
        <w:fldChar w:fldCharType="separate"/>
      </w:r>
      <w:r w:rsidRPr="00F65AD5">
        <w:rPr>
          <w:rFonts w:eastAsia="Calibri" w:cs="Arial"/>
          <w:b/>
          <w:bCs/>
          <w:noProof/>
          <w:color w:val="C00000"/>
          <w:szCs w:val="22"/>
          <w:lang w:val="en-GB"/>
        </w:rPr>
        <w:t>2</w:t>
      </w:r>
      <w:r w:rsidRPr="00F65AD5">
        <w:rPr>
          <w:rFonts w:eastAsia="Calibri" w:cs="Arial"/>
          <w:b/>
          <w:color w:val="C00000"/>
          <w:szCs w:val="22"/>
          <w:lang w:val="en-GB"/>
        </w:rPr>
        <w:fldChar w:fldCharType="end"/>
      </w:r>
      <w:r w:rsidRPr="00F65AD5">
        <w:rPr>
          <w:rFonts w:eastAsia="Calibri" w:cs="Arial"/>
          <w:b/>
          <w:bCs/>
          <w:color w:val="C00000"/>
          <w:szCs w:val="22"/>
          <w:lang w:val="en-GB"/>
        </w:rPr>
        <w:t xml:space="preserve">: </w:t>
      </w:r>
      <w:r w:rsidRPr="00F65AD5">
        <w:rPr>
          <w:rFonts w:eastAsia="Calibri" w:cs="Arial"/>
          <w:b/>
          <w:color w:val="C00000"/>
          <w:szCs w:val="22"/>
          <w:lang w:val="en-GB"/>
        </w:rPr>
        <w:t>Requirements specific to Road ITS devices</w:t>
      </w:r>
    </w:p>
    <w:tbl>
      <w:tblPr>
        <w:tblStyle w:val="ECCTable-redheader"/>
        <w:tblW w:w="3899" w:type="pct"/>
        <w:tblInd w:w="0" w:type="dxa"/>
        <w:tblLook w:val="04A0" w:firstRow="1" w:lastRow="0" w:firstColumn="1" w:lastColumn="0" w:noHBand="0" w:noVBand="1"/>
      </w:tblPr>
      <w:tblGrid>
        <w:gridCol w:w="3739"/>
        <w:gridCol w:w="3770"/>
      </w:tblGrid>
      <w:tr w:rsidR="00A165CD" w:rsidRPr="00F65AD5" w14:paraId="42FE2EB1" w14:textId="77777777" w:rsidTr="002E6885">
        <w:trPr>
          <w:cnfStyle w:val="100000000000" w:firstRow="1" w:lastRow="0" w:firstColumn="0" w:lastColumn="0" w:oddVBand="0" w:evenVBand="0" w:oddHBand="0" w:evenHBand="0" w:firstRowFirstColumn="0" w:firstRowLastColumn="0" w:lastRowFirstColumn="0" w:lastRowLastColumn="0"/>
        </w:trPr>
        <w:tc>
          <w:tcPr>
            <w:tcW w:w="2490" w:type="pct"/>
          </w:tcPr>
          <w:p w14:paraId="1134302D" w14:textId="4EF6D14D" w:rsidR="00A165CD" w:rsidRPr="00F65AD5" w:rsidRDefault="00A165CD" w:rsidP="00A165CD"/>
        </w:tc>
        <w:tc>
          <w:tcPr>
            <w:tcW w:w="2510" w:type="pct"/>
          </w:tcPr>
          <w:p w14:paraId="1DEDB324" w14:textId="6DC85767" w:rsidR="00A165CD" w:rsidRPr="00F65AD5" w:rsidRDefault="00A165CD" w:rsidP="00A165CD">
            <w:pPr>
              <w:rPr>
                <w:b w:val="0"/>
              </w:rPr>
            </w:pPr>
            <w:r w:rsidRPr="00F65AD5">
              <w:rPr>
                <w:rFonts w:cs="Arial"/>
                <w:color w:val="FFFFFF"/>
                <w:szCs w:val="20"/>
                <w:lang w:val="en-GB"/>
              </w:rPr>
              <w:t>Technical conditions</w:t>
            </w:r>
          </w:p>
        </w:tc>
      </w:tr>
      <w:tr w:rsidR="00A165CD" w:rsidRPr="00D3004E" w14:paraId="720C1254" w14:textId="77777777" w:rsidTr="002E6885">
        <w:tc>
          <w:tcPr>
            <w:tcW w:w="2490" w:type="pct"/>
          </w:tcPr>
          <w:p w14:paraId="2C520223" w14:textId="77777777" w:rsidR="00A165CD" w:rsidRPr="00F65AD5" w:rsidRDefault="00A165CD" w:rsidP="00A165CD">
            <w:pPr>
              <w:jc w:val="left"/>
            </w:pPr>
            <w:r w:rsidRPr="00F65AD5">
              <w:rPr>
                <w:rFonts w:cs="Arial"/>
                <w:szCs w:val="22"/>
                <w:lang w:val="en-GB"/>
              </w:rPr>
              <w:t>Unwanted emissions above 5925 MHz</w:t>
            </w:r>
          </w:p>
        </w:tc>
        <w:tc>
          <w:tcPr>
            <w:tcW w:w="2510" w:type="pct"/>
          </w:tcPr>
          <w:p w14:paraId="6128B747" w14:textId="77777777" w:rsidR="00A165CD" w:rsidRPr="00F65AD5" w:rsidRDefault="00A165CD" w:rsidP="00A165CD">
            <w:pPr>
              <w:jc w:val="left"/>
            </w:pPr>
            <w:r w:rsidRPr="00F65AD5">
              <w:rPr>
                <w:rFonts w:cs="Arial"/>
                <w:szCs w:val="22"/>
                <w:lang w:val="en-GB"/>
              </w:rPr>
              <w:t xml:space="preserve">≤ -30 dBm/MHz </w:t>
            </w:r>
            <w:r w:rsidRPr="002E6885">
              <w:rPr>
                <w:rFonts w:cs="Arial"/>
                <w:i/>
                <w:iCs/>
                <w:szCs w:val="22"/>
                <w:lang w:val="en-GB"/>
              </w:rPr>
              <w:t>e.i.r.p.</w:t>
            </w:r>
          </w:p>
        </w:tc>
      </w:tr>
    </w:tbl>
    <w:p w14:paraId="7CFA1892" w14:textId="77777777" w:rsidR="00A165CD" w:rsidRPr="00FF7641" w:rsidRDefault="00A165CD" w:rsidP="00A165CD">
      <w:pPr>
        <w:pStyle w:val="ECCParagraph"/>
        <w:rPr>
          <w:iCs/>
        </w:rPr>
      </w:pPr>
    </w:p>
    <w:p w14:paraId="218D878F" w14:textId="77777777" w:rsidR="00A165CD" w:rsidRPr="00FF7641" w:rsidRDefault="00A165CD" w:rsidP="00A165CD">
      <w:pPr>
        <w:spacing w:after="200" w:line="276" w:lineRule="auto"/>
        <w:rPr>
          <w:iCs/>
          <w:lang w:val="en-GB"/>
        </w:rPr>
      </w:pPr>
      <w:r w:rsidRPr="00FF7641">
        <w:rPr>
          <w:iCs/>
          <w:lang w:val="en-GB"/>
        </w:rPr>
        <w:br w:type="page"/>
      </w:r>
    </w:p>
    <w:p w14:paraId="1E5FE137" w14:textId="427F0E11" w:rsidR="00264BFD" w:rsidRPr="00FF7641" w:rsidRDefault="00264BFD" w:rsidP="00264BFD">
      <w:pPr>
        <w:pStyle w:val="ECCAnnex-heading1"/>
      </w:pPr>
      <w:r>
        <w:lastRenderedPageBreak/>
        <w:t>List of references</w:t>
      </w:r>
    </w:p>
    <w:bookmarkStart w:id="9" w:name="_Ref34827875"/>
    <w:bookmarkStart w:id="10" w:name="_Ref179481797"/>
    <w:p w14:paraId="542B99FE" w14:textId="3550E25B" w:rsidR="00E24F5C" w:rsidRPr="00FF7641" w:rsidRDefault="00802454" w:rsidP="00D9331C">
      <w:pPr>
        <w:pStyle w:val="reference"/>
        <w:tabs>
          <w:tab w:val="clear" w:pos="2382"/>
          <w:tab w:val="left" w:pos="397"/>
        </w:tabs>
        <w:spacing w:before="60" w:after="60"/>
        <w:ind w:left="397"/>
        <w:rPr>
          <w:lang w:val="en-GB"/>
        </w:rPr>
      </w:pPr>
      <w:r w:rsidRPr="00FF7641">
        <w:rPr>
          <w:lang w:val="en-GB"/>
        </w:rPr>
        <w:fldChar w:fldCharType="begin"/>
      </w:r>
      <w:r w:rsidRPr="00FF7641">
        <w:rPr>
          <w:lang w:val="en-GB"/>
        </w:rPr>
        <w:instrText xml:space="preserve"> HYPERLINK "https://docdb.cept.org/document/9683" </w:instrText>
      </w:r>
      <w:r w:rsidRPr="00FF7641">
        <w:rPr>
          <w:lang w:val="en-GB"/>
        </w:rPr>
      </w:r>
      <w:r w:rsidRPr="00FF7641">
        <w:rPr>
          <w:lang w:val="en-GB"/>
        </w:rPr>
        <w:fldChar w:fldCharType="separate"/>
      </w:r>
      <w:r w:rsidR="00E24F5C" w:rsidRPr="00FF7641">
        <w:rPr>
          <w:rStyle w:val="Hyperlink"/>
          <w:lang w:val="en-GB"/>
        </w:rPr>
        <w:t>CEPT Report 71</w:t>
      </w:r>
      <w:r w:rsidRPr="00FF7641">
        <w:rPr>
          <w:lang w:val="en-GB"/>
        </w:rPr>
        <w:fldChar w:fldCharType="end"/>
      </w:r>
      <w:r w:rsidR="00E24F5C" w:rsidRPr="00FF7641">
        <w:rPr>
          <w:lang w:val="en-GB"/>
        </w:rPr>
        <w:t>: “Report from CEPT to the European Commission in response to the Mandate to study the extension of the Intelligent Transport Systems (ITS) safety-related band at 5.9 GHz”</w:t>
      </w:r>
      <w:bookmarkEnd w:id="9"/>
      <w:r w:rsidR="002B1B70" w:rsidRPr="00FF7641">
        <w:rPr>
          <w:lang w:val="en-GB"/>
        </w:rPr>
        <w:t xml:space="preserve">, </w:t>
      </w:r>
      <w:r w:rsidR="000D363F">
        <w:rPr>
          <w:lang w:val="en-GB"/>
        </w:rPr>
        <w:t>approved</w:t>
      </w:r>
      <w:r w:rsidR="000D363F" w:rsidRPr="00FF7641">
        <w:rPr>
          <w:lang w:val="en-GB"/>
        </w:rPr>
        <w:t xml:space="preserve"> </w:t>
      </w:r>
      <w:r w:rsidR="002B1B70" w:rsidRPr="00FF7641">
        <w:rPr>
          <w:lang w:val="en-GB"/>
        </w:rPr>
        <w:t>March 2019</w:t>
      </w:r>
      <w:bookmarkEnd w:id="10"/>
    </w:p>
    <w:bookmarkStart w:id="11" w:name="_Ref34827920"/>
    <w:bookmarkStart w:id="12" w:name="_Ref179481649"/>
    <w:p w14:paraId="27BF942B" w14:textId="16E3091D" w:rsidR="00E24F5C" w:rsidRPr="00FF7641" w:rsidRDefault="00DF41B5" w:rsidP="00D9331C">
      <w:pPr>
        <w:pStyle w:val="reference"/>
        <w:tabs>
          <w:tab w:val="clear" w:pos="2382"/>
          <w:tab w:val="left" w:pos="397"/>
        </w:tabs>
        <w:spacing w:before="60" w:after="60"/>
        <w:ind w:left="397"/>
        <w:rPr>
          <w:lang w:val="en-GB"/>
        </w:rPr>
      </w:pPr>
      <w:r w:rsidRPr="00FF7641">
        <w:rPr>
          <w:lang w:val="en-GB"/>
        </w:rPr>
        <w:fldChar w:fldCharType="begin"/>
      </w:r>
      <w:r w:rsidR="00786BBA">
        <w:rPr>
          <w:lang w:val="en-GB"/>
        </w:rPr>
        <w:instrText>HYPERLINK "https://docdb.cept.org/document/209"</w:instrText>
      </w:r>
      <w:r w:rsidRPr="00FF7641">
        <w:rPr>
          <w:lang w:val="en-GB"/>
        </w:rPr>
      </w:r>
      <w:r w:rsidRPr="00FF7641">
        <w:rPr>
          <w:lang w:val="en-GB"/>
        </w:rPr>
        <w:fldChar w:fldCharType="separate"/>
      </w:r>
      <w:r w:rsidR="00E24F5C" w:rsidRPr="00FF7641">
        <w:rPr>
          <w:rStyle w:val="Hyperlink"/>
          <w:lang w:val="en-GB"/>
        </w:rPr>
        <w:t>ECC Report 101</w:t>
      </w:r>
      <w:r w:rsidRPr="00FF7641">
        <w:rPr>
          <w:lang w:val="en-GB"/>
        </w:rPr>
        <w:fldChar w:fldCharType="end"/>
      </w:r>
      <w:r w:rsidR="00E24F5C" w:rsidRPr="00FF7641">
        <w:rPr>
          <w:lang w:val="en-GB"/>
        </w:rPr>
        <w:t>: “Compatibility studies in the band 5855–5925 MHz between Intelligent Transport Systems (ITS) and other systems”</w:t>
      </w:r>
      <w:bookmarkEnd w:id="11"/>
      <w:r w:rsidR="005C7F3F" w:rsidRPr="00FF7641">
        <w:rPr>
          <w:lang w:val="en-GB"/>
        </w:rPr>
        <w:t xml:space="preserve">, </w:t>
      </w:r>
      <w:r w:rsidR="000D363F">
        <w:rPr>
          <w:lang w:val="en-GB"/>
        </w:rPr>
        <w:t>approved</w:t>
      </w:r>
      <w:r w:rsidR="000D363F" w:rsidRPr="00FF7641">
        <w:rPr>
          <w:lang w:val="en-GB"/>
        </w:rPr>
        <w:t xml:space="preserve"> </w:t>
      </w:r>
      <w:r w:rsidR="005C7F3F" w:rsidRPr="00FF7641">
        <w:rPr>
          <w:lang w:val="en-GB"/>
        </w:rPr>
        <w:t>February 2007</w:t>
      </w:r>
      <w:bookmarkEnd w:id="12"/>
    </w:p>
    <w:bookmarkStart w:id="13" w:name="_Ref34828000"/>
    <w:bookmarkStart w:id="14" w:name="_Ref179481692"/>
    <w:p w14:paraId="7BA408DD" w14:textId="2A5BECF4" w:rsidR="00E24F5C" w:rsidRPr="00FF7641" w:rsidRDefault="00492D12" w:rsidP="00D9331C">
      <w:pPr>
        <w:pStyle w:val="reference"/>
        <w:tabs>
          <w:tab w:val="clear" w:pos="2382"/>
          <w:tab w:val="left" w:pos="397"/>
        </w:tabs>
        <w:spacing w:before="60" w:after="60"/>
        <w:ind w:left="397"/>
        <w:rPr>
          <w:lang w:val="en-GB"/>
        </w:rPr>
      </w:pPr>
      <w:r w:rsidRPr="00FF7641">
        <w:rPr>
          <w:lang w:val="en-GB"/>
        </w:rPr>
        <w:fldChar w:fldCharType="begin"/>
      </w:r>
      <w:r w:rsidRPr="00FF7641">
        <w:rPr>
          <w:lang w:val="en-GB"/>
        </w:rPr>
        <w:instrText xml:space="preserve"> HYPERLINK "https://docdb.cept.org/document/334" </w:instrText>
      </w:r>
      <w:r w:rsidRPr="00FF7641">
        <w:rPr>
          <w:lang w:val="en-GB"/>
        </w:rPr>
      </w:r>
      <w:r w:rsidRPr="00FF7641">
        <w:rPr>
          <w:lang w:val="en-GB"/>
        </w:rPr>
        <w:fldChar w:fldCharType="separate"/>
      </w:r>
      <w:r w:rsidR="00E24F5C" w:rsidRPr="00FF7641">
        <w:rPr>
          <w:rStyle w:val="Hyperlink"/>
          <w:lang w:val="en-GB"/>
        </w:rPr>
        <w:t>ECC Report 228</w:t>
      </w:r>
      <w:r w:rsidRPr="00FF7641">
        <w:rPr>
          <w:lang w:val="en-GB"/>
        </w:rPr>
        <w:fldChar w:fldCharType="end"/>
      </w:r>
      <w:r w:rsidR="00E24F5C" w:rsidRPr="00FF7641">
        <w:rPr>
          <w:lang w:val="en-GB"/>
        </w:rPr>
        <w:t>: “Compatibility studies between Intelligent Transport Systems (ITS) in the band 5855-5925 MHz and other systems in adjacent bands”</w:t>
      </w:r>
      <w:bookmarkEnd w:id="13"/>
      <w:r w:rsidR="005C7F3F" w:rsidRPr="00FF7641">
        <w:rPr>
          <w:lang w:val="en-GB"/>
        </w:rPr>
        <w:t xml:space="preserve">, </w:t>
      </w:r>
      <w:r w:rsidR="000D363F">
        <w:rPr>
          <w:lang w:val="en-GB"/>
        </w:rPr>
        <w:t>approved</w:t>
      </w:r>
      <w:r w:rsidR="000D363F" w:rsidRPr="00FF7641">
        <w:rPr>
          <w:lang w:val="en-GB"/>
        </w:rPr>
        <w:t xml:space="preserve"> </w:t>
      </w:r>
      <w:r w:rsidR="005C7F3F" w:rsidRPr="00FF7641">
        <w:rPr>
          <w:lang w:val="en-GB"/>
        </w:rPr>
        <w:t>January 2015</w:t>
      </w:r>
      <w:bookmarkEnd w:id="14"/>
    </w:p>
    <w:bookmarkStart w:id="15" w:name="_Ref34828086"/>
    <w:bookmarkStart w:id="16" w:name="_Ref179481706"/>
    <w:p w14:paraId="5EF4FEEB" w14:textId="240D50B9" w:rsidR="00E24F5C" w:rsidRPr="00FF7641" w:rsidRDefault="002A2B60" w:rsidP="00D9331C">
      <w:pPr>
        <w:pStyle w:val="reference"/>
        <w:tabs>
          <w:tab w:val="clear" w:pos="2382"/>
          <w:tab w:val="left" w:pos="397"/>
        </w:tabs>
        <w:spacing w:before="60" w:after="60"/>
        <w:ind w:left="397"/>
        <w:rPr>
          <w:lang w:val="en-GB"/>
        </w:rPr>
      </w:pPr>
      <w:r w:rsidRPr="00FF7641">
        <w:rPr>
          <w:lang w:val="en-GB"/>
        </w:rPr>
        <w:fldChar w:fldCharType="begin"/>
      </w:r>
      <w:r w:rsidRPr="00FF7641">
        <w:rPr>
          <w:lang w:val="en-GB"/>
        </w:rPr>
        <w:instrText xml:space="preserve"> HYPERLINK "https://docdb.cept.org/document/8210" </w:instrText>
      </w:r>
      <w:r w:rsidRPr="00FF7641">
        <w:rPr>
          <w:lang w:val="en-GB"/>
        </w:rPr>
      </w:r>
      <w:r w:rsidRPr="00FF7641">
        <w:rPr>
          <w:lang w:val="en-GB"/>
        </w:rPr>
        <w:fldChar w:fldCharType="separate"/>
      </w:r>
      <w:r w:rsidR="00E24F5C" w:rsidRPr="00FF7641">
        <w:rPr>
          <w:rStyle w:val="Hyperlink"/>
          <w:lang w:val="en-GB"/>
        </w:rPr>
        <w:t>ECC Report 290</w:t>
      </w:r>
      <w:r w:rsidRPr="00FF7641">
        <w:rPr>
          <w:lang w:val="en-GB"/>
        </w:rPr>
        <w:fldChar w:fldCharType="end"/>
      </w:r>
      <w:r w:rsidR="00E24F5C" w:rsidRPr="00FF7641">
        <w:rPr>
          <w:lang w:val="en-GB"/>
        </w:rPr>
        <w:t>: “Studies to examine the applicability of ECC Reports 101 and 228 for various Intelligent Transport Systems (ITS) technologies under EC Mandate (RSCOM 17-26Rev.3)”</w:t>
      </w:r>
      <w:bookmarkEnd w:id="15"/>
      <w:r w:rsidR="005C7F3F" w:rsidRPr="00FF7641">
        <w:rPr>
          <w:lang w:val="en-GB"/>
        </w:rPr>
        <w:t xml:space="preserve">, </w:t>
      </w:r>
      <w:r w:rsidR="000D363F">
        <w:rPr>
          <w:lang w:val="en-GB"/>
        </w:rPr>
        <w:t>approved</w:t>
      </w:r>
      <w:r w:rsidR="000D363F" w:rsidRPr="00FF7641">
        <w:rPr>
          <w:lang w:val="en-GB"/>
        </w:rPr>
        <w:t xml:space="preserve"> </w:t>
      </w:r>
      <w:r w:rsidR="005C7F3F" w:rsidRPr="00FF7641">
        <w:rPr>
          <w:lang w:val="en-GB"/>
        </w:rPr>
        <w:t>January 2019</w:t>
      </w:r>
      <w:bookmarkEnd w:id="16"/>
    </w:p>
    <w:bookmarkStart w:id="17" w:name="_Ref34828136"/>
    <w:bookmarkStart w:id="18" w:name="_Ref179481717"/>
    <w:p w14:paraId="77E4684A" w14:textId="5293FEA7" w:rsidR="00E24F5C" w:rsidRPr="00FF7641" w:rsidRDefault="0082417A" w:rsidP="00D9331C">
      <w:pPr>
        <w:pStyle w:val="reference"/>
        <w:tabs>
          <w:tab w:val="clear" w:pos="2382"/>
          <w:tab w:val="left" w:pos="397"/>
        </w:tabs>
        <w:spacing w:before="60" w:after="60"/>
        <w:ind w:left="397"/>
        <w:rPr>
          <w:lang w:val="en-GB"/>
        </w:rPr>
      </w:pPr>
      <w:r w:rsidRPr="00FF7641">
        <w:rPr>
          <w:lang w:val="en-GB"/>
        </w:rPr>
        <w:fldChar w:fldCharType="begin"/>
      </w:r>
      <w:r w:rsidRPr="00FF7641">
        <w:rPr>
          <w:lang w:val="en-GB"/>
        </w:rPr>
        <w:instrText xml:space="preserve"> HYPERLINK "https://docdb.cept.org/document/8212" </w:instrText>
      </w:r>
      <w:r w:rsidRPr="00FF7641">
        <w:rPr>
          <w:lang w:val="en-GB"/>
        </w:rPr>
      </w:r>
      <w:r w:rsidRPr="00FF7641">
        <w:rPr>
          <w:lang w:val="en-GB"/>
        </w:rPr>
        <w:fldChar w:fldCharType="separate"/>
      </w:r>
      <w:r w:rsidR="00E24F5C" w:rsidRPr="00FF7641">
        <w:rPr>
          <w:rStyle w:val="Hyperlink"/>
          <w:lang w:val="en-GB"/>
        </w:rPr>
        <w:t>ECC Report 291</w:t>
      </w:r>
      <w:r w:rsidRPr="00FF7641">
        <w:rPr>
          <w:lang w:val="en-GB"/>
        </w:rPr>
        <w:fldChar w:fldCharType="end"/>
      </w:r>
      <w:r w:rsidR="00E24F5C" w:rsidRPr="00FF7641">
        <w:rPr>
          <w:lang w:val="en-GB"/>
        </w:rPr>
        <w:t>: “Compatibility studies between smart tachograph, weight&amp;dimension applications and systems operating in the band 5795-5815 MHz and in the adjacent bands”</w:t>
      </w:r>
      <w:bookmarkEnd w:id="17"/>
      <w:r w:rsidR="005C7F3F" w:rsidRPr="00FF7641">
        <w:rPr>
          <w:lang w:val="en-GB"/>
        </w:rPr>
        <w:t xml:space="preserve">, </w:t>
      </w:r>
      <w:r w:rsidR="000D363F">
        <w:rPr>
          <w:lang w:val="en-GB"/>
        </w:rPr>
        <w:t>approved</w:t>
      </w:r>
      <w:r w:rsidR="000D363F" w:rsidRPr="00FF7641">
        <w:rPr>
          <w:lang w:val="en-GB"/>
        </w:rPr>
        <w:t xml:space="preserve"> </w:t>
      </w:r>
      <w:r w:rsidR="005C7F3F" w:rsidRPr="00FF7641">
        <w:rPr>
          <w:lang w:val="en-GB"/>
        </w:rPr>
        <w:t>January 2019</w:t>
      </w:r>
      <w:bookmarkEnd w:id="18"/>
    </w:p>
    <w:bookmarkStart w:id="19" w:name="_Ref34828170"/>
    <w:p w14:paraId="1081E6CE" w14:textId="5E8C85A3" w:rsidR="00E24F5C" w:rsidRPr="00FF7641" w:rsidRDefault="00C61ECD" w:rsidP="00D9331C">
      <w:pPr>
        <w:pStyle w:val="reference"/>
        <w:tabs>
          <w:tab w:val="clear" w:pos="2382"/>
          <w:tab w:val="left" w:pos="397"/>
        </w:tabs>
        <w:spacing w:before="60" w:after="60"/>
        <w:ind w:left="397"/>
        <w:rPr>
          <w:lang w:val="en-GB"/>
        </w:rPr>
      </w:pPr>
      <w:r w:rsidRPr="00FF7641">
        <w:rPr>
          <w:lang w:val="en-GB"/>
        </w:rPr>
        <w:fldChar w:fldCharType="begin"/>
      </w:r>
      <w:r w:rsidRPr="00FF7641">
        <w:rPr>
          <w:lang w:val="en-GB"/>
        </w:rPr>
        <w:instrText xml:space="preserve"> HYPERLINK "https://docdb.cept.org/document/10170" </w:instrText>
      </w:r>
      <w:r w:rsidRPr="00FF7641">
        <w:rPr>
          <w:lang w:val="en-GB"/>
        </w:rPr>
      </w:r>
      <w:r w:rsidRPr="00FF7641">
        <w:rPr>
          <w:lang w:val="en-GB"/>
        </w:rPr>
        <w:fldChar w:fldCharType="separate"/>
      </w:r>
      <w:r w:rsidR="00E24F5C" w:rsidRPr="00FF7641">
        <w:rPr>
          <w:rStyle w:val="Hyperlink"/>
          <w:lang w:val="en-GB"/>
        </w:rPr>
        <w:t>ECC Report 302</w:t>
      </w:r>
      <w:r w:rsidRPr="00FF7641">
        <w:rPr>
          <w:lang w:val="en-GB"/>
        </w:rPr>
        <w:fldChar w:fldCharType="end"/>
      </w:r>
      <w:r w:rsidR="00E24F5C" w:rsidRPr="00FF7641">
        <w:rPr>
          <w:lang w:val="en-GB"/>
        </w:rPr>
        <w:t>: “Sharing and compatibility studies related to Wireless Access Systems including Radio Local Area Networks (WAS/RLAN) in the frequency band 5925-6425 MHz</w:t>
      </w:r>
      <w:bookmarkEnd w:id="19"/>
      <w:r w:rsidR="005C7F3F" w:rsidRPr="00FF7641">
        <w:rPr>
          <w:lang w:val="en-GB"/>
        </w:rPr>
        <w:t>”</w:t>
      </w:r>
      <w:r w:rsidR="002B1B70" w:rsidRPr="00FF7641">
        <w:rPr>
          <w:lang w:val="en-GB"/>
        </w:rPr>
        <w:t>,</w:t>
      </w:r>
      <w:r w:rsidR="005C7F3F" w:rsidRPr="00FF7641">
        <w:rPr>
          <w:lang w:val="en-GB"/>
        </w:rPr>
        <w:t xml:space="preserve"> </w:t>
      </w:r>
      <w:r w:rsidR="000D363F">
        <w:rPr>
          <w:lang w:val="en-GB"/>
        </w:rPr>
        <w:t>approved</w:t>
      </w:r>
      <w:r w:rsidR="000D363F" w:rsidRPr="00FF7641">
        <w:rPr>
          <w:lang w:val="en-GB"/>
        </w:rPr>
        <w:t xml:space="preserve"> </w:t>
      </w:r>
      <w:r w:rsidR="005C7F3F" w:rsidRPr="00FF7641">
        <w:rPr>
          <w:lang w:val="en-GB"/>
        </w:rPr>
        <w:t>May 2019</w:t>
      </w:r>
    </w:p>
    <w:p w14:paraId="0A2C9126" w14:textId="5DFA0B06" w:rsidR="00E24F5C" w:rsidRPr="00FF7641" w:rsidRDefault="00E24F5C" w:rsidP="00316E82">
      <w:pPr>
        <w:pStyle w:val="reference"/>
        <w:tabs>
          <w:tab w:val="clear" w:pos="2382"/>
          <w:tab w:val="left" w:pos="397"/>
        </w:tabs>
        <w:spacing w:before="60" w:after="60"/>
        <w:ind w:left="397"/>
        <w:rPr>
          <w:lang w:val="en-GB"/>
        </w:rPr>
      </w:pPr>
      <w:bookmarkStart w:id="20" w:name="_Ref34828301"/>
      <w:bookmarkStart w:id="21" w:name="_Hlk25157336"/>
      <w:r w:rsidRPr="00FF7641">
        <w:rPr>
          <w:lang w:val="en-GB"/>
        </w:rPr>
        <w:t>ETSI TR 102 492-1/2: ETSI System Reference Document on “Intelligent Transport System;</w:t>
      </w:r>
      <w:bookmarkEnd w:id="20"/>
    </w:p>
    <w:p w14:paraId="6AC91E57" w14:textId="77777777" w:rsidR="00E24F5C" w:rsidRPr="00FF7641" w:rsidRDefault="00E24F5C" w:rsidP="000D2338">
      <w:pPr>
        <w:pStyle w:val="reference"/>
        <w:numPr>
          <w:ilvl w:val="0"/>
          <w:numId w:val="0"/>
        </w:numPr>
        <w:spacing w:before="60" w:after="60"/>
        <w:ind w:left="397"/>
        <w:rPr>
          <w:lang w:val="en-GB"/>
        </w:rPr>
      </w:pPr>
      <w:r w:rsidRPr="00FF7641">
        <w:rPr>
          <w:lang w:val="en-GB"/>
        </w:rPr>
        <w:t>“Part 1: Technical characteristics for pan-European harmonized communications equipment operating in the 5 GHz frequency range and intended for critical road-safety applications”</w:t>
      </w:r>
    </w:p>
    <w:p w14:paraId="409DF102" w14:textId="77777777" w:rsidR="00E24F5C" w:rsidRPr="00FF7641" w:rsidRDefault="00E24F5C" w:rsidP="000D2338">
      <w:pPr>
        <w:pStyle w:val="reference"/>
        <w:numPr>
          <w:ilvl w:val="0"/>
          <w:numId w:val="0"/>
        </w:numPr>
        <w:spacing w:before="60" w:after="60"/>
        <w:ind w:left="397"/>
        <w:rPr>
          <w:lang w:val="en-GB"/>
        </w:rPr>
      </w:pPr>
      <w:r w:rsidRPr="00FF7641">
        <w:rPr>
          <w:lang w:val="en-GB"/>
        </w:rPr>
        <w:t>“Part 2: Technical characteristics for pan European harmonized communications equipment operating in the 5 GHz frequency range intended for road safety and traffic management, and for non-safety related ITS applications”</w:t>
      </w:r>
    </w:p>
    <w:p w14:paraId="0633A7E1" w14:textId="4E1AD6F3" w:rsidR="00E24F5C" w:rsidRPr="00FF7641" w:rsidRDefault="00E24F5C" w:rsidP="009872B1">
      <w:pPr>
        <w:pStyle w:val="reference"/>
        <w:tabs>
          <w:tab w:val="clear" w:pos="2382"/>
          <w:tab w:val="left" w:pos="397"/>
        </w:tabs>
        <w:spacing w:before="60" w:after="60"/>
        <w:ind w:left="397"/>
        <w:rPr>
          <w:lang w:val="en-GB"/>
        </w:rPr>
      </w:pPr>
      <w:bookmarkStart w:id="22" w:name="_Ref34828325"/>
      <w:bookmarkEnd w:id="21"/>
      <w:r w:rsidRPr="00FF7641">
        <w:rPr>
          <w:lang w:val="en-GB"/>
        </w:rPr>
        <w:t>ETSI EN 302 571: “Harmonised European Standard on “Intelligent Transport Systems (ITS); Radiocommunications equipment operating in the 5 855 MHz to 5 925 MHz frequency band; Harmonised Standard covering the essential requirements of article 3.2 of Directive 2014/53/EU”</w:t>
      </w:r>
      <w:bookmarkEnd w:id="22"/>
      <w:r w:rsidRPr="00FF7641">
        <w:rPr>
          <w:lang w:val="en-GB"/>
        </w:rPr>
        <w:t xml:space="preserve"> </w:t>
      </w:r>
    </w:p>
    <w:p w14:paraId="06BC2787" w14:textId="47337CE5" w:rsidR="00E24F5C" w:rsidRPr="00FF7641" w:rsidRDefault="00E24F5C" w:rsidP="00316E82">
      <w:pPr>
        <w:pStyle w:val="reference"/>
        <w:tabs>
          <w:tab w:val="clear" w:pos="2382"/>
          <w:tab w:val="left" w:pos="397"/>
        </w:tabs>
        <w:spacing w:before="60" w:after="60"/>
        <w:ind w:left="397"/>
        <w:rPr>
          <w:lang w:val="en-GB"/>
        </w:rPr>
      </w:pPr>
      <w:bookmarkStart w:id="23" w:name="_Ref34828356"/>
      <w:r w:rsidRPr="00FF7641">
        <w:rPr>
          <w:lang w:val="en-GB"/>
        </w:rPr>
        <w:t>ETSI TR 103 111: “System Reference Document on “Spectrum requirements for Urban Rail Systems in the 5.9 GHz range”</w:t>
      </w:r>
      <w:bookmarkEnd w:id="23"/>
    </w:p>
    <w:p w14:paraId="7B450FC6" w14:textId="6DD86018" w:rsidR="00E24F5C" w:rsidRPr="00FF7641" w:rsidRDefault="00AD6F59" w:rsidP="00316E82">
      <w:pPr>
        <w:pStyle w:val="reference"/>
        <w:tabs>
          <w:tab w:val="clear" w:pos="2382"/>
          <w:tab w:val="left" w:pos="397"/>
        </w:tabs>
        <w:spacing w:before="60" w:after="60"/>
        <w:ind w:left="397"/>
        <w:rPr>
          <w:lang w:val="en-GB"/>
        </w:rPr>
      </w:pPr>
      <w:bookmarkStart w:id="24" w:name="_Ref34828382"/>
      <w:bookmarkStart w:id="25" w:name="_Ref34167144"/>
      <w:r w:rsidRPr="00FF7641">
        <w:rPr>
          <w:lang w:val="en-GB"/>
        </w:rPr>
        <w:t>RSCOM17-26 rev3</w:t>
      </w:r>
      <w:r w:rsidR="00E24F5C" w:rsidRPr="00FF7641">
        <w:rPr>
          <w:lang w:val="en-GB"/>
        </w:rPr>
        <w:t>: “Mandate to CEPT to study the extension of the Intelligent Transport Systems (ITS) safety-related band at 5.9 GHz”</w:t>
      </w:r>
      <w:bookmarkEnd w:id="24"/>
      <w:r w:rsidR="00C320D8">
        <w:rPr>
          <w:lang w:val="en-GB"/>
        </w:rPr>
        <w:t>, October 2017</w:t>
      </w:r>
      <w:r w:rsidR="00E24F5C" w:rsidRPr="00FF7641">
        <w:rPr>
          <w:lang w:val="en-GB"/>
        </w:rPr>
        <w:t xml:space="preserve"> </w:t>
      </w:r>
      <w:bookmarkEnd w:id="25"/>
    </w:p>
    <w:p w14:paraId="237B25CD" w14:textId="77777777" w:rsidR="00E24F5C" w:rsidRPr="00FF7641" w:rsidRDefault="00E24F5C" w:rsidP="00316E82">
      <w:pPr>
        <w:pStyle w:val="reference"/>
        <w:tabs>
          <w:tab w:val="clear" w:pos="2382"/>
          <w:tab w:val="left" w:pos="397"/>
        </w:tabs>
        <w:spacing w:before="60" w:after="60"/>
        <w:ind w:left="397"/>
        <w:rPr>
          <w:lang w:val="en-GB"/>
        </w:rPr>
      </w:pPr>
      <w:bookmarkStart w:id="26" w:name="_Ref34828468"/>
      <w:r w:rsidRPr="00FF7641">
        <w:rPr>
          <w:lang w:val="en-GB"/>
        </w:rPr>
        <w:t>Directive 2014/53/EU of the European Parliament and of the Council of 16 April 2014 on the harmonisation of the laws of the Member States relating to the making available on the market of radio equipment and repealing Directive 1999/5/EC Text with EEA relevance</w:t>
      </w:r>
      <w:bookmarkEnd w:id="26"/>
      <w:r w:rsidRPr="00FF7641">
        <w:rPr>
          <w:lang w:val="en-GB"/>
        </w:rPr>
        <w:t xml:space="preserve"> </w:t>
      </w:r>
    </w:p>
    <w:p w14:paraId="46660183" w14:textId="77777777" w:rsidR="00E24F5C" w:rsidRPr="00FF7641" w:rsidRDefault="00E24F5C" w:rsidP="00316E82">
      <w:pPr>
        <w:pStyle w:val="reference"/>
        <w:tabs>
          <w:tab w:val="clear" w:pos="2382"/>
          <w:tab w:val="left" w:pos="397"/>
        </w:tabs>
        <w:spacing w:before="60" w:after="60"/>
        <w:ind w:left="397"/>
        <w:rPr>
          <w:lang w:val="en-GB"/>
        </w:rPr>
      </w:pPr>
      <w:bookmarkStart w:id="27" w:name="_Ref34828515"/>
      <w:r w:rsidRPr="00FF7641">
        <w:rPr>
          <w:lang w:val="en-GB"/>
        </w:rPr>
        <w:t>Directive 2010/40/EU of the European Parliament and of the Council of 7 July 2010 on the framework for the deployment of Intelligent Transport Systems in the field of road transport and for interfaces with other modes of transport Text with EEA relevance</w:t>
      </w:r>
      <w:bookmarkEnd w:id="27"/>
      <w:r w:rsidRPr="00FF7641">
        <w:rPr>
          <w:lang w:val="en-GB"/>
        </w:rPr>
        <w:t xml:space="preserve"> </w:t>
      </w:r>
    </w:p>
    <w:p w14:paraId="1E754950" w14:textId="7D2BD0E1" w:rsidR="00E24F5C" w:rsidRPr="00D753AB" w:rsidRDefault="00E24F5C" w:rsidP="00316E82">
      <w:pPr>
        <w:pStyle w:val="reference"/>
        <w:tabs>
          <w:tab w:val="clear" w:pos="2382"/>
          <w:tab w:val="left" w:pos="397"/>
        </w:tabs>
        <w:spacing w:before="60" w:after="60"/>
        <w:ind w:left="397"/>
        <w:rPr>
          <w:lang w:val="en-GB"/>
        </w:rPr>
      </w:pPr>
      <w:bookmarkStart w:id="28" w:name="_Ref34828558"/>
      <w:r w:rsidRPr="00FF7641">
        <w:rPr>
          <w:lang w:val="en-GB"/>
        </w:rPr>
        <w:t>ETSI TS 102 792: “Technical Specification on “Intelligent Transport Systems (ITS);</w:t>
      </w:r>
      <w:r w:rsidR="005C7F3F" w:rsidRPr="00FF7641">
        <w:rPr>
          <w:lang w:val="en-GB"/>
        </w:rPr>
        <w:t xml:space="preserve"> </w:t>
      </w:r>
      <w:r w:rsidRPr="00FF7641">
        <w:rPr>
          <w:lang w:val="en-GB"/>
        </w:rPr>
        <w:t xml:space="preserve">Mitigation techniques to </w:t>
      </w:r>
      <w:r w:rsidRPr="00D753AB">
        <w:rPr>
          <w:lang w:val="en-GB"/>
        </w:rPr>
        <w:t>avoid interference between European CEN Dedicated Short Range Communication (CEN DSRC) equipment and Intelligent Transport Systems (ITS) operating in the 5 GHz frequency range”</w:t>
      </w:r>
      <w:bookmarkEnd w:id="28"/>
      <w:r w:rsidRPr="00D753AB">
        <w:rPr>
          <w:lang w:val="en-GB"/>
        </w:rPr>
        <w:t xml:space="preserve"> </w:t>
      </w:r>
    </w:p>
    <w:bookmarkStart w:id="29" w:name="_Ref116388088"/>
    <w:p w14:paraId="4E810B45" w14:textId="35194896" w:rsidR="006948B1" w:rsidRPr="00D753AB" w:rsidRDefault="00700EA5" w:rsidP="00D9331C">
      <w:pPr>
        <w:pStyle w:val="reference"/>
        <w:tabs>
          <w:tab w:val="clear" w:pos="2382"/>
          <w:tab w:val="left" w:pos="397"/>
        </w:tabs>
        <w:spacing w:before="60" w:after="60"/>
        <w:ind w:left="397"/>
        <w:rPr>
          <w:lang w:val="en-GB"/>
        </w:rPr>
      </w:pPr>
      <w:r w:rsidRPr="00D753AB">
        <w:rPr>
          <w:lang w:val="en-GB"/>
        </w:rPr>
        <w:fldChar w:fldCharType="begin"/>
      </w:r>
      <w:r w:rsidRPr="00D753AB">
        <w:rPr>
          <w:lang w:val="en-GB"/>
        </w:rPr>
        <w:instrText>HYPERLINK "https://docdb.cept.org/document/16737"</w:instrText>
      </w:r>
      <w:r w:rsidRPr="00D753AB">
        <w:rPr>
          <w:lang w:val="en-GB"/>
        </w:rPr>
      </w:r>
      <w:r w:rsidRPr="00D753AB">
        <w:rPr>
          <w:lang w:val="en-GB"/>
        </w:rPr>
        <w:fldChar w:fldCharType="separate"/>
      </w:r>
      <w:r w:rsidRPr="00D753AB">
        <w:rPr>
          <w:rStyle w:val="Hyperlink"/>
          <w:lang w:val="en-GB"/>
        </w:rPr>
        <w:t>ECC Decision (20)01</w:t>
      </w:r>
      <w:r w:rsidRPr="00D753AB">
        <w:rPr>
          <w:lang w:val="en-GB"/>
        </w:rPr>
        <w:fldChar w:fldCharType="end"/>
      </w:r>
      <w:r w:rsidR="009550EC" w:rsidRPr="00D753AB">
        <w:rPr>
          <w:lang w:val="en-GB"/>
        </w:rPr>
        <w:t xml:space="preserve">: “Harmonised use of the frequency band 5945-6425 MHz for Wireless Access Systems including Radio Local Area Networks (WAS/RLAN)”, </w:t>
      </w:r>
      <w:r w:rsidR="00D753AB" w:rsidRPr="002E6885">
        <w:rPr>
          <w:lang w:val="en-GB"/>
        </w:rPr>
        <w:t xml:space="preserve">approved </w:t>
      </w:r>
      <w:r w:rsidR="00D753AB" w:rsidRPr="002E6885">
        <w:t xml:space="preserve">November 2020, </w:t>
      </w:r>
      <w:r w:rsidR="0044230A" w:rsidRPr="00D753AB">
        <w:rPr>
          <w:lang w:val="en-GB"/>
        </w:rPr>
        <w:t>amended</w:t>
      </w:r>
      <w:r w:rsidR="009550EC" w:rsidRPr="00D753AB">
        <w:rPr>
          <w:lang w:val="en-GB"/>
        </w:rPr>
        <w:t xml:space="preserve"> November 202</w:t>
      </w:r>
      <w:r w:rsidR="0044230A" w:rsidRPr="00D753AB">
        <w:rPr>
          <w:lang w:val="en-GB"/>
        </w:rPr>
        <w:t>4</w:t>
      </w:r>
      <w:bookmarkEnd w:id="29"/>
    </w:p>
    <w:p w14:paraId="3B058050" w14:textId="32BE4C45" w:rsidR="00E24F5C" w:rsidRPr="007E3A41" w:rsidRDefault="007E3A41" w:rsidP="00D9331C">
      <w:pPr>
        <w:pStyle w:val="reference"/>
        <w:tabs>
          <w:tab w:val="clear" w:pos="2382"/>
          <w:tab w:val="left" w:pos="397"/>
        </w:tabs>
        <w:spacing w:before="60" w:after="60"/>
        <w:ind w:left="397"/>
        <w:rPr>
          <w:iCs/>
        </w:rPr>
      </w:pPr>
      <w:r w:rsidRPr="0015017B">
        <w:t xml:space="preserve">ETSI </w:t>
      </w:r>
      <w:bookmarkStart w:id="30" w:name="_Ref178843850"/>
      <w:r w:rsidRPr="0015017B">
        <w:t>TR 103 853</w:t>
      </w:r>
      <w:bookmarkEnd w:id="30"/>
      <w:r>
        <w:t>:</w:t>
      </w:r>
      <w:r w:rsidRPr="0015017B">
        <w:t xml:space="preserve"> “System Reference document (SRdoc); Road ITS equipment operating in the 5,9 GHz band with channel bandwidths larger than 10 MHz”</w:t>
      </w:r>
    </w:p>
    <w:p w14:paraId="72F9615E" w14:textId="4980C8EF" w:rsidR="007E3A41" w:rsidRPr="007E3A41" w:rsidRDefault="007E3A41" w:rsidP="00D9331C">
      <w:pPr>
        <w:pStyle w:val="reference"/>
        <w:tabs>
          <w:tab w:val="clear" w:pos="2382"/>
          <w:tab w:val="left" w:pos="397"/>
        </w:tabs>
        <w:spacing w:before="60" w:after="60"/>
        <w:ind w:left="397"/>
        <w:rPr>
          <w:iCs/>
        </w:rPr>
      </w:pPr>
      <w:bookmarkStart w:id="31" w:name="_Ref178844661"/>
      <w:r w:rsidRPr="0015017B">
        <w:t>ETSI EN 302 637-2</w:t>
      </w:r>
      <w:bookmarkEnd w:id="31"/>
      <w:r>
        <w:t>:</w:t>
      </w:r>
      <w:r w:rsidRPr="0015017B">
        <w:t xml:space="preserve"> “Intelligent Transport Systems (ITS); Vehicular Communications; Basic Set of Applications; Part 2: Specification of Cooperative Awareness Basic Service”</w:t>
      </w:r>
    </w:p>
    <w:bookmarkStart w:id="32" w:name="_Ref178844789"/>
    <w:p w14:paraId="3B898B63" w14:textId="4A762D8D" w:rsidR="007E3A41" w:rsidRDefault="007E3A41" w:rsidP="00D9331C">
      <w:pPr>
        <w:pStyle w:val="reference"/>
        <w:tabs>
          <w:tab w:val="clear" w:pos="2382"/>
          <w:tab w:val="left" w:pos="397"/>
        </w:tabs>
        <w:spacing w:before="60" w:after="60"/>
        <w:ind w:left="397"/>
        <w:rPr>
          <w:iCs/>
        </w:rPr>
      </w:pPr>
      <w:r>
        <w:fldChar w:fldCharType="begin"/>
      </w:r>
      <w:r>
        <w:instrText>HYPERLINK "https://docdb.cept.org/document/28608"</w:instrText>
      </w:r>
      <w:r>
        <w:fldChar w:fldCharType="separate"/>
      </w:r>
      <w:r>
        <w:rPr>
          <w:rStyle w:val="Hyperlink"/>
        </w:rPr>
        <w:t>ECC Report 355</w:t>
      </w:r>
      <w:r>
        <w:fldChar w:fldCharType="end"/>
      </w:r>
      <w:r>
        <w:t xml:space="preserve">: </w:t>
      </w:r>
      <w:bookmarkEnd w:id="32"/>
      <w:r>
        <w:t>“</w:t>
      </w:r>
      <w:r w:rsidRPr="00F328A1">
        <w:t>Measurement-based compatibility studies assessing interference from Very Low Power (VLP) Wireless Access Systems including Radio Local Area Networks (WAS/RLAN) operating in 5945-6425 MHz to Communication Based Train Control (CBTC) systems operating in 5915-5935 MHz</w:t>
      </w:r>
      <w:r>
        <w:t>”, approved May 2024</w:t>
      </w:r>
    </w:p>
    <w:p w14:paraId="38860D6F" w14:textId="77777777" w:rsidR="007E3A41" w:rsidRPr="00FF7641" w:rsidRDefault="007E3A41" w:rsidP="000C326F">
      <w:pPr>
        <w:pStyle w:val="ECCParagraph"/>
        <w:ind w:left="397" w:hanging="397"/>
        <w:rPr>
          <w:iCs/>
        </w:rPr>
      </w:pPr>
    </w:p>
    <w:sectPr w:rsidR="007E3A41" w:rsidRPr="00FF7641" w:rsidSect="006C03D0">
      <w:headerReference w:type="even" r:id="rId11"/>
      <w:headerReference w:type="default" r:id="rId12"/>
      <w:footerReference w:type="even" r:id="rId13"/>
      <w:footerReference w:type="default" r:id="rId14"/>
      <w:headerReference w:type="first" r:id="rId15"/>
      <w:footerReference w:type="first" r:id="rId16"/>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DC72FA" w14:textId="77777777" w:rsidR="005A720D" w:rsidRDefault="005A720D" w:rsidP="006C03D0">
      <w:r>
        <w:separator/>
      </w:r>
    </w:p>
  </w:endnote>
  <w:endnote w:type="continuationSeparator" w:id="0">
    <w:p w14:paraId="450C3670" w14:textId="77777777" w:rsidR="005A720D" w:rsidRDefault="005A720D"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20B07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34D93" w14:textId="77777777" w:rsidR="002E6885" w:rsidRDefault="002E68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6B7F4" w14:textId="77777777" w:rsidR="002E6885" w:rsidRDefault="002E68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0D1AF" w14:textId="77777777" w:rsidR="002E6885" w:rsidRDefault="002E68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54C2F" w14:textId="77777777" w:rsidR="005A720D" w:rsidRDefault="005A720D" w:rsidP="006C03D0">
      <w:r>
        <w:separator/>
      </w:r>
    </w:p>
  </w:footnote>
  <w:footnote w:type="continuationSeparator" w:id="0">
    <w:p w14:paraId="78AC1E2B" w14:textId="77777777" w:rsidR="005A720D" w:rsidRDefault="005A720D" w:rsidP="006C03D0">
      <w:r>
        <w:continuationSeparator/>
      </w:r>
    </w:p>
  </w:footnote>
  <w:footnote w:id="1">
    <w:p w14:paraId="7A52E365" w14:textId="7DE35B2D" w:rsidR="00053D3B" w:rsidRPr="00C368A0" w:rsidRDefault="00053D3B" w:rsidP="0007465E">
      <w:pPr>
        <w:pStyle w:val="ECCFootnote"/>
        <w:rPr>
          <w:lang w:val="en-GB"/>
        </w:rPr>
      </w:pPr>
      <w:r>
        <w:rPr>
          <w:rStyle w:val="FootnoteReference"/>
        </w:rPr>
        <w:footnoteRef/>
      </w:r>
      <w:r>
        <w:t xml:space="preserve"> Comparable technical specifications to those given in this ECC Decision are given in Commission Decision 2008/671/EC. EU Member States and, if </w:t>
      </w:r>
      <w:proofErr w:type="gramStart"/>
      <w:r>
        <w:t>so</w:t>
      </w:r>
      <w:proofErr w:type="gramEnd"/>
      <w:r>
        <w:t xml:space="preserve"> approved by the EEA Joint Committee, Iceland, Liechtenstein and Norway are obliged to implement the Commission Decisions</w:t>
      </w:r>
    </w:p>
  </w:footnote>
  <w:footnote w:id="2">
    <w:p w14:paraId="365024CB" w14:textId="77777777" w:rsidR="00053D3B" w:rsidRDefault="00053D3B">
      <w:pPr>
        <w:pStyle w:val="ECCFootnote"/>
        <w:rPr>
          <w:lang w:val="en-GB"/>
        </w:rPr>
      </w:pPr>
      <w:r>
        <w:rPr>
          <w:rStyle w:val="FootnoteReference"/>
          <w:szCs w:val="16"/>
          <w:lang w:val="en-GB"/>
        </w:rPr>
        <w:footnoteRef/>
      </w:r>
      <w:r>
        <w:rPr>
          <w:lang w:val="en-GB"/>
        </w:rPr>
        <w:t xml:space="preserve"> Railway lines not segregated from road or pedestrian traffic (such as tramways) shall be considered as part of Road ITS.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AD5F6" w14:textId="18A4C010" w:rsidR="00053D3B" w:rsidRPr="009872B1" w:rsidRDefault="00053D3B">
    <w:pPr>
      <w:pStyle w:val="Header"/>
      <w:rPr>
        <w:szCs w:val="16"/>
        <w:lang w:val="en-GB"/>
      </w:rPr>
    </w:pPr>
    <w:r w:rsidRPr="009872B1">
      <w:rPr>
        <w:lang w:val="en-GB"/>
      </w:rPr>
      <w:t xml:space="preserve">ECC/DEC/(08)01 </w:t>
    </w:r>
    <w:r w:rsidRPr="009872B1">
      <w:rPr>
        <w:szCs w:val="16"/>
        <w:lang w:val="en-GB"/>
      </w:rPr>
      <w:t xml:space="preserve">Page </w:t>
    </w:r>
    <w:r>
      <w:fldChar w:fldCharType="begin"/>
    </w:r>
    <w:r>
      <w:instrText xml:space="preserve"> PAGE  \* Arabic  \* MERGEFORMAT </w:instrText>
    </w:r>
    <w:r>
      <w:fldChar w:fldCharType="separate"/>
    </w:r>
    <w:r w:rsidR="00A609D3" w:rsidRPr="00A609D3">
      <w:rPr>
        <w:noProof/>
        <w:szCs w:val="16"/>
        <w:lang w:val="en-GB"/>
      </w:rPr>
      <w:t>8</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7D52A" w14:textId="4329484D" w:rsidR="00053D3B" w:rsidRPr="009872B1" w:rsidRDefault="00053D3B" w:rsidP="006C03D0">
    <w:pPr>
      <w:pStyle w:val="Header"/>
      <w:jc w:val="right"/>
      <w:rPr>
        <w:szCs w:val="16"/>
        <w:lang w:val="en-GB"/>
      </w:rPr>
    </w:pPr>
    <w:r w:rsidRPr="009872B1">
      <w:rPr>
        <w:lang w:val="en-GB"/>
      </w:rPr>
      <w:t xml:space="preserve">ECC/DEC/(08)01 </w:t>
    </w:r>
    <w:r w:rsidRPr="009872B1">
      <w:rPr>
        <w:szCs w:val="16"/>
        <w:lang w:val="en-GB"/>
      </w:rPr>
      <w:t xml:space="preserve">Page </w:t>
    </w:r>
    <w:r>
      <w:fldChar w:fldCharType="begin"/>
    </w:r>
    <w:r>
      <w:instrText xml:space="preserve"> PAGE  \* Arabic  \* MERGEFORMAT </w:instrText>
    </w:r>
    <w:r>
      <w:fldChar w:fldCharType="separate"/>
    </w:r>
    <w:r w:rsidR="00A609D3" w:rsidRPr="00A609D3">
      <w:rPr>
        <w:noProof/>
        <w:szCs w:val="16"/>
        <w:lang w:val="en-GB"/>
      </w:rPr>
      <w:t>9</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C97D8" w14:textId="55CA18FF" w:rsidR="00053D3B" w:rsidRDefault="00053D3B">
    <w:pPr>
      <w:pStyle w:val="Header"/>
    </w:pPr>
    <w:r>
      <w:rPr>
        <w:noProof/>
        <w:szCs w:val="20"/>
        <w:lang w:val="de-DE" w:eastAsia="de-DE"/>
      </w:rPr>
      <w:drawing>
        <wp:anchor distT="0" distB="0" distL="114300" distR="114300" simplePos="0" relativeHeight="251657728" behindDoc="0" locked="0" layoutInCell="1" allowOverlap="1" wp14:anchorId="27FBA2AD" wp14:editId="7B9C820A">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e-DE" w:eastAsia="de-DE"/>
      </w:rPr>
      <w:drawing>
        <wp:anchor distT="0" distB="0" distL="114300" distR="114300" simplePos="0" relativeHeight="251656704" behindDoc="0" locked="0" layoutInCell="1" allowOverlap="1" wp14:anchorId="3E35A681" wp14:editId="2B4179DB">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8"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E6242A"/>
    <w:multiLevelType w:val="hybridMultilevel"/>
    <w:tmpl w:val="48DEBF0A"/>
    <w:lvl w:ilvl="0" w:tplc="0B1E7C38">
      <w:start w:val="1"/>
      <w:numFmt w:val="decimal"/>
      <w:pStyle w:val="reference"/>
      <w:lvlText w:val="[%1]"/>
      <w:lvlJc w:val="left"/>
      <w:pPr>
        <w:tabs>
          <w:tab w:val="num" w:pos="2382"/>
        </w:tabs>
        <w:ind w:left="2382"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599B520E"/>
    <w:multiLevelType w:val="multilevel"/>
    <w:tmpl w:val="4416574E"/>
    <w:lvl w:ilvl="0">
      <w:start w:val="1"/>
      <w:numFmt w:val="lowerLetter"/>
      <w:lvlText w:val="%1)"/>
      <w:lvlJc w:val="left"/>
      <w:pPr>
        <w:tabs>
          <w:tab w:val="num" w:pos="794"/>
        </w:tabs>
        <w:ind w:left="794" w:hanging="397"/>
      </w:pPr>
      <w:rPr>
        <w:rFonts w:hint="default"/>
        <w:b w:val="0"/>
        <w:i w:val="0"/>
        <w:color w:val="D2232A"/>
        <w:sz w:val="20"/>
      </w:rPr>
    </w:lvl>
    <w:lvl w:ilvl="1">
      <w:start w:val="1"/>
      <w:numFmt w:val="lowerLetter"/>
      <w:lvlText w:val="%2)"/>
      <w:lvlJc w:val="left"/>
      <w:pPr>
        <w:tabs>
          <w:tab w:val="num" w:pos="794"/>
        </w:tabs>
        <w:ind w:left="1134" w:hanging="340"/>
      </w:pPr>
      <w:rPr>
        <w:rFonts w:ascii="Arial" w:hAnsi="Arial" w:hint="default"/>
        <w:b w:val="0"/>
        <w:i w:val="0"/>
        <w:color w:val="D2232A"/>
        <w:sz w:val="20"/>
      </w:rPr>
    </w:lvl>
    <w:lvl w:ilvl="2">
      <w:start w:val="1"/>
      <w:numFmt w:val="none"/>
      <w:lvlText w:val=""/>
      <w:lvlJc w:val="left"/>
      <w:pPr>
        <w:tabs>
          <w:tab w:val="num" w:pos="1117"/>
        </w:tabs>
        <w:ind w:left="1117" w:hanging="720"/>
      </w:pPr>
      <w:rPr>
        <w:rFonts w:ascii="Arial Bold" w:hAnsi="Arial Bold" w:hint="default"/>
        <w:b/>
        <w:i w:val="0"/>
        <w:sz w:val="20"/>
      </w:rPr>
    </w:lvl>
    <w:lvl w:ilvl="3">
      <w:start w:val="1"/>
      <w:numFmt w:val="none"/>
      <w:lvlText w:val=""/>
      <w:lvlJc w:val="left"/>
      <w:pPr>
        <w:tabs>
          <w:tab w:val="num" w:pos="1261"/>
        </w:tabs>
        <w:ind w:left="1261" w:hanging="864"/>
      </w:pPr>
      <w:rPr>
        <w:rFonts w:ascii="Arial" w:hAnsi="Arial" w:hint="default"/>
        <w:b w:val="0"/>
        <w:i/>
        <w:color w:val="2F2E79"/>
        <w:sz w:val="20"/>
      </w:rPr>
    </w:lvl>
    <w:lvl w:ilvl="4">
      <w:start w:val="1"/>
      <w:numFmt w:val="none"/>
      <w:lvlText w:val=""/>
      <w:lvlJc w:val="left"/>
      <w:pPr>
        <w:tabs>
          <w:tab w:val="num" w:pos="1405"/>
        </w:tabs>
        <w:ind w:left="1405" w:hanging="1008"/>
      </w:pPr>
      <w:rPr>
        <w:rFonts w:hint="default"/>
        <w:sz w:val="24"/>
      </w:rPr>
    </w:lvl>
    <w:lvl w:ilvl="5">
      <w:start w:val="1"/>
      <w:numFmt w:val="none"/>
      <w:lvlText w:val=""/>
      <w:lvlJc w:val="left"/>
      <w:pPr>
        <w:tabs>
          <w:tab w:val="num" w:pos="1549"/>
        </w:tabs>
        <w:ind w:left="1549" w:hanging="1152"/>
      </w:pPr>
      <w:rPr>
        <w:rFonts w:hint="default"/>
      </w:rPr>
    </w:lvl>
    <w:lvl w:ilvl="6">
      <w:start w:val="1"/>
      <w:numFmt w:val="none"/>
      <w:lvlText w:val=""/>
      <w:lvlJc w:val="left"/>
      <w:pPr>
        <w:tabs>
          <w:tab w:val="num" w:pos="1693"/>
        </w:tabs>
        <w:ind w:left="1693" w:hanging="1296"/>
      </w:pPr>
      <w:rPr>
        <w:rFonts w:hint="default"/>
      </w:rPr>
    </w:lvl>
    <w:lvl w:ilvl="7">
      <w:start w:val="1"/>
      <w:numFmt w:val="none"/>
      <w:lvlText w:val=""/>
      <w:lvlJc w:val="left"/>
      <w:pPr>
        <w:tabs>
          <w:tab w:val="num" w:pos="1837"/>
        </w:tabs>
        <w:ind w:left="1837" w:hanging="1440"/>
      </w:pPr>
      <w:rPr>
        <w:rFonts w:hint="default"/>
      </w:rPr>
    </w:lvl>
    <w:lvl w:ilvl="8">
      <w:start w:val="1"/>
      <w:numFmt w:val="none"/>
      <w:lvlText w:val=""/>
      <w:lvlJc w:val="left"/>
      <w:pPr>
        <w:tabs>
          <w:tab w:val="num" w:pos="1981"/>
        </w:tabs>
        <w:ind w:left="1981" w:hanging="1584"/>
      </w:pPr>
      <w:rPr>
        <w:rFonts w:hint="default"/>
      </w:rPr>
    </w:lvl>
  </w:abstractNum>
  <w:abstractNum w:abstractNumId="16"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17"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9"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76AA3C07"/>
    <w:multiLevelType w:val="multilevel"/>
    <w:tmpl w:val="B950A75C"/>
    <w:lvl w:ilvl="0">
      <w:start w:val="1"/>
      <w:numFmt w:val="lowerLetter"/>
      <w:lvlText w:val="%1)"/>
      <w:lvlJc w:val="left"/>
      <w:pPr>
        <w:tabs>
          <w:tab w:val="num" w:pos="794"/>
        </w:tabs>
        <w:ind w:left="794" w:hanging="397"/>
      </w:pPr>
      <w:rPr>
        <w:rFonts w:hint="default"/>
        <w:b w:val="0"/>
        <w:i w:val="0"/>
        <w:color w:val="D2232A"/>
        <w:sz w:val="20"/>
      </w:rPr>
    </w:lvl>
    <w:lvl w:ilvl="1">
      <w:start w:val="1"/>
      <w:numFmt w:val="lowerLetter"/>
      <w:lvlText w:val="%2)"/>
      <w:lvlJc w:val="left"/>
      <w:pPr>
        <w:tabs>
          <w:tab w:val="num" w:pos="794"/>
        </w:tabs>
        <w:ind w:left="1134" w:hanging="340"/>
      </w:pPr>
      <w:rPr>
        <w:rFonts w:ascii="Arial" w:hAnsi="Arial" w:hint="default"/>
        <w:b w:val="0"/>
        <w:i w:val="0"/>
        <w:color w:val="D2232A"/>
        <w:sz w:val="20"/>
      </w:rPr>
    </w:lvl>
    <w:lvl w:ilvl="2">
      <w:start w:val="1"/>
      <w:numFmt w:val="none"/>
      <w:lvlText w:val=""/>
      <w:lvlJc w:val="left"/>
      <w:pPr>
        <w:tabs>
          <w:tab w:val="num" w:pos="1117"/>
        </w:tabs>
        <w:ind w:left="1117" w:hanging="720"/>
      </w:pPr>
      <w:rPr>
        <w:rFonts w:ascii="Arial Bold" w:hAnsi="Arial Bold" w:hint="default"/>
        <w:b/>
        <w:i w:val="0"/>
        <w:sz w:val="20"/>
      </w:rPr>
    </w:lvl>
    <w:lvl w:ilvl="3">
      <w:start w:val="1"/>
      <w:numFmt w:val="none"/>
      <w:lvlText w:val=""/>
      <w:lvlJc w:val="left"/>
      <w:pPr>
        <w:tabs>
          <w:tab w:val="num" w:pos="1261"/>
        </w:tabs>
        <w:ind w:left="1261" w:hanging="864"/>
      </w:pPr>
      <w:rPr>
        <w:rFonts w:ascii="Arial" w:hAnsi="Arial" w:hint="default"/>
        <w:b w:val="0"/>
        <w:i/>
        <w:color w:val="2F2E79"/>
        <w:sz w:val="20"/>
      </w:rPr>
    </w:lvl>
    <w:lvl w:ilvl="4">
      <w:start w:val="1"/>
      <w:numFmt w:val="none"/>
      <w:lvlText w:val=""/>
      <w:lvlJc w:val="left"/>
      <w:pPr>
        <w:tabs>
          <w:tab w:val="num" w:pos="1405"/>
        </w:tabs>
        <w:ind w:left="1405" w:hanging="1008"/>
      </w:pPr>
      <w:rPr>
        <w:rFonts w:hint="default"/>
        <w:sz w:val="24"/>
      </w:rPr>
    </w:lvl>
    <w:lvl w:ilvl="5">
      <w:start w:val="1"/>
      <w:numFmt w:val="none"/>
      <w:lvlText w:val=""/>
      <w:lvlJc w:val="left"/>
      <w:pPr>
        <w:tabs>
          <w:tab w:val="num" w:pos="1549"/>
        </w:tabs>
        <w:ind w:left="1549" w:hanging="1152"/>
      </w:pPr>
      <w:rPr>
        <w:rFonts w:hint="default"/>
      </w:rPr>
    </w:lvl>
    <w:lvl w:ilvl="6">
      <w:start w:val="1"/>
      <w:numFmt w:val="none"/>
      <w:lvlText w:val=""/>
      <w:lvlJc w:val="left"/>
      <w:pPr>
        <w:tabs>
          <w:tab w:val="num" w:pos="1693"/>
        </w:tabs>
        <w:ind w:left="1693" w:hanging="1296"/>
      </w:pPr>
      <w:rPr>
        <w:rFonts w:hint="default"/>
      </w:rPr>
    </w:lvl>
    <w:lvl w:ilvl="7">
      <w:start w:val="1"/>
      <w:numFmt w:val="none"/>
      <w:lvlText w:val=""/>
      <w:lvlJc w:val="left"/>
      <w:pPr>
        <w:tabs>
          <w:tab w:val="num" w:pos="1837"/>
        </w:tabs>
        <w:ind w:left="1837" w:hanging="1440"/>
      </w:pPr>
      <w:rPr>
        <w:rFonts w:hint="default"/>
      </w:rPr>
    </w:lvl>
    <w:lvl w:ilvl="8">
      <w:start w:val="1"/>
      <w:numFmt w:val="none"/>
      <w:lvlText w:val=""/>
      <w:lvlJc w:val="left"/>
      <w:pPr>
        <w:tabs>
          <w:tab w:val="num" w:pos="1981"/>
        </w:tabs>
        <w:ind w:left="1981" w:hanging="1584"/>
      </w:pPr>
      <w:rPr>
        <w:rFonts w:hint="default"/>
      </w:rPr>
    </w:lvl>
  </w:abstractNum>
  <w:abstractNum w:abstractNumId="21" w15:restartNumberingAfterBreak="0">
    <w:nsid w:val="792B4584"/>
    <w:multiLevelType w:val="multilevel"/>
    <w:tmpl w:val="792B4584"/>
    <w:lvl w:ilvl="0">
      <w:start w:val="1"/>
      <w:numFmt w:val="lowerLetter"/>
      <w:lvlText w:val="%1)"/>
      <w:lvlJc w:val="left"/>
      <w:pPr>
        <w:tabs>
          <w:tab w:val="left" w:pos="7449"/>
        </w:tabs>
        <w:ind w:left="7449" w:hanging="360"/>
      </w:pPr>
      <w:rPr>
        <w:rFonts w:ascii="Arial" w:hAnsi="Arial" w:hint="default"/>
        <w:b w:val="0"/>
        <w:bCs w:val="0"/>
        <w:i w:val="0"/>
        <w:iCs w:val="0"/>
        <w:color w:val="D2232A"/>
        <w:sz w:val="20"/>
        <w:szCs w:val="20"/>
      </w:rPr>
    </w:lvl>
    <w:lvl w:ilvl="1">
      <w:start w:val="1"/>
      <w:numFmt w:val="decimal"/>
      <w:lvlText w:val="%2."/>
      <w:lvlJc w:val="left"/>
      <w:pPr>
        <w:tabs>
          <w:tab w:val="left" w:pos="1440"/>
        </w:tabs>
        <w:ind w:left="1440" w:hanging="360"/>
      </w:pPr>
      <w:rPr>
        <w:rFonts w:hint="default"/>
      </w:rPr>
    </w:lvl>
    <w:lvl w:ilvl="2">
      <w:start w:val="1"/>
      <w:numFmt w:val="decimal"/>
      <w:lvlText w:val="%3"/>
      <w:lvlJc w:val="left"/>
      <w:pPr>
        <w:tabs>
          <w:tab w:val="left" w:pos="2700"/>
        </w:tabs>
        <w:ind w:left="2700" w:hanging="72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2"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544369632">
    <w:abstractNumId w:val="11"/>
  </w:num>
  <w:num w:numId="2" w16cid:durableId="34040617">
    <w:abstractNumId w:val="22"/>
  </w:num>
  <w:num w:numId="3" w16cid:durableId="1303314574">
    <w:abstractNumId w:val="14"/>
  </w:num>
  <w:num w:numId="4" w16cid:durableId="1516113902">
    <w:abstractNumId w:val="4"/>
  </w:num>
  <w:num w:numId="5" w16cid:durableId="1200161828">
    <w:abstractNumId w:val="16"/>
  </w:num>
  <w:num w:numId="6" w16cid:durableId="428241110">
    <w:abstractNumId w:val="8"/>
  </w:num>
  <w:num w:numId="7" w16cid:durableId="1091043724">
    <w:abstractNumId w:val="7"/>
  </w:num>
  <w:num w:numId="8" w16cid:durableId="176114043">
    <w:abstractNumId w:val="13"/>
  </w:num>
  <w:num w:numId="9" w16cid:durableId="1208108579">
    <w:abstractNumId w:val="12"/>
  </w:num>
  <w:num w:numId="10" w16cid:durableId="98646528">
    <w:abstractNumId w:val="9"/>
  </w:num>
  <w:num w:numId="11" w16cid:durableId="2009795231">
    <w:abstractNumId w:val="13"/>
    <w:lvlOverride w:ilvl="0">
      <w:startOverride w:val="1"/>
    </w:lvlOverride>
  </w:num>
  <w:num w:numId="12" w16cid:durableId="1893540371">
    <w:abstractNumId w:val="3"/>
  </w:num>
  <w:num w:numId="13" w16cid:durableId="1253781466">
    <w:abstractNumId w:val="1"/>
  </w:num>
  <w:num w:numId="14" w16cid:durableId="1119684877">
    <w:abstractNumId w:val="18"/>
  </w:num>
  <w:num w:numId="15" w16cid:durableId="779420235">
    <w:abstractNumId w:val="17"/>
  </w:num>
  <w:num w:numId="16" w16cid:durableId="14861220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25361625">
    <w:abstractNumId w:val="5"/>
  </w:num>
  <w:num w:numId="18" w16cid:durableId="1319533034">
    <w:abstractNumId w:val="6"/>
  </w:num>
  <w:num w:numId="19" w16cid:durableId="1095856940">
    <w:abstractNumId w:val="19"/>
  </w:num>
  <w:num w:numId="20" w16cid:durableId="11684665">
    <w:abstractNumId w:val="10"/>
  </w:num>
  <w:num w:numId="21" w16cid:durableId="2101024460">
    <w:abstractNumId w:val="23"/>
  </w:num>
  <w:num w:numId="22" w16cid:durableId="1914581820">
    <w:abstractNumId w:val="24"/>
  </w:num>
  <w:num w:numId="23" w16cid:durableId="1540631302">
    <w:abstractNumId w:val="0"/>
  </w:num>
  <w:num w:numId="24" w16cid:durableId="928926288">
    <w:abstractNumId w:val="2"/>
  </w:num>
  <w:num w:numId="25" w16cid:durableId="1361778025">
    <w:abstractNumId w:val="21"/>
  </w:num>
  <w:num w:numId="26" w16cid:durableId="643782225">
    <w:abstractNumId w:val="13"/>
  </w:num>
  <w:num w:numId="27" w16cid:durableId="262223608">
    <w:abstractNumId w:val="15"/>
  </w:num>
  <w:num w:numId="28" w16cid:durableId="2050061055">
    <w:abstractNumId w:val="17"/>
  </w:num>
  <w:num w:numId="29" w16cid:durableId="1141842887">
    <w:abstractNumId w:val="20"/>
  </w:num>
  <w:num w:numId="30" w16cid:durableId="871116539">
    <w:abstractNumId w:val="17"/>
  </w:num>
  <w:num w:numId="31" w16cid:durableId="1088505954">
    <w:abstractNumId w:val="17"/>
  </w:num>
  <w:num w:numId="32" w16cid:durableId="1725711169">
    <w:abstractNumId w:val="17"/>
  </w:num>
  <w:num w:numId="33" w16cid:durableId="124572328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removeDateAndTime/>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8A0"/>
    <w:rsid w:val="00024CED"/>
    <w:rsid w:val="00031379"/>
    <w:rsid w:val="00035425"/>
    <w:rsid w:val="00043147"/>
    <w:rsid w:val="00045ECE"/>
    <w:rsid w:val="0005287E"/>
    <w:rsid w:val="00053D3B"/>
    <w:rsid w:val="00062AB7"/>
    <w:rsid w:val="00072B81"/>
    <w:rsid w:val="0007465E"/>
    <w:rsid w:val="00095A06"/>
    <w:rsid w:val="000A4CFB"/>
    <w:rsid w:val="000C183F"/>
    <w:rsid w:val="000C1CE3"/>
    <w:rsid w:val="000C2238"/>
    <w:rsid w:val="000C326F"/>
    <w:rsid w:val="000D2338"/>
    <w:rsid w:val="000D363F"/>
    <w:rsid w:val="000D3A5E"/>
    <w:rsid w:val="000D3C5E"/>
    <w:rsid w:val="000D4115"/>
    <w:rsid w:val="000E0E11"/>
    <w:rsid w:val="000E2128"/>
    <w:rsid w:val="000E47F2"/>
    <w:rsid w:val="000E602B"/>
    <w:rsid w:val="000F0329"/>
    <w:rsid w:val="000F3919"/>
    <w:rsid w:val="00104555"/>
    <w:rsid w:val="00106FFB"/>
    <w:rsid w:val="00117683"/>
    <w:rsid w:val="0012783E"/>
    <w:rsid w:val="00135226"/>
    <w:rsid w:val="0013619B"/>
    <w:rsid w:val="001424D7"/>
    <w:rsid w:val="00155443"/>
    <w:rsid w:val="001B1F5E"/>
    <w:rsid w:val="001B7915"/>
    <w:rsid w:val="001C43AA"/>
    <w:rsid w:val="001C45D6"/>
    <w:rsid w:val="001C46EA"/>
    <w:rsid w:val="001D3C20"/>
    <w:rsid w:val="001E0C8D"/>
    <w:rsid w:val="001E54A6"/>
    <w:rsid w:val="001F3554"/>
    <w:rsid w:val="00225B54"/>
    <w:rsid w:val="0023668E"/>
    <w:rsid w:val="00242460"/>
    <w:rsid w:val="00264BFD"/>
    <w:rsid w:val="0027346F"/>
    <w:rsid w:val="002741A5"/>
    <w:rsid w:val="00286932"/>
    <w:rsid w:val="002901E4"/>
    <w:rsid w:val="002A2B60"/>
    <w:rsid w:val="002B1B70"/>
    <w:rsid w:val="002B26E8"/>
    <w:rsid w:val="002C0887"/>
    <w:rsid w:val="002C6701"/>
    <w:rsid w:val="002D0292"/>
    <w:rsid w:val="002E1C5F"/>
    <w:rsid w:val="002E1EC6"/>
    <w:rsid w:val="002E55CB"/>
    <w:rsid w:val="002E6885"/>
    <w:rsid w:val="002F4876"/>
    <w:rsid w:val="003073F9"/>
    <w:rsid w:val="00316E82"/>
    <w:rsid w:val="00317CA9"/>
    <w:rsid w:val="00320118"/>
    <w:rsid w:val="003362CE"/>
    <w:rsid w:val="00340BB4"/>
    <w:rsid w:val="00372FCB"/>
    <w:rsid w:val="00374813"/>
    <w:rsid w:val="0038695B"/>
    <w:rsid w:val="00396D62"/>
    <w:rsid w:val="003B19BE"/>
    <w:rsid w:val="003C1256"/>
    <w:rsid w:val="003D602D"/>
    <w:rsid w:val="003D7D6D"/>
    <w:rsid w:val="003E1134"/>
    <w:rsid w:val="003F341A"/>
    <w:rsid w:val="00401972"/>
    <w:rsid w:val="0040360A"/>
    <w:rsid w:val="00406B11"/>
    <w:rsid w:val="00412E32"/>
    <w:rsid w:val="0042331C"/>
    <w:rsid w:val="004242E1"/>
    <w:rsid w:val="00434BDD"/>
    <w:rsid w:val="00441460"/>
    <w:rsid w:val="0044230A"/>
    <w:rsid w:val="004536D4"/>
    <w:rsid w:val="0046659D"/>
    <w:rsid w:val="00475261"/>
    <w:rsid w:val="00485E23"/>
    <w:rsid w:val="00491612"/>
    <w:rsid w:val="00492D12"/>
    <w:rsid w:val="00496328"/>
    <w:rsid w:val="004A46D7"/>
    <w:rsid w:val="004A5A9E"/>
    <w:rsid w:val="004B273C"/>
    <w:rsid w:val="004C730D"/>
    <w:rsid w:val="004D4301"/>
    <w:rsid w:val="004E7F1B"/>
    <w:rsid w:val="004F0A1C"/>
    <w:rsid w:val="004F6493"/>
    <w:rsid w:val="005326D4"/>
    <w:rsid w:val="005345EA"/>
    <w:rsid w:val="0053799F"/>
    <w:rsid w:val="00573344"/>
    <w:rsid w:val="0057484C"/>
    <w:rsid w:val="005808A7"/>
    <w:rsid w:val="00587BF4"/>
    <w:rsid w:val="005A720D"/>
    <w:rsid w:val="005C712C"/>
    <w:rsid w:val="005C7F3F"/>
    <w:rsid w:val="005D079F"/>
    <w:rsid w:val="005D266A"/>
    <w:rsid w:val="005D2F73"/>
    <w:rsid w:val="005D30BF"/>
    <w:rsid w:val="005D4F8F"/>
    <w:rsid w:val="005E31EA"/>
    <w:rsid w:val="005F4D82"/>
    <w:rsid w:val="005F6EB7"/>
    <w:rsid w:val="005F7AD5"/>
    <w:rsid w:val="00601E2D"/>
    <w:rsid w:val="0060700F"/>
    <w:rsid w:val="0060753D"/>
    <w:rsid w:val="00610055"/>
    <w:rsid w:val="00617CC2"/>
    <w:rsid w:val="00626FBB"/>
    <w:rsid w:val="00631097"/>
    <w:rsid w:val="00642C84"/>
    <w:rsid w:val="00651EAC"/>
    <w:rsid w:val="00663A2C"/>
    <w:rsid w:val="00676460"/>
    <w:rsid w:val="006807E3"/>
    <w:rsid w:val="00683D1C"/>
    <w:rsid w:val="00684D3F"/>
    <w:rsid w:val="006948B1"/>
    <w:rsid w:val="00695A07"/>
    <w:rsid w:val="006A3F1B"/>
    <w:rsid w:val="006B4880"/>
    <w:rsid w:val="006C03D0"/>
    <w:rsid w:val="006C06A3"/>
    <w:rsid w:val="006C0ABC"/>
    <w:rsid w:val="006D0066"/>
    <w:rsid w:val="006D17E5"/>
    <w:rsid w:val="006E032C"/>
    <w:rsid w:val="006E3A06"/>
    <w:rsid w:val="006F2EE2"/>
    <w:rsid w:val="0070052E"/>
    <w:rsid w:val="00700EA5"/>
    <w:rsid w:val="00705464"/>
    <w:rsid w:val="00710E88"/>
    <w:rsid w:val="00712A10"/>
    <w:rsid w:val="00713DBA"/>
    <w:rsid w:val="00714F3E"/>
    <w:rsid w:val="00721FD7"/>
    <w:rsid w:val="00727D83"/>
    <w:rsid w:val="00735EDF"/>
    <w:rsid w:val="00737A70"/>
    <w:rsid w:val="007542C3"/>
    <w:rsid w:val="007549C6"/>
    <w:rsid w:val="00762EAA"/>
    <w:rsid w:val="0076510C"/>
    <w:rsid w:val="00766FD0"/>
    <w:rsid w:val="00767AD4"/>
    <w:rsid w:val="00772C87"/>
    <w:rsid w:val="00774136"/>
    <w:rsid w:val="00776D78"/>
    <w:rsid w:val="00786BBA"/>
    <w:rsid w:val="007877F4"/>
    <w:rsid w:val="007879B1"/>
    <w:rsid w:val="007937FC"/>
    <w:rsid w:val="00796D98"/>
    <w:rsid w:val="007A1BA9"/>
    <w:rsid w:val="007A5018"/>
    <w:rsid w:val="007B1B09"/>
    <w:rsid w:val="007C6571"/>
    <w:rsid w:val="007D4C8E"/>
    <w:rsid w:val="007E0228"/>
    <w:rsid w:val="007E23E4"/>
    <w:rsid w:val="007E3A41"/>
    <w:rsid w:val="007E4ED6"/>
    <w:rsid w:val="007F784E"/>
    <w:rsid w:val="00802454"/>
    <w:rsid w:val="00806F05"/>
    <w:rsid w:val="00814570"/>
    <w:rsid w:val="0082066B"/>
    <w:rsid w:val="0082417A"/>
    <w:rsid w:val="00825A84"/>
    <w:rsid w:val="00830136"/>
    <w:rsid w:val="00833B5E"/>
    <w:rsid w:val="00863D30"/>
    <w:rsid w:val="008659C7"/>
    <w:rsid w:val="00865D5A"/>
    <w:rsid w:val="0087349A"/>
    <w:rsid w:val="00873921"/>
    <w:rsid w:val="008753D6"/>
    <w:rsid w:val="0088675D"/>
    <w:rsid w:val="008876AA"/>
    <w:rsid w:val="008939BA"/>
    <w:rsid w:val="00894A15"/>
    <w:rsid w:val="008A3048"/>
    <w:rsid w:val="008A72FC"/>
    <w:rsid w:val="008B7D7F"/>
    <w:rsid w:val="008F340D"/>
    <w:rsid w:val="008F6779"/>
    <w:rsid w:val="00903F6A"/>
    <w:rsid w:val="009123CE"/>
    <w:rsid w:val="009179BF"/>
    <w:rsid w:val="009252C6"/>
    <w:rsid w:val="0092544E"/>
    <w:rsid w:val="009550EC"/>
    <w:rsid w:val="0096155F"/>
    <w:rsid w:val="0096471E"/>
    <w:rsid w:val="0097299C"/>
    <w:rsid w:val="00973764"/>
    <w:rsid w:val="00977BC0"/>
    <w:rsid w:val="009872B1"/>
    <w:rsid w:val="0099181D"/>
    <w:rsid w:val="009A13D3"/>
    <w:rsid w:val="009A6B81"/>
    <w:rsid w:val="009B1EE1"/>
    <w:rsid w:val="009B40B3"/>
    <w:rsid w:val="009C09AE"/>
    <w:rsid w:val="009C129A"/>
    <w:rsid w:val="009C15E8"/>
    <w:rsid w:val="009C3579"/>
    <w:rsid w:val="009C6136"/>
    <w:rsid w:val="009D1186"/>
    <w:rsid w:val="009D2319"/>
    <w:rsid w:val="009D4458"/>
    <w:rsid w:val="009D558B"/>
    <w:rsid w:val="009E4ED0"/>
    <w:rsid w:val="009E6CBB"/>
    <w:rsid w:val="009F0F79"/>
    <w:rsid w:val="009F5FF4"/>
    <w:rsid w:val="00A165CD"/>
    <w:rsid w:val="00A31711"/>
    <w:rsid w:val="00A41673"/>
    <w:rsid w:val="00A508F8"/>
    <w:rsid w:val="00A609D3"/>
    <w:rsid w:val="00A624A6"/>
    <w:rsid w:val="00A6502C"/>
    <w:rsid w:val="00A70F91"/>
    <w:rsid w:val="00A74231"/>
    <w:rsid w:val="00A8085A"/>
    <w:rsid w:val="00A85D85"/>
    <w:rsid w:val="00A85E0E"/>
    <w:rsid w:val="00A90980"/>
    <w:rsid w:val="00AB5306"/>
    <w:rsid w:val="00AB557A"/>
    <w:rsid w:val="00AC7756"/>
    <w:rsid w:val="00AD6F59"/>
    <w:rsid w:val="00AE0C8C"/>
    <w:rsid w:val="00B03382"/>
    <w:rsid w:val="00B04356"/>
    <w:rsid w:val="00B1062B"/>
    <w:rsid w:val="00B146E6"/>
    <w:rsid w:val="00B23041"/>
    <w:rsid w:val="00B25A20"/>
    <w:rsid w:val="00B27541"/>
    <w:rsid w:val="00B27869"/>
    <w:rsid w:val="00B3410D"/>
    <w:rsid w:val="00B35E1A"/>
    <w:rsid w:val="00B3754D"/>
    <w:rsid w:val="00B41F3B"/>
    <w:rsid w:val="00B4694E"/>
    <w:rsid w:val="00B507E3"/>
    <w:rsid w:val="00B62E59"/>
    <w:rsid w:val="00B6431A"/>
    <w:rsid w:val="00B66D8D"/>
    <w:rsid w:val="00B81E20"/>
    <w:rsid w:val="00B86736"/>
    <w:rsid w:val="00BA7D56"/>
    <w:rsid w:val="00BC3C34"/>
    <w:rsid w:val="00BD101B"/>
    <w:rsid w:val="00BD515F"/>
    <w:rsid w:val="00BD5876"/>
    <w:rsid w:val="00BD735A"/>
    <w:rsid w:val="00BE5653"/>
    <w:rsid w:val="00BE66CF"/>
    <w:rsid w:val="00BE7E67"/>
    <w:rsid w:val="00BF065E"/>
    <w:rsid w:val="00C01D52"/>
    <w:rsid w:val="00C1340F"/>
    <w:rsid w:val="00C22FDF"/>
    <w:rsid w:val="00C2612A"/>
    <w:rsid w:val="00C3176D"/>
    <w:rsid w:val="00C320D8"/>
    <w:rsid w:val="00C368A0"/>
    <w:rsid w:val="00C5017F"/>
    <w:rsid w:val="00C54686"/>
    <w:rsid w:val="00C61ECD"/>
    <w:rsid w:val="00C64D00"/>
    <w:rsid w:val="00C65061"/>
    <w:rsid w:val="00C665E0"/>
    <w:rsid w:val="00C67F54"/>
    <w:rsid w:val="00C75343"/>
    <w:rsid w:val="00C81BE0"/>
    <w:rsid w:val="00C8737E"/>
    <w:rsid w:val="00C91E5B"/>
    <w:rsid w:val="00C931D3"/>
    <w:rsid w:val="00C96194"/>
    <w:rsid w:val="00CA33EB"/>
    <w:rsid w:val="00CC1F5E"/>
    <w:rsid w:val="00CC5667"/>
    <w:rsid w:val="00CC75A9"/>
    <w:rsid w:val="00CD59E2"/>
    <w:rsid w:val="00D023C0"/>
    <w:rsid w:val="00D0501C"/>
    <w:rsid w:val="00D20CB1"/>
    <w:rsid w:val="00D2387D"/>
    <w:rsid w:val="00D34C7D"/>
    <w:rsid w:val="00D45E31"/>
    <w:rsid w:val="00D5354A"/>
    <w:rsid w:val="00D539C0"/>
    <w:rsid w:val="00D56551"/>
    <w:rsid w:val="00D61485"/>
    <w:rsid w:val="00D753AB"/>
    <w:rsid w:val="00D759B3"/>
    <w:rsid w:val="00D90B0A"/>
    <w:rsid w:val="00D9331C"/>
    <w:rsid w:val="00D962F3"/>
    <w:rsid w:val="00DA090D"/>
    <w:rsid w:val="00DA35D5"/>
    <w:rsid w:val="00DB6A67"/>
    <w:rsid w:val="00DC0568"/>
    <w:rsid w:val="00DC31BD"/>
    <w:rsid w:val="00DC651B"/>
    <w:rsid w:val="00DE0A6A"/>
    <w:rsid w:val="00DE3ABF"/>
    <w:rsid w:val="00DF24F0"/>
    <w:rsid w:val="00DF40D8"/>
    <w:rsid w:val="00DF41B5"/>
    <w:rsid w:val="00E04A89"/>
    <w:rsid w:val="00E05F16"/>
    <w:rsid w:val="00E224BD"/>
    <w:rsid w:val="00E24F5C"/>
    <w:rsid w:val="00E3030F"/>
    <w:rsid w:val="00E35F9B"/>
    <w:rsid w:val="00E37BC3"/>
    <w:rsid w:val="00E406DD"/>
    <w:rsid w:val="00E47D1D"/>
    <w:rsid w:val="00E50CED"/>
    <w:rsid w:val="00E555C5"/>
    <w:rsid w:val="00E6114C"/>
    <w:rsid w:val="00E65E22"/>
    <w:rsid w:val="00E71B44"/>
    <w:rsid w:val="00E72325"/>
    <w:rsid w:val="00E73D39"/>
    <w:rsid w:val="00E82D1A"/>
    <w:rsid w:val="00EA312A"/>
    <w:rsid w:val="00EB3B29"/>
    <w:rsid w:val="00EB5325"/>
    <w:rsid w:val="00EE700E"/>
    <w:rsid w:val="00EF1E7D"/>
    <w:rsid w:val="00EF432B"/>
    <w:rsid w:val="00EF624A"/>
    <w:rsid w:val="00F0000B"/>
    <w:rsid w:val="00F00477"/>
    <w:rsid w:val="00F00974"/>
    <w:rsid w:val="00F12851"/>
    <w:rsid w:val="00F169E4"/>
    <w:rsid w:val="00F177F1"/>
    <w:rsid w:val="00F32EE8"/>
    <w:rsid w:val="00F41D56"/>
    <w:rsid w:val="00F45F9B"/>
    <w:rsid w:val="00F80B63"/>
    <w:rsid w:val="00FA4704"/>
    <w:rsid w:val="00FC25AF"/>
    <w:rsid w:val="00FC2911"/>
    <w:rsid w:val="00FD5A7F"/>
    <w:rsid w:val="00FF1811"/>
    <w:rsid w:val="00FF5EF4"/>
    <w:rsid w:val="00FF7641"/>
    <w:rsid w:val="0ED333DF"/>
    <w:rsid w:val="57BEB4D1"/>
    <w:rsid w:val="6A7C71AD"/>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25774918"/>
  <w15:docId w15:val="{210ECB11-C0B6-4035-A719-AD2E82E90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5F6EB7"/>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qFormat/>
    <w:rsid w:val="004E66F0"/>
    <w:pPr>
      <w:spacing w:after="240"/>
      <w:jc w:val="both"/>
    </w:pPr>
    <w:rPr>
      <w:lang w:val="en-GB"/>
    </w:rPr>
  </w:style>
  <w:style w:type="paragraph" w:customStyle="1" w:styleId="ECCParBulleted">
    <w:name w:val="ECC Par Bulleted"/>
    <w:basedOn w:val="ECCParagraph"/>
    <w:qFormat/>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qFormat/>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qFormat/>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qFormat/>
    <w:rsid w:val="003D7D6D"/>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qFormat/>
    <w:rsid w:val="00A50B64"/>
    <w:pPr>
      <w:numPr>
        <w:numId w:val="8"/>
      </w:numPr>
    </w:pPr>
    <w:rPr>
      <w:lang w:eastAsia="ja-JP"/>
    </w:rPr>
  </w:style>
  <w:style w:type="paragraph" w:customStyle="1" w:styleId="ECCAnnexheading2">
    <w:name w:val="ECC Annex heading2"/>
    <w:basedOn w:val="Normal"/>
    <w:next w:val="ECCParagraph"/>
    <w:qFormat/>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qFormat/>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qFormat/>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qFormat/>
    <w:rsid w:val="00044EDB"/>
    <w:pPr>
      <w:numPr>
        <w:numId w:val="12"/>
      </w:numPr>
      <w:spacing w:after="120"/>
      <w:jc w:val="both"/>
    </w:pPr>
  </w:style>
  <w:style w:type="paragraph" w:customStyle="1" w:styleId="NumberedList">
    <w:name w:val="Numbered List"/>
    <w:basedOn w:val="ECCParagraph"/>
    <w:qFormat/>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styleId="CommentReference">
    <w:name w:val="annotation reference"/>
    <w:basedOn w:val="DefaultParagraphFont"/>
    <w:uiPriority w:val="99"/>
    <w:semiHidden/>
    <w:unhideWhenUsed/>
    <w:rsid w:val="005C7F3F"/>
    <w:rPr>
      <w:sz w:val="16"/>
      <w:szCs w:val="16"/>
    </w:rPr>
  </w:style>
  <w:style w:type="paragraph" w:styleId="CommentText">
    <w:name w:val="annotation text"/>
    <w:basedOn w:val="Normal"/>
    <w:link w:val="CommentTextChar"/>
    <w:uiPriority w:val="99"/>
    <w:unhideWhenUsed/>
    <w:rsid w:val="005C7F3F"/>
    <w:rPr>
      <w:szCs w:val="20"/>
    </w:rPr>
  </w:style>
  <w:style w:type="character" w:customStyle="1" w:styleId="CommentTextChar">
    <w:name w:val="Comment Text Char"/>
    <w:basedOn w:val="DefaultParagraphFont"/>
    <w:link w:val="CommentText"/>
    <w:uiPriority w:val="99"/>
    <w:rsid w:val="005C7F3F"/>
    <w:rPr>
      <w:rFonts w:ascii="Arial" w:hAnsi="Arial"/>
      <w:lang w:val="en-US"/>
    </w:rPr>
  </w:style>
  <w:style w:type="paragraph" w:styleId="CommentSubject">
    <w:name w:val="annotation subject"/>
    <w:basedOn w:val="CommentText"/>
    <w:next w:val="CommentText"/>
    <w:link w:val="CommentSubjectChar"/>
    <w:uiPriority w:val="99"/>
    <w:semiHidden/>
    <w:unhideWhenUsed/>
    <w:rsid w:val="005C7F3F"/>
    <w:rPr>
      <w:b/>
      <w:bCs/>
    </w:rPr>
  </w:style>
  <w:style w:type="character" w:customStyle="1" w:styleId="CommentSubjectChar">
    <w:name w:val="Comment Subject Char"/>
    <w:basedOn w:val="CommentTextChar"/>
    <w:link w:val="CommentSubject"/>
    <w:uiPriority w:val="99"/>
    <w:semiHidden/>
    <w:rsid w:val="005C7F3F"/>
    <w:rPr>
      <w:rFonts w:ascii="Arial" w:hAnsi="Arial"/>
      <w:b/>
      <w:bCs/>
      <w:lang w:val="en-US"/>
    </w:rPr>
  </w:style>
  <w:style w:type="character" w:customStyle="1" w:styleId="UnresolvedMention1">
    <w:name w:val="Unresolved Mention1"/>
    <w:basedOn w:val="DefaultParagraphFont"/>
    <w:uiPriority w:val="99"/>
    <w:semiHidden/>
    <w:unhideWhenUsed/>
    <w:rsid w:val="00317CA9"/>
    <w:rPr>
      <w:color w:val="605E5C"/>
      <w:shd w:val="clear" w:color="auto" w:fill="E1DFDD"/>
    </w:rPr>
  </w:style>
  <w:style w:type="paragraph" w:styleId="Revision">
    <w:name w:val="Revision"/>
    <w:hidden/>
    <w:uiPriority w:val="99"/>
    <w:semiHidden/>
    <w:rsid w:val="00A31711"/>
    <w:rPr>
      <w:rFonts w:ascii="Arial" w:hAnsi="Arial"/>
      <w:szCs w:val="24"/>
      <w:lang w:val="en-US"/>
    </w:rPr>
  </w:style>
  <w:style w:type="table" w:customStyle="1" w:styleId="ECCTable-redheader">
    <w:name w:val="ECC Table - red header"/>
    <w:basedOn w:val="TableNormal"/>
    <w:uiPriority w:val="99"/>
    <w:qFormat/>
    <w:rsid w:val="00A165CD"/>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styleId="FollowedHyperlink">
    <w:name w:val="FollowedHyperlink"/>
    <w:basedOn w:val="DefaultParagraphFont"/>
    <w:uiPriority w:val="99"/>
    <w:semiHidden/>
    <w:unhideWhenUsed/>
    <w:rsid w:val="0088675D"/>
    <w:rPr>
      <w:color w:val="800080" w:themeColor="followedHyperlink"/>
      <w:u w:val="single"/>
    </w:rPr>
  </w:style>
  <w:style w:type="character" w:styleId="UnresolvedMention">
    <w:name w:val="Unresolved Mention"/>
    <w:basedOn w:val="DefaultParagraphFont"/>
    <w:uiPriority w:val="99"/>
    <w:semiHidden/>
    <w:unhideWhenUsed/>
    <w:rsid w:val="0097299C"/>
    <w:rPr>
      <w:color w:val="605E5C"/>
      <w:shd w:val="clear" w:color="auto" w:fill="E1DFDD"/>
    </w:rPr>
  </w:style>
  <w:style w:type="character" w:styleId="Mention">
    <w:name w:val="Mention"/>
    <w:basedOn w:val="DefaultParagraphFont"/>
    <w:uiPriority w:val="99"/>
    <w:unhideWhenUsed/>
    <w:rsid w:val="0097299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872E1-130F-4B56-8163-AED0F26A1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3045</Words>
  <Characters>17360</Characters>
  <Application>Microsoft Office Word</Application>
  <DocSecurity>0</DocSecurity>
  <Lines>144</Lines>
  <Paragraphs>40</Paragraphs>
  <ScaleCrop>false</ScaleCrop>
  <Company/>
  <LinksUpToDate>false</LinksUpToDate>
  <CharactersWithSpaces>20365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FM61 resolution</dc:creator>
  <cp:keywords/>
  <dc:description/>
  <cp:lastModifiedBy>ECO</cp:lastModifiedBy>
  <cp:revision>2</cp:revision>
  <dcterms:created xsi:type="dcterms:W3CDTF">2025-03-12T14:24:00Z</dcterms:created>
  <dcterms:modified xsi:type="dcterms:W3CDTF">2025-03-12T14:24:00Z</dcterms:modified>
</cp:coreProperties>
</file>