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47D8D" w14:textId="77777777" w:rsidR="00AB46DF" w:rsidRPr="00F728A2" w:rsidRDefault="00AB46DF">
      <w:pPr>
        <w:rPr>
          <w:lang w:val="en-GB"/>
        </w:rPr>
      </w:pPr>
    </w:p>
    <w:p w14:paraId="5AE134A1" w14:textId="77777777" w:rsidR="00AB46DF" w:rsidRPr="00F728A2" w:rsidRDefault="00AB46DF" w:rsidP="00AB46DF">
      <w:pPr>
        <w:jc w:val="center"/>
        <w:rPr>
          <w:lang w:val="en-GB"/>
        </w:rPr>
      </w:pPr>
    </w:p>
    <w:p w14:paraId="0CACFD5A" w14:textId="77777777" w:rsidR="00AB46DF" w:rsidRPr="00F728A2" w:rsidRDefault="00AB46DF" w:rsidP="00AB46DF">
      <w:pPr>
        <w:jc w:val="center"/>
        <w:rPr>
          <w:lang w:val="en-GB"/>
        </w:rPr>
      </w:pPr>
    </w:p>
    <w:p w14:paraId="638018A5" w14:textId="77777777" w:rsidR="00AB46DF" w:rsidRPr="00F728A2" w:rsidRDefault="00AB46DF" w:rsidP="00AB46DF">
      <w:pPr>
        <w:rPr>
          <w:lang w:val="en-GB"/>
        </w:rPr>
      </w:pPr>
    </w:p>
    <w:p w14:paraId="443E5F90" w14:textId="77777777" w:rsidR="00AB46DF" w:rsidRPr="00F728A2" w:rsidRDefault="00AB46DF" w:rsidP="00AB46DF">
      <w:pPr>
        <w:rPr>
          <w:lang w:val="en-GB"/>
        </w:rPr>
      </w:pPr>
    </w:p>
    <w:p w14:paraId="27E4E730" w14:textId="77777777" w:rsidR="00AB46DF" w:rsidRPr="00F728A2" w:rsidRDefault="00D20E3B" w:rsidP="00AB46DF">
      <w:pPr>
        <w:jc w:val="center"/>
        <w:rPr>
          <w:b/>
          <w:sz w:val="24"/>
          <w:lang w:val="en-GB"/>
        </w:rPr>
      </w:pPr>
      <w:r w:rsidRPr="00F728A2">
        <w:rPr>
          <w:b/>
          <w:noProof/>
          <w:sz w:val="24"/>
          <w:szCs w:val="20"/>
          <w:lang w:val="de-DE" w:eastAsia="de-DE"/>
        </w:rPr>
        <mc:AlternateContent>
          <mc:Choice Requires="wpg">
            <w:drawing>
              <wp:anchor distT="0" distB="0" distL="114300" distR="114300" simplePos="0" relativeHeight="251658240" behindDoc="0" locked="0" layoutInCell="1" allowOverlap="1" wp14:anchorId="662F81E6" wp14:editId="47974A7E">
                <wp:simplePos x="0" y="0"/>
                <wp:positionH relativeFrom="column">
                  <wp:posOffset>-720090</wp:posOffset>
                </wp:positionH>
                <wp:positionV relativeFrom="paragraph">
                  <wp:posOffset>69850</wp:posOffset>
                </wp:positionV>
                <wp:extent cx="7564120" cy="8268970"/>
                <wp:effectExtent l="0" t="76200" r="5080" b="0"/>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F6C682" w14:textId="77777777" w:rsidR="00F818E6" w:rsidRPr="00FE1795" w:rsidRDefault="00F818E6" w:rsidP="00AB46DF">
                              <w:pPr>
                                <w:rPr>
                                  <w:color w:val="57433E"/>
                                  <w:sz w:val="68"/>
                                </w:rPr>
                              </w:pPr>
                              <w:r w:rsidRPr="00FE1795">
                                <w:rPr>
                                  <w:color w:val="FFFFFF"/>
                                  <w:sz w:val="68"/>
                                </w:rPr>
                                <w:t xml:space="preserve">CEPT Report </w:t>
                              </w:r>
                              <w:r>
                                <w:rPr>
                                  <w:color w:val="D2232A"/>
                                  <w:sz w:val="68"/>
                                </w:rPr>
                                <w:t>089</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62F81E6" id="Group 3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12F6C682" w14:textId="77777777" w:rsidR="00F818E6" w:rsidRPr="00FE1795" w:rsidRDefault="00F818E6" w:rsidP="00AB46DF">
                        <w:pPr>
                          <w:rPr>
                            <w:color w:val="57433E"/>
                            <w:sz w:val="68"/>
                          </w:rPr>
                        </w:pPr>
                        <w:r w:rsidRPr="00FE1795">
                          <w:rPr>
                            <w:color w:val="FFFFFF"/>
                            <w:sz w:val="68"/>
                          </w:rPr>
                          <w:t xml:space="preserve">CEPT Report </w:t>
                        </w:r>
                        <w:r>
                          <w:rPr>
                            <w:color w:val="D2232A"/>
                            <w:sz w:val="68"/>
                          </w:rPr>
                          <w:t>089</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1385E80B" w14:textId="77777777" w:rsidR="00AB46DF" w:rsidRPr="00F728A2" w:rsidRDefault="00AB46DF" w:rsidP="00AB46DF">
      <w:pPr>
        <w:jc w:val="center"/>
        <w:rPr>
          <w:b/>
          <w:sz w:val="24"/>
          <w:lang w:val="en-GB"/>
        </w:rPr>
      </w:pPr>
    </w:p>
    <w:p w14:paraId="1323AC0A" w14:textId="77777777" w:rsidR="00AB46DF" w:rsidRPr="00F728A2" w:rsidRDefault="00AB46DF" w:rsidP="00AB46DF">
      <w:pPr>
        <w:jc w:val="center"/>
        <w:rPr>
          <w:b/>
          <w:sz w:val="24"/>
          <w:lang w:val="en-GB"/>
        </w:rPr>
      </w:pPr>
    </w:p>
    <w:p w14:paraId="5A8BBE65" w14:textId="77777777" w:rsidR="00AB46DF" w:rsidRPr="00F728A2" w:rsidRDefault="00AB46DF" w:rsidP="00AB46DF">
      <w:pPr>
        <w:jc w:val="center"/>
        <w:rPr>
          <w:b/>
          <w:sz w:val="24"/>
          <w:lang w:val="en-GB"/>
        </w:rPr>
      </w:pPr>
    </w:p>
    <w:p w14:paraId="3E13FC76" w14:textId="77777777" w:rsidR="00AB46DF" w:rsidRPr="00F728A2" w:rsidRDefault="00AB46DF" w:rsidP="00AB46DF">
      <w:pPr>
        <w:jc w:val="center"/>
        <w:rPr>
          <w:b/>
          <w:sz w:val="24"/>
          <w:lang w:val="en-GB"/>
        </w:rPr>
      </w:pPr>
    </w:p>
    <w:p w14:paraId="1FC9178E" w14:textId="77777777" w:rsidR="00AB46DF" w:rsidRPr="00F728A2" w:rsidRDefault="00AB46DF" w:rsidP="00AB46DF">
      <w:pPr>
        <w:jc w:val="center"/>
        <w:rPr>
          <w:b/>
          <w:sz w:val="24"/>
          <w:lang w:val="en-GB"/>
        </w:rPr>
      </w:pPr>
    </w:p>
    <w:p w14:paraId="00997084" w14:textId="77777777" w:rsidR="00AB46DF" w:rsidRPr="00F728A2" w:rsidRDefault="00AB46DF" w:rsidP="00AB46DF">
      <w:pPr>
        <w:jc w:val="center"/>
        <w:rPr>
          <w:b/>
          <w:sz w:val="24"/>
          <w:lang w:val="en-GB"/>
        </w:rPr>
      </w:pPr>
    </w:p>
    <w:p w14:paraId="197E27D6" w14:textId="77777777" w:rsidR="00AB46DF" w:rsidRPr="00F728A2" w:rsidRDefault="00AB46DF" w:rsidP="00AB46DF">
      <w:pPr>
        <w:jc w:val="center"/>
        <w:rPr>
          <w:b/>
          <w:sz w:val="24"/>
          <w:lang w:val="en-GB"/>
        </w:rPr>
      </w:pPr>
    </w:p>
    <w:p w14:paraId="17CAF2D8" w14:textId="77777777" w:rsidR="00AB46DF" w:rsidRPr="00F728A2" w:rsidRDefault="00AB46DF" w:rsidP="00AB46DF">
      <w:pPr>
        <w:jc w:val="center"/>
        <w:rPr>
          <w:b/>
          <w:sz w:val="24"/>
          <w:lang w:val="en-GB"/>
        </w:rPr>
      </w:pPr>
    </w:p>
    <w:p w14:paraId="5FD30CFD" w14:textId="77777777" w:rsidR="00AB46DF" w:rsidRPr="00F728A2" w:rsidRDefault="00AB46DF" w:rsidP="00AB46DF">
      <w:pPr>
        <w:jc w:val="center"/>
        <w:rPr>
          <w:b/>
          <w:sz w:val="24"/>
          <w:lang w:val="en-GB"/>
        </w:rPr>
      </w:pPr>
    </w:p>
    <w:p w14:paraId="3EA6372A" w14:textId="77777777" w:rsidR="00AB46DF" w:rsidRPr="00F728A2" w:rsidRDefault="00AB46DF" w:rsidP="00AB46DF">
      <w:pPr>
        <w:jc w:val="center"/>
        <w:rPr>
          <w:b/>
          <w:sz w:val="24"/>
          <w:lang w:val="en-GB"/>
        </w:rPr>
      </w:pPr>
    </w:p>
    <w:p w14:paraId="099F21F9" w14:textId="77777777" w:rsidR="00AB46DF" w:rsidRPr="00F728A2" w:rsidRDefault="00AB46DF" w:rsidP="00AB46DF">
      <w:pPr>
        <w:rPr>
          <w:b/>
          <w:sz w:val="24"/>
          <w:lang w:val="en-GB"/>
        </w:rPr>
      </w:pPr>
    </w:p>
    <w:p w14:paraId="38E70D85" w14:textId="4EB74023" w:rsidR="00EA6829" w:rsidRPr="00F97085" w:rsidRDefault="00EA6829" w:rsidP="00E73876">
      <w:pPr>
        <w:pStyle w:val="Reporttitledescription"/>
        <w:jc w:val="both"/>
        <w:rPr>
          <w:lang w:val="en-GB"/>
        </w:rPr>
      </w:pPr>
      <w:r w:rsidRPr="00EA6829">
        <w:rPr>
          <w:lang w:val="en-GB"/>
        </w:rPr>
        <w:t>Report from CEPT to the European Commission in response to the Mandate to develop harmonised technical and operational conditions for the usage of non-active antenna systems aerial terminal stations</w:t>
      </w:r>
      <w:bookmarkStart w:id="0" w:name="_Hlk189753413"/>
      <w:r w:rsidR="0018100F">
        <w:rPr>
          <w:lang w:val="en-GB"/>
        </w:rPr>
        <w:t xml:space="preserve"> (non-AAS ATS)</w:t>
      </w:r>
      <w:bookmarkEnd w:id="0"/>
      <w:r w:rsidRPr="00EA6829">
        <w:rPr>
          <w:lang w:val="en-GB"/>
        </w:rPr>
        <w:t xml:space="preserve"> in EU-harmonised frequency bands for terrestrial systems</w:t>
      </w:r>
      <w:r>
        <w:rPr>
          <w:lang w:val="en-GB"/>
        </w:rPr>
        <w:t xml:space="preserve"> </w:t>
      </w:r>
      <w:r w:rsidRPr="00F97085">
        <w:rPr>
          <w:lang w:val="en-GB"/>
        </w:rPr>
        <w:t>capable of providing electronic communications</w:t>
      </w:r>
      <w:r>
        <w:rPr>
          <w:lang w:val="en-GB"/>
        </w:rPr>
        <w:t xml:space="preserve"> services </w:t>
      </w:r>
    </w:p>
    <w:p w14:paraId="12FE8CC6" w14:textId="5CF266B8" w:rsidR="00AB46DF" w:rsidRPr="00F728A2" w:rsidRDefault="0008577A" w:rsidP="00AB46DF">
      <w:pPr>
        <w:pStyle w:val="Reporttitledescription"/>
        <w:rPr>
          <w:b/>
          <w:sz w:val="18"/>
          <w:lang w:val="en-GB"/>
        </w:rPr>
      </w:pPr>
      <w:r>
        <w:rPr>
          <w:b/>
          <w:sz w:val="18"/>
          <w:lang w:val="en-GB"/>
        </w:rPr>
        <w:fldChar w:fldCharType="begin">
          <w:ffData>
            <w:name w:val="Text8"/>
            <w:enabled/>
            <w:calcOnExit w:val="0"/>
            <w:textInput>
              <w:default w:val="approved on 7 March 2025"/>
            </w:textInput>
          </w:ffData>
        </w:fldChar>
      </w:r>
      <w:bookmarkStart w:id="1" w:name="Text8"/>
      <w:r>
        <w:rPr>
          <w:b/>
          <w:sz w:val="18"/>
          <w:lang w:val="en-GB"/>
        </w:rPr>
        <w:instrText xml:space="preserve"> FORMTEXT </w:instrText>
      </w:r>
      <w:r>
        <w:rPr>
          <w:b/>
          <w:sz w:val="18"/>
          <w:lang w:val="en-GB"/>
        </w:rPr>
      </w:r>
      <w:r>
        <w:rPr>
          <w:b/>
          <w:sz w:val="18"/>
          <w:lang w:val="en-GB"/>
        </w:rPr>
        <w:fldChar w:fldCharType="separate"/>
      </w:r>
      <w:r>
        <w:rPr>
          <w:b/>
          <w:noProof/>
          <w:sz w:val="18"/>
          <w:lang w:val="en-GB"/>
        </w:rPr>
        <w:t>approved on 7 March 2025</w:t>
      </w:r>
      <w:r>
        <w:rPr>
          <w:b/>
          <w:sz w:val="18"/>
          <w:lang w:val="en-GB"/>
        </w:rPr>
        <w:fldChar w:fldCharType="end"/>
      </w:r>
      <w:bookmarkEnd w:id="1"/>
      <w:r w:rsidR="00512677" w:rsidRPr="00F728A2">
        <w:rPr>
          <w:b/>
          <w:sz w:val="18"/>
          <w:lang w:val="en-GB"/>
        </w:rPr>
        <w:tab/>
      </w:r>
    </w:p>
    <w:p w14:paraId="0E7C9A56" w14:textId="77777777" w:rsidR="00AB46DF" w:rsidRPr="00737D5F" w:rsidRDefault="00AB46DF">
      <w:pPr>
        <w:rPr>
          <w:lang w:val="en-GB"/>
        </w:rPr>
      </w:pPr>
    </w:p>
    <w:p w14:paraId="04753E8D" w14:textId="77777777" w:rsidR="008D11DC" w:rsidRPr="00903D26" w:rsidRDefault="008D11DC" w:rsidP="008D11DC">
      <w:pPr>
        <w:rPr>
          <w:lang w:val="en-GB"/>
        </w:rPr>
      </w:pPr>
    </w:p>
    <w:p w14:paraId="19DFF2E6" w14:textId="77777777" w:rsidR="008D11DC" w:rsidRPr="00737D5F" w:rsidRDefault="008D11DC">
      <w:pPr>
        <w:rPr>
          <w:lang w:val="en-GB"/>
        </w:rPr>
      </w:pPr>
    </w:p>
    <w:p w14:paraId="3F762032" w14:textId="77777777" w:rsidR="008D11DC" w:rsidRPr="00903D26" w:rsidRDefault="008D11DC">
      <w:pPr>
        <w:rPr>
          <w:lang w:val="en-GB"/>
        </w:rPr>
      </w:pPr>
    </w:p>
    <w:p w14:paraId="31BDF24F" w14:textId="77777777" w:rsidR="008D11DC" w:rsidRPr="00F728A2" w:rsidRDefault="008D11DC">
      <w:pPr>
        <w:rPr>
          <w:lang w:val="en-GB"/>
        </w:rPr>
        <w:sectPr w:rsidR="008D11DC" w:rsidRPr="00F728A2">
          <w:headerReference w:type="even" r:id="rId8"/>
          <w:headerReference w:type="default" r:id="rId9"/>
          <w:headerReference w:type="first" r:id="rId10"/>
          <w:pgSz w:w="11907" w:h="16840" w:code="9"/>
          <w:pgMar w:top="1440" w:right="1134" w:bottom="1440" w:left="1134" w:header="709" w:footer="709" w:gutter="0"/>
          <w:cols w:space="708"/>
          <w:titlePg/>
          <w:docGrid w:linePitch="360"/>
        </w:sectPr>
      </w:pPr>
    </w:p>
    <w:p w14:paraId="5F0599DD" w14:textId="77777777" w:rsidR="00AB46DF" w:rsidRPr="00903D26" w:rsidRDefault="003C3EE4" w:rsidP="004929E1">
      <w:pPr>
        <w:pStyle w:val="Heading1"/>
      </w:pPr>
      <w:bookmarkStart w:id="2" w:name="_Toc192499485"/>
      <w:r w:rsidRPr="00737D5F">
        <w:lastRenderedPageBreak/>
        <w:t>Execut</w:t>
      </w:r>
      <w:r w:rsidRPr="00903D26">
        <w:t>ive summary</w:t>
      </w:r>
      <w:bookmarkEnd w:id="2"/>
      <w:r w:rsidRPr="00903D26">
        <w:t xml:space="preserve"> </w:t>
      </w:r>
    </w:p>
    <w:p w14:paraId="74EC92F7" w14:textId="67BD0646" w:rsidR="00B143C9" w:rsidRPr="000C52B6" w:rsidRDefault="00B143C9" w:rsidP="006D7FE7">
      <w:pPr>
        <w:pStyle w:val="ECCParagraph"/>
      </w:pPr>
      <w:r w:rsidRPr="000C52B6">
        <w:t xml:space="preserve">The </w:t>
      </w:r>
      <w:r w:rsidR="002867F9" w:rsidRPr="000C52B6">
        <w:t>aim</w:t>
      </w:r>
      <w:r w:rsidRPr="000C52B6">
        <w:t xml:space="preserve"> of this </w:t>
      </w:r>
      <w:r w:rsidR="002519F8" w:rsidRPr="000C52B6">
        <w:t xml:space="preserve">Report is to respond to </w:t>
      </w:r>
      <w:r w:rsidR="004A6F2C" w:rsidRPr="000C52B6">
        <w:t xml:space="preserve">the </w:t>
      </w:r>
      <w:r w:rsidR="002519F8" w:rsidRPr="000C52B6">
        <w:t>Mandate</w:t>
      </w:r>
      <w:r w:rsidR="001F39DE">
        <w:t xml:space="preserve"> from the European Commission (EC)</w:t>
      </w:r>
      <w:r w:rsidR="002519F8" w:rsidRPr="000C52B6">
        <w:t xml:space="preserve"> </w:t>
      </w:r>
      <w:r w:rsidR="005C557F" w:rsidRPr="000C52B6">
        <w:t>to develop</w:t>
      </w:r>
      <w:r w:rsidR="002519F8" w:rsidRPr="000C52B6">
        <w:t xml:space="preserve"> </w:t>
      </w:r>
      <w:r w:rsidRPr="000C52B6">
        <w:t xml:space="preserve">harmonised technical and operational conditions for the usage of </w:t>
      </w:r>
      <w:r w:rsidR="008B6378" w:rsidRPr="000C52B6">
        <w:t>non</w:t>
      </w:r>
      <w:r w:rsidR="00957027" w:rsidRPr="000C52B6">
        <w:t>-</w:t>
      </w:r>
      <w:r w:rsidR="00B15F2F" w:rsidRPr="000C52B6">
        <w:t>active antenna systems</w:t>
      </w:r>
      <w:r w:rsidR="008B6378" w:rsidRPr="000C52B6">
        <w:t xml:space="preserve"> </w:t>
      </w:r>
      <w:r w:rsidRPr="000C52B6">
        <w:t>aerial terminal stations (</w:t>
      </w:r>
      <w:r w:rsidR="00B15F2F" w:rsidRPr="000C52B6">
        <w:t xml:space="preserve">non-AAS </w:t>
      </w:r>
      <w:r w:rsidRPr="000C52B6">
        <w:t>ATS) in EU-harmonised</w:t>
      </w:r>
      <w:r w:rsidR="008B6378" w:rsidRPr="000C52B6">
        <w:t xml:space="preserve"> frequency</w:t>
      </w:r>
      <w:r w:rsidRPr="000C52B6">
        <w:t xml:space="preserve"> bands for terrestrial systems capable of providing electronic communications services</w:t>
      </w:r>
      <w:r w:rsidR="001F39DE">
        <w:t xml:space="preserve"> (see </w:t>
      </w:r>
      <w:r w:rsidR="001F39DE">
        <w:fldChar w:fldCharType="begin"/>
      </w:r>
      <w:r w:rsidR="001F39DE">
        <w:instrText xml:space="preserve"> REF _Ref176869130 \r \h </w:instrText>
      </w:r>
      <w:r w:rsidR="001F39DE">
        <w:fldChar w:fldCharType="separate"/>
      </w:r>
      <w:r w:rsidR="00A038B5">
        <w:t>A</w:t>
      </w:r>
      <w:r w:rsidR="00EE24B4">
        <w:t>nnex</w:t>
      </w:r>
      <w:r w:rsidR="00A038B5">
        <w:t xml:space="preserve"> 1</w:t>
      </w:r>
      <w:r w:rsidR="001F39DE">
        <w:fldChar w:fldCharType="end"/>
      </w:r>
      <w:r w:rsidR="001F39DE">
        <w:t>)</w:t>
      </w:r>
      <w:r w:rsidRPr="000C52B6">
        <w:t>.</w:t>
      </w:r>
    </w:p>
    <w:p w14:paraId="32CF0C36" w14:textId="77777777" w:rsidR="005C557F" w:rsidRPr="000C52B6" w:rsidRDefault="005C557F" w:rsidP="006D7FE7">
      <w:pPr>
        <w:pStyle w:val="ECCParagraph"/>
      </w:pPr>
      <w:r w:rsidRPr="000C52B6">
        <w:t>For the purpose of this Report, the term non-active antenna systems aerial terminal station (non-AAS ATS) is used instead of “aerial UE”,</w:t>
      </w:r>
      <w:r w:rsidR="004A6F2C" w:rsidRPr="000C52B6">
        <w:t xml:space="preserve"> a </w:t>
      </w:r>
      <w:r w:rsidRPr="000C52B6">
        <w:t xml:space="preserve">term which has been used in the CEPT </w:t>
      </w:r>
      <w:r w:rsidR="00DD155F" w:rsidRPr="000C52B6">
        <w:t>studies, (</w:t>
      </w:r>
      <w:r w:rsidR="00F033DE" w:rsidRPr="000C52B6">
        <w:t xml:space="preserve">e.g. </w:t>
      </w:r>
      <w:r w:rsidR="00DD155F" w:rsidRPr="000C52B6">
        <w:t xml:space="preserve">ECC Report 309 </w:t>
      </w:r>
      <w:r w:rsidR="00DD155F" w:rsidRPr="000C52B6">
        <w:fldChar w:fldCharType="begin"/>
      </w:r>
      <w:r w:rsidR="00DD155F" w:rsidRPr="000C52B6">
        <w:instrText xml:space="preserve"> REF _Ref103695135 \r \h </w:instrText>
      </w:r>
      <w:r w:rsidR="000C52B6">
        <w:instrText xml:space="preserve"> \* MERGEFORMAT </w:instrText>
      </w:r>
      <w:r w:rsidR="00DD155F" w:rsidRPr="000C52B6">
        <w:fldChar w:fldCharType="separate"/>
      </w:r>
      <w:r w:rsidR="00A038B5">
        <w:t>[1]</w:t>
      </w:r>
      <w:r w:rsidR="00DD155F" w:rsidRPr="000C52B6">
        <w:fldChar w:fldCharType="end"/>
      </w:r>
      <w:r w:rsidR="00DD155F" w:rsidRPr="000C52B6">
        <w:t xml:space="preserve"> and</w:t>
      </w:r>
      <w:r w:rsidR="0023035F" w:rsidRPr="000C52B6">
        <w:t xml:space="preserve"> ECC Report 348 </w:t>
      </w:r>
      <w:r w:rsidR="0023035F" w:rsidRPr="000C52B6">
        <w:fldChar w:fldCharType="begin"/>
      </w:r>
      <w:r w:rsidR="0023035F" w:rsidRPr="000C52B6">
        <w:instrText xml:space="preserve"> REF _Ref176865865 \r \h </w:instrText>
      </w:r>
      <w:r w:rsidR="000C52B6">
        <w:instrText xml:space="preserve"> \* MERGEFORMAT </w:instrText>
      </w:r>
      <w:r w:rsidR="0023035F" w:rsidRPr="000C52B6">
        <w:fldChar w:fldCharType="separate"/>
      </w:r>
      <w:r w:rsidR="00A038B5">
        <w:t>[2]</w:t>
      </w:r>
      <w:r w:rsidR="0023035F" w:rsidRPr="000C52B6">
        <w:fldChar w:fldCharType="end"/>
      </w:r>
      <w:r w:rsidR="00DD155F" w:rsidRPr="000C52B6">
        <w:t>)</w:t>
      </w:r>
      <w:r w:rsidR="0023035F" w:rsidRPr="000C52B6">
        <w:t xml:space="preserve"> </w:t>
      </w:r>
      <w:r w:rsidRPr="000C52B6">
        <w:t xml:space="preserve">and harmonisation </w:t>
      </w:r>
      <w:r w:rsidR="001E0F99" w:rsidRPr="000C52B6">
        <w:t xml:space="preserve">measures </w:t>
      </w:r>
      <w:r w:rsidRPr="000C52B6">
        <w:t>related to this topic</w:t>
      </w:r>
      <w:r w:rsidR="00DD155F" w:rsidRPr="000C52B6">
        <w:t xml:space="preserve"> (</w:t>
      </w:r>
      <w:r w:rsidR="00F033DE" w:rsidRPr="000C52B6">
        <w:t xml:space="preserve">e.g. </w:t>
      </w:r>
      <w:r w:rsidR="00DD155F" w:rsidRPr="000C52B6">
        <w:t xml:space="preserve">ECC Decision (22)07 </w:t>
      </w:r>
      <w:r w:rsidR="00DD155F" w:rsidRPr="000C52B6">
        <w:fldChar w:fldCharType="begin"/>
      </w:r>
      <w:r w:rsidR="00DD155F" w:rsidRPr="000C52B6">
        <w:instrText xml:space="preserve"> REF _Ref176865974 \r \h </w:instrText>
      </w:r>
      <w:r w:rsidR="000C52B6">
        <w:instrText xml:space="preserve"> \* MERGEFORMAT </w:instrText>
      </w:r>
      <w:r w:rsidR="00DD155F" w:rsidRPr="000C52B6">
        <w:fldChar w:fldCharType="separate"/>
      </w:r>
      <w:r w:rsidR="00A038B5">
        <w:t>[3]</w:t>
      </w:r>
      <w:r w:rsidR="00DD155F" w:rsidRPr="000C52B6">
        <w:fldChar w:fldCharType="end"/>
      </w:r>
      <w:r w:rsidR="00DD155F" w:rsidRPr="000C52B6">
        <w:t>)</w:t>
      </w:r>
      <w:r w:rsidRPr="000C52B6">
        <w:t>. This clarification keeps terminology consistent with the EU legal framework.</w:t>
      </w:r>
    </w:p>
    <w:p w14:paraId="4C143E78" w14:textId="59A69EBE" w:rsidR="00966141" w:rsidRPr="000C52B6" w:rsidRDefault="00966141" w:rsidP="006D7FE7">
      <w:pPr>
        <w:pStyle w:val="ECCParagraph"/>
      </w:pPr>
      <w:r w:rsidRPr="000C52B6">
        <w:t>The assessed EU-harmonised frequency bands in the framework of this Report are the following:</w:t>
      </w:r>
    </w:p>
    <w:p w14:paraId="3FAD6D0B" w14:textId="23C542E4" w:rsidR="00966141" w:rsidRPr="000C52B6" w:rsidRDefault="00966141" w:rsidP="006D7FE7">
      <w:pPr>
        <w:pStyle w:val="ECCBulletsLv1"/>
        <w:spacing w:after="60"/>
      </w:pPr>
      <w:r w:rsidRPr="000C52B6">
        <w:t>703-733 MHz/758-788 MHz (‘700 MHz’), 791</w:t>
      </w:r>
      <w:r w:rsidR="007F6063">
        <w:t>-</w:t>
      </w:r>
      <w:r w:rsidRPr="000C52B6">
        <w:t>821 MHz/832-862 MHz (‘800 MHz'), 880-915 MHz/925-960 MHz (‘900 MHz’), 1710-1785 MHz/1805-1880 MHz (‘1800 MHz’), 1920-1980 MHz/2110-2170 MHz (‘paired terrestrial 2 GHz’), 2500-2570 MHz/2620-2690 MHz (‘paired 2.6 GHz’) and 2570-2620</w:t>
      </w:r>
      <w:r w:rsidR="00B47A13">
        <w:t> </w:t>
      </w:r>
      <w:r w:rsidRPr="000C52B6">
        <w:t>MHz (unpaired 2.6 GHz), with non-AAS terrestrial base stations</w:t>
      </w:r>
      <w:r w:rsidR="006D7FE7">
        <w:t>;</w:t>
      </w:r>
    </w:p>
    <w:p w14:paraId="7B3D049A" w14:textId="77777777" w:rsidR="00966141" w:rsidRPr="000C52B6" w:rsidRDefault="00966141" w:rsidP="006D7FE7">
      <w:pPr>
        <w:pStyle w:val="ECCBulletsLv1"/>
        <w:spacing w:after="60"/>
      </w:pPr>
      <w:r w:rsidRPr="000C52B6">
        <w:t>1710-1785 MHz/1805-1880 MHz (‘1800 MHz’), 1920-1980 MHz/2110-2170 MHz (‘paired terrestrial 2 GHz’), 2500-2570 MHz/2620-2690 MHz (‘paired 2.6 GHz’), 2570-2620 MHz (unpaired 2.6 GHz) with AAS terrestrial base stations.</w:t>
      </w:r>
    </w:p>
    <w:p w14:paraId="6EE67E54" w14:textId="446DB6A5" w:rsidR="003B00C9" w:rsidRDefault="00057288" w:rsidP="006D7FE7">
      <w:pPr>
        <w:pStyle w:val="ECCParagraph"/>
        <w:rPr>
          <w:shd w:val="clear" w:color="auto" w:fill="FFFFFF"/>
        </w:rPr>
      </w:pPr>
      <w:r w:rsidRPr="006C2FC6">
        <w:rPr>
          <w:shd w:val="clear" w:color="auto" w:fill="FFFFFF"/>
        </w:rPr>
        <w:t xml:space="preserve">For the purpose of this </w:t>
      </w:r>
      <w:r w:rsidR="0023035F">
        <w:rPr>
          <w:shd w:val="clear" w:color="auto" w:fill="FFFFFF"/>
        </w:rPr>
        <w:t>Report</w:t>
      </w:r>
      <w:r w:rsidRPr="006C2FC6">
        <w:rPr>
          <w:shd w:val="clear" w:color="auto" w:fill="FFFFFF"/>
        </w:rPr>
        <w:t>, a</w:t>
      </w:r>
      <w:r w:rsidR="00957027">
        <w:rPr>
          <w:shd w:val="clear" w:color="auto" w:fill="FFFFFF"/>
        </w:rPr>
        <w:t xml:space="preserve"> </w:t>
      </w:r>
      <w:r w:rsidR="00B15F2F">
        <w:rPr>
          <w:shd w:val="clear" w:color="auto" w:fill="FFFFFF"/>
        </w:rPr>
        <w:t xml:space="preserve">non-AAS </w:t>
      </w:r>
      <w:r w:rsidRPr="006C2FC6">
        <w:rPr>
          <w:shd w:val="clear" w:color="auto" w:fill="FFFFFF"/>
        </w:rPr>
        <w:t>ATS can be installed either on board of an unmanned aircraft (e.g. a drone) or on board of a manned aircraft (e.g. helicopters)</w:t>
      </w:r>
      <w:r w:rsidR="002056AA" w:rsidRPr="006C2FC6">
        <w:rPr>
          <w:shd w:val="clear" w:color="auto" w:fill="FFFFFF"/>
        </w:rPr>
        <w:t xml:space="preserve">, and it </w:t>
      </w:r>
      <w:r w:rsidR="002056AA" w:rsidRPr="006C2FC6">
        <w:t xml:space="preserve">refers to non-AAS </w:t>
      </w:r>
      <w:r w:rsidR="00D1220F" w:rsidRPr="006C2FC6">
        <w:t xml:space="preserve">ATS </w:t>
      </w:r>
      <w:r w:rsidR="002056AA" w:rsidRPr="006C2FC6">
        <w:t>only</w:t>
      </w:r>
      <w:r w:rsidRPr="006C2FC6">
        <w:rPr>
          <w:shd w:val="clear" w:color="auto" w:fill="FFFFFF"/>
        </w:rPr>
        <w:t xml:space="preserve">. </w:t>
      </w:r>
      <w:bookmarkStart w:id="3" w:name="_Hlk149816421"/>
      <w:r w:rsidRPr="006C2FC6">
        <w:rPr>
          <w:shd w:val="clear" w:color="auto" w:fill="FFFFFF"/>
        </w:rPr>
        <w:t>It is without prejudice to EU</w:t>
      </w:r>
      <w:r w:rsidR="003645F4">
        <w:rPr>
          <w:shd w:val="clear" w:color="auto" w:fill="FFFFFF"/>
        </w:rPr>
        <w:t xml:space="preserve"> </w:t>
      </w:r>
      <w:r w:rsidRPr="006C2FC6">
        <w:rPr>
          <w:shd w:val="clear" w:color="auto" w:fill="FFFFFF"/>
        </w:rPr>
        <w:t>level and national regulations regarding civil aviation and flight operations</w:t>
      </w:r>
      <w:bookmarkEnd w:id="3"/>
      <w:r w:rsidRPr="006C2FC6">
        <w:rPr>
          <w:shd w:val="clear" w:color="auto" w:fill="FFFFFF"/>
        </w:rPr>
        <w:t>.</w:t>
      </w:r>
    </w:p>
    <w:p w14:paraId="1B895C6C" w14:textId="766FED08" w:rsidR="00620E2B" w:rsidRDefault="00DB5707" w:rsidP="006D7FE7">
      <w:pPr>
        <w:pStyle w:val="ECCParagraph"/>
        <w:rPr>
          <w:shd w:val="clear" w:color="auto" w:fill="FFFFFF"/>
        </w:rPr>
      </w:pPr>
      <w:r w:rsidRPr="006C2FC6">
        <w:t xml:space="preserve">The technical assessment concluded that the </w:t>
      </w:r>
      <w:r w:rsidR="00620E2B" w:rsidRPr="006C2FC6">
        <w:t xml:space="preserve">operation of </w:t>
      </w:r>
      <w:r w:rsidR="00B15F2F">
        <w:t xml:space="preserve">non-AAS </w:t>
      </w:r>
      <w:r w:rsidRPr="006C2FC6">
        <w:t>ATS</w:t>
      </w:r>
      <w:r w:rsidR="00CF2EE4">
        <w:t xml:space="preserve"> </w:t>
      </w:r>
      <w:r w:rsidR="00620E2B" w:rsidRPr="006C2FC6">
        <w:t>in the bands 703-733 MHz, 832-862</w:t>
      </w:r>
      <w:r w:rsidR="001C6B6B">
        <w:t> </w:t>
      </w:r>
      <w:r w:rsidR="00620E2B" w:rsidRPr="006C2FC6">
        <w:t xml:space="preserve">MHz, </w:t>
      </w:r>
      <w:r w:rsidR="00620E2B" w:rsidRPr="0022144D">
        <w:rPr>
          <w:shd w:val="clear" w:color="auto" w:fill="FFFFFF"/>
        </w:rPr>
        <w:t>1710-1785 MHz, 2500-2570 MHz and 2570-2620 MHz</w:t>
      </w:r>
      <w:r w:rsidRPr="0022144D">
        <w:rPr>
          <w:shd w:val="clear" w:color="auto" w:fill="FFFFFF"/>
        </w:rPr>
        <w:t xml:space="preserve"> is feasible within</w:t>
      </w:r>
      <w:r w:rsidR="00620E2B" w:rsidRPr="0022144D">
        <w:rPr>
          <w:shd w:val="clear" w:color="auto" w:fill="FFFFFF"/>
        </w:rPr>
        <w:t xml:space="preserve"> the operational and technical conditions defined in </w:t>
      </w:r>
      <w:r w:rsidR="0098054D">
        <w:rPr>
          <w:shd w:val="clear" w:color="auto" w:fill="FFFFFF"/>
        </w:rPr>
        <w:fldChar w:fldCharType="begin"/>
      </w:r>
      <w:r w:rsidR="0098054D">
        <w:rPr>
          <w:shd w:val="clear" w:color="auto" w:fill="FFFFFF"/>
        </w:rPr>
        <w:instrText xml:space="preserve"> REF _Ref176867717 \r \h </w:instrText>
      </w:r>
      <w:r w:rsidR="0098054D">
        <w:rPr>
          <w:shd w:val="clear" w:color="auto" w:fill="FFFFFF"/>
        </w:rPr>
      </w:r>
      <w:r w:rsidR="0098054D">
        <w:rPr>
          <w:shd w:val="clear" w:color="auto" w:fill="FFFFFF"/>
        </w:rPr>
        <w:fldChar w:fldCharType="separate"/>
      </w:r>
      <w:r w:rsidR="001E0F99">
        <w:rPr>
          <w:shd w:val="clear" w:color="auto" w:fill="FFFFFF"/>
        </w:rPr>
        <w:t>A</w:t>
      </w:r>
      <w:r w:rsidR="006D7FE7">
        <w:rPr>
          <w:shd w:val="clear" w:color="auto" w:fill="FFFFFF"/>
        </w:rPr>
        <w:t>nnex</w:t>
      </w:r>
      <w:r w:rsidR="00A038B5">
        <w:rPr>
          <w:shd w:val="clear" w:color="auto" w:fill="FFFFFF"/>
        </w:rPr>
        <w:t xml:space="preserve"> 2</w:t>
      </w:r>
      <w:r w:rsidR="0098054D">
        <w:rPr>
          <w:shd w:val="clear" w:color="auto" w:fill="FFFFFF"/>
        </w:rPr>
        <w:fldChar w:fldCharType="end"/>
      </w:r>
    </w:p>
    <w:p w14:paraId="7FAB511B" w14:textId="3EE54DE8" w:rsidR="00DB5707" w:rsidRPr="0022144D" w:rsidRDefault="00DB5707" w:rsidP="006D7FE7">
      <w:pPr>
        <w:pStyle w:val="ECCParagraph"/>
        <w:rPr>
          <w:shd w:val="clear" w:color="auto" w:fill="FFFFFF"/>
        </w:rPr>
      </w:pPr>
      <w:r w:rsidRPr="0022144D">
        <w:rPr>
          <w:shd w:val="clear" w:color="auto" w:fill="FFFFFF"/>
        </w:rPr>
        <w:t xml:space="preserve">The usage of </w:t>
      </w:r>
      <w:r w:rsidR="00B15F2F">
        <w:rPr>
          <w:shd w:val="clear" w:color="auto" w:fill="FFFFFF"/>
        </w:rPr>
        <w:t xml:space="preserve">non-AAS </w:t>
      </w:r>
      <w:r w:rsidRPr="0022144D">
        <w:rPr>
          <w:shd w:val="clear" w:color="auto" w:fill="FFFFFF"/>
        </w:rPr>
        <w:t xml:space="preserve">ATS in the 880-915 MHz and 1920-1980 MHz frequency band is feasible without specific operational and technical conditions beyond those already applicable to conventional </w:t>
      </w:r>
      <w:r w:rsidR="0098054D">
        <w:rPr>
          <w:shd w:val="clear" w:color="auto" w:fill="FFFFFF"/>
        </w:rPr>
        <w:t>user equipment (</w:t>
      </w:r>
      <w:r w:rsidRPr="0022144D">
        <w:rPr>
          <w:shd w:val="clear" w:color="auto" w:fill="FFFFFF"/>
        </w:rPr>
        <w:t>UE</w:t>
      </w:r>
      <w:r w:rsidR="0098054D">
        <w:rPr>
          <w:shd w:val="clear" w:color="auto" w:fill="FFFFFF"/>
        </w:rPr>
        <w:t>)</w:t>
      </w:r>
      <w:r w:rsidRPr="0022144D">
        <w:rPr>
          <w:shd w:val="clear" w:color="auto" w:fill="FFFFFF"/>
        </w:rPr>
        <w:t xml:space="preserve"> in EC Decisions in the given </w:t>
      </w:r>
      <w:r w:rsidR="00202121">
        <w:rPr>
          <w:shd w:val="clear" w:color="auto" w:fill="FFFFFF"/>
        </w:rPr>
        <w:t xml:space="preserve">harmonised </w:t>
      </w:r>
      <w:r w:rsidR="003645F4">
        <w:t>Wireless Broadband</w:t>
      </w:r>
      <w:r w:rsidR="003645F4">
        <w:rPr>
          <w:shd w:val="clear" w:color="auto" w:fill="FFFFFF"/>
        </w:rPr>
        <w:t xml:space="preserve"> Electronic Communications Services (</w:t>
      </w:r>
      <w:r w:rsidR="00202121">
        <w:rPr>
          <w:shd w:val="clear" w:color="auto" w:fill="FFFFFF"/>
        </w:rPr>
        <w:t>WBB ECS</w:t>
      </w:r>
      <w:r w:rsidR="003645F4">
        <w:rPr>
          <w:shd w:val="clear" w:color="auto" w:fill="FFFFFF"/>
        </w:rPr>
        <w:t>)</w:t>
      </w:r>
      <w:r w:rsidR="00202121">
        <w:rPr>
          <w:shd w:val="clear" w:color="auto" w:fill="FFFFFF"/>
        </w:rPr>
        <w:t xml:space="preserve"> </w:t>
      </w:r>
      <w:r w:rsidRPr="0022144D">
        <w:rPr>
          <w:shd w:val="clear" w:color="auto" w:fill="FFFFFF"/>
        </w:rPr>
        <w:t>bands</w:t>
      </w:r>
      <w:r w:rsidR="00A460D5">
        <w:rPr>
          <w:shd w:val="clear" w:color="auto" w:fill="FFFFFF"/>
        </w:rPr>
        <w:t>.</w:t>
      </w:r>
    </w:p>
    <w:p w14:paraId="6A5369A6" w14:textId="20F35DE6" w:rsidR="00EE3E8D" w:rsidRPr="0022144D" w:rsidRDefault="000429A1" w:rsidP="006D7FE7">
      <w:pPr>
        <w:pStyle w:val="ECCParagraph"/>
        <w:rPr>
          <w:shd w:val="clear" w:color="auto" w:fill="FFFFFF"/>
        </w:rPr>
      </w:pPr>
      <w:bookmarkStart w:id="4" w:name="_Hlk165883645"/>
      <w:r>
        <w:rPr>
          <w:shd w:val="clear" w:color="auto" w:fill="FFFFFF"/>
        </w:rPr>
        <w:t>In order to protect other services</w:t>
      </w:r>
      <w:r w:rsidR="004A6F2C">
        <w:rPr>
          <w:shd w:val="clear" w:color="auto" w:fill="FFFFFF"/>
        </w:rPr>
        <w:t xml:space="preserve"> (</w:t>
      </w:r>
      <w:r w:rsidR="0098054D">
        <w:rPr>
          <w:shd w:val="clear" w:color="auto" w:fill="FFFFFF"/>
        </w:rPr>
        <w:t>radio astronomy</w:t>
      </w:r>
      <w:r>
        <w:rPr>
          <w:shd w:val="clear" w:color="auto" w:fill="FFFFFF"/>
        </w:rPr>
        <w:t>, radars in some adjacent bands</w:t>
      </w:r>
      <w:r w:rsidR="004A6F2C">
        <w:rPr>
          <w:shd w:val="clear" w:color="auto" w:fill="FFFFFF"/>
        </w:rPr>
        <w:t>)</w:t>
      </w:r>
      <w:r w:rsidRPr="0022144D">
        <w:rPr>
          <w:shd w:val="clear" w:color="auto" w:fill="FFFFFF"/>
        </w:rPr>
        <w:t xml:space="preserve"> </w:t>
      </w:r>
      <w:r w:rsidR="009323E4">
        <w:rPr>
          <w:shd w:val="clear" w:color="auto" w:fill="FFFFFF"/>
        </w:rPr>
        <w:t>there is a need to implement a</w:t>
      </w:r>
      <w:r w:rsidR="00620E2B" w:rsidRPr="0022144D">
        <w:rPr>
          <w:shd w:val="clear" w:color="auto" w:fill="FFFFFF"/>
        </w:rPr>
        <w:t xml:space="preserve"> </w:t>
      </w:r>
      <w:r w:rsidR="007308DA">
        <w:rPr>
          <w:shd w:val="clear" w:color="auto" w:fill="FFFFFF"/>
        </w:rPr>
        <w:t>“</w:t>
      </w:r>
      <w:r w:rsidR="00620E2B" w:rsidRPr="0022144D">
        <w:rPr>
          <w:shd w:val="clear" w:color="auto" w:fill="FFFFFF"/>
        </w:rPr>
        <w:t>no-transmit</w:t>
      </w:r>
      <w:r w:rsidR="00F033DE">
        <w:rPr>
          <w:shd w:val="clear" w:color="auto" w:fill="FFFFFF"/>
        </w:rPr>
        <w:t>”</w:t>
      </w:r>
      <w:r w:rsidR="00620E2B" w:rsidRPr="0022144D">
        <w:rPr>
          <w:shd w:val="clear" w:color="auto" w:fill="FFFFFF"/>
        </w:rPr>
        <w:t xml:space="preserve"> zone</w:t>
      </w:r>
      <w:r w:rsidR="007308DA">
        <w:rPr>
          <w:shd w:val="clear" w:color="auto" w:fill="FFFFFF"/>
        </w:rPr>
        <w:t xml:space="preserve"> requirement</w:t>
      </w:r>
      <w:r w:rsidR="00DB5707" w:rsidRPr="0022144D">
        <w:rPr>
          <w:shd w:val="clear" w:color="auto" w:fill="FFFFFF"/>
        </w:rPr>
        <w:t xml:space="preserve"> </w:t>
      </w:r>
      <w:r w:rsidR="0031032E">
        <w:rPr>
          <w:shd w:val="clear" w:color="auto" w:fill="FFFFFF"/>
        </w:rPr>
        <w:t>with</w:t>
      </w:r>
      <w:r w:rsidR="00DB5707" w:rsidRPr="0022144D">
        <w:rPr>
          <w:shd w:val="clear" w:color="auto" w:fill="FFFFFF"/>
        </w:rPr>
        <w:t xml:space="preserve"> harmonised operational condition</w:t>
      </w:r>
      <w:r w:rsidR="0031032E">
        <w:rPr>
          <w:shd w:val="clear" w:color="auto" w:fill="FFFFFF"/>
        </w:rPr>
        <w:t>s</w:t>
      </w:r>
      <w:r w:rsidR="00620E2B" w:rsidRPr="0022144D">
        <w:rPr>
          <w:shd w:val="clear" w:color="auto" w:fill="FFFFFF"/>
        </w:rPr>
        <w:t xml:space="preserve"> described in </w:t>
      </w:r>
      <w:r w:rsidR="001E0F99">
        <w:rPr>
          <w:shd w:val="clear" w:color="auto" w:fill="FFFFFF"/>
        </w:rPr>
        <w:fldChar w:fldCharType="begin"/>
      </w:r>
      <w:r w:rsidR="001E0F99">
        <w:rPr>
          <w:shd w:val="clear" w:color="auto" w:fill="FFFFFF"/>
        </w:rPr>
        <w:instrText xml:space="preserve"> REF _Ref176867717 \r \h </w:instrText>
      </w:r>
      <w:r w:rsidR="001E0F99">
        <w:rPr>
          <w:shd w:val="clear" w:color="auto" w:fill="FFFFFF"/>
        </w:rPr>
      </w:r>
      <w:r w:rsidR="001E0F99">
        <w:rPr>
          <w:shd w:val="clear" w:color="auto" w:fill="FFFFFF"/>
        </w:rPr>
        <w:fldChar w:fldCharType="separate"/>
      </w:r>
      <w:r w:rsidR="001E0F99">
        <w:rPr>
          <w:shd w:val="clear" w:color="auto" w:fill="FFFFFF"/>
        </w:rPr>
        <w:t>A</w:t>
      </w:r>
      <w:r w:rsidR="006D7FE7">
        <w:rPr>
          <w:shd w:val="clear" w:color="auto" w:fill="FFFFFF"/>
        </w:rPr>
        <w:t>nnex</w:t>
      </w:r>
      <w:r w:rsidR="00A038B5">
        <w:rPr>
          <w:shd w:val="clear" w:color="auto" w:fill="FFFFFF"/>
        </w:rPr>
        <w:t xml:space="preserve"> 2</w:t>
      </w:r>
      <w:r w:rsidR="001E0F99">
        <w:rPr>
          <w:shd w:val="clear" w:color="auto" w:fill="FFFFFF"/>
        </w:rPr>
        <w:fldChar w:fldCharType="end"/>
      </w:r>
      <w:r>
        <w:rPr>
          <w:shd w:val="clear" w:color="auto" w:fill="FFFFFF"/>
        </w:rPr>
        <w:t>.</w:t>
      </w:r>
      <w:r w:rsidR="009323E4">
        <w:rPr>
          <w:shd w:val="clear" w:color="auto" w:fill="FFFFFF"/>
        </w:rPr>
        <w:t xml:space="preserve"> T</w:t>
      </w:r>
      <w:r w:rsidR="00DB5707" w:rsidRPr="0022144D">
        <w:rPr>
          <w:shd w:val="clear" w:color="auto" w:fill="FFFFFF"/>
        </w:rPr>
        <w:t xml:space="preserve">hese zones </w:t>
      </w:r>
      <w:r w:rsidR="00620E2B" w:rsidRPr="0022144D">
        <w:rPr>
          <w:shd w:val="clear" w:color="auto" w:fill="FFFFFF"/>
        </w:rPr>
        <w:t>sh</w:t>
      </w:r>
      <w:r w:rsidR="009323E4">
        <w:rPr>
          <w:shd w:val="clear" w:color="auto" w:fill="FFFFFF"/>
        </w:rPr>
        <w:t>all</w:t>
      </w:r>
      <w:r w:rsidR="00620E2B" w:rsidRPr="0022144D">
        <w:rPr>
          <w:shd w:val="clear" w:color="auto" w:fill="FFFFFF"/>
        </w:rPr>
        <w:t xml:space="preserve"> be defined</w:t>
      </w:r>
      <w:r w:rsidR="00DB5707" w:rsidRPr="0022144D">
        <w:rPr>
          <w:shd w:val="clear" w:color="auto" w:fill="FFFFFF"/>
        </w:rPr>
        <w:t xml:space="preserve"> (size and location)</w:t>
      </w:r>
      <w:r w:rsidR="00620E2B" w:rsidRPr="0022144D">
        <w:rPr>
          <w:shd w:val="clear" w:color="auto" w:fill="FFFFFF"/>
        </w:rPr>
        <w:t xml:space="preserve"> and implemented at national level and</w:t>
      </w:r>
      <w:r w:rsidR="003645F4">
        <w:rPr>
          <w:shd w:val="clear" w:color="auto" w:fill="FFFFFF"/>
        </w:rPr>
        <w:t>,</w:t>
      </w:r>
      <w:r w:rsidR="00620E2B" w:rsidRPr="0022144D">
        <w:rPr>
          <w:shd w:val="clear" w:color="auto" w:fill="FFFFFF"/>
        </w:rPr>
        <w:t xml:space="preserve"> where necessary</w:t>
      </w:r>
      <w:r w:rsidR="003645F4">
        <w:rPr>
          <w:shd w:val="clear" w:color="auto" w:fill="FFFFFF"/>
        </w:rPr>
        <w:t>,</w:t>
      </w:r>
      <w:r w:rsidR="00620E2B" w:rsidRPr="0022144D">
        <w:rPr>
          <w:shd w:val="clear" w:color="auto" w:fill="FFFFFF"/>
        </w:rPr>
        <w:t xml:space="preserve"> coordinated with neighbouring countries</w:t>
      </w:r>
      <w:r w:rsidR="00A460D5">
        <w:rPr>
          <w:shd w:val="clear" w:color="auto" w:fill="FFFFFF"/>
        </w:rPr>
        <w:t>.</w:t>
      </w:r>
    </w:p>
    <w:bookmarkEnd w:id="4"/>
    <w:p w14:paraId="1D08F46D" w14:textId="1AD16E70" w:rsidR="00865BD5" w:rsidRPr="003D3A35" w:rsidRDefault="0073079A" w:rsidP="006D7FE7">
      <w:pPr>
        <w:pStyle w:val="ECCParagraph"/>
        <w:rPr>
          <w:shd w:val="clear" w:color="auto" w:fill="FFFFFF"/>
        </w:rPr>
      </w:pPr>
      <w:r>
        <w:rPr>
          <w:shd w:val="clear" w:color="auto" w:fill="FFFFFF"/>
        </w:rPr>
        <w:t>A</w:t>
      </w:r>
      <w:r w:rsidRPr="0022144D">
        <w:rPr>
          <w:shd w:val="clear" w:color="auto" w:fill="FFFFFF"/>
        </w:rPr>
        <w:t xml:space="preserve"> mechanism to differentiate </w:t>
      </w:r>
      <w:r w:rsidR="00311E14">
        <w:rPr>
          <w:shd w:val="clear" w:color="auto" w:fill="FFFFFF"/>
        </w:rPr>
        <w:t>non-AAS ATS</w:t>
      </w:r>
      <w:r w:rsidRPr="0022144D">
        <w:rPr>
          <w:shd w:val="clear" w:color="auto" w:fill="FFFFFF"/>
        </w:rPr>
        <w:t xml:space="preserve"> from other</w:t>
      </w:r>
      <w:r w:rsidR="00AC004D">
        <w:rPr>
          <w:shd w:val="clear" w:color="auto" w:fill="FFFFFF"/>
        </w:rPr>
        <w:t>/conventi</w:t>
      </w:r>
      <w:r w:rsidR="001D5FC9">
        <w:rPr>
          <w:shd w:val="clear" w:color="auto" w:fill="FFFFFF"/>
        </w:rPr>
        <w:t>on</w:t>
      </w:r>
      <w:r w:rsidR="00AC004D">
        <w:rPr>
          <w:shd w:val="clear" w:color="auto" w:fill="FFFFFF"/>
        </w:rPr>
        <w:t>al</w:t>
      </w:r>
      <w:r w:rsidRPr="0022144D">
        <w:rPr>
          <w:shd w:val="clear" w:color="auto" w:fill="FFFFFF"/>
        </w:rPr>
        <w:t xml:space="preserve"> UE should</w:t>
      </w:r>
      <w:r w:rsidR="00202121">
        <w:rPr>
          <w:shd w:val="clear" w:color="auto" w:fill="FFFFFF"/>
        </w:rPr>
        <w:t xml:space="preserve"> </w:t>
      </w:r>
      <w:r w:rsidRPr="0022144D">
        <w:rPr>
          <w:shd w:val="clear" w:color="auto" w:fill="FFFFFF"/>
        </w:rPr>
        <w:t xml:space="preserve">allow mobile operators to identify </w:t>
      </w:r>
      <w:r w:rsidR="00B15F2F">
        <w:rPr>
          <w:shd w:val="clear" w:color="auto" w:fill="FFFFFF"/>
        </w:rPr>
        <w:t xml:space="preserve">non-AAS </w:t>
      </w:r>
      <w:r w:rsidRPr="0022144D">
        <w:rPr>
          <w:shd w:val="clear" w:color="auto" w:fill="FFFFFF"/>
        </w:rPr>
        <w:t xml:space="preserve">ATS and </w:t>
      </w:r>
      <w:r w:rsidR="00202121">
        <w:rPr>
          <w:shd w:val="clear" w:color="auto" w:fill="FFFFFF"/>
        </w:rPr>
        <w:t>also</w:t>
      </w:r>
      <w:r w:rsidR="00202121" w:rsidRPr="0022144D">
        <w:rPr>
          <w:shd w:val="clear" w:color="auto" w:fill="FFFFFF"/>
        </w:rPr>
        <w:t xml:space="preserve"> </w:t>
      </w:r>
      <w:r w:rsidRPr="0022144D">
        <w:rPr>
          <w:shd w:val="clear" w:color="auto" w:fill="FFFFFF"/>
        </w:rPr>
        <w:t xml:space="preserve">to </w:t>
      </w:r>
      <w:bookmarkStart w:id="5" w:name="_Hlk177028456"/>
      <w:r w:rsidRPr="0022144D">
        <w:rPr>
          <w:shd w:val="clear" w:color="auto" w:fill="FFFFFF"/>
        </w:rPr>
        <w:t>manage interference</w:t>
      </w:r>
      <w:r w:rsidR="000B60BF">
        <w:rPr>
          <w:shd w:val="clear" w:color="auto" w:fill="FFFFFF"/>
        </w:rPr>
        <w:t xml:space="preserve"> intra</w:t>
      </w:r>
      <w:r w:rsidR="00AF57AE">
        <w:rPr>
          <w:shd w:val="clear" w:color="auto" w:fill="FFFFFF"/>
        </w:rPr>
        <w:t xml:space="preserve"> </w:t>
      </w:r>
      <w:r w:rsidR="000B60BF">
        <w:rPr>
          <w:shd w:val="clear" w:color="auto" w:fill="FFFFFF"/>
        </w:rPr>
        <w:t>WBB ECS network</w:t>
      </w:r>
      <w:r w:rsidR="003645F4">
        <w:rPr>
          <w:shd w:val="clear" w:color="auto" w:fill="FFFFFF"/>
        </w:rPr>
        <w:t>.</w:t>
      </w:r>
      <w:r w:rsidR="000B60BF">
        <w:rPr>
          <w:shd w:val="clear" w:color="auto" w:fill="FFFFFF"/>
        </w:rPr>
        <w:t xml:space="preserve"> </w:t>
      </w:r>
      <w:bookmarkEnd w:id="5"/>
      <w:r w:rsidR="00865BD5" w:rsidRPr="00865BD5">
        <w:rPr>
          <w:shd w:val="clear" w:color="auto" w:fill="FFFFFF"/>
        </w:rPr>
        <w:t xml:space="preserve">This mechanism cannot be changed by the end-user and </w:t>
      </w:r>
      <w:r w:rsidR="003645F4">
        <w:rPr>
          <w:shd w:val="clear" w:color="auto" w:fill="FFFFFF"/>
        </w:rPr>
        <w:t>it has to be</w:t>
      </w:r>
      <w:r w:rsidR="00865BD5" w:rsidRPr="00865BD5">
        <w:rPr>
          <w:shd w:val="clear" w:color="auto" w:fill="FFFFFF"/>
        </w:rPr>
        <w:t xml:space="preserve"> ensure</w:t>
      </w:r>
      <w:r w:rsidR="003645F4">
        <w:rPr>
          <w:shd w:val="clear" w:color="auto" w:fill="FFFFFF"/>
        </w:rPr>
        <w:t>d</w:t>
      </w:r>
      <w:r w:rsidR="00865BD5" w:rsidRPr="00865BD5">
        <w:rPr>
          <w:shd w:val="clear" w:color="auto" w:fill="FFFFFF"/>
        </w:rPr>
        <w:t xml:space="preserve"> that</w:t>
      </w:r>
      <w:r w:rsidR="003645F4">
        <w:rPr>
          <w:shd w:val="clear" w:color="auto" w:fill="FFFFFF"/>
        </w:rPr>
        <w:t xml:space="preserve"> non-AAS</w:t>
      </w:r>
      <w:r w:rsidR="00865BD5" w:rsidRPr="00865BD5">
        <w:rPr>
          <w:shd w:val="clear" w:color="auto" w:fill="FFFFFF"/>
        </w:rPr>
        <w:t xml:space="preserve"> </w:t>
      </w:r>
      <w:r w:rsidR="003645F4">
        <w:rPr>
          <w:shd w:val="clear" w:color="auto" w:fill="FFFFFF"/>
        </w:rPr>
        <w:t>ATS</w:t>
      </w:r>
      <w:r w:rsidR="00865BD5" w:rsidRPr="00865BD5">
        <w:rPr>
          <w:shd w:val="clear" w:color="auto" w:fill="FFFFFF"/>
        </w:rPr>
        <w:t xml:space="preserve"> respect </w:t>
      </w:r>
      <w:r w:rsidR="003645F4">
        <w:rPr>
          <w:shd w:val="clear" w:color="auto" w:fill="FFFFFF"/>
        </w:rPr>
        <w:t xml:space="preserve">the </w:t>
      </w:r>
      <w:r w:rsidR="00865BD5" w:rsidRPr="00865BD5">
        <w:rPr>
          <w:shd w:val="clear" w:color="auto" w:fill="FFFFFF"/>
        </w:rPr>
        <w:t>no-transmit zones.</w:t>
      </w:r>
    </w:p>
    <w:p w14:paraId="7B95BB62" w14:textId="6F866F8A" w:rsidR="0073079A" w:rsidRDefault="00DB5707" w:rsidP="006D7FE7">
      <w:pPr>
        <w:pStyle w:val="ECCParagraph"/>
        <w:rPr>
          <w:shd w:val="clear" w:color="auto" w:fill="FFFFFF"/>
        </w:rPr>
      </w:pPr>
      <w:r w:rsidRPr="00AD1A66">
        <w:rPr>
          <w:shd w:val="clear" w:color="auto" w:fill="FFFFFF"/>
        </w:rPr>
        <w:t>Harmonised operational</w:t>
      </w:r>
      <w:r w:rsidR="00EE3E8D" w:rsidRPr="00AD1A66">
        <w:rPr>
          <w:shd w:val="clear" w:color="auto" w:fill="FFFFFF"/>
        </w:rPr>
        <w:t xml:space="preserve"> conditions applied to </w:t>
      </w:r>
      <w:r w:rsidR="00B15F2F" w:rsidRPr="00AD1A66">
        <w:rPr>
          <w:shd w:val="clear" w:color="auto" w:fill="FFFFFF"/>
        </w:rPr>
        <w:t xml:space="preserve">non-AAS </w:t>
      </w:r>
      <w:r w:rsidR="00EE3E8D" w:rsidRPr="00AD1A66">
        <w:rPr>
          <w:shd w:val="clear" w:color="auto" w:fill="FFFFFF"/>
        </w:rPr>
        <w:t xml:space="preserve">ATS </w:t>
      </w:r>
      <w:r w:rsidR="0029792D" w:rsidRPr="00AD1A66">
        <w:rPr>
          <w:shd w:val="clear" w:color="auto" w:fill="FFFFFF"/>
        </w:rPr>
        <w:t xml:space="preserve">have </w:t>
      </w:r>
      <w:r w:rsidR="00EE3E8D" w:rsidRPr="00AD1A66">
        <w:rPr>
          <w:shd w:val="clear" w:color="auto" w:fill="FFFFFF"/>
        </w:rPr>
        <w:t xml:space="preserve">been developed under the assumption </w:t>
      </w:r>
      <w:r w:rsidR="001D5FC9" w:rsidRPr="00AD1A66">
        <w:rPr>
          <w:shd w:val="clear" w:color="auto" w:fill="FFFFFF"/>
        </w:rPr>
        <w:t xml:space="preserve">of </w:t>
      </w:r>
      <w:r w:rsidR="00EE3E8D" w:rsidRPr="00AD1A66">
        <w:rPr>
          <w:shd w:val="clear" w:color="auto" w:fill="FFFFFF"/>
        </w:rPr>
        <w:t>the</w:t>
      </w:r>
      <w:r w:rsidR="001D5FC9" w:rsidRPr="00AD1A66">
        <w:rPr>
          <w:shd w:val="clear" w:color="auto" w:fill="FFFFFF"/>
        </w:rPr>
        <w:t xml:space="preserve"> </w:t>
      </w:r>
      <w:r w:rsidR="00EE3E8D" w:rsidRPr="00AD1A66">
        <w:rPr>
          <w:shd w:val="clear" w:color="auto" w:fill="FFFFFF"/>
        </w:rPr>
        <w:t xml:space="preserve">mechanism </w:t>
      </w:r>
      <w:r w:rsidR="001D5FC9" w:rsidRPr="00AD1A66">
        <w:rPr>
          <w:shd w:val="clear" w:color="auto" w:fill="FFFFFF"/>
        </w:rPr>
        <w:t xml:space="preserve">which is described </w:t>
      </w:r>
      <w:r w:rsidR="004A6F2C" w:rsidRPr="00AD1A66">
        <w:rPr>
          <w:shd w:val="clear" w:color="auto" w:fill="FFFFFF"/>
        </w:rPr>
        <w:t>above</w:t>
      </w:r>
      <w:r w:rsidR="00EE3E8D" w:rsidRPr="00AD1A66">
        <w:rPr>
          <w:shd w:val="clear" w:color="auto" w:fill="FFFFFF"/>
        </w:rPr>
        <w:t xml:space="preserve">. </w:t>
      </w:r>
      <w:r w:rsidR="00202121" w:rsidRPr="00AD1A66">
        <w:rPr>
          <w:shd w:val="clear" w:color="auto" w:fill="FFFFFF"/>
        </w:rPr>
        <w:t xml:space="preserve">CEPT has invited ETSI to develop </w:t>
      </w:r>
      <w:r w:rsidR="00A04D02" w:rsidRPr="00AD1A66">
        <w:rPr>
          <w:shd w:val="clear" w:color="auto" w:fill="FFFFFF"/>
        </w:rPr>
        <w:t xml:space="preserve">a </w:t>
      </w:r>
      <w:r w:rsidR="00202121" w:rsidRPr="00AD1A66">
        <w:rPr>
          <w:shd w:val="clear" w:color="auto" w:fill="FFFFFF"/>
        </w:rPr>
        <w:t>harmonised standard</w:t>
      </w:r>
      <w:r w:rsidR="00A04D02" w:rsidRPr="00AD1A66">
        <w:rPr>
          <w:shd w:val="clear" w:color="auto" w:fill="FFFFFF"/>
        </w:rPr>
        <w:t xml:space="preserve"> for non-AAS ATS</w:t>
      </w:r>
      <w:r w:rsidR="00202121" w:rsidRPr="00AD1A66">
        <w:rPr>
          <w:shd w:val="clear" w:color="auto" w:fill="FFFFFF"/>
        </w:rPr>
        <w:t xml:space="preserve">, </w:t>
      </w:r>
      <w:r w:rsidR="00A04D02" w:rsidRPr="00AD1A66">
        <w:rPr>
          <w:shd w:val="clear" w:color="auto" w:fill="FFFFFF"/>
        </w:rPr>
        <w:t xml:space="preserve">which includes such a mechanism </w:t>
      </w:r>
      <w:r w:rsidR="00202121" w:rsidRPr="00AD1A66">
        <w:rPr>
          <w:shd w:val="clear" w:color="auto" w:fill="FFFFFF"/>
        </w:rPr>
        <w:t xml:space="preserve">and relevant specific </w:t>
      </w:r>
      <w:r w:rsidR="0029792D" w:rsidRPr="00AD1A66">
        <w:rPr>
          <w:shd w:val="clear" w:color="auto" w:fill="FFFFFF"/>
        </w:rPr>
        <w:t>out-of-band emission (</w:t>
      </w:r>
      <w:r w:rsidR="00202121" w:rsidRPr="00AD1A66">
        <w:rPr>
          <w:shd w:val="clear" w:color="auto" w:fill="FFFFFF"/>
        </w:rPr>
        <w:t>OOBE</w:t>
      </w:r>
      <w:r w:rsidR="0029792D" w:rsidRPr="00AD1A66">
        <w:rPr>
          <w:shd w:val="clear" w:color="auto" w:fill="FFFFFF"/>
        </w:rPr>
        <w:t>)</w:t>
      </w:r>
      <w:r w:rsidR="00202121" w:rsidRPr="00AD1A66">
        <w:rPr>
          <w:shd w:val="clear" w:color="auto" w:fill="FFFFFF"/>
        </w:rPr>
        <w:t xml:space="preserve"> requirements applying to </w:t>
      </w:r>
      <w:r w:rsidR="00B15F2F" w:rsidRPr="00AD1A66">
        <w:rPr>
          <w:shd w:val="clear" w:color="auto" w:fill="FFFFFF"/>
        </w:rPr>
        <w:t xml:space="preserve">non-AAS </w:t>
      </w:r>
      <w:r w:rsidR="00202121" w:rsidRPr="00AD1A66">
        <w:rPr>
          <w:shd w:val="clear" w:color="auto" w:fill="FFFFFF"/>
        </w:rPr>
        <w:t>ATS.</w:t>
      </w:r>
    </w:p>
    <w:p w14:paraId="3A428AE0" w14:textId="4D08E808" w:rsidR="00DB5707" w:rsidRDefault="007308DA" w:rsidP="006D7FE7">
      <w:pPr>
        <w:pStyle w:val="ECCParagraph"/>
        <w:rPr>
          <w:shd w:val="clear" w:color="auto" w:fill="FFFFFF"/>
        </w:rPr>
      </w:pPr>
      <w:r>
        <w:rPr>
          <w:shd w:val="clear" w:color="auto" w:fill="FFFFFF"/>
        </w:rPr>
        <w:t xml:space="preserve">CEPT invites the European Commission to include </w:t>
      </w:r>
      <w:r w:rsidR="0073079A">
        <w:rPr>
          <w:shd w:val="clear" w:color="auto" w:fill="FFFFFF"/>
        </w:rPr>
        <w:t xml:space="preserve">accordingly </w:t>
      </w:r>
      <w:r>
        <w:rPr>
          <w:shd w:val="clear" w:color="auto" w:fill="FFFFFF"/>
        </w:rPr>
        <w:t>relevant requirements in the future European harmonised framework</w:t>
      </w:r>
      <w:r w:rsidR="0073079A">
        <w:rPr>
          <w:shd w:val="clear" w:color="auto" w:fill="FFFFFF"/>
        </w:rPr>
        <w:t xml:space="preserve"> (see</w:t>
      </w:r>
      <w:r w:rsidR="00DD155F">
        <w:rPr>
          <w:shd w:val="clear" w:color="auto" w:fill="FFFFFF"/>
        </w:rPr>
        <w:t xml:space="preserve"> </w:t>
      </w:r>
      <w:r w:rsidR="00DD155F">
        <w:rPr>
          <w:shd w:val="clear" w:color="auto" w:fill="FFFFFF"/>
        </w:rPr>
        <w:fldChar w:fldCharType="begin"/>
      </w:r>
      <w:r w:rsidR="00DD155F">
        <w:rPr>
          <w:shd w:val="clear" w:color="auto" w:fill="FFFFFF"/>
        </w:rPr>
        <w:instrText xml:space="preserve"> REF _Ref176868922 \r \h </w:instrText>
      </w:r>
      <w:r w:rsidR="00DD155F">
        <w:rPr>
          <w:shd w:val="clear" w:color="auto" w:fill="FFFFFF"/>
        </w:rPr>
      </w:r>
      <w:r w:rsidR="00DD155F">
        <w:rPr>
          <w:shd w:val="clear" w:color="auto" w:fill="FFFFFF"/>
        </w:rPr>
        <w:fldChar w:fldCharType="separate"/>
      </w:r>
      <w:r w:rsidR="001E0F99">
        <w:rPr>
          <w:shd w:val="clear" w:color="auto" w:fill="FFFFFF"/>
        </w:rPr>
        <w:t>A</w:t>
      </w:r>
      <w:r w:rsidR="006D7FE7">
        <w:rPr>
          <w:shd w:val="clear" w:color="auto" w:fill="FFFFFF"/>
        </w:rPr>
        <w:t>nnex</w:t>
      </w:r>
      <w:r w:rsidR="00A038B5">
        <w:rPr>
          <w:shd w:val="clear" w:color="auto" w:fill="FFFFFF"/>
        </w:rPr>
        <w:t xml:space="preserve"> 2</w:t>
      </w:r>
      <w:r w:rsidR="00DD155F">
        <w:rPr>
          <w:shd w:val="clear" w:color="auto" w:fill="FFFFFF"/>
        </w:rPr>
        <w:fldChar w:fldCharType="end"/>
      </w:r>
      <w:r w:rsidR="0073079A">
        <w:rPr>
          <w:shd w:val="clear" w:color="auto" w:fill="FFFFFF"/>
        </w:rPr>
        <w:t>)</w:t>
      </w:r>
      <w:r w:rsidR="00A460D5">
        <w:rPr>
          <w:shd w:val="clear" w:color="auto" w:fill="FFFFFF"/>
        </w:rPr>
        <w:t>.</w:t>
      </w:r>
    </w:p>
    <w:p w14:paraId="25D678FC" w14:textId="77777777" w:rsidR="001E0BBB" w:rsidRPr="0022144D" w:rsidRDefault="001E0BBB" w:rsidP="006D7FE7">
      <w:pPr>
        <w:pStyle w:val="ECCParagraph"/>
        <w:rPr>
          <w:shd w:val="clear" w:color="auto" w:fill="FFFFFF"/>
        </w:rPr>
      </w:pPr>
      <w:r w:rsidRPr="00556A1B">
        <w:rPr>
          <w:iCs/>
        </w:rPr>
        <w:t xml:space="preserve">In addition, CEPT will address issues regarding the use of </w:t>
      </w:r>
      <w:r w:rsidR="00B15F2F">
        <w:rPr>
          <w:iCs/>
        </w:rPr>
        <w:t xml:space="preserve">non-AAS </w:t>
      </w:r>
      <w:r w:rsidRPr="00556A1B">
        <w:rPr>
          <w:iCs/>
        </w:rPr>
        <w:t>ATS in border areas operating in the bands mentioned above and will provide guidance to administrations on cross-border coordination.</w:t>
      </w:r>
    </w:p>
    <w:p w14:paraId="2FEC2B92" w14:textId="77777777" w:rsidR="001E0F99" w:rsidRPr="00F728A2" w:rsidRDefault="001E0F99" w:rsidP="001E0F99">
      <w:pPr>
        <w:rPr>
          <w:lang w:val="en-GB"/>
        </w:rPr>
      </w:pPr>
      <w:r w:rsidRPr="00F728A2">
        <w:rPr>
          <w:lang w:val="en-GB"/>
        </w:rPr>
        <w:br w:type="page"/>
      </w:r>
    </w:p>
    <w:p w14:paraId="12505995" w14:textId="77777777" w:rsidR="001E0F99" w:rsidRPr="00903D26" w:rsidRDefault="001E0F99" w:rsidP="001E0F99">
      <w:pPr>
        <w:rPr>
          <w:b/>
          <w:color w:val="FFFFFF"/>
          <w:lang w:val="en-GB"/>
        </w:rPr>
      </w:pPr>
      <w:r w:rsidRPr="00903D26">
        <w:rPr>
          <w:b/>
          <w:noProof/>
          <w:color w:val="FFFFFF"/>
          <w:szCs w:val="20"/>
          <w:lang w:val="de-DE" w:eastAsia="de-DE"/>
        </w:rPr>
        <w:lastRenderedPageBreak/>
        <mc:AlternateContent>
          <mc:Choice Requires="wps">
            <w:drawing>
              <wp:anchor distT="0" distB="0" distL="114300" distR="114300" simplePos="0" relativeHeight="251658242" behindDoc="1" locked="0" layoutInCell="1" allowOverlap="1" wp14:anchorId="121199DF" wp14:editId="4848A82C">
                <wp:simplePos x="0" y="0"/>
                <wp:positionH relativeFrom="page">
                  <wp:posOffset>0</wp:posOffset>
                </wp:positionH>
                <wp:positionV relativeFrom="page">
                  <wp:posOffset>900430</wp:posOffset>
                </wp:positionV>
                <wp:extent cx="7560310" cy="720090"/>
                <wp:effectExtent l="0" t="0" r="0" b="5080"/>
                <wp:wrapNone/>
                <wp:docPr id="852572627"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8DD4D" id="Rectangle 21" o:spid="_x0000_s1026" style="position:absolute;margin-left:0;margin-top:70.9pt;width:595.3pt;height:56.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" fillcolor="#b0a696" stroked="f">
                <w10:wrap anchorx="page" anchory="page"/>
              </v:rect>
            </w:pict>
          </mc:Fallback>
        </mc:AlternateContent>
      </w:r>
    </w:p>
    <w:p w14:paraId="2F895EEE" w14:textId="77777777" w:rsidR="001E0F99" w:rsidRPr="00903D26" w:rsidRDefault="001E0F99" w:rsidP="001E0F99">
      <w:pPr>
        <w:rPr>
          <w:b/>
          <w:color w:val="FFFFFF"/>
          <w:szCs w:val="20"/>
          <w:lang w:val="en-GB"/>
        </w:rPr>
      </w:pPr>
    </w:p>
    <w:p w14:paraId="440B93F9" w14:textId="77777777" w:rsidR="001E0F99" w:rsidRPr="00903D26" w:rsidRDefault="001E0F99" w:rsidP="0BC969CC">
      <w:pPr>
        <w:rPr>
          <w:b/>
          <w:bCs/>
          <w:color w:val="FFFFFF"/>
          <w:lang w:val="en-GB"/>
        </w:rPr>
      </w:pPr>
      <w:r w:rsidRPr="0BC969CC">
        <w:rPr>
          <w:b/>
          <w:bCs/>
          <w:color w:val="FFFFFF" w:themeColor="background1"/>
          <w:lang w:val="en-GB"/>
        </w:rPr>
        <w:t>TABLE OF CONTENTS</w:t>
      </w:r>
    </w:p>
    <w:p w14:paraId="0B388430" w14:textId="77777777" w:rsidR="001E0F99" w:rsidRPr="00903D26" w:rsidRDefault="001E0F99" w:rsidP="001E0F99">
      <w:pPr>
        <w:rPr>
          <w:b/>
          <w:color w:val="FFFFFF"/>
          <w:szCs w:val="20"/>
          <w:lang w:val="en-GB"/>
        </w:rPr>
      </w:pPr>
    </w:p>
    <w:p w14:paraId="1233D8EB" w14:textId="77777777" w:rsidR="001E0F99" w:rsidRPr="00903D26" w:rsidRDefault="001E0F99" w:rsidP="001E0F99">
      <w:pPr>
        <w:rPr>
          <w:b/>
          <w:color w:val="FFFFFF"/>
          <w:szCs w:val="20"/>
          <w:lang w:val="en-GB"/>
        </w:rPr>
      </w:pPr>
    </w:p>
    <w:p w14:paraId="6A155AAD" w14:textId="77777777" w:rsidR="00AB46DF" w:rsidRPr="00737D5F" w:rsidRDefault="00AB46DF">
      <w:pPr>
        <w:rPr>
          <w:lang w:val="en-GB"/>
        </w:rPr>
      </w:pPr>
    </w:p>
    <w:p w14:paraId="413EC710" w14:textId="7CD3F2DA"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r>
        <w:rPr>
          <w:caps w:val="0"/>
          <w:lang w:val="en-GB"/>
        </w:rPr>
        <w:fldChar w:fldCharType="begin"/>
      </w:r>
      <w:r>
        <w:rPr>
          <w:caps w:val="0"/>
          <w:lang w:val="en-GB"/>
        </w:rPr>
        <w:instrText xml:space="preserve"> TOC \o "1-3" \h \z \u </w:instrText>
      </w:r>
      <w:r>
        <w:rPr>
          <w:caps w:val="0"/>
          <w:lang w:val="en-GB"/>
        </w:rPr>
        <w:fldChar w:fldCharType="separate"/>
      </w:r>
      <w:hyperlink w:anchor="_Toc192499485" w:history="1">
        <w:r w:rsidRPr="00F019A7">
          <w:rPr>
            <w:rStyle w:val="Hyperlink"/>
            <w:noProof/>
          </w:rPr>
          <w:t>0</w:t>
        </w:r>
        <w:r>
          <w:rPr>
            <w:rFonts w:asciiTheme="minorHAnsi" w:eastAsiaTheme="minorEastAsia" w:hAnsiTheme="minorHAnsi" w:cstheme="minorBidi"/>
            <w:b w:val="0"/>
            <w:caps w:val="0"/>
            <w:noProof/>
            <w:kern w:val="2"/>
            <w:sz w:val="24"/>
            <w:lang w:val="en-GB" w:eastAsia="en-GB"/>
            <w14:ligatures w14:val="standardContextual"/>
          </w:rPr>
          <w:tab/>
        </w:r>
        <w:r w:rsidRPr="00F019A7">
          <w:rPr>
            <w:rStyle w:val="Hyperlink"/>
            <w:noProof/>
          </w:rPr>
          <w:t>Executive summary</w:t>
        </w:r>
        <w:r>
          <w:rPr>
            <w:noProof/>
            <w:webHidden/>
          </w:rPr>
          <w:tab/>
        </w:r>
        <w:r>
          <w:rPr>
            <w:noProof/>
            <w:webHidden/>
          </w:rPr>
          <w:fldChar w:fldCharType="begin"/>
        </w:r>
        <w:r>
          <w:rPr>
            <w:noProof/>
            <w:webHidden/>
          </w:rPr>
          <w:instrText xml:space="preserve"> PAGEREF _Toc192499485 \h </w:instrText>
        </w:r>
        <w:r>
          <w:rPr>
            <w:noProof/>
            <w:webHidden/>
          </w:rPr>
        </w:r>
        <w:r>
          <w:rPr>
            <w:noProof/>
            <w:webHidden/>
          </w:rPr>
          <w:fldChar w:fldCharType="separate"/>
        </w:r>
        <w:r>
          <w:rPr>
            <w:noProof/>
            <w:webHidden/>
          </w:rPr>
          <w:t>2</w:t>
        </w:r>
        <w:r>
          <w:rPr>
            <w:noProof/>
            <w:webHidden/>
          </w:rPr>
          <w:fldChar w:fldCharType="end"/>
        </w:r>
      </w:hyperlink>
    </w:p>
    <w:p w14:paraId="20678D80" w14:textId="4AAF0EDB"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486" w:history="1">
        <w:r w:rsidRPr="00F019A7">
          <w:rPr>
            <w:rStyle w:val="Hyperlink"/>
            <w:noProof/>
          </w:rPr>
          <w:t>1</w:t>
        </w:r>
        <w:r>
          <w:rPr>
            <w:rFonts w:asciiTheme="minorHAnsi" w:eastAsiaTheme="minorEastAsia" w:hAnsiTheme="minorHAnsi" w:cstheme="minorBidi"/>
            <w:b w:val="0"/>
            <w:caps w:val="0"/>
            <w:noProof/>
            <w:kern w:val="2"/>
            <w:sz w:val="24"/>
            <w:lang w:val="en-GB" w:eastAsia="en-GB"/>
            <w14:ligatures w14:val="standardContextual"/>
          </w:rPr>
          <w:tab/>
        </w:r>
        <w:r w:rsidRPr="00F019A7">
          <w:rPr>
            <w:rStyle w:val="Hyperlink"/>
            <w:noProof/>
          </w:rPr>
          <w:t>Introduction</w:t>
        </w:r>
        <w:r>
          <w:rPr>
            <w:noProof/>
            <w:webHidden/>
          </w:rPr>
          <w:tab/>
        </w:r>
        <w:r>
          <w:rPr>
            <w:noProof/>
            <w:webHidden/>
          </w:rPr>
          <w:fldChar w:fldCharType="begin"/>
        </w:r>
        <w:r>
          <w:rPr>
            <w:noProof/>
            <w:webHidden/>
          </w:rPr>
          <w:instrText xml:space="preserve"> PAGEREF _Toc192499486 \h </w:instrText>
        </w:r>
        <w:r>
          <w:rPr>
            <w:noProof/>
            <w:webHidden/>
          </w:rPr>
        </w:r>
        <w:r>
          <w:rPr>
            <w:noProof/>
            <w:webHidden/>
          </w:rPr>
          <w:fldChar w:fldCharType="separate"/>
        </w:r>
        <w:r>
          <w:rPr>
            <w:noProof/>
            <w:webHidden/>
          </w:rPr>
          <w:t>7</w:t>
        </w:r>
        <w:r>
          <w:rPr>
            <w:noProof/>
            <w:webHidden/>
          </w:rPr>
          <w:fldChar w:fldCharType="end"/>
        </w:r>
      </w:hyperlink>
    </w:p>
    <w:p w14:paraId="3FAC356D" w14:textId="66488A15"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487" w:history="1">
        <w:r w:rsidRPr="00F019A7">
          <w:rPr>
            <w:rStyle w:val="Hyperlink"/>
            <w:noProof/>
          </w:rPr>
          <w:t>2</w:t>
        </w:r>
        <w:r>
          <w:rPr>
            <w:rFonts w:asciiTheme="minorHAnsi" w:eastAsiaTheme="minorEastAsia" w:hAnsiTheme="minorHAnsi" w:cstheme="minorBidi"/>
            <w:b w:val="0"/>
            <w:caps w:val="0"/>
            <w:noProof/>
            <w:kern w:val="2"/>
            <w:sz w:val="24"/>
            <w:lang w:val="en-GB" w:eastAsia="en-GB"/>
            <w14:ligatures w14:val="standardContextual"/>
          </w:rPr>
          <w:tab/>
        </w:r>
        <w:r w:rsidRPr="00F019A7">
          <w:rPr>
            <w:rStyle w:val="Hyperlink"/>
            <w:noProof/>
          </w:rPr>
          <w:t>Technical Feasibility Assessment / Analysis of suitability of existing framework</w:t>
        </w:r>
        <w:r>
          <w:rPr>
            <w:noProof/>
            <w:webHidden/>
          </w:rPr>
          <w:tab/>
        </w:r>
        <w:r>
          <w:rPr>
            <w:noProof/>
            <w:webHidden/>
          </w:rPr>
          <w:fldChar w:fldCharType="begin"/>
        </w:r>
        <w:r>
          <w:rPr>
            <w:noProof/>
            <w:webHidden/>
          </w:rPr>
          <w:instrText xml:space="preserve"> PAGEREF _Toc192499487 \h </w:instrText>
        </w:r>
        <w:r>
          <w:rPr>
            <w:noProof/>
            <w:webHidden/>
          </w:rPr>
        </w:r>
        <w:r>
          <w:rPr>
            <w:noProof/>
            <w:webHidden/>
          </w:rPr>
          <w:fldChar w:fldCharType="separate"/>
        </w:r>
        <w:r>
          <w:rPr>
            <w:noProof/>
            <w:webHidden/>
          </w:rPr>
          <w:t>8</w:t>
        </w:r>
        <w:r>
          <w:rPr>
            <w:noProof/>
            <w:webHidden/>
          </w:rPr>
          <w:fldChar w:fldCharType="end"/>
        </w:r>
      </w:hyperlink>
    </w:p>
    <w:p w14:paraId="4C8A6CD7" w14:textId="6BF045AC" w:rsidR="001E219F" w:rsidRDefault="001E219F">
      <w:pPr>
        <w:pStyle w:val="TOC2"/>
        <w:rPr>
          <w:rFonts w:asciiTheme="minorHAnsi" w:eastAsiaTheme="minorEastAsia" w:hAnsiTheme="minorHAnsi" w:cstheme="minorBidi"/>
          <w:noProof/>
          <w:kern w:val="2"/>
          <w:sz w:val="24"/>
          <w:lang w:val="en-GB" w:eastAsia="en-GB"/>
          <w14:ligatures w14:val="standardContextual"/>
        </w:rPr>
      </w:pPr>
      <w:hyperlink w:anchor="_Toc192499488" w:history="1">
        <w:r w:rsidRPr="00F019A7">
          <w:rPr>
            <w:rStyle w:val="Hyperlink"/>
            <w:noProof/>
            <w:lang w:val="en-GB"/>
          </w:rPr>
          <w:t>2.1</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lang w:val="en-GB"/>
          </w:rPr>
          <w:t>Outcomes of Technical Assessment</w:t>
        </w:r>
        <w:r>
          <w:rPr>
            <w:noProof/>
            <w:webHidden/>
          </w:rPr>
          <w:tab/>
        </w:r>
        <w:r>
          <w:rPr>
            <w:noProof/>
            <w:webHidden/>
          </w:rPr>
          <w:fldChar w:fldCharType="begin"/>
        </w:r>
        <w:r>
          <w:rPr>
            <w:noProof/>
            <w:webHidden/>
          </w:rPr>
          <w:instrText xml:space="preserve"> PAGEREF _Toc192499488 \h </w:instrText>
        </w:r>
        <w:r>
          <w:rPr>
            <w:noProof/>
            <w:webHidden/>
          </w:rPr>
        </w:r>
        <w:r>
          <w:rPr>
            <w:noProof/>
            <w:webHidden/>
          </w:rPr>
          <w:fldChar w:fldCharType="separate"/>
        </w:r>
        <w:r>
          <w:rPr>
            <w:noProof/>
            <w:webHidden/>
          </w:rPr>
          <w:t>8</w:t>
        </w:r>
        <w:r>
          <w:rPr>
            <w:noProof/>
            <w:webHidden/>
          </w:rPr>
          <w:fldChar w:fldCharType="end"/>
        </w:r>
      </w:hyperlink>
    </w:p>
    <w:p w14:paraId="757E5090" w14:textId="2C5210D7"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89" w:history="1">
        <w:r w:rsidRPr="00F019A7">
          <w:rPr>
            <w:rStyle w:val="Hyperlink"/>
            <w:noProof/>
          </w:rPr>
          <w:t>2.1.1</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rPr>
          <w:t>700 MHz frequency band</w:t>
        </w:r>
        <w:r>
          <w:rPr>
            <w:noProof/>
            <w:webHidden/>
          </w:rPr>
          <w:tab/>
        </w:r>
        <w:r>
          <w:rPr>
            <w:noProof/>
            <w:webHidden/>
          </w:rPr>
          <w:fldChar w:fldCharType="begin"/>
        </w:r>
        <w:r>
          <w:rPr>
            <w:noProof/>
            <w:webHidden/>
          </w:rPr>
          <w:instrText xml:space="preserve"> PAGEREF _Toc192499489 \h </w:instrText>
        </w:r>
        <w:r>
          <w:rPr>
            <w:noProof/>
            <w:webHidden/>
          </w:rPr>
        </w:r>
        <w:r>
          <w:rPr>
            <w:noProof/>
            <w:webHidden/>
          </w:rPr>
          <w:fldChar w:fldCharType="separate"/>
        </w:r>
        <w:r>
          <w:rPr>
            <w:noProof/>
            <w:webHidden/>
          </w:rPr>
          <w:t>8</w:t>
        </w:r>
        <w:r>
          <w:rPr>
            <w:noProof/>
            <w:webHidden/>
          </w:rPr>
          <w:fldChar w:fldCharType="end"/>
        </w:r>
      </w:hyperlink>
    </w:p>
    <w:p w14:paraId="09E5AA10" w14:textId="1A9956E6"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90" w:history="1">
        <w:r w:rsidRPr="00F019A7">
          <w:rPr>
            <w:rStyle w:val="Hyperlink"/>
            <w:noProof/>
          </w:rPr>
          <w:t>2.1.2</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rPr>
          <w:t>800 MHz frequency band</w:t>
        </w:r>
        <w:r>
          <w:rPr>
            <w:noProof/>
            <w:webHidden/>
          </w:rPr>
          <w:tab/>
        </w:r>
        <w:r>
          <w:rPr>
            <w:noProof/>
            <w:webHidden/>
          </w:rPr>
          <w:fldChar w:fldCharType="begin"/>
        </w:r>
        <w:r>
          <w:rPr>
            <w:noProof/>
            <w:webHidden/>
          </w:rPr>
          <w:instrText xml:space="preserve"> PAGEREF _Toc192499490 \h </w:instrText>
        </w:r>
        <w:r>
          <w:rPr>
            <w:noProof/>
            <w:webHidden/>
          </w:rPr>
        </w:r>
        <w:r>
          <w:rPr>
            <w:noProof/>
            <w:webHidden/>
          </w:rPr>
          <w:fldChar w:fldCharType="separate"/>
        </w:r>
        <w:r>
          <w:rPr>
            <w:noProof/>
            <w:webHidden/>
          </w:rPr>
          <w:t>8</w:t>
        </w:r>
        <w:r>
          <w:rPr>
            <w:noProof/>
            <w:webHidden/>
          </w:rPr>
          <w:fldChar w:fldCharType="end"/>
        </w:r>
      </w:hyperlink>
    </w:p>
    <w:p w14:paraId="4AB9E421" w14:textId="7CE807FB"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91" w:history="1">
        <w:r w:rsidRPr="00F019A7">
          <w:rPr>
            <w:rStyle w:val="Hyperlink"/>
            <w:noProof/>
          </w:rPr>
          <w:t>2.1.3</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rPr>
          <w:t>900 MHz frequency band</w:t>
        </w:r>
        <w:r>
          <w:rPr>
            <w:noProof/>
            <w:webHidden/>
          </w:rPr>
          <w:tab/>
        </w:r>
        <w:r>
          <w:rPr>
            <w:noProof/>
            <w:webHidden/>
          </w:rPr>
          <w:fldChar w:fldCharType="begin"/>
        </w:r>
        <w:r>
          <w:rPr>
            <w:noProof/>
            <w:webHidden/>
          </w:rPr>
          <w:instrText xml:space="preserve"> PAGEREF _Toc192499491 \h </w:instrText>
        </w:r>
        <w:r>
          <w:rPr>
            <w:noProof/>
            <w:webHidden/>
          </w:rPr>
        </w:r>
        <w:r>
          <w:rPr>
            <w:noProof/>
            <w:webHidden/>
          </w:rPr>
          <w:fldChar w:fldCharType="separate"/>
        </w:r>
        <w:r>
          <w:rPr>
            <w:noProof/>
            <w:webHidden/>
          </w:rPr>
          <w:t>9</w:t>
        </w:r>
        <w:r>
          <w:rPr>
            <w:noProof/>
            <w:webHidden/>
          </w:rPr>
          <w:fldChar w:fldCharType="end"/>
        </w:r>
      </w:hyperlink>
    </w:p>
    <w:p w14:paraId="5871A84B" w14:textId="114BA7B1"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92" w:history="1">
        <w:r w:rsidRPr="00F019A7">
          <w:rPr>
            <w:rStyle w:val="Hyperlink"/>
            <w:noProof/>
          </w:rPr>
          <w:t>2.1.4</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rPr>
          <w:t>1800 MHz frequency band</w:t>
        </w:r>
        <w:r>
          <w:rPr>
            <w:noProof/>
            <w:webHidden/>
          </w:rPr>
          <w:tab/>
        </w:r>
        <w:r>
          <w:rPr>
            <w:noProof/>
            <w:webHidden/>
          </w:rPr>
          <w:fldChar w:fldCharType="begin"/>
        </w:r>
        <w:r>
          <w:rPr>
            <w:noProof/>
            <w:webHidden/>
          </w:rPr>
          <w:instrText xml:space="preserve"> PAGEREF _Toc192499492 \h </w:instrText>
        </w:r>
        <w:r>
          <w:rPr>
            <w:noProof/>
            <w:webHidden/>
          </w:rPr>
        </w:r>
        <w:r>
          <w:rPr>
            <w:noProof/>
            <w:webHidden/>
          </w:rPr>
          <w:fldChar w:fldCharType="separate"/>
        </w:r>
        <w:r>
          <w:rPr>
            <w:noProof/>
            <w:webHidden/>
          </w:rPr>
          <w:t>9</w:t>
        </w:r>
        <w:r>
          <w:rPr>
            <w:noProof/>
            <w:webHidden/>
          </w:rPr>
          <w:fldChar w:fldCharType="end"/>
        </w:r>
      </w:hyperlink>
    </w:p>
    <w:p w14:paraId="1B522B14" w14:textId="70A188FA"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93" w:history="1">
        <w:r w:rsidRPr="00F019A7">
          <w:rPr>
            <w:rStyle w:val="Hyperlink"/>
            <w:noProof/>
            <w:lang w:val="fr-FR"/>
          </w:rPr>
          <w:t>2.1.5</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lang w:val="fr-FR"/>
          </w:rPr>
          <w:t>2 GHz Frequency band</w:t>
        </w:r>
        <w:r>
          <w:rPr>
            <w:noProof/>
            <w:webHidden/>
          </w:rPr>
          <w:tab/>
        </w:r>
        <w:r>
          <w:rPr>
            <w:noProof/>
            <w:webHidden/>
          </w:rPr>
          <w:fldChar w:fldCharType="begin"/>
        </w:r>
        <w:r>
          <w:rPr>
            <w:noProof/>
            <w:webHidden/>
          </w:rPr>
          <w:instrText xml:space="preserve"> PAGEREF _Toc192499493 \h </w:instrText>
        </w:r>
        <w:r>
          <w:rPr>
            <w:noProof/>
            <w:webHidden/>
          </w:rPr>
        </w:r>
        <w:r>
          <w:rPr>
            <w:noProof/>
            <w:webHidden/>
          </w:rPr>
          <w:fldChar w:fldCharType="separate"/>
        </w:r>
        <w:r>
          <w:rPr>
            <w:noProof/>
            <w:webHidden/>
          </w:rPr>
          <w:t>9</w:t>
        </w:r>
        <w:r>
          <w:rPr>
            <w:noProof/>
            <w:webHidden/>
          </w:rPr>
          <w:fldChar w:fldCharType="end"/>
        </w:r>
      </w:hyperlink>
    </w:p>
    <w:p w14:paraId="3A4B4BF9" w14:textId="51390DB6"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94" w:history="1">
        <w:r w:rsidRPr="00F019A7">
          <w:rPr>
            <w:rStyle w:val="Hyperlink"/>
            <w:noProof/>
            <w:lang w:val="en-GB"/>
          </w:rPr>
          <w:t>2.1.6</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rPr>
          <w:t>2.6 GHz frequency band</w:t>
        </w:r>
        <w:r>
          <w:rPr>
            <w:noProof/>
            <w:webHidden/>
          </w:rPr>
          <w:tab/>
        </w:r>
        <w:r>
          <w:rPr>
            <w:noProof/>
            <w:webHidden/>
          </w:rPr>
          <w:fldChar w:fldCharType="begin"/>
        </w:r>
        <w:r>
          <w:rPr>
            <w:noProof/>
            <w:webHidden/>
          </w:rPr>
          <w:instrText xml:space="preserve"> PAGEREF _Toc192499494 \h </w:instrText>
        </w:r>
        <w:r>
          <w:rPr>
            <w:noProof/>
            <w:webHidden/>
          </w:rPr>
        </w:r>
        <w:r>
          <w:rPr>
            <w:noProof/>
            <w:webHidden/>
          </w:rPr>
          <w:fldChar w:fldCharType="separate"/>
        </w:r>
        <w:r>
          <w:rPr>
            <w:noProof/>
            <w:webHidden/>
          </w:rPr>
          <w:t>10</w:t>
        </w:r>
        <w:r>
          <w:rPr>
            <w:noProof/>
            <w:webHidden/>
          </w:rPr>
          <w:fldChar w:fldCharType="end"/>
        </w:r>
      </w:hyperlink>
    </w:p>
    <w:p w14:paraId="75AE61A7" w14:textId="797BDD8B"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495" w:history="1">
        <w:r w:rsidRPr="00F019A7">
          <w:rPr>
            <w:rStyle w:val="Hyperlink"/>
            <w:noProof/>
          </w:rPr>
          <w:t>3</w:t>
        </w:r>
        <w:r>
          <w:rPr>
            <w:rFonts w:asciiTheme="minorHAnsi" w:eastAsiaTheme="minorEastAsia" w:hAnsiTheme="minorHAnsi" w:cstheme="minorBidi"/>
            <w:b w:val="0"/>
            <w:caps w:val="0"/>
            <w:noProof/>
            <w:kern w:val="2"/>
            <w:sz w:val="24"/>
            <w:lang w:val="en-GB" w:eastAsia="en-GB"/>
            <w14:ligatures w14:val="standardContextual"/>
          </w:rPr>
          <w:tab/>
        </w:r>
        <w:r w:rsidRPr="00F019A7">
          <w:rPr>
            <w:rStyle w:val="Hyperlink"/>
            <w:noProof/>
          </w:rPr>
          <w:t>Recommended Regulatory Framework</w:t>
        </w:r>
        <w:r>
          <w:rPr>
            <w:noProof/>
            <w:webHidden/>
          </w:rPr>
          <w:tab/>
        </w:r>
        <w:r>
          <w:rPr>
            <w:noProof/>
            <w:webHidden/>
          </w:rPr>
          <w:fldChar w:fldCharType="begin"/>
        </w:r>
        <w:r>
          <w:rPr>
            <w:noProof/>
            <w:webHidden/>
          </w:rPr>
          <w:instrText xml:space="preserve"> PAGEREF _Toc192499495 \h </w:instrText>
        </w:r>
        <w:r>
          <w:rPr>
            <w:noProof/>
            <w:webHidden/>
          </w:rPr>
        </w:r>
        <w:r>
          <w:rPr>
            <w:noProof/>
            <w:webHidden/>
          </w:rPr>
          <w:fldChar w:fldCharType="separate"/>
        </w:r>
        <w:r>
          <w:rPr>
            <w:noProof/>
            <w:webHidden/>
          </w:rPr>
          <w:t>12</w:t>
        </w:r>
        <w:r>
          <w:rPr>
            <w:noProof/>
            <w:webHidden/>
          </w:rPr>
          <w:fldChar w:fldCharType="end"/>
        </w:r>
      </w:hyperlink>
    </w:p>
    <w:p w14:paraId="3DE52779" w14:textId="5C2A7D16"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96" w:history="1">
        <w:r w:rsidRPr="00F019A7">
          <w:rPr>
            <w:rStyle w:val="Hyperlink"/>
            <w:noProof/>
          </w:rPr>
          <w:t>3.1.1</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rPr>
          <w:t>Non-AAS ATS</w:t>
        </w:r>
        <w:r>
          <w:rPr>
            <w:noProof/>
            <w:webHidden/>
          </w:rPr>
          <w:tab/>
        </w:r>
        <w:r>
          <w:rPr>
            <w:noProof/>
            <w:webHidden/>
          </w:rPr>
          <w:fldChar w:fldCharType="begin"/>
        </w:r>
        <w:r>
          <w:rPr>
            <w:noProof/>
            <w:webHidden/>
          </w:rPr>
          <w:instrText xml:space="preserve"> PAGEREF _Toc192499496 \h </w:instrText>
        </w:r>
        <w:r>
          <w:rPr>
            <w:noProof/>
            <w:webHidden/>
          </w:rPr>
        </w:r>
        <w:r>
          <w:rPr>
            <w:noProof/>
            <w:webHidden/>
          </w:rPr>
          <w:fldChar w:fldCharType="separate"/>
        </w:r>
        <w:r>
          <w:rPr>
            <w:noProof/>
            <w:webHidden/>
          </w:rPr>
          <w:t>12</w:t>
        </w:r>
        <w:r>
          <w:rPr>
            <w:noProof/>
            <w:webHidden/>
          </w:rPr>
          <w:fldChar w:fldCharType="end"/>
        </w:r>
      </w:hyperlink>
    </w:p>
    <w:p w14:paraId="1B2824B3" w14:textId="22B36077" w:rsidR="001E219F" w:rsidRDefault="001E219F">
      <w:pPr>
        <w:pStyle w:val="TOC3"/>
        <w:rPr>
          <w:rFonts w:asciiTheme="minorHAnsi" w:eastAsiaTheme="minorEastAsia" w:hAnsiTheme="minorHAnsi" w:cstheme="minorBidi"/>
          <w:noProof/>
          <w:kern w:val="2"/>
          <w:sz w:val="24"/>
          <w:lang w:val="en-GB" w:eastAsia="en-GB"/>
          <w14:ligatures w14:val="standardContextual"/>
        </w:rPr>
      </w:pPr>
      <w:hyperlink w:anchor="_Toc192499497" w:history="1">
        <w:r w:rsidRPr="00F019A7">
          <w:rPr>
            <w:rStyle w:val="Hyperlink"/>
            <w:noProof/>
          </w:rPr>
          <w:t>3.1.2</w:t>
        </w:r>
        <w:r>
          <w:rPr>
            <w:rFonts w:asciiTheme="minorHAnsi" w:eastAsiaTheme="minorEastAsia" w:hAnsiTheme="minorHAnsi" w:cstheme="minorBidi"/>
            <w:noProof/>
            <w:kern w:val="2"/>
            <w:sz w:val="24"/>
            <w:lang w:val="en-GB" w:eastAsia="en-GB"/>
            <w14:ligatures w14:val="standardContextual"/>
          </w:rPr>
          <w:tab/>
        </w:r>
        <w:r w:rsidRPr="00F019A7">
          <w:rPr>
            <w:rStyle w:val="Hyperlink"/>
            <w:noProof/>
          </w:rPr>
          <w:t>“No-transmit” zone</w:t>
        </w:r>
        <w:r>
          <w:rPr>
            <w:noProof/>
            <w:webHidden/>
          </w:rPr>
          <w:tab/>
        </w:r>
        <w:r>
          <w:rPr>
            <w:noProof/>
            <w:webHidden/>
          </w:rPr>
          <w:fldChar w:fldCharType="begin"/>
        </w:r>
        <w:r>
          <w:rPr>
            <w:noProof/>
            <w:webHidden/>
          </w:rPr>
          <w:instrText xml:space="preserve"> PAGEREF _Toc192499497 \h </w:instrText>
        </w:r>
        <w:r>
          <w:rPr>
            <w:noProof/>
            <w:webHidden/>
          </w:rPr>
        </w:r>
        <w:r>
          <w:rPr>
            <w:noProof/>
            <w:webHidden/>
          </w:rPr>
          <w:fldChar w:fldCharType="separate"/>
        </w:r>
        <w:r>
          <w:rPr>
            <w:noProof/>
            <w:webHidden/>
          </w:rPr>
          <w:t>12</w:t>
        </w:r>
        <w:r>
          <w:rPr>
            <w:noProof/>
            <w:webHidden/>
          </w:rPr>
          <w:fldChar w:fldCharType="end"/>
        </w:r>
      </w:hyperlink>
    </w:p>
    <w:p w14:paraId="6E14B566" w14:textId="6F1AA1A8"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498" w:history="1">
        <w:r w:rsidRPr="00F019A7">
          <w:rPr>
            <w:rStyle w:val="Hyperlink"/>
            <w:noProof/>
          </w:rPr>
          <w:t>4</w:t>
        </w:r>
        <w:r>
          <w:rPr>
            <w:rFonts w:asciiTheme="minorHAnsi" w:eastAsiaTheme="minorEastAsia" w:hAnsiTheme="minorHAnsi" w:cstheme="minorBidi"/>
            <w:b w:val="0"/>
            <w:caps w:val="0"/>
            <w:noProof/>
            <w:kern w:val="2"/>
            <w:sz w:val="24"/>
            <w:lang w:val="en-GB" w:eastAsia="en-GB"/>
            <w14:ligatures w14:val="standardContextual"/>
          </w:rPr>
          <w:tab/>
        </w:r>
        <w:r w:rsidRPr="00F019A7">
          <w:rPr>
            <w:rStyle w:val="Hyperlink"/>
            <w:noProof/>
          </w:rPr>
          <w:t>ETSI support to the implementation of this regulatory framework</w:t>
        </w:r>
        <w:r>
          <w:rPr>
            <w:noProof/>
            <w:webHidden/>
          </w:rPr>
          <w:tab/>
        </w:r>
        <w:r>
          <w:rPr>
            <w:noProof/>
            <w:webHidden/>
          </w:rPr>
          <w:fldChar w:fldCharType="begin"/>
        </w:r>
        <w:r>
          <w:rPr>
            <w:noProof/>
            <w:webHidden/>
          </w:rPr>
          <w:instrText xml:space="preserve"> PAGEREF _Toc192499498 \h </w:instrText>
        </w:r>
        <w:r>
          <w:rPr>
            <w:noProof/>
            <w:webHidden/>
          </w:rPr>
        </w:r>
        <w:r>
          <w:rPr>
            <w:noProof/>
            <w:webHidden/>
          </w:rPr>
          <w:fldChar w:fldCharType="separate"/>
        </w:r>
        <w:r>
          <w:rPr>
            <w:noProof/>
            <w:webHidden/>
          </w:rPr>
          <w:t>13</w:t>
        </w:r>
        <w:r>
          <w:rPr>
            <w:noProof/>
            <w:webHidden/>
          </w:rPr>
          <w:fldChar w:fldCharType="end"/>
        </w:r>
      </w:hyperlink>
    </w:p>
    <w:p w14:paraId="2B800A1C" w14:textId="1FC5793D"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499" w:history="1">
        <w:r w:rsidRPr="00F019A7">
          <w:rPr>
            <w:rStyle w:val="Hyperlink"/>
            <w:noProof/>
          </w:rPr>
          <w:t>5</w:t>
        </w:r>
        <w:r>
          <w:rPr>
            <w:rFonts w:asciiTheme="minorHAnsi" w:eastAsiaTheme="minorEastAsia" w:hAnsiTheme="minorHAnsi" w:cstheme="minorBidi"/>
            <w:b w:val="0"/>
            <w:caps w:val="0"/>
            <w:noProof/>
            <w:kern w:val="2"/>
            <w:sz w:val="24"/>
            <w:lang w:val="en-GB" w:eastAsia="en-GB"/>
            <w14:ligatures w14:val="standardContextual"/>
          </w:rPr>
          <w:tab/>
        </w:r>
        <w:r w:rsidRPr="00F019A7">
          <w:rPr>
            <w:rStyle w:val="Hyperlink"/>
            <w:noProof/>
          </w:rPr>
          <w:t>CONCLUSIONS</w:t>
        </w:r>
        <w:r>
          <w:rPr>
            <w:noProof/>
            <w:webHidden/>
          </w:rPr>
          <w:tab/>
        </w:r>
        <w:r>
          <w:rPr>
            <w:noProof/>
            <w:webHidden/>
          </w:rPr>
          <w:fldChar w:fldCharType="begin"/>
        </w:r>
        <w:r>
          <w:rPr>
            <w:noProof/>
            <w:webHidden/>
          </w:rPr>
          <w:instrText xml:space="preserve"> PAGEREF _Toc192499499 \h </w:instrText>
        </w:r>
        <w:r>
          <w:rPr>
            <w:noProof/>
            <w:webHidden/>
          </w:rPr>
        </w:r>
        <w:r>
          <w:rPr>
            <w:noProof/>
            <w:webHidden/>
          </w:rPr>
          <w:fldChar w:fldCharType="separate"/>
        </w:r>
        <w:r>
          <w:rPr>
            <w:noProof/>
            <w:webHidden/>
          </w:rPr>
          <w:t>14</w:t>
        </w:r>
        <w:r>
          <w:rPr>
            <w:noProof/>
            <w:webHidden/>
          </w:rPr>
          <w:fldChar w:fldCharType="end"/>
        </w:r>
      </w:hyperlink>
    </w:p>
    <w:p w14:paraId="6A1097FB" w14:textId="171E2F4D"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500" w:history="1">
        <w:r w:rsidRPr="00F019A7">
          <w:rPr>
            <w:rStyle w:val="Hyperlink"/>
            <w:noProof/>
          </w:rPr>
          <w:t>ANNEX 1: EC Mandate to CEPT</w:t>
        </w:r>
        <w:r>
          <w:rPr>
            <w:noProof/>
            <w:webHidden/>
          </w:rPr>
          <w:tab/>
        </w:r>
        <w:r>
          <w:rPr>
            <w:noProof/>
            <w:webHidden/>
          </w:rPr>
          <w:fldChar w:fldCharType="begin"/>
        </w:r>
        <w:r>
          <w:rPr>
            <w:noProof/>
            <w:webHidden/>
          </w:rPr>
          <w:instrText xml:space="preserve"> PAGEREF _Toc192499500 \h </w:instrText>
        </w:r>
        <w:r>
          <w:rPr>
            <w:noProof/>
            <w:webHidden/>
          </w:rPr>
        </w:r>
        <w:r>
          <w:rPr>
            <w:noProof/>
            <w:webHidden/>
          </w:rPr>
          <w:fldChar w:fldCharType="separate"/>
        </w:r>
        <w:r>
          <w:rPr>
            <w:noProof/>
            <w:webHidden/>
          </w:rPr>
          <w:t>15</w:t>
        </w:r>
        <w:r>
          <w:rPr>
            <w:noProof/>
            <w:webHidden/>
          </w:rPr>
          <w:fldChar w:fldCharType="end"/>
        </w:r>
      </w:hyperlink>
    </w:p>
    <w:p w14:paraId="19A360C9" w14:textId="664F85D1"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501" w:history="1">
        <w:r w:rsidRPr="00F019A7">
          <w:rPr>
            <w:rStyle w:val="Hyperlink"/>
            <w:noProof/>
          </w:rPr>
          <w:t>ANNEX 2: Harmonised Operational and Technical Parameters</w:t>
        </w:r>
        <w:r>
          <w:rPr>
            <w:noProof/>
            <w:webHidden/>
          </w:rPr>
          <w:tab/>
        </w:r>
        <w:r>
          <w:rPr>
            <w:noProof/>
            <w:webHidden/>
          </w:rPr>
          <w:fldChar w:fldCharType="begin"/>
        </w:r>
        <w:r>
          <w:rPr>
            <w:noProof/>
            <w:webHidden/>
          </w:rPr>
          <w:instrText xml:space="preserve"> PAGEREF _Toc192499501 \h </w:instrText>
        </w:r>
        <w:r>
          <w:rPr>
            <w:noProof/>
            <w:webHidden/>
          </w:rPr>
        </w:r>
        <w:r>
          <w:rPr>
            <w:noProof/>
            <w:webHidden/>
          </w:rPr>
          <w:fldChar w:fldCharType="separate"/>
        </w:r>
        <w:r>
          <w:rPr>
            <w:noProof/>
            <w:webHidden/>
          </w:rPr>
          <w:t>19</w:t>
        </w:r>
        <w:r>
          <w:rPr>
            <w:noProof/>
            <w:webHidden/>
          </w:rPr>
          <w:fldChar w:fldCharType="end"/>
        </w:r>
      </w:hyperlink>
    </w:p>
    <w:p w14:paraId="2BC4C860" w14:textId="0126DF73" w:rsidR="001E219F" w:rsidRDefault="001E219F">
      <w:pPr>
        <w:pStyle w:val="TOC1"/>
        <w:rPr>
          <w:rFonts w:asciiTheme="minorHAnsi" w:eastAsiaTheme="minorEastAsia" w:hAnsiTheme="minorHAnsi" w:cstheme="minorBidi"/>
          <w:b w:val="0"/>
          <w:caps w:val="0"/>
          <w:noProof/>
          <w:kern w:val="2"/>
          <w:sz w:val="24"/>
          <w:lang w:val="en-GB" w:eastAsia="en-GB"/>
          <w14:ligatures w14:val="standardContextual"/>
        </w:rPr>
      </w:pPr>
      <w:hyperlink w:anchor="_Toc192499502" w:history="1">
        <w:r w:rsidRPr="00F019A7">
          <w:rPr>
            <w:rStyle w:val="Hyperlink"/>
            <w:noProof/>
          </w:rPr>
          <w:t>ANNEX 3: List of References</w:t>
        </w:r>
        <w:r>
          <w:rPr>
            <w:noProof/>
            <w:webHidden/>
          </w:rPr>
          <w:tab/>
        </w:r>
        <w:r>
          <w:rPr>
            <w:noProof/>
            <w:webHidden/>
          </w:rPr>
          <w:fldChar w:fldCharType="begin"/>
        </w:r>
        <w:r>
          <w:rPr>
            <w:noProof/>
            <w:webHidden/>
          </w:rPr>
          <w:instrText xml:space="preserve"> PAGEREF _Toc192499502 \h </w:instrText>
        </w:r>
        <w:r>
          <w:rPr>
            <w:noProof/>
            <w:webHidden/>
          </w:rPr>
        </w:r>
        <w:r>
          <w:rPr>
            <w:noProof/>
            <w:webHidden/>
          </w:rPr>
          <w:fldChar w:fldCharType="separate"/>
        </w:r>
        <w:r>
          <w:rPr>
            <w:noProof/>
            <w:webHidden/>
          </w:rPr>
          <w:t>21</w:t>
        </w:r>
        <w:r>
          <w:rPr>
            <w:noProof/>
            <w:webHidden/>
          </w:rPr>
          <w:fldChar w:fldCharType="end"/>
        </w:r>
      </w:hyperlink>
    </w:p>
    <w:p w14:paraId="55F07B4D" w14:textId="481A2723" w:rsidR="00AB46DF" w:rsidRPr="00903D26" w:rsidRDefault="001E219F" w:rsidP="00AB46DF">
      <w:pPr>
        <w:rPr>
          <w:lang w:val="en-GB"/>
        </w:rPr>
      </w:pPr>
      <w:r>
        <w:rPr>
          <w:caps/>
          <w:lang w:val="en-GB"/>
        </w:rPr>
        <w:fldChar w:fldCharType="end"/>
      </w:r>
    </w:p>
    <w:p w14:paraId="05B72566" w14:textId="77777777" w:rsidR="00AB46DF" w:rsidRPr="00903D26" w:rsidRDefault="003C3EE4" w:rsidP="00AB46DF">
      <w:pPr>
        <w:rPr>
          <w:lang w:val="en-GB"/>
        </w:rPr>
      </w:pPr>
      <w:r w:rsidRPr="00903D26">
        <w:rPr>
          <w:lang w:val="en-GB"/>
        </w:rPr>
        <w:br w:type="page"/>
      </w:r>
    </w:p>
    <w:p w14:paraId="5E226729" w14:textId="77777777" w:rsidR="00AB46DF" w:rsidRPr="00143BED" w:rsidRDefault="00DB0551" w:rsidP="00AB46DF">
      <w:pPr>
        <w:rPr>
          <w:b/>
          <w:color w:val="FFFFFF"/>
          <w:szCs w:val="20"/>
          <w:lang w:val="en-GB"/>
        </w:rPr>
      </w:pPr>
      <w:r w:rsidRPr="00143BED">
        <w:rPr>
          <w:b/>
          <w:noProof/>
          <w:color w:val="FFFFFF"/>
          <w:szCs w:val="20"/>
          <w:lang w:val="de-DE" w:eastAsia="de-DE"/>
        </w:rPr>
        <w:lastRenderedPageBreak/>
        <mc:AlternateContent>
          <mc:Choice Requires="wps">
            <w:drawing>
              <wp:anchor distT="0" distB="0" distL="114300" distR="114300" simplePos="0" relativeHeight="251658241" behindDoc="1" locked="0" layoutInCell="1" allowOverlap="1" wp14:anchorId="2668879D" wp14:editId="13274D88">
                <wp:simplePos x="0" y="0"/>
                <wp:positionH relativeFrom="page">
                  <wp:posOffset>20502</wp:posOffset>
                </wp:positionH>
                <wp:positionV relativeFrom="page">
                  <wp:posOffset>916759</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8DAAC" id="Rectangle 22" o:spid="_x0000_s1026" style="position:absolute;margin-left:1.6pt;margin-top:72.2pt;width:595.3pt;height:56.7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" fillcolor="#b0a696" stroked="f">
                <w10:wrap anchorx="page" anchory="page"/>
              </v:rect>
            </w:pict>
          </mc:Fallback>
        </mc:AlternateContent>
      </w:r>
    </w:p>
    <w:p w14:paraId="68DC7712" w14:textId="77777777" w:rsidR="00D20E3B" w:rsidRPr="00143BED" w:rsidRDefault="00D20E3B" w:rsidP="00AB46DF">
      <w:pPr>
        <w:rPr>
          <w:b/>
          <w:color w:val="FFFFFF"/>
          <w:szCs w:val="20"/>
          <w:lang w:val="en-GB"/>
        </w:rPr>
      </w:pPr>
    </w:p>
    <w:p w14:paraId="6CD0CBF2" w14:textId="77777777" w:rsidR="00AB46DF" w:rsidRPr="00143BED" w:rsidRDefault="003C3EE4" w:rsidP="00AB46DF">
      <w:pPr>
        <w:rPr>
          <w:b/>
          <w:color w:val="FFFFFF"/>
          <w:szCs w:val="20"/>
          <w:lang w:val="en-GB"/>
        </w:rPr>
      </w:pPr>
      <w:r w:rsidRPr="00143BED">
        <w:rPr>
          <w:b/>
          <w:color w:val="FFFFFF"/>
          <w:szCs w:val="20"/>
          <w:lang w:val="en-GB"/>
        </w:rPr>
        <w:t>LIST OF ABBREVIATIONS</w:t>
      </w:r>
    </w:p>
    <w:p w14:paraId="212CFE06" w14:textId="77777777" w:rsidR="00AB46DF" w:rsidRPr="00143BED" w:rsidRDefault="00AB46DF" w:rsidP="00AB46DF">
      <w:pPr>
        <w:rPr>
          <w:b/>
          <w:color w:val="FFFFFF"/>
          <w:szCs w:val="20"/>
          <w:lang w:val="en-GB"/>
        </w:rPr>
      </w:pPr>
    </w:p>
    <w:p w14:paraId="5619F070" w14:textId="77777777" w:rsidR="00AB46DF" w:rsidRPr="00143BED" w:rsidRDefault="00AB46DF" w:rsidP="00AB46DF">
      <w:pPr>
        <w:rPr>
          <w:b/>
          <w:color w:val="FFFFFF"/>
          <w:szCs w:val="20"/>
          <w:lang w:val="en-GB"/>
        </w:rPr>
      </w:pPr>
    </w:p>
    <w:p w14:paraId="3C29E4BC" w14:textId="77777777" w:rsidR="00AB46DF" w:rsidRPr="00143BED" w:rsidRDefault="00AB46DF" w:rsidP="00AB46DF">
      <w:pPr>
        <w:rPr>
          <w:lang w:val="en-GB"/>
        </w:rPr>
      </w:pPr>
    </w:p>
    <w:p w14:paraId="2E38D74A" w14:textId="77777777" w:rsidR="00AB46DF" w:rsidRPr="00143BED"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65"/>
        <w:gridCol w:w="7564"/>
      </w:tblGrid>
      <w:tr w:rsidR="00AB46DF" w:rsidRPr="00143BED" w14:paraId="1939EE95" w14:textId="77777777" w:rsidTr="00A61D95">
        <w:trPr>
          <w:trHeight w:val="76"/>
        </w:trPr>
        <w:tc>
          <w:tcPr>
            <w:tcW w:w="2065" w:type="dxa"/>
          </w:tcPr>
          <w:p w14:paraId="55A8074D" w14:textId="77777777" w:rsidR="00AB46DF" w:rsidRPr="00143BED" w:rsidRDefault="003C3EE4" w:rsidP="00143BED">
            <w:pPr>
              <w:spacing w:before="60" w:after="60" w:line="288" w:lineRule="auto"/>
              <w:rPr>
                <w:b/>
                <w:color w:val="D2232A"/>
                <w:lang w:val="en-GB"/>
              </w:rPr>
            </w:pPr>
            <w:r w:rsidRPr="00143BED">
              <w:rPr>
                <w:b/>
                <w:color w:val="D2232A"/>
                <w:lang w:val="en-GB"/>
              </w:rPr>
              <w:t>Abbreviation</w:t>
            </w:r>
          </w:p>
        </w:tc>
        <w:tc>
          <w:tcPr>
            <w:tcW w:w="7564" w:type="dxa"/>
          </w:tcPr>
          <w:p w14:paraId="2A2CF183" w14:textId="77777777" w:rsidR="00AB46DF" w:rsidRPr="00143BED" w:rsidRDefault="003C3EE4" w:rsidP="00143BED">
            <w:pPr>
              <w:spacing w:before="60" w:after="60" w:line="288" w:lineRule="auto"/>
              <w:rPr>
                <w:b/>
                <w:color w:val="D2232A"/>
                <w:lang w:val="en-GB"/>
              </w:rPr>
            </w:pPr>
            <w:r w:rsidRPr="00143BED">
              <w:rPr>
                <w:b/>
                <w:color w:val="D2232A"/>
                <w:lang w:val="en-GB"/>
              </w:rPr>
              <w:t xml:space="preserve">Explanation </w:t>
            </w:r>
          </w:p>
        </w:tc>
      </w:tr>
      <w:tr w:rsidR="00757EE2" w:rsidRPr="00143BED" w14:paraId="53B73FCB" w14:textId="77777777" w:rsidTr="00A61D95">
        <w:trPr>
          <w:trHeight w:val="76"/>
        </w:trPr>
        <w:tc>
          <w:tcPr>
            <w:tcW w:w="2065" w:type="dxa"/>
          </w:tcPr>
          <w:p w14:paraId="5E828240" w14:textId="77777777" w:rsidR="00757EE2" w:rsidRPr="00AF57AE" w:rsidRDefault="00757EE2" w:rsidP="006D7FE7">
            <w:pPr>
              <w:spacing w:before="60" w:after="60"/>
              <w:rPr>
                <w:b/>
                <w:color w:val="D2232A"/>
                <w:lang w:val="en-GB"/>
              </w:rPr>
            </w:pPr>
            <w:r w:rsidRPr="003D3A35">
              <w:rPr>
                <w:rStyle w:val="ECCHLbold"/>
              </w:rPr>
              <w:t>3GPP</w:t>
            </w:r>
          </w:p>
        </w:tc>
        <w:tc>
          <w:tcPr>
            <w:tcW w:w="7564" w:type="dxa"/>
          </w:tcPr>
          <w:p w14:paraId="4FCBACF6" w14:textId="77777777" w:rsidR="00757EE2" w:rsidRPr="00143BED" w:rsidRDefault="00757EE2" w:rsidP="006D7FE7">
            <w:pPr>
              <w:spacing w:before="60" w:after="60"/>
              <w:rPr>
                <w:b/>
                <w:color w:val="D2232A"/>
                <w:lang w:val="en-GB"/>
              </w:rPr>
            </w:pPr>
            <w:r w:rsidRPr="00266BD2">
              <w:t>3rd Generation Partnership Project</w:t>
            </w:r>
          </w:p>
        </w:tc>
      </w:tr>
      <w:tr w:rsidR="00B95E22" w:rsidRPr="00143BED" w14:paraId="738645B2" w14:textId="77777777" w:rsidTr="00A61D95">
        <w:trPr>
          <w:trHeight w:val="76"/>
        </w:trPr>
        <w:tc>
          <w:tcPr>
            <w:tcW w:w="2065" w:type="dxa"/>
            <w:vAlign w:val="center"/>
          </w:tcPr>
          <w:p w14:paraId="38173433" w14:textId="77777777" w:rsidR="00B95E22" w:rsidRPr="00143BED" w:rsidRDefault="00B95E22" w:rsidP="006D7FE7">
            <w:pPr>
              <w:spacing w:before="60" w:after="60"/>
              <w:rPr>
                <w:b/>
                <w:color w:val="D2232A"/>
                <w:lang w:val="en-GB"/>
              </w:rPr>
            </w:pPr>
            <w:r>
              <w:rPr>
                <w:rStyle w:val="ECCHLbold"/>
              </w:rPr>
              <w:t>4G/LTE</w:t>
            </w:r>
          </w:p>
        </w:tc>
        <w:tc>
          <w:tcPr>
            <w:tcW w:w="7564" w:type="dxa"/>
            <w:vAlign w:val="center"/>
          </w:tcPr>
          <w:p w14:paraId="6D3A601E" w14:textId="77777777" w:rsidR="00B95E22" w:rsidRPr="00143BED" w:rsidRDefault="00B95E22" w:rsidP="006D7FE7">
            <w:pPr>
              <w:spacing w:before="60" w:after="60"/>
              <w:rPr>
                <w:b/>
                <w:color w:val="D2232A"/>
                <w:lang w:val="en-GB"/>
              </w:rPr>
            </w:pPr>
            <w:r>
              <w:t>4th</w:t>
            </w:r>
            <w:r w:rsidRPr="0070747B">
              <w:t xml:space="preserve"> generation of wireless cellular technology/Long-Term Evolution</w:t>
            </w:r>
          </w:p>
        </w:tc>
      </w:tr>
      <w:tr w:rsidR="00B95E22" w:rsidRPr="00143BED" w14:paraId="4E7C123E" w14:textId="77777777" w:rsidTr="00A61D95">
        <w:trPr>
          <w:trHeight w:val="76"/>
        </w:trPr>
        <w:tc>
          <w:tcPr>
            <w:tcW w:w="2065" w:type="dxa"/>
            <w:vAlign w:val="center"/>
          </w:tcPr>
          <w:p w14:paraId="012CC5F6" w14:textId="77777777" w:rsidR="00B95E22" w:rsidRPr="00143BED" w:rsidRDefault="00B95E22" w:rsidP="006D7FE7">
            <w:pPr>
              <w:spacing w:before="60" w:after="60"/>
              <w:rPr>
                <w:b/>
                <w:color w:val="D2232A"/>
                <w:lang w:val="en-GB"/>
              </w:rPr>
            </w:pPr>
            <w:r>
              <w:rPr>
                <w:rStyle w:val="ECCHLbold"/>
              </w:rPr>
              <w:t>5G NR</w:t>
            </w:r>
          </w:p>
        </w:tc>
        <w:tc>
          <w:tcPr>
            <w:tcW w:w="7564" w:type="dxa"/>
            <w:vAlign w:val="center"/>
          </w:tcPr>
          <w:p w14:paraId="2DB3316E" w14:textId="77777777" w:rsidR="00B95E22" w:rsidRPr="00143BED" w:rsidRDefault="00B95E22" w:rsidP="006D7FE7">
            <w:pPr>
              <w:spacing w:before="60" w:after="60"/>
              <w:rPr>
                <w:b/>
                <w:color w:val="D2232A"/>
                <w:lang w:val="en-GB"/>
              </w:rPr>
            </w:pPr>
            <w:r>
              <w:t>5th</w:t>
            </w:r>
            <w:r w:rsidRPr="0070747B">
              <w:t xml:space="preserve"> generation of wireless cellular technology</w:t>
            </w:r>
            <w:r>
              <w:t>/New Radio</w:t>
            </w:r>
          </w:p>
        </w:tc>
      </w:tr>
      <w:tr w:rsidR="0051420D" w:rsidRPr="00143BED" w14:paraId="6B19C2F1" w14:textId="77777777" w:rsidTr="00A61D95">
        <w:tc>
          <w:tcPr>
            <w:tcW w:w="2065" w:type="dxa"/>
          </w:tcPr>
          <w:p w14:paraId="08D4AC3B" w14:textId="77777777" w:rsidR="0051420D" w:rsidRPr="00143BED" w:rsidRDefault="00B95E22" w:rsidP="006D7FE7">
            <w:pPr>
              <w:spacing w:before="60" w:after="60"/>
              <w:rPr>
                <w:b/>
                <w:lang w:val="en-GB"/>
              </w:rPr>
            </w:pPr>
            <w:r>
              <w:rPr>
                <w:b/>
                <w:lang w:val="en-GB"/>
              </w:rPr>
              <w:t>AAS</w:t>
            </w:r>
          </w:p>
        </w:tc>
        <w:tc>
          <w:tcPr>
            <w:tcW w:w="7564" w:type="dxa"/>
          </w:tcPr>
          <w:p w14:paraId="61E00B2E" w14:textId="77777777" w:rsidR="0051420D" w:rsidRPr="00143BED" w:rsidRDefault="00B95E22" w:rsidP="006D7FE7">
            <w:pPr>
              <w:spacing w:before="60" w:after="60"/>
              <w:rPr>
                <w:szCs w:val="20"/>
                <w:lang w:val="en-GB"/>
              </w:rPr>
            </w:pPr>
            <w:r>
              <w:rPr>
                <w:szCs w:val="20"/>
                <w:lang w:val="en-GB"/>
              </w:rPr>
              <w:t>Active Antenna Systems</w:t>
            </w:r>
          </w:p>
        </w:tc>
      </w:tr>
      <w:tr w:rsidR="0051420D" w:rsidRPr="00143BED" w14:paraId="4E7765B2" w14:textId="77777777" w:rsidTr="00A61D95">
        <w:tc>
          <w:tcPr>
            <w:tcW w:w="2065" w:type="dxa"/>
          </w:tcPr>
          <w:p w14:paraId="56589295" w14:textId="4333E963" w:rsidR="0051420D" w:rsidRPr="00143BED" w:rsidRDefault="003645F4" w:rsidP="006D7FE7">
            <w:pPr>
              <w:spacing w:before="60" w:after="60"/>
              <w:rPr>
                <w:b/>
                <w:lang w:val="en-GB"/>
              </w:rPr>
            </w:pPr>
            <w:r>
              <w:rPr>
                <w:b/>
                <w:lang w:val="en-GB"/>
              </w:rPr>
              <w:t>A</w:t>
            </w:r>
            <w:r w:rsidR="00CB7C79">
              <w:rPr>
                <w:b/>
                <w:lang w:val="en-GB"/>
              </w:rPr>
              <w:t>erial UE</w:t>
            </w:r>
          </w:p>
        </w:tc>
        <w:tc>
          <w:tcPr>
            <w:tcW w:w="7564" w:type="dxa"/>
          </w:tcPr>
          <w:p w14:paraId="1EFC41DC" w14:textId="398D4691" w:rsidR="0051420D" w:rsidRPr="00143BED" w:rsidRDefault="003645F4" w:rsidP="006D7FE7">
            <w:pPr>
              <w:spacing w:before="60" w:after="60"/>
              <w:rPr>
                <w:szCs w:val="20"/>
                <w:lang w:val="en-GB"/>
              </w:rPr>
            </w:pPr>
            <w:r>
              <w:rPr>
                <w:szCs w:val="20"/>
                <w:lang w:val="en-GB"/>
              </w:rPr>
              <w:t>A</w:t>
            </w:r>
            <w:r w:rsidR="00CB7C79">
              <w:rPr>
                <w:szCs w:val="20"/>
                <w:lang w:val="en-GB"/>
              </w:rPr>
              <w:t>erial User Equipment</w:t>
            </w:r>
          </w:p>
        </w:tc>
      </w:tr>
      <w:tr w:rsidR="00CB7C79" w:rsidRPr="00143BED" w14:paraId="0CB1D4E1" w14:textId="77777777" w:rsidTr="00A61D95">
        <w:tc>
          <w:tcPr>
            <w:tcW w:w="2065" w:type="dxa"/>
          </w:tcPr>
          <w:p w14:paraId="55853029" w14:textId="77777777" w:rsidR="00CB7C79" w:rsidRPr="00143BED" w:rsidRDefault="00CB7C79" w:rsidP="006D7FE7">
            <w:pPr>
              <w:spacing w:before="60" w:after="60"/>
              <w:rPr>
                <w:b/>
                <w:lang w:val="en-GB"/>
              </w:rPr>
            </w:pPr>
            <w:r>
              <w:rPr>
                <w:b/>
                <w:lang w:val="en-GB"/>
              </w:rPr>
              <w:t>ATS</w:t>
            </w:r>
          </w:p>
        </w:tc>
        <w:tc>
          <w:tcPr>
            <w:tcW w:w="7564" w:type="dxa"/>
          </w:tcPr>
          <w:p w14:paraId="71956E35" w14:textId="77777777" w:rsidR="00CB7C79" w:rsidRPr="00737D5F" w:rsidRDefault="00CB7C79" w:rsidP="006D7FE7">
            <w:pPr>
              <w:pStyle w:val="ECCParagraph"/>
              <w:spacing w:before="60"/>
              <w:jc w:val="left"/>
              <w:rPr>
                <w:szCs w:val="20"/>
              </w:rPr>
            </w:pPr>
            <w:r>
              <w:t xml:space="preserve">Aerial Terminal Station </w:t>
            </w:r>
          </w:p>
        </w:tc>
      </w:tr>
      <w:tr w:rsidR="00CB7C79" w:rsidRPr="00143BED" w14:paraId="1041E07E" w14:textId="77777777" w:rsidTr="00A61D95">
        <w:tc>
          <w:tcPr>
            <w:tcW w:w="2065" w:type="dxa"/>
          </w:tcPr>
          <w:p w14:paraId="1D406553" w14:textId="77777777" w:rsidR="00CB7C79" w:rsidRDefault="007012CD" w:rsidP="006D7FE7">
            <w:pPr>
              <w:spacing w:before="60" w:after="60"/>
              <w:rPr>
                <w:b/>
                <w:lang w:val="en-GB"/>
              </w:rPr>
            </w:pPr>
            <w:r w:rsidRPr="007012CD">
              <w:rPr>
                <w:b/>
                <w:lang w:val="en-GB"/>
              </w:rPr>
              <w:t>BVLOS</w:t>
            </w:r>
          </w:p>
        </w:tc>
        <w:tc>
          <w:tcPr>
            <w:tcW w:w="7564" w:type="dxa"/>
          </w:tcPr>
          <w:p w14:paraId="4A7BF3B9" w14:textId="77777777" w:rsidR="00CB7C79" w:rsidRDefault="007012CD" w:rsidP="006D7FE7">
            <w:pPr>
              <w:pStyle w:val="ECCParagraph"/>
              <w:spacing w:before="60"/>
              <w:jc w:val="left"/>
            </w:pPr>
            <w:r>
              <w:t>B</w:t>
            </w:r>
            <w:r w:rsidRPr="00CF6CD7">
              <w:t>eyond</w:t>
            </w:r>
            <w:r>
              <w:t xml:space="preserve"> V</w:t>
            </w:r>
            <w:r w:rsidRPr="00CF6CD7">
              <w:t>isual</w:t>
            </w:r>
            <w:r>
              <w:t xml:space="preserve"> L</w:t>
            </w:r>
            <w:r w:rsidRPr="00CF6CD7">
              <w:t>ine</w:t>
            </w:r>
            <w:r>
              <w:t xml:space="preserve"> </w:t>
            </w:r>
            <w:r w:rsidRPr="00CF6CD7">
              <w:t>of</w:t>
            </w:r>
            <w:r>
              <w:t xml:space="preserve"> S</w:t>
            </w:r>
            <w:r w:rsidRPr="00CF6CD7">
              <w:t>ight</w:t>
            </w:r>
          </w:p>
        </w:tc>
      </w:tr>
      <w:tr w:rsidR="00AF02C8" w:rsidRPr="00143BED" w14:paraId="7D56CF45" w14:textId="77777777" w:rsidTr="00A61D95">
        <w:tc>
          <w:tcPr>
            <w:tcW w:w="2065" w:type="dxa"/>
          </w:tcPr>
          <w:p w14:paraId="4A4E04E9" w14:textId="77777777" w:rsidR="00AF02C8" w:rsidRPr="007012CD" w:rsidRDefault="00AF02C8" w:rsidP="006D7FE7">
            <w:pPr>
              <w:spacing w:before="60" w:after="60"/>
              <w:rPr>
                <w:b/>
                <w:lang w:val="en-GB"/>
              </w:rPr>
            </w:pPr>
            <w:r>
              <w:rPr>
                <w:b/>
                <w:lang w:val="en-GB"/>
              </w:rPr>
              <w:t>BS</w:t>
            </w:r>
          </w:p>
        </w:tc>
        <w:tc>
          <w:tcPr>
            <w:tcW w:w="7564" w:type="dxa"/>
          </w:tcPr>
          <w:p w14:paraId="2E1F2EE5" w14:textId="77777777" w:rsidR="00AF02C8" w:rsidRDefault="00AF02C8" w:rsidP="006D7FE7">
            <w:pPr>
              <w:pStyle w:val="ECCParagraph"/>
              <w:spacing w:before="60"/>
              <w:jc w:val="left"/>
            </w:pPr>
            <w:r>
              <w:t>Base station</w:t>
            </w:r>
          </w:p>
        </w:tc>
      </w:tr>
      <w:tr w:rsidR="00CB7C79" w:rsidRPr="00143BED" w14:paraId="74A28092" w14:textId="77777777" w:rsidTr="00A61D95">
        <w:tc>
          <w:tcPr>
            <w:tcW w:w="2065" w:type="dxa"/>
          </w:tcPr>
          <w:p w14:paraId="065A803B" w14:textId="77777777" w:rsidR="00CB7C79" w:rsidRPr="00143BED" w:rsidRDefault="00CB7C79" w:rsidP="006D7FE7">
            <w:pPr>
              <w:spacing w:before="60" w:after="60"/>
              <w:rPr>
                <w:b/>
                <w:lang w:val="en-GB"/>
              </w:rPr>
            </w:pPr>
            <w:r w:rsidRPr="00143BED">
              <w:rPr>
                <w:b/>
                <w:lang w:val="en-GB"/>
              </w:rPr>
              <w:t>CEPT</w:t>
            </w:r>
          </w:p>
        </w:tc>
        <w:tc>
          <w:tcPr>
            <w:tcW w:w="7564" w:type="dxa"/>
          </w:tcPr>
          <w:p w14:paraId="58F61C24" w14:textId="77777777" w:rsidR="00CB7C79" w:rsidRPr="00737D5F" w:rsidRDefault="00CB7C79" w:rsidP="006D7FE7">
            <w:pPr>
              <w:pStyle w:val="ECCParagraph"/>
              <w:spacing w:before="60"/>
              <w:jc w:val="left"/>
            </w:pPr>
            <w:r w:rsidRPr="00143BED">
              <w:rPr>
                <w:szCs w:val="20"/>
              </w:rPr>
              <w:t>European Conference of Postal and Telecommunications Administrations</w:t>
            </w:r>
          </w:p>
        </w:tc>
      </w:tr>
      <w:tr w:rsidR="00757EE2" w:rsidRPr="00143BED" w14:paraId="5DBB54A9" w14:textId="77777777" w:rsidTr="00A61D95">
        <w:tc>
          <w:tcPr>
            <w:tcW w:w="2065" w:type="dxa"/>
          </w:tcPr>
          <w:p w14:paraId="192B45AC" w14:textId="77777777" w:rsidR="00757EE2" w:rsidRPr="00143BED" w:rsidRDefault="00757EE2" w:rsidP="006D7FE7">
            <w:pPr>
              <w:spacing w:before="60" w:after="60"/>
              <w:rPr>
                <w:b/>
                <w:lang w:val="en-GB"/>
              </w:rPr>
            </w:pPr>
            <w:r>
              <w:rPr>
                <w:b/>
                <w:lang w:val="en-GB"/>
              </w:rPr>
              <w:t>DL</w:t>
            </w:r>
          </w:p>
        </w:tc>
        <w:tc>
          <w:tcPr>
            <w:tcW w:w="7564" w:type="dxa"/>
          </w:tcPr>
          <w:p w14:paraId="2C1C88DD" w14:textId="77777777" w:rsidR="00757EE2" w:rsidRPr="00143BED" w:rsidRDefault="00757EE2" w:rsidP="006D7FE7">
            <w:pPr>
              <w:pStyle w:val="ECCParagraph"/>
              <w:spacing w:before="60"/>
              <w:jc w:val="left"/>
              <w:rPr>
                <w:szCs w:val="20"/>
              </w:rPr>
            </w:pPr>
            <w:r>
              <w:rPr>
                <w:szCs w:val="20"/>
              </w:rPr>
              <w:t>Downlink</w:t>
            </w:r>
          </w:p>
        </w:tc>
      </w:tr>
      <w:tr w:rsidR="00AF02C8" w:rsidRPr="00143BED" w14:paraId="4FB32D34" w14:textId="77777777" w:rsidTr="00A61D95">
        <w:tc>
          <w:tcPr>
            <w:tcW w:w="2065" w:type="dxa"/>
          </w:tcPr>
          <w:p w14:paraId="76ABB115" w14:textId="77777777" w:rsidR="00AF02C8" w:rsidRPr="00143BED" w:rsidRDefault="00AF02C8" w:rsidP="006D7FE7">
            <w:pPr>
              <w:spacing w:before="60" w:after="60"/>
              <w:rPr>
                <w:b/>
                <w:lang w:val="en-GB"/>
              </w:rPr>
            </w:pPr>
            <w:r>
              <w:rPr>
                <w:b/>
                <w:lang w:val="en-GB"/>
              </w:rPr>
              <w:t>DTT</w:t>
            </w:r>
          </w:p>
        </w:tc>
        <w:tc>
          <w:tcPr>
            <w:tcW w:w="7564" w:type="dxa"/>
          </w:tcPr>
          <w:p w14:paraId="33B55CBA" w14:textId="77777777" w:rsidR="00AF02C8" w:rsidRPr="00143BED" w:rsidRDefault="00AF02C8" w:rsidP="006D7FE7">
            <w:pPr>
              <w:pStyle w:val="ECCParagraph"/>
              <w:spacing w:before="60"/>
              <w:jc w:val="left"/>
              <w:rPr>
                <w:szCs w:val="20"/>
              </w:rPr>
            </w:pPr>
            <w:r w:rsidRPr="00AF02C8">
              <w:rPr>
                <w:szCs w:val="20"/>
              </w:rPr>
              <w:t>Digital terrestrial television</w:t>
            </w:r>
          </w:p>
        </w:tc>
      </w:tr>
      <w:tr w:rsidR="00CB7C79" w:rsidRPr="00143BED" w14:paraId="727293BC" w14:textId="77777777" w:rsidTr="00A61D95">
        <w:tc>
          <w:tcPr>
            <w:tcW w:w="2065" w:type="dxa"/>
          </w:tcPr>
          <w:p w14:paraId="27D9F15E" w14:textId="77777777" w:rsidR="00CB7C79" w:rsidRPr="00143BED" w:rsidRDefault="00864D0F" w:rsidP="006D7FE7">
            <w:pPr>
              <w:spacing w:before="60" w:after="60"/>
              <w:rPr>
                <w:b/>
                <w:lang w:val="en-GB"/>
              </w:rPr>
            </w:pPr>
            <w:r>
              <w:rPr>
                <w:b/>
                <w:lang w:val="en-GB"/>
              </w:rPr>
              <w:t>EC</w:t>
            </w:r>
          </w:p>
        </w:tc>
        <w:tc>
          <w:tcPr>
            <w:tcW w:w="7564" w:type="dxa"/>
          </w:tcPr>
          <w:p w14:paraId="6F0D75F1" w14:textId="77777777" w:rsidR="00CB7C79" w:rsidRPr="00737D5F" w:rsidRDefault="00864D0F" w:rsidP="006D7FE7">
            <w:pPr>
              <w:pStyle w:val="ECCParagraph"/>
              <w:spacing w:before="60"/>
              <w:jc w:val="left"/>
              <w:rPr>
                <w:color w:val="000000"/>
              </w:rPr>
            </w:pPr>
            <w:r>
              <w:rPr>
                <w:color w:val="000000"/>
              </w:rPr>
              <w:t xml:space="preserve">European Commission </w:t>
            </w:r>
          </w:p>
        </w:tc>
      </w:tr>
      <w:tr w:rsidR="00864D0F" w:rsidRPr="00143BED" w14:paraId="1EB4EF70" w14:textId="77777777" w:rsidTr="00A61D95">
        <w:tc>
          <w:tcPr>
            <w:tcW w:w="2065" w:type="dxa"/>
          </w:tcPr>
          <w:p w14:paraId="309A96CC" w14:textId="77777777" w:rsidR="00864D0F" w:rsidRPr="00143BED" w:rsidRDefault="00864D0F" w:rsidP="006D7FE7">
            <w:pPr>
              <w:spacing w:before="60" w:after="60"/>
              <w:rPr>
                <w:b/>
                <w:lang w:val="en-GB"/>
              </w:rPr>
            </w:pPr>
            <w:r w:rsidRPr="00143BED">
              <w:rPr>
                <w:b/>
                <w:lang w:val="en-GB"/>
              </w:rPr>
              <w:t>ECC</w:t>
            </w:r>
          </w:p>
        </w:tc>
        <w:tc>
          <w:tcPr>
            <w:tcW w:w="7564" w:type="dxa"/>
          </w:tcPr>
          <w:p w14:paraId="3597E18F" w14:textId="77777777" w:rsidR="00864D0F" w:rsidRPr="00143BED" w:rsidRDefault="00864D0F" w:rsidP="006D7FE7">
            <w:pPr>
              <w:spacing w:before="60" w:after="60"/>
              <w:rPr>
                <w:lang w:val="en-GB"/>
              </w:rPr>
            </w:pPr>
            <w:r w:rsidRPr="00737D5F">
              <w:t>Electronic Communications Committee</w:t>
            </w:r>
          </w:p>
        </w:tc>
      </w:tr>
      <w:tr w:rsidR="00B95E22" w:rsidRPr="00143BED" w14:paraId="19FCD9C2" w14:textId="77777777" w:rsidTr="00A61D95">
        <w:tc>
          <w:tcPr>
            <w:tcW w:w="2065" w:type="dxa"/>
          </w:tcPr>
          <w:p w14:paraId="1E524FEA" w14:textId="77777777" w:rsidR="00B95E22" w:rsidRPr="00143BED" w:rsidRDefault="00B95E22" w:rsidP="006D7FE7">
            <w:pPr>
              <w:spacing w:before="60" w:after="60"/>
              <w:rPr>
                <w:b/>
                <w:lang w:val="en-GB"/>
              </w:rPr>
            </w:pPr>
            <w:r>
              <w:rPr>
                <w:b/>
                <w:lang w:val="en-GB"/>
              </w:rPr>
              <w:t>ECS</w:t>
            </w:r>
          </w:p>
        </w:tc>
        <w:tc>
          <w:tcPr>
            <w:tcW w:w="7564" w:type="dxa"/>
          </w:tcPr>
          <w:p w14:paraId="56D08EA3" w14:textId="77777777" w:rsidR="00B95E22" w:rsidRPr="00737D5F" w:rsidRDefault="00757EE2" w:rsidP="006D7FE7">
            <w:pPr>
              <w:spacing w:before="60" w:after="60"/>
            </w:pPr>
            <w:r>
              <w:t>E</w:t>
            </w:r>
            <w:r w:rsidRPr="00757EE2">
              <w:t xml:space="preserve">lectronic </w:t>
            </w:r>
            <w:r>
              <w:t>C</w:t>
            </w:r>
            <w:r w:rsidRPr="00757EE2">
              <w:t xml:space="preserve">ommunications </w:t>
            </w:r>
            <w:r>
              <w:t>S</w:t>
            </w:r>
            <w:r w:rsidRPr="00757EE2">
              <w:t>ervices</w:t>
            </w:r>
          </w:p>
        </w:tc>
      </w:tr>
      <w:tr w:rsidR="00B95E22" w:rsidRPr="00143BED" w14:paraId="2E3CB3F4" w14:textId="77777777" w:rsidTr="00A61D95">
        <w:tc>
          <w:tcPr>
            <w:tcW w:w="2065" w:type="dxa"/>
          </w:tcPr>
          <w:p w14:paraId="143AB973" w14:textId="77777777" w:rsidR="00B95E22" w:rsidRDefault="00B95E22" w:rsidP="006D7FE7">
            <w:pPr>
              <w:spacing w:before="60" w:after="60"/>
              <w:rPr>
                <w:b/>
                <w:lang w:val="en-GB"/>
              </w:rPr>
            </w:pPr>
            <w:r>
              <w:rPr>
                <w:b/>
                <w:lang w:val="en-GB"/>
              </w:rPr>
              <w:t>ETSI</w:t>
            </w:r>
          </w:p>
        </w:tc>
        <w:tc>
          <w:tcPr>
            <w:tcW w:w="7564" w:type="dxa"/>
          </w:tcPr>
          <w:p w14:paraId="2BE93FAE" w14:textId="77777777" w:rsidR="00B95E22" w:rsidRDefault="00B95E22" w:rsidP="006D7FE7">
            <w:pPr>
              <w:spacing w:before="60" w:after="60"/>
            </w:pPr>
            <w:r w:rsidRPr="00BE06B4">
              <w:t>European Telecommunications Standards Institute</w:t>
            </w:r>
          </w:p>
        </w:tc>
      </w:tr>
      <w:tr w:rsidR="00864D0F" w:rsidRPr="00143BED" w14:paraId="01D4F7D2" w14:textId="77777777" w:rsidTr="00A61D95">
        <w:tc>
          <w:tcPr>
            <w:tcW w:w="2065" w:type="dxa"/>
          </w:tcPr>
          <w:p w14:paraId="69D064E4" w14:textId="77777777" w:rsidR="00864D0F" w:rsidRPr="00143BED" w:rsidRDefault="00B95E22" w:rsidP="006D7FE7">
            <w:pPr>
              <w:spacing w:before="60" w:after="60"/>
              <w:rPr>
                <w:b/>
                <w:lang w:val="en-GB"/>
              </w:rPr>
            </w:pPr>
            <w:r>
              <w:rPr>
                <w:b/>
                <w:lang w:val="en-GB"/>
              </w:rPr>
              <w:t>EU</w:t>
            </w:r>
          </w:p>
        </w:tc>
        <w:tc>
          <w:tcPr>
            <w:tcW w:w="7564" w:type="dxa"/>
          </w:tcPr>
          <w:p w14:paraId="7ABB6314" w14:textId="77777777" w:rsidR="00864D0F" w:rsidRPr="00143BED" w:rsidRDefault="00B95E22" w:rsidP="006D7FE7">
            <w:pPr>
              <w:spacing w:before="60" w:after="60"/>
              <w:rPr>
                <w:lang w:val="en-GB"/>
              </w:rPr>
            </w:pPr>
            <w:r>
              <w:rPr>
                <w:lang w:val="en-GB"/>
              </w:rPr>
              <w:t>European Union</w:t>
            </w:r>
          </w:p>
        </w:tc>
      </w:tr>
      <w:tr w:rsidR="005E7BA4" w:rsidRPr="00143BED" w14:paraId="2E6FF07D" w14:textId="77777777" w:rsidTr="00A61D95">
        <w:tc>
          <w:tcPr>
            <w:tcW w:w="2065" w:type="dxa"/>
          </w:tcPr>
          <w:p w14:paraId="6233E903" w14:textId="77777777" w:rsidR="005E7BA4" w:rsidRDefault="005E7BA4" w:rsidP="006D7FE7">
            <w:pPr>
              <w:spacing w:before="60" w:after="60"/>
              <w:rPr>
                <w:b/>
                <w:lang w:val="en-GB"/>
              </w:rPr>
            </w:pPr>
            <w:r>
              <w:rPr>
                <w:b/>
                <w:lang w:val="en-GB"/>
              </w:rPr>
              <w:t>FDD</w:t>
            </w:r>
          </w:p>
        </w:tc>
        <w:tc>
          <w:tcPr>
            <w:tcW w:w="7564" w:type="dxa"/>
          </w:tcPr>
          <w:p w14:paraId="7C7EFAFF" w14:textId="77777777" w:rsidR="005E7BA4" w:rsidRPr="00452739" w:rsidRDefault="005E7BA4" w:rsidP="006D7FE7">
            <w:pPr>
              <w:spacing w:before="60" w:after="60"/>
              <w:rPr>
                <w:lang w:val="en-GB"/>
              </w:rPr>
            </w:pPr>
            <w:r>
              <w:rPr>
                <w:lang w:val="en-GB"/>
              </w:rPr>
              <w:t>Frequency division duplex</w:t>
            </w:r>
          </w:p>
        </w:tc>
      </w:tr>
      <w:tr w:rsidR="00452739" w:rsidRPr="00143BED" w14:paraId="4F2561AE" w14:textId="77777777" w:rsidTr="00A61D95">
        <w:tc>
          <w:tcPr>
            <w:tcW w:w="2065" w:type="dxa"/>
          </w:tcPr>
          <w:p w14:paraId="1769BBF6" w14:textId="77777777" w:rsidR="00452739" w:rsidRDefault="00452739" w:rsidP="006D7FE7">
            <w:pPr>
              <w:spacing w:before="60" w:after="60"/>
              <w:rPr>
                <w:b/>
                <w:lang w:val="en-GB"/>
              </w:rPr>
            </w:pPr>
            <w:r>
              <w:rPr>
                <w:b/>
                <w:lang w:val="en-GB"/>
              </w:rPr>
              <w:t>FRMCS</w:t>
            </w:r>
          </w:p>
        </w:tc>
        <w:tc>
          <w:tcPr>
            <w:tcW w:w="7564" w:type="dxa"/>
          </w:tcPr>
          <w:p w14:paraId="4E5C89F5" w14:textId="77777777" w:rsidR="00452739" w:rsidRDefault="00452739" w:rsidP="006D7FE7">
            <w:pPr>
              <w:spacing w:before="60" w:after="60"/>
              <w:rPr>
                <w:lang w:val="en-GB"/>
              </w:rPr>
            </w:pPr>
            <w:r w:rsidRPr="00452739">
              <w:rPr>
                <w:lang w:val="en-GB"/>
              </w:rPr>
              <w:t>Future Railway Mobile Communication System</w:t>
            </w:r>
          </w:p>
        </w:tc>
      </w:tr>
      <w:tr w:rsidR="00757EE2" w:rsidRPr="00143BED" w14:paraId="771A28DA" w14:textId="77777777" w:rsidTr="00A61D95">
        <w:tc>
          <w:tcPr>
            <w:tcW w:w="2065" w:type="dxa"/>
          </w:tcPr>
          <w:p w14:paraId="68213CB4" w14:textId="77777777" w:rsidR="00757EE2" w:rsidRDefault="00757EE2" w:rsidP="006D7FE7">
            <w:pPr>
              <w:spacing w:before="60" w:after="60"/>
              <w:rPr>
                <w:b/>
                <w:lang w:val="en-GB"/>
              </w:rPr>
            </w:pPr>
            <w:r>
              <w:rPr>
                <w:b/>
                <w:lang w:val="en-GB"/>
              </w:rPr>
              <w:t>FS</w:t>
            </w:r>
          </w:p>
        </w:tc>
        <w:tc>
          <w:tcPr>
            <w:tcW w:w="7564" w:type="dxa"/>
          </w:tcPr>
          <w:p w14:paraId="5E22C631" w14:textId="77777777" w:rsidR="00757EE2" w:rsidRPr="00452739" w:rsidRDefault="00757EE2" w:rsidP="006D7FE7">
            <w:pPr>
              <w:spacing w:before="60" w:after="60"/>
              <w:rPr>
                <w:lang w:val="en-GB"/>
              </w:rPr>
            </w:pPr>
            <w:r>
              <w:rPr>
                <w:lang w:val="en-GB"/>
              </w:rPr>
              <w:t>Fixed Service</w:t>
            </w:r>
          </w:p>
        </w:tc>
      </w:tr>
      <w:tr w:rsidR="002854F5" w:rsidRPr="00143BED" w14:paraId="6C41629D" w14:textId="77777777" w:rsidTr="00A61D95">
        <w:tc>
          <w:tcPr>
            <w:tcW w:w="2065" w:type="dxa"/>
          </w:tcPr>
          <w:p w14:paraId="419E3858" w14:textId="77777777" w:rsidR="002854F5" w:rsidRDefault="002854F5" w:rsidP="006D7FE7">
            <w:pPr>
              <w:spacing w:before="60" w:after="60"/>
              <w:rPr>
                <w:b/>
                <w:lang w:val="en-GB"/>
              </w:rPr>
            </w:pPr>
            <w:r>
              <w:rPr>
                <w:b/>
                <w:lang w:val="en-GB"/>
              </w:rPr>
              <w:t>FSS</w:t>
            </w:r>
          </w:p>
        </w:tc>
        <w:tc>
          <w:tcPr>
            <w:tcW w:w="7564" w:type="dxa"/>
          </w:tcPr>
          <w:p w14:paraId="6DE45943" w14:textId="7BD90D14" w:rsidR="002854F5" w:rsidRDefault="002854F5" w:rsidP="006D7FE7">
            <w:pPr>
              <w:spacing w:before="60" w:after="60"/>
              <w:rPr>
                <w:lang w:val="en-GB"/>
              </w:rPr>
            </w:pPr>
            <w:r>
              <w:rPr>
                <w:lang w:val="en-GB"/>
              </w:rPr>
              <w:t>Fixed</w:t>
            </w:r>
            <w:r w:rsidR="00A86071">
              <w:rPr>
                <w:lang w:val="en-GB"/>
              </w:rPr>
              <w:t>-</w:t>
            </w:r>
            <w:r>
              <w:rPr>
                <w:lang w:val="en-GB"/>
              </w:rPr>
              <w:t>Satellite Service</w:t>
            </w:r>
          </w:p>
        </w:tc>
      </w:tr>
      <w:tr w:rsidR="00AF02C8" w:rsidRPr="00143BED" w14:paraId="50E56980" w14:textId="77777777" w:rsidTr="00A61D95">
        <w:tc>
          <w:tcPr>
            <w:tcW w:w="2065" w:type="dxa"/>
          </w:tcPr>
          <w:p w14:paraId="237103DE" w14:textId="77777777" w:rsidR="00AF02C8" w:rsidRDefault="00AF02C8" w:rsidP="006D7FE7">
            <w:pPr>
              <w:spacing w:before="60" w:after="60"/>
              <w:rPr>
                <w:b/>
                <w:lang w:val="en-GB"/>
              </w:rPr>
            </w:pPr>
            <w:r>
              <w:rPr>
                <w:b/>
                <w:lang w:val="en-GB"/>
              </w:rPr>
              <w:t>GSM-R</w:t>
            </w:r>
          </w:p>
        </w:tc>
        <w:tc>
          <w:tcPr>
            <w:tcW w:w="7564" w:type="dxa"/>
          </w:tcPr>
          <w:p w14:paraId="41AE259A" w14:textId="77777777" w:rsidR="00AF02C8" w:rsidRDefault="00AF02C8" w:rsidP="006D7FE7">
            <w:pPr>
              <w:spacing w:before="60" w:after="60"/>
              <w:rPr>
                <w:lang w:val="en-GB"/>
              </w:rPr>
            </w:pPr>
            <w:r w:rsidRPr="00AF02C8">
              <w:rPr>
                <w:lang w:val="en-GB"/>
              </w:rPr>
              <w:t>Global System for Mobile Communications – Rail(way)</w:t>
            </w:r>
          </w:p>
        </w:tc>
      </w:tr>
      <w:tr w:rsidR="00757EE2" w:rsidRPr="00143BED" w14:paraId="0000EA87" w14:textId="77777777" w:rsidTr="00A61D95">
        <w:tc>
          <w:tcPr>
            <w:tcW w:w="2065" w:type="dxa"/>
          </w:tcPr>
          <w:p w14:paraId="0C0D2434" w14:textId="77777777" w:rsidR="00757EE2" w:rsidRDefault="00757EE2" w:rsidP="006D7FE7">
            <w:pPr>
              <w:spacing w:before="60" w:after="60"/>
              <w:rPr>
                <w:b/>
                <w:lang w:val="en-GB"/>
              </w:rPr>
            </w:pPr>
            <w:r>
              <w:rPr>
                <w:b/>
                <w:lang w:val="en-GB"/>
              </w:rPr>
              <w:t>HS</w:t>
            </w:r>
          </w:p>
        </w:tc>
        <w:tc>
          <w:tcPr>
            <w:tcW w:w="7564" w:type="dxa"/>
          </w:tcPr>
          <w:p w14:paraId="6F32840D" w14:textId="77777777" w:rsidR="00757EE2" w:rsidRPr="00AF02C8" w:rsidRDefault="00757EE2" w:rsidP="006D7FE7">
            <w:pPr>
              <w:spacing w:before="60" w:after="60"/>
              <w:rPr>
                <w:lang w:val="en-GB"/>
              </w:rPr>
            </w:pPr>
            <w:r>
              <w:rPr>
                <w:lang w:val="en-GB"/>
              </w:rPr>
              <w:t>Harmonised standard</w:t>
            </w:r>
          </w:p>
        </w:tc>
      </w:tr>
      <w:tr w:rsidR="00452739" w:rsidRPr="00143BED" w14:paraId="088767A5" w14:textId="77777777" w:rsidTr="00A61D95">
        <w:tc>
          <w:tcPr>
            <w:tcW w:w="2065" w:type="dxa"/>
          </w:tcPr>
          <w:p w14:paraId="3E31DDA3" w14:textId="77777777" w:rsidR="00452739" w:rsidRDefault="00452739" w:rsidP="006D7FE7">
            <w:pPr>
              <w:spacing w:before="60" w:after="60"/>
              <w:rPr>
                <w:b/>
                <w:lang w:val="en-GB"/>
              </w:rPr>
            </w:pPr>
            <w:r>
              <w:rPr>
                <w:b/>
                <w:lang w:val="en-GB"/>
              </w:rPr>
              <w:t>MetSat</w:t>
            </w:r>
          </w:p>
        </w:tc>
        <w:tc>
          <w:tcPr>
            <w:tcW w:w="7564" w:type="dxa"/>
          </w:tcPr>
          <w:p w14:paraId="1A109095" w14:textId="77777777" w:rsidR="00452739" w:rsidRPr="00AF02C8" w:rsidRDefault="00452739" w:rsidP="006D7FE7">
            <w:pPr>
              <w:spacing w:before="60" w:after="60"/>
              <w:rPr>
                <w:lang w:val="en-GB"/>
              </w:rPr>
            </w:pPr>
            <w:r>
              <w:t>M</w:t>
            </w:r>
            <w:r w:rsidRPr="00452739">
              <w:t>eteorological Satellites</w:t>
            </w:r>
          </w:p>
        </w:tc>
      </w:tr>
      <w:tr w:rsidR="00757EE2" w:rsidRPr="00143BED" w14:paraId="77CF1504" w14:textId="77777777" w:rsidTr="00A61D95">
        <w:tc>
          <w:tcPr>
            <w:tcW w:w="2065" w:type="dxa"/>
          </w:tcPr>
          <w:p w14:paraId="4D9FCB4E" w14:textId="77777777" w:rsidR="00757EE2" w:rsidRDefault="00757EE2" w:rsidP="006D7FE7">
            <w:pPr>
              <w:spacing w:before="60" w:after="60"/>
              <w:rPr>
                <w:b/>
                <w:lang w:val="en-GB"/>
              </w:rPr>
            </w:pPr>
            <w:r>
              <w:rPr>
                <w:b/>
                <w:lang w:val="en-GB"/>
              </w:rPr>
              <w:t>MS</w:t>
            </w:r>
          </w:p>
        </w:tc>
        <w:tc>
          <w:tcPr>
            <w:tcW w:w="7564" w:type="dxa"/>
          </w:tcPr>
          <w:p w14:paraId="0647492E" w14:textId="77777777" w:rsidR="00757EE2" w:rsidRDefault="00757EE2" w:rsidP="006D7FE7">
            <w:pPr>
              <w:spacing w:before="60" w:after="60"/>
            </w:pPr>
            <w:r>
              <w:t>Mobile Service</w:t>
            </w:r>
          </w:p>
        </w:tc>
      </w:tr>
      <w:tr w:rsidR="00452739" w:rsidRPr="00143BED" w14:paraId="631B074E" w14:textId="77777777" w:rsidTr="00A61D95">
        <w:tc>
          <w:tcPr>
            <w:tcW w:w="2065" w:type="dxa"/>
          </w:tcPr>
          <w:p w14:paraId="5E663A34" w14:textId="77777777" w:rsidR="00452739" w:rsidRDefault="00452739" w:rsidP="006D7FE7">
            <w:pPr>
              <w:spacing w:before="60" w:after="60"/>
              <w:rPr>
                <w:b/>
                <w:lang w:val="en-GB"/>
              </w:rPr>
            </w:pPr>
            <w:r>
              <w:rPr>
                <w:b/>
                <w:lang w:val="en-GB"/>
              </w:rPr>
              <w:t>MSS CGC</w:t>
            </w:r>
          </w:p>
        </w:tc>
        <w:tc>
          <w:tcPr>
            <w:tcW w:w="7564" w:type="dxa"/>
          </w:tcPr>
          <w:p w14:paraId="12D3D18F" w14:textId="50D7A164" w:rsidR="00452739" w:rsidRDefault="00452739" w:rsidP="006D7FE7">
            <w:pPr>
              <w:spacing w:before="60" w:after="60"/>
            </w:pPr>
            <w:r w:rsidRPr="00452739">
              <w:t>M</w:t>
            </w:r>
            <w:r>
              <w:t>obile</w:t>
            </w:r>
            <w:r w:rsidR="00A86071">
              <w:t>-</w:t>
            </w:r>
            <w:r w:rsidRPr="00452739">
              <w:t>S</w:t>
            </w:r>
            <w:r>
              <w:t xml:space="preserve">atellite </w:t>
            </w:r>
            <w:r w:rsidRPr="00452739">
              <w:t>S</w:t>
            </w:r>
            <w:r>
              <w:t xml:space="preserve">ystems </w:t>
            </w:r>
            <w:r w:rsidRPr="00452739">
              <w:t>with Complementary Ground Components</w:t>
            </w:r>
          </w:p>
        </w:tc>
      </w:tr>
      <w:tr w:rsidR="00864D0F" w:rsidRPr="00143BED" w14:paraId="2F7EE878" w14:textId="77777777" w:rsidTr="00A61D95">
        <w:tc>
          <w:tcPr>
            <w:tcW w:w="2065" w:type="dxa"/>
          </w:tcPr>
          <w:p w14:paraId="1EF4298F" w14:textId="77777777" w:rsidR="00864D0F" w:rsidRPr="00143BED" w:rsidRDefault="00B95E22" w:rsidP="006D7FE7">
            <w:pPr>
              <w:spacing w:before="60" w:after="60"/>
              <w:rPr>
                <w:b/>
                <w:lang w:val="en-GB"/>
              </w:rPr>
            </w:pPr>
            <w:r w:rsidRPr="00DD1532">
              <w:rPr>
                <w:b/>
                <w:lang w:val="en-GB"/>
              </w:rPr>
              <w:t>OOBE</w:t>
            </w:r>
          </w:p>
        </w:tc>
        <w:tc>
          <w:tcPr>
            <w:tcW w:w="7564" w:type="dxa"/>
          </w:tcPr>
          <w:p w14:paraId="17EB0DD8" w14:textId="77777777" w:rsidR="00864D0F" w:rsidRPr="00143BED" w:rsidRDefault="00B95E22" w:rsidP="006D7FE7">
            <w:pPr>
              <w:spacing w:before="60" w:after="60"/>
              <w:rPr>
                <w:lang w:val="en-GB"/>
              </w:rPr>
            </w:pPr>
            <w:r>
              <w:t>out-of-band emission</w:t>
            </w:r>
          </w:p>
        </w:tc>
      </w:tr>
      <w:tr w:rsidR="00452739" w:rsidRPr="00143BED" w14:paraId="031DB239" w14:textId="77777777" w:rsidTr="00A61D95">
        <w:tc>
          <w:tcPr>
            <w:tcW w:w="2065" w:type="dxa"/>
          </w:tcPr>
          <w:p w14:paraId="32A904A2" w14:textId="77777777" w:rsidR="00452739" w:rsidRPr="00452739" w:rsidRDefault="00452739" w:rsidP="006D7FE7">
            <w:pPr>
              <w:spacing w:before="60" w:after="60"/>
              <w:rPr>
                <w:b/>
                <w:lang w:val="en-GB"/>
              </w:rPr>
            </w:pPr>
            <w:r>
              <w:rPr>
                <w:b/>
                <w:lang w:val="en-GB"/>
              </w:rPr>
              <w:t>PMR/PAMR</w:t>
            </w:r>
          </w:p>
        </w:tc>
        <w:tc>
          <w:tcPr>
            <w:tcW w:w="7564" w:type="dxa"/>
          </w:tcPr>
          <w:p w14:paraId="192387CE" w14:textId="77777777" w:rsidR="00452739" w:rsidRDefault="00452739" w:rsidP="006D7FE7">
            <w:pPr>
              <w:spacing w:before="60" w:after="60"/>
            </w:pPr>
            <w:r w:rsidRPr="00452739">
              <w:t>Professional Mobile Radio</w:t>
            </w:r>
            <w:r>
              <w:t>/</w:t>
            </w:r>
            <w:r w:rsidR="00A038B5">
              <w:t>Public Access Mobile Radio</w:t>
            </w:r>
          </w:p>
        </w:tc>
      </w:tr>
      <w:tr w:rsidR="00864D0F" w:rsidRPr="00143BED" w14:paraId="09C34DBE" w14:textId="77777777" w:rsidTr="00A61D95">
        <w:tc>
          <w:tcPr>
            <w:tcW w:w="2065" w:type="dxa"/>
          </w:tcPr>
          <w:p w14:paraId="254AD3A8" w14:textId="77777777" w:rsidR="00864D0F" w:rsidRPr="00143BED" w:rsidRDefault="00AF02C8" w:rsidP="006D7FE7">
            <w:pPr>
              <w:spacing w:before="60" w:after="60"/>
              <w:rPr>
                <w:b/>
                <w:lang w:val="en-GB"/>
              </w:rPr>
            </w:pPr>
            <w:r>
              <w:rPr>
                <w:b/>
                <w:lang w:val="en-GB"/>
              </w:rPr>
              <w:t>PPDR</w:t>
            </w:r>
          </w:p>
        </w:tc>
        <w:tc>
          <w:tcPr>
            <w:tcW w:w="7564" w:type="dxa"/>
          </w:tcPr>
          <w:p w14:paraId="42A6882F" w14:textId="77777777" w:rsidR="00864D0F" w:rsidRPr="00143BED" w:rsidRDefault="00AF02C8" w:rsidP="006D7FE7">
            <w:pPr>
              <w:spacing w:before="60" w:after="60"/>
              <w:rPr>
                <w:lang w:val="en-GB"/>
              </w:rPr>
            </w:pPr>
            <w:r w:rsidRPr="00AF02C8">
              <w:rPr>
                <w:lang w:val="en-GB"/>
              </w:rPr>
              <w:t xml:space="preserve">Public Protection </w:t>
            </w:r>
            <w:r w:rsidR="008F3308" w:rsidRPr="00AF02C8">
              <w:rPr>
                <w:lang w:val="en-GB"/>
              </w:rPr>
              <w:t>Disaster</w:t>
            </w:r>
            <w:r w:rsidRPr="00AF02C8">
              <w:rPr>
                <w:lang w:val="en-GB"/>
              </w:rPr>
              <w:t xml:space="preserve"> Relief</w:t>
            </w:r>
          </w:p>
        </w:tc>
      </w:tr>
      <w:tr w:rsidR="00864D0F" w:rsidRPr="00143BED" w14:paraId="1C39FE67" w14:textId="77777777" w:rsidTr="00A61D95">
        <w:tc>
          <w:tcPr>
            <w:tcW w:w="2065" w:type="dxa"/>
          </w:tcPr>
          <w:p w14:paraId="248A1D42" w14:textId="77777777" w:rsidR="00864D0F" w:rsidRPr="00143BED" w:rsidRDefault="00B95E22" w:rsidP="006D7FE7">
            <w:pPr>
              <w:spacing w:before="60" w:after="60"/>
              <w:rPr>
                <w:b/>
                <w:lang w:val="en-GB"/>
              </w:rPr>
            </w:pPr>
            <w:r>
              <w:rPr>
                <w:b/>
                <w:lang w:val="en-GB"/>
              </w:rPr>
              <w:t>RAS</w:t>
            </w:r>
          </w:p>
        </w:tc>
        <w:tc>
          <w:tcPr>
            <w:tcW w:w="7564" w:type="dxa"/>
          </w:tcPr>
          <w:p w14:paraId="61913F65" w14:textId="77777777" w:rsidR="00864D0F" w:rsidRPr="00143BED" w:rsidRDefault="00B95E22" w:rsidP="006D7FE7">
            <w:pPr>
              <w:spacing w:before="60" w:after="60"/>
              <w:rPr>
                <w:lang w:val="en-GB"/>
              </w:rPr>
            </w:pPr>
            <w:r>
              <w:rPr>
                <w:lang w:val="en-GB"/>
              </w:rPr>
              <w:t>Radio astronomy Service</w:t>
            </w:r>
          </w:p>
        </w:tc>
      </w:tr>
      <w:tr w:rsidR="00AF02C8" w:rsidRPr="00143BED" w14:paraId="05D9ECE0" w14:textId="77777777" w:rsidTr="00A61D95">
        <w:tc>
          <w:tcPr>
            <w:tcW w:w="2065" w:type="dxa"/>
          </w:tcPr>
          <w:p w14:paraId="77E180CB" w14:textId="77777777" w:rsidR="00AF02C8" w:rsidRDefault="00AF02C8" w:rsidP="006D7FE7">
            <w:pPr>
              <w:spacing w:before="60" w:after="60"/>
              <w:rPr>
                <w:b/>
                <w:lang w:val="en-GB"/>
              </w:rPr>
            </w:pPr>
            <w:r>
              <w:rPr>
                <w:b/>
                <w:lang w:val="en-GB"/>
              </w:rPr>
              <w:t>RLS</w:t>
            </w:r>
          </w:p>
        </w:tc>
        <w:tc>
          <w:tcPr>
            <w:tcW w:w="7564" w:type="dxa"/>
          </w:tcPr>
          <w:p w14:paraId="2116E19C" w14:textId="77777777" w:rsidR="00AF02C8" w:rsidRDefault="00AF02C8" w:rsidP="006D7FE7">
            <w:pPr>
              <w:spacing w:before="60" w:after="60"/>
              <w:rPr>
                <w:lang w:val="en-GB"/>
              </w:rPr>
            </w:pPr>
            <w:r w:rsidRPr="00AF02C8">
              <w:rPr>
                <w:lang w:val="en-GB"/>
              </w:rPr>
              <w:t>Radiolocation service</w:t>
            </w:r>
          </w:p>
        </w:tc>
      </w:tr>
      <w:tr w:rsidR="00AF02C8" w:rsidRPr="00143BED" w14:paraId="0D71EC5F" w14:textId="77777777" w:rsidTr="00A61D95">
        <w:tc>
          <w:tcPr>
            <w:tcW w:w="2065" w:type="dxa"/>
          </w:tcPr>
          <w:p w14:paraId="146100A1" w14:textId="77777777" w:rsidR="00AF02C8" w:rsidRDefault="00AF02C8" w:rsidP="006D7FE7">
            <w:pPr>
              <w:spacing w:before="60" w:after="60"/>
              <w:rPr>
                <w:b/>
                <w:lang w:val="en-GB"/>
              </w:rPr>
            </w:pPr>
            <w:r>
              <w:rPr>
                <w:b/>
                <w:lang w:val="en-GB"/>
              </w:rPr>
              <w:t>RMR</w:t>
            </w:r>
          </w:p>
        </w:tc>
        <w:tc>
          <w:tcPr>
            <w:tcW w:w="7564" w:type="dxa"/>
          </w:tcPr>
          <w:p w14:paraId="6861DD41" w14:textId="77777777" w:rsidR="00AF02C8" w:rsidRPr="00AF02C8" w:rsidRDefault="00452739" w:rsidP="006D7FE7">
            <w:pPr>
              <w:spacing w:before="60" w:after="60"/>
              <w:rPr>
                <w:lang w:val="en-GB"/>
              </w:rPr>
            </w:pPr>
            <w:r w:rsidRPr="00452739">
              <w:rPr>
                <w:lang w:val="en-GB"/>
              </w:rPr>
              <w:t>Railway Mobile Radio</w:t>
            </w:r>
          </w:p>
        </w:tc>
      </w:tr>
      <w:tr w:rsidR="00452739" w:rsidRPr="00143BED" w14:paraId="0CC30E1C" w14:textId="77777777" w:rsidTr="00A61D95">
        <w:tc>
          <w:tcPr>
            <w:tcW w:w="2065" w:type="dxa"/>
          </w:tcPr>
          <w:p w14:paraId="66859F3F" w14:textId="77777777" w:rsidR="00452739" w:rsidRDefault="00452739" w:rsidP="006D7FE7">
            <w:pPr>
              <w:spacing w:before="60" w:after="60"/>
              <w:rPr>
                <w:b/>
                <w:lang w:val="en-GB"/>
              </w:rPr>
            </w:pPr>
            <w:r>
              <w:rPr>
                <w:b/>
                <w:lang w:val="en-GB"/>
              </w:rPr>
              <w:t>RR</w:t>
            </w:r>
          </w:p>
        </w:tc>
        <w:tc>
          <w:tcPr>
            <w:tcW w:w="7564" w:type="dxa"/>
          </w:tcPr>
          <w:p w14:paraId="2F3B3092" w14:textId="77777777" w:rsidR="00452739" w:rsidRPr="00452739" w:rsidRDefault="00452739" w:rsidP="006D7FE7">
            <w:pPr>
              <w:spacing w:before="60" w:after="60"/>
              <w:rPr>
                <w:lang w:val="en-GB"/>
              </w:rPr>
            </w:pPr>
            <w:r>
              <w:rPr>
                <w:lang w:val="en-GB"/>
              </w:rPr>
              <w:t>Radio Regulations</w:t>
            </w:r>
          </w:p>
        </w:tc>
      </w:tr>
      <w:tr w:rsidR="00AF02C8" w:rsidRPr="00143BED" w14:paraId="00778C23" w14:textId="77777777" w:rsidTr="00A61D95">
        <w:tc>
          <w:tcPr>
            <w:tcW w:w="2065" w:type="dxa"/>
          </w:tcPr>
          <w:p w14:paraId="3200FD13" w14:textId="77777777" w:rsidR="00AF02C8" w:rsidRDefault="00AF02C8" w:rsidP="006D7FE7">
            <w:pPr>
              <w:spacing w:before="60" w:after="60"/>
              <w:rPr>
                <w:b/>
                <w:lang w:val="en-GB"/>
              </w:rPr>
            </w:pPr>
            <w:r w:rsidRPr="00DD1532">
              <w:rPr>
                <w:b/>
                <w:lang w:val="en-GB"/>
              </w:rPr>
              <w:lastRenderedPageBreak/>
              <w:t>RSBN</w:t>
            </w:r>
          </w:p>
        </w:tc>
        <w:tc>
          <w:tcPr>
            <w:tcW w:w="7564" w:type="dxa"/>
          </w:tcPr>
          <w:p w14:paraId="6AF97E84" w14:textId="77777777" w:rsidR="00AF02C8" w:rsidRDefault="00AF02C8" w:rsidP="006D7FE7">
            <w:pPr>
              <w:spacing w:before="60" w:after="60"/>
              <w:rPr>
                <w:lang w:val="en-GB"/>
              </w:rPr>
            </w:pPr>
            <w:r w:rsidRPr="00AF02C8">
              <w:rPr>
                <w:lang w:val="en-GB"/>
              </w:rPr>
              <w:t>Radio systems for short-range navigation</w:t>
            </w:r>
          </w:p>
        </w:tc>
      </w:tr>
      <w:tr w:rsidR="00B03B6C" w:rsidRPr="00143BED" w14:paraId="717DD867" w14:textId="77777777" w:rsidTr="00A61D95">
        <w:tc>
          <w:tcPr>
            <w:tcW w:w="2065" w:type="dxa"/>
          </w:tcPr>
          <w:p w14:paraId="0547C9B3" w14:textId="77777777" w:rsidR="00B03B6C" w:rsidRPr="00B03B6C" w:rsidRDefault="00B03B6C" w:rsidP="006D7FE7">
            <w:pPr>
              <w:spacing w:before="60" w:after="60"/>
              <w:rPr>
                <w:b/>
                <w:lang w:val="en-GB"/>
              </w:rPr>
            </w:pPr>
            <w:r w:rsidRPr="00454912">
              <w:rPr>
                <w:b/>
              </w:rPr>
              <w:t>TDD</w:t>
            </w:r>
          </w:p>
        </w:tc>
        <w:tc>
          <w:tcPr>
            <w:tcW w:w="7564" w:type="dxa"/>
          </w:tcPr>
          <w:p w14:paraId="2E11873C" w14:textId="77777777" w:rsidR="00B03B6C" w:rsidRPr="00AF02C8" w:rsidRDefault="00B03B6C" w:rsidP="006D7FE7">
            <w:pPr>
              <w:spacing w:before="60" w:after="60"/>
              <w:rPr>
                <w:lang w:val="en-GB"/>
              </w:rPr>
            </w:pPr>
            <w:r w:rsidRPr="004620B9">
              <w:t>Time Division Duplex</w:t>
            </w:r>
          </w:p>
        </w:tc>
      </w:tr>
      <w:tr w:rsidR="00124636" w:rsidRPr="00143BED" w14:paraId="57F9B42C" w14:textId="77777777" w:rsidTr="00A61D95">
        <w:tc>
          <w:tcPr>
            <w:tcW w:w="2065" w:type="dxa"/>
          </w:tcPr>
          <w:p w14:paraId="03E3CC8A" w14:textId="77777777" w:rsidR="00124636" w:rsidRPr="00143BED" w:rsidRDefault="00124636" w:rsidP="006D7FE7">
            <w:pPr>
              <w:spacing w:before="60" w:after="60"/>
              <w:rPr>
                <w:b/>
                <w:lang w:val="en-GB"/>
              </w:rPr>
            </w:pPr>
            <w:r>
              <w:rPr>
                <w:b/>
                <w:lang w:val="en-GB"/>
              </w:rPr>
              <w:t>UAS</w:t>
            </w:r>
          </w:p>
        </w:tc>
        <w:tc>
          <w:tcPr>
            <w:tcW w:w="7564" w:type="dxa"/>
          </w:tcPr>
          <w:p w14:paraId="552A6F39" w14:textId="77777777" w:rsidR="00124636" w:rsidRPr="00143BED" w:rsidRDefault="00124636" w:rsidP="006D7FE7">
            <w:pPr>
              <w:spacing w:before="60" w:after="60"/>
              <w:rPr>
                <w:lang w:val="en-GB"/>
              </w:rPr>
            </w:pPr>
            <w:r w:rsidRPr="00CF6CD7">
              <w:t>Unmanned Aircraft Systems</w:t>
            </w:r>
          </w:p>
        </w:tc>
      </w:tr>
      <w:tr w:rsidR="00124636" w:rsidRPr="00143BED" w14:paraId="696D1835" w14:textId="77777777" w:rsidTr="00A61D95">
        <w:tc>
          <w:tcPr>
            <w:tcW w:w="2065" w:type="dxa"/>
          </w:tcPr>
          <w:p w14:paraId="2181ED5A" w14:textId="77777777" w:rsidR="00124636" w:rsidRPr="00143BED" w:rsidRDefault="00124636" w:rsidP="006D7FE7">
            <w:pPr>
              <w:spacing w:before="60" w:after="60"/>
              <w:rPr>
                <w:b/>
                <w:lang w:val="en-GB"/>
              </w:rPr>
            </w:pPr>
            <w:r>
              <w:rPr>
                <w:b/>
                <w:lang w:val="en-GB"/>
              </w:rPr>
              <w:t>UE</w:t>
            </w:r>
          </w:p>
        </w:tc>
        <w:tc>
          <w:tcPr>
            <w:tcW w:w="7564" w:type="dxa"/>
          </w:tcPr>
          <w:p w14:paraId="107B68B8" w14:textId="77777777" w:rsidR="00124636" w:rsidRPr="00143BED" w:rsidRDefault="00124636" w:rsidP="006D7FE7">
            <w:pPr>
              <w:spacing w:before="60" w:after="60"/>
              <w:rPr>
                <w:lang w:val="en-GB"/>
              </w:rPr>
            </w:pPr>
            <w:r w:rsidRPr="00CF6CD7">
              <w:t>User Equipment</w:t>
            </w:r>
          </w:p>
        </w:tc>
      </w:tr>
      <w:tr w:rsidR="00757EE2" w:rsidRPr="00143BED" w14:paraId="716DEDF7" w14:textId="77777777" w:rsidTr="00A61D95">
        <w:tc>
          <w:tcPr>
            <w:tcW w:w="2065" w:type="dxa"/>
          </w:tcPr>
          <w:p w14:paraId="1946A064" w14:textId="77777777" w:rsidR="00757EE2" w:rsidRDefault="00757EE2" w:rsidP="006D7FE7">
            <w:pPr>
              <w:spacing w:before="60" w:after="60"/>
              <w:rPr>
                <w:b/>
                <w:lang w:val="en-GB"/>
              </w:rPr>
            </w:pPr>
            <w:r>
              <w:rPr>
                <w:b/>
                <w:lang w:val="en-GB"/>
              </w:rPr>
              <w:t>UL</w:t>
            </w:r>
          </w:p>
        </w:tc>
        <w:tc>
          <w:tcPr>
            <w:tcW w:w="7564" w:type="dxa"/>
          </w:tcPr>
          <w:p w14:paraId="4583EED3" w14:textId="77777777" w:rsidR="00757EE2" w:rsidRPr="00CF6CD7" w:rsidRDefault="00757EE2" w:rsidP="006D7FE7">
            <w:pPr>
              <w:spacing w:before="60" w:after="60"/>
            </w:pPr>
            <w:r>
              <w:t>Uplink</w:t>
            </w:r>
          </w:p>
        </w:tc>
      </w:tr>
      <w:tr w:rsidR="00124636" w:rsidRPr="00143BED" w14:paraId="526C0283" w14:textId="77777777" w:rsidTr="00A61D95">
        <w:tc>
          <w:tcPr>
            <w:tcW w:w="2065" w:type="dxa"/>
          </w:tcPr>
          <w:p w14:paraId="214F0A5A" w14:textId="77777777" w:rsidR="00124636" w:rsidRPr="00143BED" w:rsidRDefault="00B95E22" w:rsidP="006D7FE7">
            <w:pPr>
              <w:spacing w:before="60" w:after="60"/>
              <w:rPr>
                <w:b/>
                <w:lang w:val="en-GB"/>
              </w:rPr>
            </w:pPr>
            <w:r>
              <w:rPr>
                <w:b/>
                <w:lang w:val="en-GB"/>
              </w:rPr>
              <w:t>WBB</w:t>
            </w:r>
          </w:p>
        </w:tc>
        <w:tc>
          <w:tcPr>
            <w:tcW w:w="7564" w:type="dxa"/>
          </w:tcPr>
          <w:p w14:paraId="704CEEA4" w14:textId="77777777" w:rsidR="00124636" w:rsidRPr="00143BED" w:rsidRDefault="00B95E22" w:rsidP="006D7FE7">
            <w:pPr>
              <w:spacing w:before="60" w:after="60"/>
              <w:rPr>
                <w:lang w:val="en-GB"/>
              </w:rPr>
            </w:pPr>
            <w:r>
              <w:rPr>
                <w:lang w:val="en-GB"/>
              </w:rPr>
              <w:t>Wireless Broadband</w:t>
            </w:r>
          </w:p>
        </w:tc>
      </w:tr>
    </w:tbl>
    <w:p w14:paraId="14A93C07" w14:textId="77777777" w:rsidR="00AB46DF" w:rsidRPr="00143BED" w:rsidRDefault="00AB46DF" w:rsidP="00AB46DF">
      <w:pPr>
        <w:rPr>
          <w:lang w:val="en-GB"/>
        </w:rPr>
      </w:pPr>
    </w:p>
    <w:p w14:paraId="3B708341" w14:textId="77777777" w:rsidR="00AB46DF" w:rsidRPr="00737D5F" w:rsidRDefault="001F39DE" w:rsidP="001F39DE">
      <w:pPr>
        <w:pStyle w:val="Heading1"/>
      </w:pPr>
      <w:bookmarkStart w:id="6" w:name="_Toc192499486"/>
      <w:r w:rsidRPr="00FE5EB3">
        <w:lastRenderedPageBreak/>
        <w:t>Introduction</w:t>
      </w:r>
      <w:bookmarkEnd w:id="6"/>
    </w:p>
    <w:p w14:paraId="66681C9E" w14:textId="1A91D4C8" w:rsidR="004927A6" w:rsidRDefault="002B07E2" w:rsidP="009212AC">
      <w:pPr>
        <w:pStyle w:val="ECCParagraph"/>
      </w:pPr>
      <w:r>
        <w:t xml:space="preserve">This </w:t>
      </w:r>
      <w:r w:rsidR="00DD155F">
        <w:t xml:space="preserve">Report </w:t>
      </w:r>
      <w:r>
        <w:t xml:space="preserve">addresses Task 1 and Task 2 of the </w:t>
      </w:r>
      <w:r w:rsidR="004927A6">
        <w:t>EC Mandate to CEPT to</w:t>
      </w:r>
      <w:r w:rsidR="004927A6" w:rsidRPr="004927A6">
        <w:t xml:space="preserve"> develop harmonised technical and operational conditions for the usage of non-Active Antenna Systems (aerial terminal stations (</w:t>
      </w:r>
      <w:r w:rsidR="001F39DE">
        <w:t xml:space="preserve">non-AAS </w:t>
      </w:r>
      <w:r w:rsidR="004927A6" w:rsidRPr="004927A6">
        <w:t>ATS) in EU-harmonised frequency bands for terrestrial systems capable of providing electronic communications services</w:t>
      </w:r>
      <w:r w:rsidR="00CE130B">
        <w:t xml:space="preserve"> (see</w:t>
      </w:r>
      <w:r w:rsidR="00DD155F">
        <w:t xml:space="preserve"> </w:t>
      </w:r>
      <w:r w:rsidR="00DD155F">
        <w:fldChar w:fldCharType="begin"/>
      </w:r>
      <w:r w:rsidR="00DD155F">
        <w:instrText xml:space="preserve"> REF _Ref176869130 \r \h </w:instrText>
      </w:r>
      <w:r w:rsidR="00DD155F">
        <w:fldChar w:fldCharType="separate"/>
      </w:r>
      <w:r w:rsidR="00DD155F">
        <w:t>A</w:t>
      </w:r>
      <w:r w:rsidR="006D7FE7">
        <w:t>nnex</w:t>
      </w:r>
      <w:r w:rsidR="00A038B5">
        <w:t xml:space="preserve"> 1</w:t>
      </w:r>
      <w:r w:rsidR="00DD155F">
        <w:fldChar w:fldCharType="end"/>
      </w:r>
      <w:r w:rsidR="00CE130B">
        <w:t>)</w:t>
      </w:r>
      <w:r w:rsidR="004927A6">
        <w:t>:</w:t>
      </w:r>
    </w:p>
    <w:p w14:paraId="431EC898" w14:textId="6EDC143C" w:rsidR="004927A6" w:rsidRDefault="004927A6" w:rsidP="00EE24B4">
      <w:pPr>
        <w:pStyle w:val="ECCNumberedBullets"/>
        <w:spacing w:before="60" w:after="60"/>
      </w:pPr>
      <w:r>
        <w:t xml:space="preserve">“Assess the feasibility and the relevant conditions of radio communications between </w:t>
      </w:r>
      <w:r w:rsidRPr="00715F78">
        <w:t>non-AAS ATS</w:t>
      </w:r>
      <w:r w:rsidRPr="004364B8">
        <w:rPr>
          <w:b/>
        </w:rPr>
        <w:t xml:space="preserve"> </w:t>
      </w:r>
      <w:r>
        <w:t xml:space="preserve">based on 4G/LTE and 5G NR technology and wireless terrestrial systems capable of providing electronic communications services using the EU-harmonised frequency bands: </w:t>
      </w:r>
    </w:p>
    <w:p w14:paraId="0F0237FA" w14:textId="6554633F" w:rsidR="004927A6" w:rsidRDefault="004927A6" w:rsidP="00B95E7B">
      <w:pPr>
        <w:pStyle w:val="ECCBulletsLv2"/>
      </w:pPr>
      <w:r>
        <w:tab/>
        <w:t xml:space="preserve">703-733 MHz/758-788 MHz (‘700 MHz’), 791–821 MHz/832-862 MHz (‘800 MHz'), </w:t>
      </w:r>
      <w:r w:rsidR="00DF62FC">
        <w:tab/>
      </w:r>
      <w:r w:rsidR="00DF62FC">
        <w:tab/>
      </w:r>
      <w:r>
        <w:t>880-915</w:t>
      </w:r>
      <w:r w:rsidR="001C6B6B">
        <w:t> </w:t>
      </w:r>
      <w:r>
        <w:t xml:space="preserve">MHz/925-960 MHz (‘900 MHz’), 1710-1785 MHz/1805-1880 MHz (‘1800 MHz’), </w:t>
      </w:r>
      <w:r w:rsidR="00B95E7B">
        <w:tab/>
      </w:r>
      <w:r>
        <w:t>1920-1980</w:t>
      </w:r>
      <w:r w:rsidR="001C6B6B">
        <w:t> </w:t>
      </w:r>
      <w:r>
        <w:t>MHz/2110-2170 MHz (‘paired terrestrial 2 GHz’), 2500-2570 MHz/2620-2690 MHz (‘paired 2.6 GHz’) and 2570-2620 MHz (unpaired 2.6 GHz), with non-AAS terrestrial base stations.</w:t>
      </w:r>
    </w:p>
    <w:p w14:paraId="632A339B" w14:textId="48E7DDAF" w:rsidR="004927A6" w:rsidRDefault="004927A6" w:rsidP="00B95E7B">
      <w:pPr>
        <w:pStyle w:val="ECCBulletsLv2"/>
      </w:pPr>
      <w:r>
        <w:tab/>
        <w:t>1710-1785 MHz/1805-1880 MHz (‘1 800 MHz’), 1920-1980 MHz/2110-2170 MHz (‘paired terrestrial 2 GHz’), 2500-2570 MHz/2620-2690 MHz (‘paired 2.6 GHz’), 2570-2620 MHz (unpaired 2.6 GHz) with AAS terrestrial base stations.</w:t>
      </w:r>
      <w:r w:rsidR="001F39DE">
        <w:t>“</w:t>
      </w:r>
    </w:p>
    <w:p w14:paraId="650AAD94" w14:textId="023064BC" w:rsidR="004927A6" w:rsidRDefault="004927A6" w:rsidP="00EE24B4">
      <w:pPr>
        <w:pStyle w:val="ECCNumberedBullets"/>
        <w:spacing w:before="60" w:after="60"/>
      </w:pPr>
      <w:r>
        <w:t>To “d</w:t>
      </w:r>
      <w:r w:rsidRPr="00FC39F0">
        <w:t xml:space="preserve">evelop </w:t>
      </w:r>
      <w:r>
        <w:t xml:space="preserve">least restrictive </w:t>
      </w:r>
      <w:r w:rsidRPr="00FC39F0">
        <w:t xml:space="preserve">harmonised technical </w:t>
      </w:r>
      <w:r>
        <w:t xml:space="preserve">and operational </w:t>
      </w:r>
      <w:r w:rsidRPr="00FC39F0">
        <w:t xml:space="preserve">conditions </w:t>
      </w:r>
      <w:r>
        <w:t xml:space="preserve">for the </w:t>
      </w:r>
      <w:r w:rsidRPr="009B013C">
        <w:t xml:space="preserve">radio communications between </w:t>
      </w:r>
      <w:r>
        <w:t>non-AAS ATS</w:t>
      </w:r>
      <w:r w:rsidRPr="009B013C">
        <w:t xml:space="preserve"> based on </w:t>
      </w:r>
      <w:r>
        <w:t>4G/</w:t>
      </w:r>
      <w:r w:rsidRPr="009B013C">
        <w:t>LTE and 5G NR technology and wireless terrestrial systems</w:t>
      </w:r>
      <w:r>
        <w:t xml:space="preserve"> capable of providing electronic communications services using the related EU-harmonised bands.”</w:t>
      </w:r>
    </w:p>
    <w:p w14:paraId="65B1F2A9" w14:textId="77777777" w:rsidR="00790F4A" w:rsidRPr="0022144D" w:rsidRDefault="00790F4A" w:rsidP="00EE24B4">
      <w:pPr>
        <w:pStyle w:val="ECCParagraph"/>
        <w:spacing w:before="60"/>
        <w:rPr>
          <w:lang w:val="en-US"/>
        </w:rPr>
      </w:pPr>
    </w:p>
    <w:p w14:paraId="76B72CCF" w14:textId="7EFC6AD8" w:rsidR="00AB46DF" w:rsidRDefault="00FE2BE2" w:rsidP="004929E1">
      <w:pPr>
        <w:pStyle w:val="Heading1"/>
      </w:pPr>
      <w:bookmarkStart w:id="7" w:name="_Ref177095354"/>
      <w:bookmarkStart w:id="8" w:name="_Toc192499487"/>
      <w:r>
        <w:lastRenderedPageBreak/>
        <w:t>T</w:t>
      </w:r>
      <w:r w:rsidR="006422E1">
        <w:t>echnical</w:t>
      </w:r>
      <w:r>
        <w:t xml:space="preserve"> </w:t>
      </w:r>
      <w:r w:rsidR="003645F4">
        <w:t xml:space="preserve">Feasibility </w:t>
      </w:r>
      <w:r>
        <w:t>A</w:t>
      </w:r>
      <w:r w:rsidR="006422E1">
        <w:t>ssessment</w:t>
      </w:r>
      <w:r>
        <w:t xml:space="preserve"> </w:t>
      </w:r>
      <w:r w:rsidR="004A0AAB">
        <w:t xml:space="preserve">/ </w:t>
      </w:r>
      <w:r w:rsidR="00DD155F">
        <w:t xml:space="preserve">Analysis </w:t>
      </w:r>
      <w:r w:rsidR="004A0AAB">
        <w:t>of su</w:t>
      </w:r>
      <w:r w:rsidR="0087002F">
        <w:t>i</w:t>
      </w:r>
      <w:r w:rsidR="004A0AAB">
        <w:t>tability of existing framework</w:t>
      </w:r>
      <w:bookmarkEnd w:id="7"/>
      <w:bookmarkEnd w:id="8"/>
    </w:p>
    <w:p w14:paraId="6C3F0538" w14:textId="53EC6FA9" w:rsidR="00512957" w:rsidRDefault="00512957" w:rsidP="00512957">
      <w:pPr>
        <w:pStyle w:val="ECCParagraph"/>
      </w:pPr>
      <w:r>
        <w:t xml:space="preserve">The technical assessment carried out </w:t>
      </w:r>
      <w:r w:rsidR="00DD155F">
        <w:t>in</w:t>
      </w:r>
      <w:r w:rsidRPr="00FB35C2">
        <w:t xml:space="preserve"> CEPT </w:t>
      </w:r>
      <w:r>
        <w:t xml:space="preserve">was made through </w:t>
      </w:r>
      <w:r w:rsidRPr="00FB35C2">
        <w:t>ECC Report 309</w:t>
      </w:r>
      <w:r>
        <w:t xml:space="preserve"> </w:t>
      </w:r>
      <w:r w:rsidR="006F670F" w:rsidRPr="000C52B6">
        <w:fldChar w:fldCharType="begin"/>
      </w:r>
      <w:r w:rsidR="006F670F" w:rsidRPr="000C52B6">
        <w:instrText xml:space="preserve"> REF _Ref103695135 \r \h </w:instrText>
      </w:r>
      <w:r w:rsidR="006F670F">
        <w:instrText xml:space="preserve"> \* MERGEFORMAT </w:instrText>
      </w:r>
      <w:r w:rsidR="006F670F" w:rsidRPr="000C52B6">
        <w:fldChar w:fldCharType="separate"/>
      </w:r>
      <w:r w:rsidR="00A038B5">
        <w:t>[1]</w:t>
      </w:r>
      <w:r w:rsidR="006F670F" w:rsidRPr="000C52B6">
        <w:fldChar w:fldCharType="end"/>
      </w:r>
      <w:r w:rsidRPr="00FB35C2">
        <w:t xml:space="preserve"> and </w:t>
      </w:r>
      <w:r w:rsidR="00AB00AF" w:rsidRPr="00FB35C2">
        <w:t xml:space="preserve">ECC Report </w:t>
      </w:r>
      <w:r w:rsidRPr="00FB35C2">
        <w:t>348</w:t>
      </w:r>
      <w:r>
        <w:t xml:space="preserve"> </w:t>
      </w:r>
      <w:r w:rsidR="006E4706" w:rsidRPr="000C52B6">
        <w:fldChar w:fldCharType="begin"/>
      </w:r>
      <w:r w:rsidR="006E4706" w:rsidRPr="000C52B6">
        <w:instrText xml:space="preserve"> REF _Ref176865865 \r \h </w:instrText>
      </w:r>
      <w:r w:rsidR="006E4706">
        <w:instrText xml:space="preserve"> \* MERGEFORMAT </w:instrText>
      </w:r>
      <w:r w:rsidR="006E4706" w:rsidRPr="000C52B6">
        <w:fldChar w:fldCharType="separate"/>
      </w:r>
      <w:r w:rsidR="00A038B5">
        <w:t>[2]</w:t>
      </w:r>
      <w:r w:rsidR="006E4706" w:rsidRPr="000C52B6">
        <w:fldChar w:fldCharType="end"/>
      </w:r>
      <w:r>
        <w:t xml:space="preserve">. The results of this assessment are shown in </w:t>
      </w:r>
      <w:r w:rsidR="0031032E">
        <w:t xml:space="preserve">the following </w:t>
      </w:r>
      <w:r>
        <w:t>sections of this Report.</w:t>
      </w:r>
    </w:p>
    <w:p w14:paraId="48B837A5" w14:textId="67074628" w:rsidR="00512957" w:rsidRDefault="00512957" w:rsidP="00512957">
      <w:pPr>
        <w:pStyle w:val="ECCParagraph"/>
      </w:pPr>
      <w:r>
        <w:t>ECC Report 309 ad</w:t>
      </w:r>
      <w:r w:rsidR="0031032E">
        <w:t>d</w:t>
      </w:r>
      <w:r>
        <w:t xml:space="preserve">resses the coexistences of aerial terminal stations </w:t>
      </w:r>
      <w:r w:rsidR="00F473AC">
        <w:t xml:space="preserve">(ATS) </w:t>
      </w:r>
      <w:r>
        <w:t xml:space="preserve">operated through </w:t>
      </w:r>
      <w:r w:rsidR="001F39DE">
        <w:t>Wireless Broadband</w:t>
      </w:r>
      <w:r w:rsidR="001F39DE">
        <w:rPr>
          <w:shd w:val="clear" w:color="auto" w:fill="FFFFFF"/>
        </w:rPr>
        <w:t xml:space="preserve"> Electronic Communications Services (</w:t>
      </w:r>
      <w:r w:rsidR="00B95E22">
        <w:t>WBB ECS</w:t>
      </w:r>
      <w:r w:rsidR="001F39DE">
        <w:t>)</w:t>
      </w:r>
      <w:r w:rsidR="00B95E22">
        <w:t xml:space="preserve"> </w:t>
      </w:r>
      <w:r>
        <w:t>with other services in-band and in adjacent bands with the assumption of</w:t>
      </w:r>
      <w:r w:rsidR="00B536AD">
        <w:t xml:space="preserve"> </w:t>
      </w:r>
      <w:r w:rsidR="006755F2" w:rsidRPr="004927A6">
        <w:t xml:space="preserve">non-Active Antenna Systems </w:t>
      </w:r>
      <w:r w:rsidR="00F473AC">
        <w:t>(</w:t>
      </w:r>
      <w:r>
        <w:t>no</w:t>
      </w:r>
      <w:r w:rsidR="00AF02C8">
        <w:t>n</w:t>
      </w:r>
      <w:r w:rsidR="0031032E">
        <w:t>-</w:t>
      </w:r>
      <w:r>
        <w:t>AAS</w:t>
      </w:r>
      <w:r w:rsidR="00F473AC">
        <w:t>)</w:t>
      </w:r>
      <w:r>
        <w:t xml:space="preserve"> </w:t>
      </w:r>
      <w:r w:rsidR="00DD155F">
        <w:t>Base Stations (</w:t>
      </w:r>
      <w:r>
        <w:t>BS</w:t>
      </w:r>
      <w:r w:rsidR="00DD155F">
        <w:t>)</w:t>
      </w:r>
      <w:r>
        <w:t>.</w:t>
      </w:r>
    </w:p>
    <w:p w14:paraId="5E3B89FC" w14:textId="1D1B501D" w:rsidR="00512957" w:rsidRDefault="00512957" w:rsidP="00512957">
      <w:pPr>
        <w:pStyle w:val="ECCParagraph"/>
      </w:pPr>
      <w:r>
        <w:t xml:space="preserve">ECC Report 348 provides additional results in order to consider </w:t>
      </w:r>
      <w:r w:rsidR="001F39DE">
        <w:t xml:space="preserve">the usage of AAS BS </w:t>
      </w:r>
      <w:r>
        <w:t>in the coexistence scenario. The usage of AAS BS is only identified for frequency bands above 1 GHz</w:t>
      </w:r>
      <w:r w:rsidR="00871FB8">
        <w:t>.</w:t>
      </w:r>
    </w:p>
    <w:p w14:paraId="2D29689B" w14:textId="2C5A1434" w:rsidR="00F250FD" w:rsidRDefault="00F250FD" w:rsidP="00512957">
      <w:pPr>
        <w:pStyle w:val="ECCParagraph"/>
      </w:pPr>
      <w:r>
        <w:t>These s</w:t>
      </w:r>
      <w:r w:rsidRPr="00F250FD">
        <w:t xml:space="preserve">tudies </w:t>
      </w:r>
      <w:r w:rsidR="00774D3D">
        <w:t>on the suitability of existing framework for ATS</w:t>
      </w:r>
      <w:r w:rsidR="00774D3D" w:rsidRPr="00F250FD">
        <w:t xml:space="preserve"> </w:t>
      </w:r>
      <w:r w:rsidRPr="00F250FD">
        <w:t xml:space="preserve">have been performed based on standardised LTE and 5G NR UE operating up to 10000 m altitude with the assumption of usage of already existing </w:t>
      </w:r>
      <w:r>
        <w:t>WBB ECS</w:t>
      </w:r>
      <w:r w:rsidRPr="00F250FD">
        <w:t xml:space="preserve"> BS, which are typically deployed to provide effective coverage at ground level. </w:t>
      </w:r>
    </w:p>
    <w:p w14:paraId="289ED6E8" w14:textId="77777777" w:rsidR="009E2507" w:rsidRDefault="003D5699" w:rsidP="009E2507">
      <w:pPr>
        <w:pStyle w:val="Heading2"/>
        <w:rPr>
          <w:lang w:val="en-GB"/>
        </w:rPr>
      </w:pPr>
      <w:bookmarkStart w:id="9" w:name="_Toc192499488"/>
      <w:r>
        <w:rPr>
          <w:lang w:val="en-GB"/>
        </w:rPr>
        <w:t>O</w:t>
      </w:r>
      <w:r w:rsidR="0028382C">
        <w:rPr>
          <w:lang w:val="en-GB"/>
        </w:rPr>
        <w:t>utcomes of Technical Assessment</w:t>
      </w:r>
      <w:bookmarkEnd w:id="9"/>
    </w:p>
    <w:p w14:paraId="70A73887" w14:textId="77777777" w:rsidR="00D579EF" w:rsidRDefault="00D579EF" w:rsidP="001D65BC">
      <w:pPr>
        <w:pStyle w:val="Heading3"/>
      </w:pPr>
      <w:bookmarkStart w:id="10" w:name="_Toc192499489"/>
      <w:r>
        <w:t>700 MHz frequency band</w:t>
      </w:r>
      <w:bookmarkEnd w:id="10"/>
    </w:p>
    <w:p w14:paraId="5A30805D" w14:textId="26A75B62" w:rsidR="00210444" w:rsidRPr="003D3A35" w:rsidRDefault="00D95866" w:rsidP="00210444">
      <w:pPr>
        <w:autoSpaceDE w:val="0"/>
        <w:autoSpaceDN w:val="0"/>
        <w:adjustRightInd w:val="0"/>
        <w:rPr>
          <w:rFonts w:cs="Arial"/>
          <w:color w:val="000000"/>
          <w:szCs w:val="20"/>
          <w:lang w:val="en-GB"/>
        </w:rPr>
      </w:pPr>
      <w:r w:rsidRPr="003D3A35">
        <w:rPr>
          <w:rFonts w:cs="Arial"/>
          <w:color w:val="000000"/>
          <w:szCs w:val="20"/>
          <w:lang w:val="en-GB"/>
        </w:rPr>
        <w:t>In the case of ATS</w:t>
      </w:r>
      <w:r w:rsidR="00210444" w:rsidRPr="003D3A35">
        <w:rPr>
          <w:rFonts w:cs="Arial"/>
          <w:color w:val="000000"/>
          <w:szCs w:val="20"/>
          <w:lang w:val="en-GB"/>
        </w:rPr>
        <w:t xml:space="preserve"> operating in 703-733 MHz</w:t>
      </w:r>
      <w:r w:rsidRPr="003D3A35">
        <w:rPr>
          <w:rFonts w:cs="Arial"/>
          <w:color w:val="000000"/>
          <w:szCs w:val="20"/>
          <w:lang w:val="en-GB"/>
        </w:rPr>
        <w:t xml:space="preserve">, different coexistence scenarios </w:t>
      </w:r>
      <w:r w:rsidR="00957027" w:rsidRPr="003D3A35">
        <w:rPr>
          <w:rFonts w:cs="Arial"/>
          <w:color w:val="000000"/>
          <w:szCs w:val="20"/>
          <w:lang w:val="en-GB"/>
        </w:rPr>
        <w:t>have</w:t>
      </w:r>
      <w:r w:rsidRPr="003D3A35">
        <w:rPr>
          <w:rFonts w:cs="Arial"/>
          <w:color w:val="000000"/>
          <w:szCs w:val="20"/>
          <w:lang w:val="en-GB"/>
        </w:rPr>
        <w:t xml:space="preserve"> been analysed </w:t>
      </w:r>
      <w:r w:rsidR="00210444" w:rsidRPr="003D3A35">
        <w:rPr>
          <w:rFonts w:cs="Arial"/>
          <w:color w:val="000000"/>
          <w:szCs w:val="20"/>
          <w:lang w:val="en-GB"/>
        </w:rPr>
        <w:t>fac</w:t>
      </w:r>
      <w:r w:rsidR="00260606" w:rsidRPr="003D3A35">
        <w:rPr>
          <w:rFonts w:cs="Arial"/>
          <w:color w:val="000000"/>
          <w:szCs w:val="20"/>
          <w:lang w:val="en-GB"/>
        </w:rPr>
        <w:t>ing</w:t>
      </w:r>
      <w:r w:rsidR="00210444" w:rsidRPr="003D3A35">
        <w:rPr>
          <w:rFonts w:cs="Arial"/>
          <w:color w:val="000000"/>
          <w:szCs w:val="20"/>
          <w:lang w:val="en-GB"/>
        </w:rPr>
        <w:t xml:space="preserve"> the following </w:t>
      </w:r>
      <w:r w:rsidR="00AD1A66">
        <w:rPr>
          <w:rFonts w:cs="Arial"/>
          <w:color w:val="000000"/>
          <w:szCs w:val="20"/>
          <w:lang w:val="en-GB"/>
        </w:rPr>
        <w:t>uses</w:t>
      </w:r>
      <w:r w:rsidR="00210444" w:rsidRPr="003D3A35">
        <w:rPr>
          <w:rFonts w:cs="Arial"/>
          <w:color w:val="000000"/>
          <w:szCs w:val="20"/>
          <w:lang w:val="en-GB"/>
        </w:rPr>
        <w:t>:</w:t>
      </w:r>
    </w:p>
    <w:p w14:paraId="11B94A3A" w14:textId="77777777" w:rsidR="00210444" w:rsidRPr="003D3A35" w:rsidRDefault="00B95E22" w:rsidP="008644B3">
      <w:pPr>
        <w:pStyle w:val="ECCBulletsLv1"/>
        <w:spacing w:after="60"/>
      </w:pPr>
      <w:r w:rsidRPr="003D3A35">
        <w:t>WBB ECS</w:t>
      </w:r>
      <w:r w:rsidR="00210444" w:rsidRPr="003D3A35">
        <w:t xml:space="preserve"> above 736 MHz;</w:t>
      </w:r>
    </w:p>
    <w:p w14:paraId="0C614FC4" w14:textId="77777777" w:rsidR="00210444" w:rsidRPr="003D3A35" w:rsidRDefault="00210444" w:rsidP="008644B3">
      <w:pPr>
        <w:pStyle w:val="ECCBulletsLv1"/>
        <w:spacing w:after="60"/>
      </w:pPr>
      <w:r w:rsidRPr="003D3A35">
        <w:t>PPDR between 698 and 703 MHz;</w:t>
      </w:r>
    </w:p>
    <w:p w14:paraId="0C3DCAA1" w14:textId="7D6987BA" w:rsidR="00210444" w:rsidRPr="003D3A35" w:rsidRDefault="00210444" w:rsidP="008644B3">
      <w:pPr>
        <w:pStyle w:val="ECCBulletsLv1"/>
        <w:spacing w:after="60"/>
      </w:pPr>
      <w:r w:rsidRPr="003D3A35">
        <w:t>Broadcasting (D</w:t>
      </w:r>
      <w:r w:rsidR="0036256C">
        <w:t xml:space="preserve">igital </w:t>
      </w:r>
      <w:r w:rsidRPr="003D3A35">
        <w:t>T</w:t>
      </w:r>
      <w:r w:rsidR="0036256C">
        <w:t xml:space="preserve">errestrial </w:t>
      </w:r>
      <w:r w:rsidRPr="003D3A35">
        <w:t>T</w:t>
      </w:r>
      <w:r w:rsidR="0036256C">
        <w:t>elevision (DTT)</w:t>
      </w:r>
      <w:r w:rsidRPr="003D3A35">
        <w:t>) below 694 MHz</w:t>
      </w:r>
      <w:r w:rsidR="004A182B">
        <w:t>;</w:t>
      </w:r>
    </w:p>
    <w:p w14:paraId="39932D59" w14:textId="5488F590" w:rsidR="00D95866" w:rsidRPr="004A182B" w:rsidRDefault="00D95866" w:rsidP="008644B3">
      <w:pPr>
        <w:pStyle w:val="ECCBulletsLv1"/>
        <w:spacing w:after="60"/>
      </w:pPr>
      <w:r w:rsidRPr="003D3A35">
        <w:t>R</w:t>
      </w:r>
      <w:r w:rsidR="00A038B5">
        <w:t>adio astronomy service (R</w:t>
      </w:r>
      <w:r w:rsidRPr="003D3A35">
        <w:t>AS</w:t>
      </w:r>
      <w:r w:rsidR="00A038B5">
        <w:t>)</w:t>
      </w:r>
      <w:r w:rsidRPr="003D3A35">
        <w:t xml:space="preserve"> in the passive band 1400-1427 MHz</w:t>
      </w:r>
      <w:r w:rsidR="00FB4898" w:rsidRPr="003D3A35">
        <w:t xml:space="preserve">, </w:t>
      </w:r>
      <w:r w:rsidR="00FB4898" w:rsidRPr="004A182B">
        <w:t>impacted by the second harmonics of the frequencies between 703-733 MHz</w:t>
      </w:r>
      <w:r w:rsidR="00A460D5">
        <w:t>.</w:t>
      </w:r>
    </w:p>
    <w:p w14:paraId="5E3F8546" w14:textId="77777777" w:rsidR="00D579EF" w:rsidRDefault="00D95866" w:rsidP="008517C6">
      <w:pPr>
        <w:autoSpaceDE w:val="0"/>
        <w:autoSpaceDN w:val="0"/>
        <w:adjustRightInd w:val="0"/>
        <w:spacing w:before="240" w:after="60"/>
        <w:rPr>
          <w:szCs w:val="20"/>
        </w:rPr>
      </w:pPr>
      <w:r w:rsidRPr="00216A24">
        <w:rPr>
          <w:rFonts w:cs="Arial"/>
          <w:color w:val="000000"/>
          <w:szCs w:val="20"/>
        </w:rPr>
        <w:t xml:space="preserve">ECC Report 309 provides </w:t>
      </w:r>
      <w:r w:rsidR="007579CC">
        <w:rPr>
          <w:rFonts w:cs="Arial"/>
          <w:color w:val="000000"/>
          <w:szCs w:val="20"/>
        </w:rPr>
        <w:t xml:space="preserve">relevant analysis and </w:t>
      </w:r>
      <w:r w:rsidRPr="00216A24">
        <w:rPr>
          <w:rFonts w:cs="Arial"/>
          <w:color w:val="000000"/>
          <w:szCs w:val="20"/>
        </w:rPr>
        <w:t>studies</w:t>
      </w:r>
      <w:r w:rsidR="007579CC">
        <w:rPr>
          <w:rFonts w:cs="Arial"/>
          <w:color w:val="000000"/>
          <w:szCs w:val="20"/>
        </w:rPr>
        <w:t xml:space="preserve"> for the coexistence with these services</w:t>
      </w:r>
      <w:r w:rsidR="00FD7FED">
        <w:rPr>
          <w:rFonts w:cs="Arial"/>
          <w:color w:val="000000"/>
          <w:szCs w:val="20"/>
        </w:rPr>
        <w:t>.</w:t>
      </w:r>
    </w:p>
    <w:p w14:paraId="45E8B562" w14:textId="44A4B9D1" w:rsidR="009D5CF3" w:rsidRPr="00216A24" w:rsidRDefault="002C4CF3" w:rsidP="008517C6">
      <w:pPr>
        <w:pStyle w:val="ECCParagraph"/>
        <w:rPr>
          <w:rFonts w:cs="Arial"/>
          <w:color w:val="000000"/>
          <w:szCs w:val="20"/>
          <w:lang w:val="en-US"/>
        </w:rPr>
      </w:pPr>
      <w:r w:rsidRPr="00216A24">
        <w:rPr>
          <w:rFonts w:cs="Arial"/>
          <w:color w:val="000000"/>
          <w:szCs w:val="20"/>
          <w:lang w:val="en-US"/>
        </w:rPr>
        <w:t>In conclusion, ATS can</w:t>
      </w:r>
      <w:r w:rsidR="00512957">
        <w:rPr>
          <w:rFonts w:cs="Arial"/>
          <w:color w:val="000000"/>
          <w:szCs w:val="20"/>
          <w:lang w:val="en-US"/>
        </w:rPr>
        <w:t xml:space="preserve"> only</w:t>
      </w:r>
      <w:r w:rsidRPr="00216A24">
        <w:rPr>
          <w:rFonts w:cs="Arial"/>
          <w:color w:val="000000"/>
          <w:szCs w:val="20"/>
          <w:lang w:val="en-US"/>
        </w:rPr>
        <w:t xml:space="preserve"> operate in the 700 MHz frequency band with the implementation of</w:t>
      </w:r>
      <w:r w:rsidR="0073079A">
        <w:rPr>
          <w:rFonts w:cs="Arial"/>
          <w:color w:val="000000"/>
          <w:szCs w:val="20"/>
          <w:lang w:val="en-US"/>
        </w:rPr>
        <w:t xml:space="preserve"> </w:t>
      </w:r>
      <w:r w:rsidRPr="00216A24">
        <w:rPr>
          <w:rFonts w:cs="Arial"/>
          <w:color w:val="000000"/>
          <w:szCs w:val="20"/>
          <w:lang w:val="en-US"/>
        </w:rPr>
        <w:t>coexistence conditions to protect broadcasting receivers and RAS</w:t>
      </w:r>
      <w:r w:rsidR="007579CC">
        <w:rPr>
          <w:rFonts w:cs="Arial"/>
          <w:color w:val="000000"/>
          <w:szCs w:val="20"/>
          <w:lang w:val="en-US"/>
        </w:rPr>
        <w:t xml:space="preserve"> based on </w:t>
      </w:r>
      <w:r w:rsidR="00AF3021">
        <w:rPr>
          <w:rFonts w:cs="Arial"/>
          <w:color w:val="000000"/>
          <w:szCs w:val="20"/>
          <w:lang w:val="en-US"/>
        </w:rPr>
        <w:t>the outcome</w:t>
      </w:r>
      <w:r w:rsidR="007579CC">
        <w:rPr>
          <w:rFonts w:cs="Arial"/>
          <w:color w:val="000000"/>
          <w:szCs w:val="20"/>
          <w:lang w:val="en-US"/>
        </w:rPr>
        <w:t xml:space="preserve"> of ECC </w:t>
      </w:r>
      <w:r w:rsidR="004A182B">
        <w:rPr>
          <w:rFonts w:cs="Arial"/>
          <w:color w:val="000000"/>
          <w:szCs w:val="20"/>
          <w:lang w:val="en-US"/>
        </w:rPr>
        <w:t>R</w:t>
      </w:r>
      <w:r w:rsidR="007579CC">
        <w:rPr>
          <w:rFonts w:cs="Arial"/>
          <w:color w:val="000000"/>
          <w:szCs w:val="20"/>
          <w:lang w:val="en-US"/>
        </w:rPr>
        <w:t>eport 309</w:t>
      </w:r>
      <w:r w:rsidRPr="00216A24">
        <w:rPr>
          <w:rFonts w:cs="Arial"/>
          <w:color w:val="000000"/>
          <w:szCs w:val="20"/>
          <w:lang w:val="en-US"/>
        </w:rPr>
        <w:t>.</w:t>
      </w:r>
    </w:p>
    <w:p w14:paraId="0B833A1C" w14:textId="77777777" w:rsidR="00210444" w:rsidRDefault="00D95866" w:rsidP="001D65BC">
      <w:pPr>
        <w:pStyle w:val="Heading3"/>
      </w:pPr>
      <w:bookmarkStart w:id="11" w:name="_Toc192499490"/>
      <w:r>
        <w:t>800 MHz frequency band</w:t>
      </w:r>
      <w:bookmarkEnd w:id="11"/>
      <w:r>
        <w:t xml:space="preserve"> </w:t>
      </w:r>
    </w:p>
    <w:p w14:paraId="4458FEEA" w14:textId="79CAA35A" w:rsidR="00325553" w:rsidRDefault="00A038B5" w:rsidP="00325553">
      <w:pPr>
        <w:pStyle w:val="ECCParagraph"/>
      </w:pPr>
      <w:r>
        <w:t xml:space="preserve">For </w:t>
      </w:r>
      <w:r w:rsidR="000E2629">
        <w:t>ATS</w:t>
      </w:r>
      <w:r w:rsidR="00325553">
        <w:t xml:space="preserve"> operating in 832-862 MHz</w:t>
      </w:r>
      <w:r>
        <w:t>,</w:t>
      </w:r>
      <w:r w:rsidR="00325553">
        <w:t xml:space="preserve"> </w:t>
      </w:r>
      <w:r w:rsidR="004A182B">
        <w:t xml:space="preserve">coexistence with </w:t>
      </w:r>
      <w:r w:rsidR="00325553">
        <w:t>the following services</w:t>
      </w:r>
      <w:r w:rsidR="004A182B">
        <w:t xml:space="preserve"> was studied</w:t>
      </w:r>
      <w:r w:rsidR="00325553">
        <w:t>:</w:t>
      </w:r>
    </w:p>
    <w:p w14:paraId="2538406F" w14:textId="77777777" w:rsidR="00325553" w:rsidRDefault="00325553" w:rsidP="008644B3">
      <w:pPr>
        <w:pStyle w:val="ECCBulletsLv1"/>
        <w:spacing w:after="60"/>
      </w:pPr>
      <w:r>
        <w:t>Radio systems for short-range navigation (RSBN) Aircraft transmitter in 770-810 MHz;</w:t>
      </w:r>
    </w:p>
    <w:p w14:paraId="7A0CAB9A" w14:textId="77777777" w:rsidR="00325553" w:rsidRDefault="00325553" w:rsidP="008644B3">
      <w:pPr>
        <w:pStyle w:val="ECCBulletsLv1"/>
        <w:spacing w:after="60"/>
      </w:pPr>
      <w:r>
        <w:t>Radiolocation service (RLS) 2 (Type 2) Ground radar transmitter in 833-839 MHz;</w:t>
      </w:r>
    </w:p>
    <w:p w14:paraId="53202583" w14:textId="77777777" w:rsidR="00325553" w:rsidRDefault="00325553" w:rsidP="008644B3">
      <w:pPr>
        <w:pStyle w:val="ECCBulletsLv1"/>
        <w:spacing w:after="60"/>
      </w:pPr>
      <w:r>
        <w:t>RLS 1 (Type1) Ground radar transmitter in 830-839 MHz and 855-861 MHz;</w:t>
      </w:r>
    </w:p>
    <w:p w14:paraId="134BE218" w14:textId="77777777" w:rsidR="00325553" w:rsidRDefault="00325553" w:rsidP="008644B3">
      <w:pPr>
        <w:pStyle w:val="ECCBulletsLv1"/>
        <w:spacing w:after="60"/>
      </w:pPr>
      <w:r>
        <w:t>RLS1 (Type 2) Ground radar transmitter in 842-861 MHz</w:t>
      </w:r>
      <w:r w:rsidR="00FB4898">
        <w:t>;</w:t>
      </w:r>
    </w:p>
    <w:p w14:paraId="612D5B7A" w14:textId="77777777" w:rsidR="00325553" w:rsidRPr="00454912" w:rsidRDefault="00420A98" w:rsidP="008644B3">
      <w:pPr>
        <w:pStyle w:val="ECCBulletsLv1"/>
        <w:spacing w:after="60"/>
      </w:pPr>
      <w:r>
        <w:t xml:space="preserve">RAS in the frequency bands 1660-1670 MHz </w:t>
      </w:r>
      <w:r w:rsidRPr="00FE5EB3">
        <w:t>and 1718.8-1722.2 MHz</w:t>
      </w:r>
      <w:r>
        <w:t>, impacted by t</w:t>
      </w:r>
      <w:r w:rsidR="00325553">
        <w:t xml:space="preserve">he second harmonics of the </w:t>
      </w:r>
      <w:r w:rsidR="00325553" w:rsidRPr="00454912">
        <w:t>frequencies between 832-835 MHz and 859-861 MHz</w:t>
      </w:r>
      <w:r w:rsidR="00E04447" w:rsidRPr="00454912">
        <w:rPr>
          <w:rStyle w:val="FootnoteReference"/>
        </w:rPr>
        <w:footnoteReference w:id="2"/>
      </w:r>
      <w:r w:rsidR="00325553" w:rsidRPr="00454912">
        <w:t>.</w:t>
      </w:r>
    </w:p>
    <w:p w14:paraId="241B5055" w14:textId="57C89BD6" w:rsidR="00924661" w:rsidRPr="00BE5074" w:rsidRDefault="00C52768" w:rsidP="006E1814">
      <w:pPr>
        <w:pStyle w:val="ECCParagraph"/>
        <w:rPr>
          <w:rFonts w:cs="Arial"/>
          <w:color w:val="000000"/>
          <w:szCs w:val="20"/>
          <w:lang w:val="en-US"/>
        </w:rPr>
      </w:pPr>
      <w:r w:rsidRPr="00454912">
        <w:t>B</w:t>
      </w:r>
      <w:r w:rsidR="00924661" w:rsidRPr="00454912">
        <w:t>ased on the results of the studies in the ECC Report 309</w:t>
      </w:r>
      <w:r w:rsidR="00454912">
        <w:t>,</w:t>
      </w:r>
      <w:r w:rsidR="00440123" w:rsidRPr="00454912">
        <w:t xml:space="preserve"> </w:t>
      </w:r>
      <w:r w:rsidR="00654645" w:rsidRPr="00454912">
        <w:t>CEPT recommend</w:t>
      </w:r>
      <w:r w:rsidR="000D6087" w:rsidRPr="00454912">
        <w:t>s</w:t>
      </w:r>
      <w:r w:rsidR="00924661" w:rsidRPr="00454912">
        <w:t>, that</w:t>
      </w:r>
      <w:r w:rsidR="00531CC0" w:rsidRPr="00454912">
        <w:t xml:space="preserve"> </w:t>
      </w:r>
      <w:r w:rsidR="00924661" w:rsidRPr="00454912">
        <w:rPr>
          <w:rFonts w:cs="Arial"/>
          <w:color w:val="000000"/>
          <w:szCs w:val="20"/>
          <w:lang w:val="en-US"/>
        </w:rPr>
        <w:t xml:space="preserve">ATS can operate in the 800 MHz frequency band </w:t>
      </w:r>
      <w:r w:rsidR="00531CC0" w:rsidRPr="00454912">
        <w:rPr>
          <w:rFonts w:cs="Arial"/>
          <w:color w:val="000000"/>
          <w:szCs w:val="20"/>
          <w:lang w:val="en-US"/>
        </w:rPr>
        <w:t>with the</w:t>
      </w:r>
      <w:r w:rsidR="00924661" w:rsidRPr="00454912">
        <w:rPr>
          <w:rFonts w:cs="Arial"/>
          <w:color w:val="000000"/>
          <w:szCs w:val="20"/>
          <w:lang w:val="en-US"/>
        </w:rPr>
        <w:t xml:space="preserve"> implementation of </w:t>
      </w:r>
      <w:r w:rsidR="00F033DE">
        <w:rPr>
          <w:rFonts w:cs="Arial"/>
          <w:color w:val="000000"/>
          <w:szCs w:val="20"/>
          <w:lang w:val="en-US"/>
        </w:rPr>
        <w:t>“</w:t>
      </w:r>
      <w:r w:rsidR="00440123" w:rsidRPr="00454912">
        <w:rPr>
          <w:rFonts w:cs="Arial"/>
          <w:color w:val="000000"/>
          <w:szCs w:val="20"/>
          <w:lang w:val="en-US"/>
        </w:rPr>
        <w:t>no-transmit</w:t>
      </w:r>
      <w:r w:rsidR="00F033DE">
        <w:rPr>
          <w:rFonts w:cs="Arial"/>
          <w:color w:val="000000"/>
          <w:szCs w:val="20"/>
          <w:lang w:val="en-US"/>
        </w:rPr>
        <w:t>”</w:t>
      </w:r>
      <w:r w:rsidR="00440123" w:rsidRPr="00454912">
        <w:rPr>
          <w:rFonts w:cs="Arial"/>
          <w:color w:val="000000"/>
          <w:szCs w:val="20"/>
          <w:lang w:val="en-US"/>
        </w:rPr>
        <w:t xml:space="preserve"> zone in order to</w:t>
      </w:r>
      <w:r w:rsidR="00924661" w:rsidRPr="00454912">
        <w:rPr>
          <w:rFonts w:cs="Arial"/>
          <w:color w:val="000000"/>
          <w:szCs w:val="20"/>
          <w:lang w:val="en-US"/>
        </w:rPr>
        <w:t xml:space="preserve"> protect RAS</w:t>
      </w:r>
      <w:r w:rsidR="00440123" w:rsidRPr="00454912">
        <w:t xml:space="preserve"> </w:t>
      </w:r>
      <w:r w:rsidR="00440123" w:rsidRPr="00454912">
        <w:rPr>
          <w:rFonts w:cs="Arial"/>
          <w:color w:val="000000"/>
          <w:szCs w:val="20"/>
          <w:lang w:val="en-US"/>
        </w:rPr>
        <w:t>in the frequency band 1660-1670 MHz</w:t>
      </w:r>
      <w:r w:rsidR="004A182B">
        <w:rPr>
          <w:rFonts w:cs="Arial"/>
          <w:color w:val="000000"/>
          <w:szCs w:val="20"/>
          <w:lang w:val="en-US"/>
        </w:rPr>
        <w:t xml:space="preserve"> </w:t>
      </w:r>
      <w:r w:rsidR="00440123" w:rsidRPr="00454912">
        <w:rPr>
          <w:rFonts w:cs="Arial"/>
          <w:color w:val="000000"/>
          <w:szCs w:val="20"/>
          <w:lang w:val="en-US"/>
        </w:rPr>
        <w:t>as appropriate</w:t>
      </w:r>
      <w:r w:rsidR="0024305D" w:rsidRPr="00454912">
        <w:rPr>
          <w:rFonts w:cs="Arial"/>
          <w:color w:val="000000"/>
          <w:szCs w:val="20"/>
          <w:lang w:val="en-US"/>
        </w:rPr>
        <w:t>,</w:t>
      </w:r>
      <w:r w:rsidR="004A182B">
        <w:rPr>
          <w:rFonts w:cs="Arial"/>
          <w:color w:val="000000"/>
          <w:szCs w:val="20"/>
          <w:lang w:val="en-US"/>
        </w:rPr>
        <w:t xml:space="preserve"> since,</w:t>
      </w:r>
      <w:r w:rsidR="0024305D" w:rsidRPr="00454912">
        <w:rPr>
          <w:rFonts w:cs="Arial"/>
          <w:color w:val="000000"/>
          <w:szCs w:val="20"/>
          <w:lang w:val="en-US"/>
        </w:rPr>
        <w:t xml:space="preserve"> </w:t>
      </w:r>
      <w:r w:rsidR="000D6087" w:rsidRPr="00454912">
        <w:rPr>
          <w:rFonts w:cs="Arial"/>
          <w:color w:val="000000"/>
          <w:szCs w:val="20"/>
          <w:lang w:val="en-US"/>
        </w:rPr>
        <w:t>among others</w:t>
      </w:r>
      <w:r w:rsidR="004A182B">
        <w:rPr>
          <w:rFonts w:cs="Arial"/>
          <w:color w:val="000000"/>
          <w:szCs w:val="20"/>
          <w:lang w:val="en-US"/>
        </w:rPr>
        <w:t>,</w:t>
      </w:r>
      <w:r w:rsidR="0024305D" w:rsidRPr="00454912">
        <w:rPr>
          <w:rFonts w:cs="Arial"/>
          <w:color w:val="000000"/>
          <w:szCs w:val="20"/>
          <w:lang w:val="en-US"/>
        </w:rPr>
        <w:t xml:space="preserve"> </w:t>
      </w:r>
      <w:r w:rsidR="000D6087" w:rsidRPr="00454912">
        <w:rPr>
          <w:rFonts w:cs="Arial"/>
          <w:color w:val="000000"/>
          <w:szCs w:val="20"/>
          <w:lang w:val="en-US"/>
        </w:rPr>
        <w:t>t</w:t>
      </w:r>
      <w:r w:rsidR="0024305D" w:rsidRPr="00454912">
        <w:rPr>
          <w:rFonts w:cs="Arial"/>
          <w:color w:val="000000"/>
          <w:szCs w:val="20"/>
          <w:lang w:val="en-US"/>
        </w:rPr>
        <w:t xml:space="preserve">here is no </w:t>
      </w:r>
      <w:r w:rsidR="000D6087" w:rsidRPr="00454912">
        <w:rPr>
          <w:rFonts w:cs="Arial"/>
          <w:color w:val="000000"/>
          <w:szCs w:val="20"/>
          <w:lang w:val="en-US"/>
        </w:rPr>
        <w:t xml:space="preserve">ETSI </w:t>
      </w:r>
      <w:r w:rsidR="00A038B5" w:rsidRPr="00454912">
        <w:rPr>
          <w:rFonts w:cs="Arial"/>
          <w:color w:val="000000"/>
          <w:szCs w:val="20"/>
          <w:lang w:val="en-US"/>
        </w:rPr>
        <w:t>standardi</w:t>
      </w:r>
      <w:r w:rsidR="00A038B5">
        <w:rPr>
          <w:rFonts w:cs="Arial"/>
          <w:color w:val="000000"/>
          <w:szCs w:val="20"/>
          <w:lang w:val="en-US"/>
        </w:rPr>
        <w:t>s</w:t>
      </w:r>
      <w:r w:rsidR="00A038B5" w:rsidRPr="00454912">
        <w:rPr>
          <w:rFonts w:cs="Arial"/>
          <w:color w:val="000000"/>
          <w:szCs w:val="20"/>
          <w:lang w:val="en-US"/>
        </w:rPr>
        <w:t xml:space="preserve">ation </w:t>
      </w:r>
      <w:r w:rsidR="000D6087" w:rsidRPr="00454912">
        <w:rPr>
          <w:rFonts w:cs="Arial"/>
          <w:color w:val="000000"/>
          <w:szCs w:val="20"/>
          <w:lang w:val="en-US"/>
        </w:rPr>
        <w:t xml:space="preserve">on </w:t>
      </w:r>
      <w:r w:rsidR="0024305D" w:rsidRPr="00454912">
        <w:rPr>
          <w:rFonts w:cs="Arial"/>
          <w:color w:val="000000"/>
          <w:szCs w:val="20"/>
          <w:lang w:val="en-US"/>
        </w:rPr>
        <w:t xml:space="preserve">additional filtering </w:t>
      </w:r>
      <w:r w:rsidR="000D6087" w:rsidRPr="00454912">
        <w:rPr>
          <w:rFonts w:cs="Arial"/>
          <w:color w:val="000000"/>
          <w:szCs w:val="20"/>
          <w:lang w:val="en-US"/>
        </w:rPr>
        <w:t>available up to now</w:t>
      </w:r>
      <w:r w:rsidR="00A460D5">
        <w:rPr>
          <w:rFonts w:cs="Arial"/>
          <w:color w:val="000000"/>
          <w:szCs w:val="20"/>
          <w:lang w:val="en-US"/>
        </w:rPr>
        <w:t>.</w:t>
      </w:r>
    </w:p>
    <w:p w14:paraId="46E58DC4" w14:textId="77777777" w:rsidR="00531CC0" w:rsidRDefault="00531CC0" w:rsidP="001D65BC">
      <w:pPr>
        <w:pStyle w:val="Heading3"/>
      </w:pPr>
      <w:bookmarkStart w:id="12" w:name="_Toc192499491"/>
      <w:r>
        <w:lastRenderedPageBreak/>
        <w:t>900 MHz frequency band</w:t>
      </w:r>
      <w:bookmarkEnd w:id="12"/>
      <w:r>
        <w:t xml:space="preserve"> </w:t>
      </w:r>
    </w:p>
    <w:p w14:paraId="6F7C7D94" w14:textId="75399E6B" w:rsidR="00531CC0" w:rsidRDefault="006B797E" w:rsidP="00531CC0">
      <w:pPr>
        <w:pStyle w:val="ECCParagraph"/>
      </w:pPr>
      <w:r w:rsidRPr="00216A24">
        <w:rPr>
          <w:rFonts w:cs="Arial"/>
          <w:color w:val="000000"/>
          <w:szCs w:val="20"/>
        </w:rPr>
        <w:t xml:space="preserve">ATS operating in </w:t>
      </w:r>
      <w:r>
        <w:rPr>
          <w:rFonts w:cs="Arial"/>
          <w:color w:val="000000"/>
          <w:szCs w:val="20"/>
        </w:rPr>
        <w:t>880-915</w:t>
      </w:r>
      <w:r w:rsidRPr="00216A24">
        <w:rPr>
          <w:rFonts w:cs="Arial"/>
          <w:color w:val="000000"/>
          <w:szCs w:val="20"/>
        </w:rPr>
        <w:t xml:space="preserve"> MHz</w:t>
      </w:r>
      <w:r>
        <w:rPr>
          <w:rFonts w:cs="Arial"/>
          <w:color w:val="000000"/>
          <w:szCs w:val="20"/>
        </w:rPr>
        <w:t xml:space="preserve"> face the </w:t>
      </w:r>
      <w:r w:rsidR="003F721F">
        <w:rPr>
          <w:rFonts w:cs="Arial"/>
          <w:color w:val="000000"/>
          <w:szCs w:val="20"/>
        </w:rPr>
        <w:t xml:space="preserve">following </w:t>
      </w:r>
      <w:r>
        <w:rPr>
          <w:rFonts w:cs="Arial"/>
          <w:color w:val="000000"/>
          <w:szCs w:val="20"/>
        </w:rPr>
        <w:t xml:space="preserve">services </w:t>
      </w:r>
      <w:r w:rsidR="003F721F">
        <w:rPr>
          <w:rFonts w:cs="Arial"/>
          <w:color w:val="000000"/>
          <w:szCs w:val="20"/>
        </w:rPr>
        <w:t xml:space="preserve">in adjacent bands </w:t>
      </w:r>
      <w:r w:rsidR="004A182B">
        <w:rPr>
          <w:rFonts w:cs="Arial"/>
          <w:color w:val="000000"/>
          <w:szCs w:val="20"/>
        </w:rPr>
        <w:t xml:space="preserve">as </w:t>
      </w:r>
      <w:r>
        <w:rPr>
          <w:rFonts w:cs="Arial"/>
          <w:color w:val="000000"/>
          <w:szCs w:val="20"/>
        </w:rPr>
        <w:t>identifi</w:t>
      </w:r>
      <w:r w:rsidR="003F721F">
        <w:rPr>
          <w:rFonts w:cs="Arial"/>
          <w:color w:val="000000"/>
          <w:szCs w:val="20"/>
        </w:rPr>
        <w:t>ed in</w:t>
      </w:r>
      <w:r w:rsidRPr="00216A24">
        <w:rPr>
          <w:rFonts w:cs="Arial"/>
          <w:color w:val="000000"/>
          <w:szCs w:val="20"/>
        </w:rPr>
        <w:t xml:space="preserve"> </w:t>
      </w:r>
      <w:r w:rsidR="00531CC0">
        <w:t xml:space="preserve">ECC Report 96 </w:t>
      </w:r>
      <w:r w:rsidR="00FF5EA5">
        <w:fldChar w:fldCharType="begin"/>
      </w:r>
      <w:r w:rsidR="00FF5EA5">
        <w:instrText xml:space="preserve"> REF _Ref181957835 \r \h </w:instrText>
      </w:r>
      <w:r w:rsidR="00FF5EA5">
        <w:fldChar w:fldCharType="separate"/>
      </w:r>
      <w:r w:rsidR="00A038B5">
        <w:t>[7]</w:t>
      </w:r>
      <w:r w:rsidR="00FF5EA5">
        <w:fldChar w:fldCharType="end"/>
      </w:r>
      <w:r w:rsidR="00531CC0">
        <w:t xml:space="preserve"> and ECC Report 313 </w:t>
      </w:r>
      <w:r w:rsidR="003176A8">
        <w:rPr>
          <w:shd w:val="clear" w:color="auto" w:fill="FFFFFF"/>
        </w:rPr>
        <w:fldChar w:fldCharType="begin"/>
      </w:r>
      <w:r w:rsidR="003176A8">
        <w:rPr>
          <w:shd w:val="clear" w:color="auto" w:fill="FFFFFF"/>
        </w:rPr>
        <w:instrText xml:space="preserve"> REF _Ref181957765 \r \h </w:instrText>
      </w:r>
      <w:r w:rsidR="003176A8">
        <w:rPr>
          <w:shd w:val="clear" w:color="auto" w:fill="FFFFFF"/>
        </w:rPr>
      </w:r>
      <w:r w:rsidR="003176A8">
        <w:rPr>
          <w:shd w:val="clear" w:color="auto" w:fill="FFFFFF"/>
        </w:rPr>
        <w:fldChar w:fldCharType="separate"/>
      </w:r>
      <w:r w:rsidR="00A038B5">
        <w:rPr>
          <w:shd w:val="clear" w:color="auto" w:fill="FFFFFF"/>
        </w:rPr>
        <w:t>[8]</w:t>
      </w:r>
      <w:r w:rsidR="003176A8">
        <w:rPr>
          <w:shd w:val="clear" w:color="auto" w:fill="FFFFFF"/>
        </w:rPr>
        <w:fldChar w:fldCharType="end"/>
      </w:r>
      <w:r w:rsidR="00531CC0">
        <w:t>:</w:t>
      </w:r>
    </w:p>
    <w:p w14:paraId="15EA8DC1" w14:textId="77777777" w:rsidR="00531CC0" w:rsidRDefault="00531CC0" w:rsidP="006D7FE7">
      <w:pPr>
        <w:pStyle w:val="ECCBulletsLv1"/>
      </w:pPr>
      <w:r>
        <w:t xml:space="preserve">GSM-R </w:t>
      </w:r>
      <w:r w:rsidR="00B6411E">
        <w:t xml:space="preserve">Uplink </w:t>
      </w:r>
      <w:r>
        <w:t>(UL) in 876-880 MHz (in some European countries on a national basis 873-880 MHz);</w:t>
      </w:r>
    </w:p>
    <w:p w14:paraId="624CE9AC" w14:textId="77777777" w:rsidR="00531CC0" w:rsidRDefault="00531CC0" w:rsidP="006D7FE7">
      <w:pPr>
        <w:pStyle w:val="ECCBulletsLv1"/>
      </w:pPr>
      <w:r>
        <w:t>GSM-R</w:t>
      </w:r>
      <w:r w:rsidR="00B6411E">
        <w:t xml:space="preserve"> Downlink</w:t>
      </w:r>
      <w:r>
        <w:t xml:space="preserve"> (DL) in 921-925 MHz (in some European countries on a national basis in 918-925 MHz);</w:t>
      </w:r>
    </w:p>
    <w:p w14:paraId="3BAD4D0B" w14:textId="77777777" w:rsidR="00531CC0" w:rsidRDefault="00531CC0" w:rsidP="006D7FE7">
      <w:pPr>
        <w:pStyle w:val="ECCBulletsLv1"/>
      </w:pPr>
      <w:r>
        <w:t>R</w:t>
      </w:r>
      <w:r w:rsidR="00A038B5">
        <w:t xml:space="preserve">ailway </w:t>
      </w:r>
      <w:r>
        <w:t>M</w:t>
      </w:r>
      <w:r w:rsidR="00A038B5">
        <w:t xml:space="preserve">obile </w:t>
      </w:r>
      <w:r>
        <w:t>R</w:t>
      </w:r>
      <w:r w:rsidR="00A038B5">
        <w:t xml:space="preserve">adio (RMR) </w:t>
      </w:r>
      <w:r>
        <w:t>(UL) in 874.4-880 MHz;</w:t>
      </w:r>
    </w:p>
    <w:p w14:paraId="02716582" w14:textId="77777777" w:rsidR="00531CC0" w:rsidRDefault="00531CC0" w:rsidP="006D7FE7">
      <w:pPr>
        <w:pStyle w:val="ECCBulletsLv1"/>
      </w:pPr>
      <w:r>
        <w:t>RMR (DL) in 919.4-925 MHz;</w:t>
      </w:r>
    </w:p>
    <w:p w14:paraId="534FDCC7" w14:textId="3E7F5839" w:rsidR="00531CC0" w:rsidRDefault="00A038B5" w:rsidP="006D7FE7">
      <w:pPr>
        <w:pStyle w:val="ECCBulletsLv1"/>
      </w:pPr>
      <w:r w:rsidRPr="00452739">
        <w:t>Professional Mobile Radio</w:t>
      </w:r>
      <w:r>
        <w:t>/Public Access Mobile Radio (</w:t>
      </w:r>
      <w:r w:rsidR="00531CC0">
        <w:t>PMR/PAMR</w:t>
      </w:r>
      <w:r>
        <w:t>)</w:t>
      </w:r>
      <w:r w:rsidR="00531CC0">
        <w:t xml:space="preserve"> (DL) in 915-921 MHz.</w:t>
      </w:r>
    </w:p>
    <w:p w14:paraId="39D5B31C" w14:textId="593260E1" w:rsidR="0015471D" w:rsidRPr="00BE5074" w:rsidRDefault="006E1814" w:rsidP="0015471D">
      <w:pPr>
        <w:pStyle w:val="ECCParagraph"/>
        <w:rPr>
          <w:rFonts w:cs="Arial"/>
          <w:color w:val="000000"/>
          <w:szCs w:val="20"/>
          <w:lang w:val="en-US"/>
        </w:rPr>
      </w:pPr>
      <w:r>
        <w:rPr>
          <w:szCs w:val="20"/>
        </w:rPr>
        <w:t xml:space="preserve">ECC Report 309 </w:t>
      </w:r>
      <w:r w:rsidR="006E4706" w:rsidRPr="000C52B6">
        <w:fldChar w:fldCharType="begin"/>
      </w:r>
      <w:r w:rsidR="006E4706" w:rsidRPr="000C52B6">
        <w:instrText xml:space="preserve"> REF _Ref103695135 \r \h </w:instrText>
      </w:r>
      <w:r w:rsidR="006E4706">
        <w:instrText xml:space="preserve"> \* MERGEFORMAT </w:instrText>
      </w:r>
      <w:r w:rsidR="006E4706" w:rsidRPr="000C52B6">
        <w:fldChar w:fldCharType="separate"/>
      </w:r>
      <w:r w:rsidR="00A038B5">
        <w:t>[1]</w:t>
      </w:r>
      <w:r w:rsidR="006E4706" w:rsidRPr="000C52B6">
        <w:fldChar w:fldCharType="end"/>
      </w:r>
      <w:r w:rsidR="006E4706">
        <w:t xml:space="preserve"> </w:t>
      </w:r>
      <w:r w:rsidRPr="00216A24">
        <w:rPr>
          <w:rFonts w:cs="Arial"/>
          <w:color w:val="000000"/>
          <w:szCs w:val="20"/>
        </w:rPr>
        <w:t xml:space="preserve">provides </w:t>
      </w:r>
      <w:r>
        <w:rPr>
          <w:rFonts w:cs="Arial"/>
          <w:color w:val="000000"/>
          <w:szCs w:val="20"/>
        </w:rPr>
        <w:t xml:space="preserve">relevant analysis and </w:t>
      </w:r>
      <w:r w:rsidRPr="00216A24">
        <w:rPr>
          <w:rFonts w:cs="Arial"/>
          <w:color w:val="000000"/>
          <w:szCs w:val="20"/>
        </w:rPr>
        <w:t>studies</w:t>
      </w:r>
      <w:r>
        <w:rPr>
          <w:rFonts w:cs="Arial"/>
          <w:color w:val="000000"/>
          <w:szCs w:val="20"/>
        </w:rPr>
        <w:t xml:space="preserve"> for the coexistence </w:t>
      </w:r>
      <w:r w:rsidR="006B797E">
        <w:rPr>
          <w:rFonts w:cs="Arial"/>
          <w:color w:val="000000"/>
          <w:szCs w:val="20"/>
        </w:rPr>
        <w:t>with</w:t>
      </w:r>
      <w:r>
        <w:rPr>
          <w:rFonts w:cs="Arial"/>
          <w:color w:val="000000"/>
          <w:szCs w:val="20"/>
        </w:rPr>
        <w:t xml:space="preserve"> these services.</w:t>
      </w:r>
      <w:r w:rsidR="0015471D">
        <w:rPr>
          <w:szCs w:val="20"/>
        </w:rPr>
        <w:t xml:space="preserve"> </w:t>
      </w:r>
      <w:r w:rsidR="004F1C24">
        <w:t>I</w:t>
      </w:r>
      <w:r w:rsidR="0015471D">
        <w:t xml:space="preserve">t can be concluded that </w:t>
      </w:r>
      <w:r w:rsidR="0015471D" w:rsidRPr="00BE5074">
        <w:rPr>
          <w:rFonts w:cs="Arial"/>
          <w:color w:val="000000"/>
          <w:szCs w:val="20"/>
          <w:lang w:val="en-US"/>
        </w:rPr>
        <w:t xml:space="preserve">ATS can operate in the </w:t>
      </w:r>
      <w:r w:rsidR="0015471D">
        <w:rPr>
          <w:rFonts w:cs="Arial"/>
          <w:color w:val="000000"/>
          <w:szCs w:val="20"/>
          <w:lang w:val="en-US"/>
        </w:rPr>
        <w:t>9</w:t>
      </w:r>
      <w:r w:rsidR="0015471D" w:rsidRPr="00BE5074">
        <w:rPr>
          <w:rFonts w:cs="Arial"/>
          <w:color w:val="000000"/>
          <w:szCs w:val="20"/>
          <w:lang w:val="en-US"/>
        </w:rPr>
        <w:t xml:space="preserve">00 MHz </w:t>
      </w:r>
      <w:r w:rsidR="0015471D">
        <w:rPr>
          <w:rFonts w:cs="Arial"/>
          <w:color w:val="000000"/>
          <w:szCs w:val="20"/>
          <w:lang w:val="en-US"/>
        </w:rPr>
        <w:t>without any additional measures</w:t>
      </w:r>
      <w:r w:rsidR="005E16B2">
        <w:rPr>
          <w:rFonts w:cs="Arial"/>
          <w:color w:val="000000"/>
          <w:szCs w:val="20"/>
          <w:lang w:val="en-US"/>
        </w:rPr>
        <w:t xml:space="preserve"> </w:t>
      </w:r>
      <w:r w:rsidR="0015471D">
        <w:rPr>
          <w:rFonts w:cs="Arial"/>
          <w:color w:val="000000"/>
          <w:szCs w:val="20"/>
          <w:lang w:val="en-US"/>
        </w:rPr>
        <w:t>on the basis of the</w:t>
      </w:r>
      <w:r w:rsidR="005E16B2">
        <w:rPr>
          <w:rFonts w:cs="Arial"/>
          <w:color w:val="000000"/>
          <w:szCs w:val="20"/>
          <w:lang w:val="en-US"/>
        </w:rPr>
        <w:t xml:space="preserve"> assumption of</w:t>
      </w:r>
      <w:r w:rsidR="0015471D">
        <w:rPr>
          <w:rFonts w:cs="Arial"/>
          <w:color w:val="000000"/>
          <w:szCs w:val="20"/>
          <w:lang w:val="en-US"/>
        </w:rPr>
        <w:t xml:space="preserve"> robustness of </w:t>
      </w:r>
      <w:r w:rsidR="004A182B" w:rsidRPr="004A182B">
        <w:rPr>
          <w:rFonts w:cs="Arial"/>
          <w:color w:val="000000"/>
          <w:szCs w:val="20"/>
          <w:lang w:val="en-US"/>
        </w:rPr>
        <w:t>Future Railway Mobile Communication System</w:t>
      </w:r>
      <w:r w:rsidR="005D5D96">
        <w:rPr>
          <w:rFonts w:cs="Arial"/>
          <w:color w:val="000000"/>
          <w:szCs w:val="20"/>
          <w:lang w:val="en-US"/>
        </w:rPr>
        <w:t xml:space="preserve"> </w:t>
      </w:r>
      <w:r w:rsidR="004A182B">
        <w:rPr>
          <w:rFonts w:cs="Arial"/>
          <w:color w:val="000000"/>
          <w:szCs w:val="20"/>
          <w:lang w:val="en-US"/>
        </w:rPr>
        <w:t>(</w:t>
      </w:r>
      <w:r w:rsidR="0015471D">
        <w:rPr>
          <w:rFonts w:cs="Arial"/>
          <w:color w:val="000000"/>
          <w:szCs w:val="20"/>
          <w:lang w:val="en-US"/>
        </w:rPr>
        <w:t>FRMCS</w:t>
      </w:r>
      <w:r w:rsidR="004A182B">
        <w:rPr>
          <w:rFonts w:cs="Arial"/>
          <w:color w:val="000000"/>
          <w:szCs w:val="20"/>
          <w:lang w:val="en-US"/>
        </w:rPr>
        <w:t>)</w:t>
      </w:r>
      <w:r w:rsidR="0015471D">
        <w:rPr>
          <w:rFonts w:cs="Arial"/>
          <w:color w:val="000000"/>
          <w:szCs w:val="20"/>
          <w:lang w:val="en-US"/>
        </w:rPr>
        <w:t xml:space="preserve"> cab-radios</w:t>
      </w:r>
      <w:r w:rsidR="00F250FD" w:rsidRPr="00F250FD">
        <w:t xml:space="preserve"> </w:t>
      </w:r>
      <w:r w:rsidR="00F250FD" w:rsidRPr="00F250FD">
        <w:rPr>
          <w:rFonts w:cs="Arial"/>
          <w:color w:val="000000"/>
          <w:szCs w:val="20"/>
          <w:lang w:val="en-US"/>
        </w:rPr>
        <w:t xml:space="preserve">against blocking signals emitted by </w:t>
      </w:r>
      <w:r w:rsidR="003D31C1">
        <w:rPr>
          <w:rFonts w:cs="Arial"/>
          <w:color w:val="000000"/>
          <w:szCs w:val="20"/>
          <w:lang w:val="en-US"/>
        </w:rPr>
        <w:t>non-AAS ATS</w:t>
      </w:r>
      <w:r w:rsidR="00F250FD" w:rsidRPr="00F250FD">
        <w:rPr>
          <w:rFonts w:cs="Arial"/>
          <w:color w:val="000000"/>
          <w:szCs w:val="20"/>
          <w:lang w:val="en-US"/>
        </w:rPr>
        <w:t xml:space="preserve"> (</w:t>
      </w:r>
      <w:r w:rsidR="00F250FD">
        <w:rPr>
          <w:rFonts w:cs="Arial"/>
          <w:color w:val="000000"/>
          <w:szCs w:val="20"/>
          <w:lang w:val="en-US"/>
        </w:rPr>
        <w:t xml:space="preserve">i.e. </w:t>
      </w:r>
      <w:r w:rsidR="00F250FD" w:rsidRPr="00F250FD">
        <w:rPr>
          <w:rFonts w:cs="Arial"/>
          <w:color w:val="000000"/>
          <w:szCs w:val="20"/>
          <w:lang w:val="en-US"/>
        </w:rPr>
        <w:t xml:space="preserve">ETSI standards on FRMCS cab-radio receivers to be consistent with relevant requirements from CEPT Report 76 </w:t>
      </w:r>
      <w:r w:rsidR="00C95581">
        <w:rPr>
          <w:rFonts w:cs="Arial"/>
          <w:color w:val="000000"/>
          <w:szCs w:val="20"/>
          <w:lang w:val="en-US"/>
        </w:rPr>
        <w:fldChar w:fldCharType="begin"/>
      </w:r>
      <w:r w:rsidR="00C95581">
        <w:rPr>
          <w:rFonts w:cs="Arial"/>
          <w:color w:val="000000"/>
          <w:szCs w:val="20"/>
          <w:lang w:val="en-US"/>
        </w:rPr>
        <w:instrText xml:space="preserve"> REF _Ref181957869 \r \h </w:instrText>
      </w:r>
      <w:r w:rsidR="00C95581">
        <w:rPr>
          <w:rFonts w:cs="Arial"/>
          <w:color w:val="000000"/>
          <w:szCs w:val="20"/>
          <w:lang w:val="en-US"/>
        </w:rPr>
      </w:r>
      <w:r w:rsidR="00C95581">
        <w:rPr>
          <w:rFonts w:cs="Arial"/>
          <w:color w:val="000000"/>
          <w:szCs w:val="20"/>
          <w:lang w:val="en-US"/>
        </w:rPr>
        <w:fldChar w:fldCharType="separate"/>
      </w:r>
      <w:r w:rsidR="00A038B5">
        <w:rPr>
          <w:rFonts w:cs="Arial"/>
          <w:color w:val="000000"/>
          <w:szCs w:val="20"/>
          <w:lang w:val="en-US"/>
        </w:rPr>
        <w:t>[9]</w:t>
      </w:r>
      <w:r w:rsidR="00C95581">
        <w:rPr>
          <w:rFonts w:cs="Arial"/>
          <w:color w:val="000000"/>
          <w:szCs w:val="20"/>
          <w:lang w:val="en-US"/>
        </w:rPr>
        <w:fldChar w:fldCharType="end"/>
      </w:r>
      <w:r w:rsidR="00F250FD" w:rsidRPr="00F250FD">
        <w:rPr>
          <w:rFonts w:cs="Arial"/>
          <w:color w:val="000000"/>
          <w:szCs w:val="20"/>
          <w:lang w:val="en-US"/>
        </w:rPr>
        <w:t xml:space="preserve"> and Commission Implementing Decision on RMR (EU) 2021/1730</w:t>
      </w:r>
      <w:r w:rsidR="00C95581">
        <w:rPr>
          <w:rFonts w:cs="Arial"/>
          <w:color w:val="000000"/>
          <w:szCs w:val="20"/>
          <w:lang w:val="en-US"/>
        </w:rPr>
        <w:t xml:space="preserve"> </w:t>
      </w:r>
      <w:r w:rsidR="00C95581">
        <w:rPr>
          <w:rFonts w:cs="Arial"/>
          <w:color w:val="000000"/>
          <w:szCs w:val="20"/>
          <w:lang w:val="en-US"/>
        </w:rPr>
        <w:fldChar w:fldCharType="begin"/>
      </w:r>
      <w:r w:rsidR="00C95581">
        <w:rPr>
          <w:rFonts w:cs="Arial"/>
          <w:color w:val="000000"/>
          <w:szCs w:val="20"/>
          <w:lang w:val="en-US"/>
        </w:rPr>
        <w:instrText xml:space="preserve"> REF _Ref181957889 \r \h </w:instrText>
      </w:r>
      <w:r w:rsidR="00C95581">
        <w:rPr>
          <w:rFonts w:cs="Arial"/>
          <w:color w:val="000000"/>
          <w:szCs w:val="20"/>
          <w:lang w:val="en-US"/>
        </w:rPr>
      </w:r>
      <w:r w:rsidR="00C95581">
        <w:rPr>
          <w:rFonts w:cs="Arial"/>
          <w:color w:val="000000"/>
          <w:szCs w:val="20"/>
          <w:lang w:val="en-US"/>
        </w:rPr>
        <w:fldChar w:fldCharType="separate"/>
      </w:r>
      <w:r w:rsidR="00A038B5">
        <w:rPr>
          <w:rFonts w:cs="Arial"/>
          <w:color w:val="000000"/>
          <w:szCs w:val="20"/>
          <w:lang w:val="en-US"/>
        </w:rPr>
        <w:t>[10]</w:t>
      </w:r>
      <w:r w:rsidR="00C95581">
        <w:rPr>
          <w:rFonts w:cs="Arial"/>
          <w:color w:val="000000"/>
          <w:szCs w:val="20"/>
          <w:lang w:val="en-US"/>
        </w:rPr>
        <w:fldChar w:fldCharType="end"/>
      </w:r>
      <w:r w:rsidR="00FB4898">
        <w:rPr>
          <w:rFonts w:cs="Arial"/>
          <w:color w:val="000000"/>
          <w:szCs w:val="20"/>
          <w:lang w:val="en-US"/>
        </w:rPr>
        <w:t>)</w:t>
      </w:r>
      <w:r w:rsidR="0015471D">
        <w:rPr>
          <w:rFonts w:cs="Arial"/>
          <w:color w:val="000000"/>
          <w:szCs w:val="20"/>
          <w:lang w:val="en-US"/>
        </w:rPr>
        <w:t>.</w:t>
      </w:r>
    </w:p>
    <w:p w14:paraId="56450A78" w14:textId="77777777" w:rsidR="004551B7" w:rsidRDefault="004551B7" w:rsidP="001D65BC">
      <w:pPr>
        <w:pStyle w:val="Heading3"/>
      </w:pPr>
      <w:bookmarkStart w:id="13" w:name="_Toc192499492"/>
      <w:r>
        <w:t>1800 MHz frequency band</w:t>
      </w:r>
      <w:bookmarkEnd w:id="13"/>
    </w:p>
    <w:p w14:paraId="31AF7A82" w14:textId="77777777" w:rsidR="0084551D" w:rsidRDefault="0084551D" w:rsidP="001D65BC">
      <w:pPr>
        <w:pStyle w:val="Heading4"/>
      </w:pPr>
      <w:bookmarkStart w:id="14" w:name="_Ref176869971"/>
      <w:r>
        <w:t xml:space="preserve">1800 MHz frequency band – aerial terminal stations served by non-AAS </w:t>
      </w:r>
      <w:r w:rsidR="00B95E22">
        <w:t>WBB ECS</w:t>
      </w:r>
      <w:r>
        <w:t xml:space="preserve"> BS</w:t>
      </w:r>
      <w:bookmarkEnd w:id="14"/>
    </w:p>
    <w:p w14:paraId="33FB89B2" w14:textId="0B1C0EBB" w:rsidR="004551B7" w:rsidRPr="006E3AFA" w:rsidRDefault="006B797E" w:rsidP="00715F78">
      <w:pPr>
        <w:autoSpaceDE w:val="0"/>
        <w:autoSpaceDN w:val="0"/>
        <w:adjustRightInd w:val="0"/>
        <w:jc w:val="both"/>
        <w:rPr>
          <w:rFonts w:cs="Arial"/>
          <w:color w:val="000000"/>
          <w:szCs w:val="20"/>
        </w:rPr>
      </w:pPr>
      <w:r w:rsidRPr="00216A24">
        <w:rPr>
          <w:rFonts w:cs="Arial"/>
          <w:color w:val="000000"/>
          <w:szCs w:val="20"/>
        </w:rPr>
        <w:t xml:space="preserve">ATS operating in </w:t>
      </w:r>
      <w:r>
        <w:rPr>
          <w:rFonts w:cs="Arial"/>
          <w:color w:val="000000"/>
          <w:szCs w:val="20"/>
        </w:rPr>
        <w:t>1710-1785 MHz</w:t>
      </w:r>
      <w:r w:rsidRPr="00216A24">
        <w:rPr>
          <w:rFonts w:cs="Arial"/>
          <w:color w:val="000000"/>
          <w:szCs w:val="20"/>
        </w:rPr>
        <w:t xml:space="preserve">, </w:t>
      </w:r>
      <w:r>
        <w:rPr>
          <w:rFonts w:cs="Arial"/>
          <w:color w:val="000000"/>
          <w:szCs w:val="20"/>
        </w:rPr>
        <w:t>face the following applications</w:t>
      </w:r>
      <w:r w:rsidR="003F721F">
        <w:rPr>
          <w:rFonts w:cs="Arial"/>
          <w:color w:val="000000"/>
          <w:szCs w:val="20"/>
        </w:rPr>
        <w:t xml:space="preserve"> in adjacent bands and</w:t>
      </w:r>
      <w:r>
        <w:rPr>
          <w:rFonts w:cs="Arial"/>
          <w:color w:val="000000"/>
          <w:szCs w:val="20"/>
        </w:rPr>
        <w:t xml:space="preserve"> identified in </w:t>
      </w:r>
      <w:r w:rsidR="004551B7" w:rsidRPr="006E3AFA">
        <w:rPr>
          <w:rFonts w:cs="Arial"/>
          <w:color w:val="000000"/>
          <w:szCs w:val="20"/>
        </w:rPr>
        <w:t>ECC Report 96 as:</w:t>
      </w:r>
    </w:p>
    <w:p w14:paraId="53DE3B8B" w14:textId="77777777" w:rsidR="004551B7" w:rsidRPr="003D3A35" w:rsidRDefault="004551B7" w:rsidP="006D7FE7">
      <w:pPr>
        <w:pStyle w:val="ECCBulletsLv1"/>
      </w:pPr>
      <w:r w:rsidRPr="003D3A35">
        <w:t>Weather satellites (MetSat) below 1710 MHz;</w:t>
      </w:r>
    </w:p>
    <w:p w14:paraId="0F9F2116" w14:textId="3DA39EAE" w:rsidR="004551B7" w:rsidRPr="003D3A35" w:rsidRDefault="004551B7" w:rsidP="006D7FE7">
      <w:pPr>
        <w:pStyle w:val="ECCBulletsLv1"/>
      </w:pPr>
      <w:r w:rsidRPr="003D3A35">
        <w:t>Defence systems (fixed telemetry) below 1710 MHz and Wireless broadband (fixed service) above 1785</w:t>
      </w:r>
      <w:r w:rsidR="001C6B6B">
        <w:t> </w:t>
      </w:r>
      <w:r w:rsidRPr="003D3A35">
        <w:t>MHz;</w:t>
      </w:r>
    </w:p>
    <w:p w14:paraId="66C4F772" w14:textId="77777777" w:rsidR="004551B7" w:rsidRPr="003D3A35" w:rsidRDefault="004551B7" w:rsidP="006D7FE7">
      <w:pPr>
        <w:pStyle w:val="ECCBulletsLv1"/>
      </w:pPr>
      <w:r w:rsidRPr="003D3A35">
        <w:t>Radio-Microphones above 1785 MHz;</w:t>
      </w:r>
    </w:p>
    <w:p w14:paraId="2D55C1EF" w14:textId="71FD7FE0" w:rsidR="004551B7" w:rsidRPr="003D3A35" w:rsidRDefault="004551B7" w:rsidP="006D7FE7">
      <w:pPr>
        <w:pStyle w:val="ECCBulletsLv1"/>
      </w:pPr>
      <w:r w:rsidRPr="003D3A35">
        <w:t xml:space="preserve">In addition, RAS </w:t>
      </w:r>
      <w:r w:rsidR="006C02A8">
        <w:t xml:space="preserve">in the </w:t>
      </w:r>
      <w:r w:rsidRPr="003D3A35">
        <w:t xml:space="preserve">band 1718.8-1722.2 MHz (see Footnote </w:t>
      </w:r>
      <w:r w:rsidR="00A038B5">
        <w:t xml:space="preserve">RR Nos. </w:t>
      </w:r>
      <w:r w:rsidRPr="00715F78">
        <w:rPr>
          <w:b/>
        </w:rPr>
        <w:t>5.149</w:t>
      </w:r>
      <w:r w:rsidRPr="003D3A35">
        <w:t xml:space="preserve"> and </w:t>
      </w:r>
      <w:r w:rsidRPr="00715F78">
        <w:rPr>
          <w:b/>
        </w:rPr>
        <w:t>5.385</w:t>
      </w:r>
      <w:r w:rsidRPr="003D3A35">
        <w:t xml:space="preserve"> in </w:t>
      </w:r>
      <w:r w:rsidR="00A038B5">
        <w:t xml:space="preserve">the </w:t>
      </w:r>
      <w:r w:rsidRPr="003D3A35">
        <w:t>R</w:t>
      </w:r>
      <w:r w:rsidR="00A038B5">
        <w:t xml:space="preserve">adio </w:t>
      </w:r>
      <w:r w:rsidRPr="003D3A35">
        <w:t>R</w:t>
      </w:r>
      <w:r w:rsidR="00A038B5">
        <w:t>egulations (RR)</w:t>
      </w:r>
      <w:r w:rsidRPr="003D3A35">
        <w:t xml:space="preserve">) is in-band with respect to the 1800 MHz </w:t>
      </w:r>
      <w:r w:rsidR="00C1786F">
        <w:t>WBB ECS</w:t>
      </w:r>
      <w:r w:rsidR="00C1786F" w:rsidRPr="003D3A35">
        <w:t xml:space="preserve"> </w:t>
      </w:r>
      <w:r w:rsidRPr="003D3A35">
        <w:t>band.</w:t>
      </w:r>
    </w:p>
    <w:p w14:paraId="4DFDA86B" w14:textId="1562E762" w:rsidR="00923BAB" w:rsidRPr="006E3AFA" w:rsidRDefault="003F721F" w:rsidP="0067694F">
      <w:pPr>
        <w:pStyle w:val="ECCParagraph"/>
        <w:rPr>
          <w:rFonts w:cs="Arial"/>
          <w:color w:val="000000"/>
          <w:szCs w:val="20"/>
          <w:lang w:val="en-US"/>
        </w:rPr>
      </w:pPr>
      <w:r>
        <w:rPr>
          <w:szCs w:val="20"/>
        </w:rPr>
        <w:t xml:space="preserve">ECC Report 309 </w:t>
      </w:r>
      <w:r w:rsidR="006E4706" w:rsidRPr="000C52B6">
        <w:fldChar w:fldCharType="begin"/>
      </w:r>
      <w:r w:rsidR="006E4706" w:rsidRPr="000C52B6">
        <w:instrText xml:space="preserve"> REF _Ref103695135 \r \h </w:instrText>
      </w:r>
      <w:r w:rsidR="006E4706">
        <w:instrText xml:space="preserve"> \* MERGEFORMAT </w:instrText>
      </w:r>
      <w:r w:rsidR="006E4706" w:rsidRPr="000C52B6">
        <w:fldChar w:fldCharType="separate"/>
      </w:r>
      <w:r w:rsidR="00A038B5">
        <w:t>[1]</w:t>
      </w:r>
      <w:r w:rsidR="006E4706" w:rsidRPr="000C52B6">
        <w:fldChar w:fldCharType="end"/>
      </w:r>
      <w:r w:rsidR="006E4706">
        <w:t xml:space="preserve"> </w:t>
      </w:r>
      <w:r w:rsidRPr="00216A24">
        <w:rPr>
          <w:rFonts w:cs="Arial"/>
          <w:color w:val="000000"/>
          <w:szCs w:val="20"/>
        </w:rPr>
        <w:t xml:space="preserve">provides </w:t>
      </w:r>
      <w:r>
        <w:rPr>
          <w:rFonts w:cs="Arial"/>
          <w:color w:val="000000"/>
          <w:szCs w:val="20"/>
        </w:rPr>
        <w:t xml:space="preserve">relevant analysis and </w:t>
      </w:r>
      <w:r w:rsidRPr="00216A24">
        <w:rPr>
          <w:rFonts w:cs="Arial"/>
          <w:color w:val="000000"/>
          <w:szCs w:val="20"/>
        </w:rPr>
        <w:t>studies</w:t>
      </w:r>
      <w:r>
        <w:rPr>
          <w:rFonts w:cs="Arial"/>
          <w:color w:val="000000"/>
          <w:szCs w:val="20"/>
        </w:rPr>
        <w:t xml:space="preserve"> for the coexistence with these services</w:t>
      </w:r>
      <w:r>
        <w:rPr>
          <w:rFonts w:cs="Arial"/>
          <w:color w:val="000000"/>
          <w:szCs w:val="20"/>
          <w:lang w:val="en-US"/>
        </w:rPr>
        <w:t xml:space="preserve">. </w:t>
      </w:r>
      <w:r w:rsidR="00632DE6" w:rsidRPr="00632DE6">
        <w:rPr>
          <w:rFonts w:cs="Arial"/>
          <w:color w:val="000000"/>
          <w:szCs w:val="20"/>
          <w:lang w:val="en-US"/>
        </w:rPr>
        <w:t>The 1718.8-1722.2 MHz</w:t>
      </w:r>
      <w:r w:rsidR="00632DE6">
        <w:rPr>
          <w:rFonts w:cs="Arial"/>
          <w:color w:val="000000"/>
          <w:szCs w:val="20"/>
          <w:lang w:val="en-US"/>
        </w:rPr>
        <w:t xml:space="preserve"> RAS frequency band</w:t>
      </w:r>
      <w:r w:rsidR="00632DE6" w:rsidRPr="00632DE6">
        <w:rPr>
          <w:rFonts w:cs="Arial"/>
          <w:color w:val="000000"/>
          <w:szCs w:val="20"/>
          <w:lang w:val="en-US"/>
        </w:rPr>
        <w:t xml:space="preserve"> has only a secondary allocation according to RR </w:t>
      </w:r>
      <w:r w:rsidR="00A86071">
        <w:rPr>
          <w:rFonts w:cs="Arial"/>
          <w:color w:val="000000"/>
          <w:szCs w:val="20"/>
          <w:lang w:val="en-US"/>
        </w:rPr>
        <w:t>No.</w:t>
      </w:r>
      <w:r w:rsidR="00A86071" w:rsidRPr="00632DE6">
        <w:rPr>
          <w:rFonts w:cs="Arial"/>
          <w:color w:val="000000"/>
          <w:szCs w:val="20"/>
          <w:lang w:val="en-US"/>
        </w:rPr>
        <w:t xml:space="preserve"> </w:t>
      </w:r>
      <w:r w:rsidR="00632DE6" w:rsidRPr="00715F78">
        <w:rPr>
          <w:b/>
          <w:color w:val="000000"/>
          <w:lang w:val="en-US"/>
        </w:rPr>
        <w:t>5.385</w:t>
      </w:r>
      <w:r w:rsidR="00632DE6" w:rsidRPr="00632DE6">
        <w:rPr>
          <w:rFonts w:cs="Arial"/>
          <w:color w:val="000000"/>
          <w:szCs w:val="20"/>
          <w:lang w:val="en-US"/>
        </w:rPr>
        <w:t xml:space="preserve"> and is mentioned in RR </w:t>
      </w:r>
      <w:r w:rsidR="00A86071">
        <w:rPr>
          <w:rFonts w:cs="Arial"/>
          <w:color w:val="000000"/>
          <w:szCs w:val="20"/>
          <w:lang w:val="en-US"/>
        </w:rPr>
        <w:t>No.</w:t>
      </w:r>
      <w:r w:rsidR="00A86071" w:rsidRPr="00632DE6">
        <w:rPr>
          <w:rFonts w:cs="Arial"/>
          <w:color w:val="000000"/>
          <w:szCs w:val="20"/>
          <w:lang w:val="en-US"/>
        </w:rPr>
        <w:t xml:space="preserve"> </w:t>
      </w:r>
      <w:r w:rsidR="00632DE6" w:rsidRPr="00715F78">
        <w:rPr>
          <w:b/>
          <w:color w:val="000000"/>
          <w:lang w:val="en-US"/>
        </w:rPr>
        <w:t>5.149</w:t>
      </w:r>
      <w:r w:rsidR="00632DE6">
        <w:rPr>
          <w:rFonts w:cs="Arial"/>
          <w:color w:val="000000"/>
          <w:szCs w:val="20"/>
          <w:lang w:val="en-US"/>
        </w:rPr>
        <w:t>. Therefore</w:t>
      </w:r>
      <w:r w:rsidR="004A182B">
        <w:rPr>
          <w:rFonts w:cs="Arial"/>
          <w:color w:val="000000"/>
          <w:szCs w:val="20"/>
          <w:lang w:val="en-US"/>
        </w:rPr>
        <w:t>,</w:t>
      </w:r>
      <w:r w:rsidR="00632DE6">
        <w:rPr>
          <w:rFonts w:cs="Arial"/>
          <w:color w:val="000000"/>
          <w:szCs w:val="20"/>
          <w:lang w:val="en-US"/>
        </w:rPr>
        <w:t xml:space="preserve"> </w:t>
      </w:r>
      <w:r w:rsidR="00923BAB" w:rsidRPr="006E3AFA">
        <w:rPr>
          <w:rFonts w:cs="Arial"/>
          <w:color w:val="000000"/>
          <w:szCs w:val="20"/>
          <w:lang w:val="en-US"/>
        </w:rPr>
        <w:t xml:space="preserve">ATS can operate in the </w:t>
      </w:r>
      <w:r w:rsidR="00F62B10" w:rsidRPr="006E3AFA">
        <w:rPr>
          <w:rFonts w:cs="Arial"/>
          <w:color w:val="000000"/>
          <w:szCs w:val="20"/>
          <w:lang w:val="en-US"/>
        </w:rPr>
        <w:t>18</w:t>
      </w:r>
      <w:r w:rsidR="00923BAB" w:rsidRPr="006E3AFA">
        <w:rPr>
          <w:rFonts w:cs="Arial"/>
          <w:color w:val="000000"/>
          <w:szCs w:val="20"/>
          <w:lang w:val="en-US"/>
        </w:rPr>
        <w:t xml:space="preserve">00 MHz frequency band </w:t>
      </w:r>
      <w:r w:rsidR="00E07A54">
        <w:rPr>
          <w:rFonts w:cs="Arial"/>
          <w:color w:val="000000"/>
          <w:szCs w:val="20"/>
          <w:lang w:val="en-US"/>
        </w:rPr>
        <w:t>only</w:t>
      </w:r>
      <w:r w:rsidR="00E07A54" w:rsidRPr="006E3AFA">
        <w:rPr>
          <w:rFonts w:cs="Arial"/>
          <w:color w:val="000000"/>
          <w:szCs w:val="20"/>
          <w:lang w:val="en-US"/>
        </w:rPr>
        <w:t xml:space="preserve"> </w:t>
      </w:r>
      <w:r w:rsidR="00923BAB" w:rsidRPr="006E3AFA">
        <w:rPr>
          <w:rFonts w:cs="Arial"/>
          <w:color w:val="000000"/>
          <w:szCs w:val="20"/>
          <w:lang w:val="en-US"/>
        </w:rPr>
        <w:t>with the implementation of coexistence conditions</w:t>
      </w:r>
      <w:r w:rsidR="00E07A54" w:rsidRPr="00E07A54">
        <w:rPr>
          <w:rFonts w:cs="Arial"/>
          <w:color w:val="000000"/>
          <w:szCs w:val="20"/>
          <w:lang w:val="en-US"/>
        </w:rPr>
        <w:t xml:space="preserve"> </w:t>
      </w:r>
      <w:r w:rsidR="00E07A54" w:rsidRPr="006E3AFA">
        <w:rPr>
          <w:rFonts w:cs="Arial"/>
          <w:color w:val="000000"/>
          <w:szCs w:val="20"/>
          <w:lang w:val="en-US"/>
        </w:rPr>
        <w:t xml:space="preserve">to protect </w:t>
      </w:r>
      <w:r w:rsidR="00E07A54" w:rsidRPr="004F1C24">
        <w:rPr>
          <w:rFonts w:cs="Arial"/>
          <w:color w:val="000000"/>
          <w:szCs w:val="20"/>
          <w:lang w:val="en-US"/>
        </w:rPr>
        <w:t>MetSat</w:t>
      </w:r>
      <w:r w:rsidR="00DA1CE3">
        <w:rPr>
          <w:rFonts w:cs="Arial"/>
          <w:color w:val="000000"/>
          <w:szCs w:val="20"/>
          <w:lang w:val="en-US"/>
        </w:rPr>
        <w:t>. Out</w:t>
      </w:r>
      <w:r w:rsidR="00204FCA">
        <w:rPr>
          <w:rFonts w:cs="Arial"/>
          <w:color w:val="000000"/>
          <w:szCs w:val="20"/>
          <w:lang w:val="en-US"/>
        </w:rPr>
        <w:t>-of-band</w:t>
      </w:r>
      <w:r w:rsidR="007835AC">
        <w:rPr>
          <w:rFonts w:cs="Arial"/>
          <w:color w:val="000000"/>
          <w:szCs w:val="20"/>
          <w:lang w:val="en-US"/>
        </w:rPr>
        <w:t xml:space="preserve"> emission limit</w:t>
      </w:r>
      <w:proofErr w:type="gramStart"/>
      <w:r w:rsidR="00204FCA">
        <w:rPr>
          <w:rFonts w:cs="Arial"/>
          <w:color w:val="000000"/>
          <w:szCs w:val="20"/>
          <w:lang w:val="en-US"/>
        </w:rPr>
        <w:t xml:space="preserve">: </w:t>
      </w:r>
      <w:r w:rsidR="00FB4898" w:rsidRPr="00CF6CD7">
        <w:t xml:space="preserve"> -</w:t>
      </w:r>
      <w:proofErr w:type="gramEnd"/>
      <w:r w:rsidR="00FB4898" w:rsidRPr="00CF6CD7">
        <w:t>40 dBm/MHz</w:t>
      </w:r>
      <w:r w:rsidR="00923BAB" w:rsidRPr="006E3AFA">
        <w:rPr>
          <w:rFonts w:cs="Arial"/>
          <w:color w:val="000000"/>
          <w:szCs w:val="20"/>
          <w:lang w:val="en-US"/>
        </w:rPr>
        <w:t xml:space="preserve"> </w:t>
      </w:r>
      <w:r w:rsidR="007835AC" w:rsidRPr="006E3515">
        <w:rPr>
          <w:rFonts w:cs="Arial"/>
          <w:color w:val="000000"/>
          <w:szCs w:val="20"/>
          <w:lang w:val="en-US"/>
        </w:rPr>
        <w:t xml:space="preserve">in </w:t>
      </w:r>
      <w:r w:rsidR="006B5B3E" w:rsidRPr="006E3515">
        <w:rPr>
          <w:rFonts w:cs="Arial"/>
          <w:color w:val="000000"/>
          <w:szCs w:val="20"/>
          <w:lang w:val="en-US"/>
        </w:rPr>
        <w:t xml:space="preserve">the </w:t>
      </w:r>
      <w:r w:rsidR="0007572D">
        <w:rPr>
          <w:rFonts w:cs="Arial"/>
          <w:color w:val="000000"/>
          <w:szCs w:val="20"/>
          <w:lang w:val="en-US"/>
        </w:rPr>
        <w:t xml:space="preserve">frequency range </w:t>
      </w:r>
      <w:r w:rsidR="007835AC" w:rsidRPr="006E3515">
        <w:rPr>
          <w:rFonts w:cs="Arial"/>
          <w:color w:val="000000"/>
          <w:szCs w:val="20"/>
          <w:lang w:val="en-US"/>
        </w:rPr>
        <w:t>1675-1710 MHz</w:t>
      </w:r>
      <w:r w:rsidR="006B5B3E" w:rsidRPr="006E3515">
        <w:rPr>
          <w:rFonts w:cs="Arial"/>
          <w:color w:val="000000"/>
          <w:szCs w:val="20"/>
          <w:lang w:val="en-US"/>
        </w:rPr>
        <w:t xml:space="preserve"> for ATS</w:t>
      </w:r>
      <w:r w:rsidR="007835AC" w:rsidRPr="006E3515">
        <w:rPr>
          <w:rFonts w:cs="Arial"/>
          <w:color w:val="000000"/>
          <w:szCs w:val="20"/>
          <w:lang w:val="en-US"/>
        </w:rPr>
        <w:t xml:space="preserve"> </w:t>
      </w:r>
      <w:r w:rsidR="004F1C24" w:rsidRPr="006E3515">
        <w:rPr>
          <w:rFonts w:cs="Arial"/>
          <w:color w:val="000000"/>
          <w:szCs w:val="20"/>
          <w:lang w:val="en-US"/>
        </w:rPr>
        <w:t>operating in 1710</w:t>
      </w:r>
      <w:r w:rsidR="007C67EF" w:rsidRPr="006E3515">
        <w:rPr>
          <w:rFonts w:cs="Arial"/>
          <w:color w:val="000000"/>
          <w:szCs w:val="20"/>
          <w:lang w:val="en-US"/>
        </w:rPr>
        <w:t>-</w:t>
      </w:r>
      <w:r w:rsidR="006E3515" w:rsidRPr="006E3515">
        <w:rPr>
          <w:rFonts w:cs="Arial"/>
          <w:color w:val="000000"/>
          <w:szCs w:val="20"/>
          <w:lang w:val="en-US"/>
        </w:rPr>
        <w:t>1785</w:t>
      </w:r>
      <w:r w:rsidR="004F1C24" w:rsidRPr="006E3515">
        <w:rPr>
          <w:rFonts w:cs="Arial"/>
          <w:color w:val="000000"/>
          <w:szCs w:val="20"/>
          <w:lang w:val="en-US"/>
        </w:rPr>
        <w:t xml:space="preserve"> MHz.</w:t>
      </w:r>
    </w:p>
    <w:p w14:paraId="1732EC5D" w14:textId="77777777" w:rsidR="0084551D" w:rsidRDefault="0084551D" w:rsidP="001D65BC">
      <w:pPr>
        <w:pStyle w:val="Heading4"/>
      </w:pPr>
      <w:r>
        <w:t xml:space="preserve">1800 MHz frequency band – aerial terminal stations served by AAS </w:t>
      </w:r>
      <w:r w:rsidR="00B95E22">
        <w:t>WBB ECS</w:t>
      </w:r>
      <w:r>
        <w:t xml:space="preserve"> BS</w:t>
      </w:r>
    </w:p>
    <w:p w14:paraId="17A256F2" w14:textId="0F41FBB2" w:rsidR="00F62B10" w:rsidRPr="00D3016D" w:rsidRDefault="0084551D" w:rsidP="006E3AFA">
      <w:pPr>
        <w:pStyle w:val="ECCParagraph"/>
        <w:rPr>
          <w:rFonts w:cs="Arial"/>
          <w:color w:val="000000"/>
          <w:szCs w:val="20"/>
          <w:lang w:val="en-US"/>
        </w:rPr>
      </w:pPr>
      <w:r w:rsidRPr="006E3AFA">
        <w:rPr>
          <w:rFonts w:cs="Arial"/>
          <w:color w:val="000000"/>
          <w:szCs w:val="20"/>
          <w:lang w:val="en-US"/>
        </w:rPr>
        <w:t>ECC Report 348</w:t>
      </w:r>
      <w:r w:rsidR="00F17204">
        <w:rPr>
          <w:rFonts w:cs="Arial"/>
          <w:color w:val="000000"/>
          <w:szCs w:val="20"/>
          <w:lang w:val="en-US"/>
        </w:rPr>
        <w:t xml:space="preserve"> </w:t>
      </w:r>
      <w:r w:rsidR="00F17204">
        <w:rPr>
          <w:rFonts w:cs="Arial"/>
          <w:color w:val="000000"/>
          <w:szCs w:val="20"/>
          <w:lang w:val="en-US"/>
        </w:rPr>
        <w:fldChar w:fldCharType="begin"/>
      </w:r>
      <w:r w:rsidR="00F17204">
        <w:rPr>
          <w:rFonts w:cs="Arial"/>
          <w:color w:val="000000"/>
          <w:szCs w:val="20"/>
          <w:lang w:val="en-US"/>
        </w:rPr>
        <w:instrText xml:space="preserve"> REF _Ref181957926 \r \h </w:instrText>
      </w:r>
      <w:r w:rsidR="00F17204">
        <w:rPr>
          <w:rFonts w:cs="Arial"/>
          <w:color w:val="000000"/>
          <w:szCs w:val="20"/>
          <w:lang w:val="en-US"/>
        </w:rPr>
      </w:r>
      <w:r w:rsidR="00F17204">
        <w:rPr>
          <w:rFonts w:cs="Arial"/>
          <w:color w:val="000000"/>
          <w:szCs w:val="20"/>
          <w:lang w:val="en-US"/>
        </w:rPr>
        <w:fldChar w:fldCharType="separate"/>
      </w:r>
      <w:r w:rsidR="00A038B5">
        <w:rPr>
          <w:rFonts w:cs="Arial"/>
          <w:color w:val="000000"/>
          <w:szCs w:val="20"/>
          <w:lang w:val="en-US"/>
        </w:rPr>
        <w:t>[2]</w:t>
      </w:r>
      <w:r w:rsidR="00F17204">
        <w:rPr>
          <w:rFonts w:cs="Arial"/>
          <w:color w:val="000000"/>
          <w:szCs w:val="20"/>
          <w:lang w:val="en-US"/>
        </w:rPr>
        <w:fldChar w:fldCharType="end"/>
      </w:r>
      <w:r w:rsidRPr="006E3AFA">
        <w:rPr>
          <w:rFonts w:cs="Arial"/>
          <w:color w:val="000000"/>
          <w:szCs w:val="20"/>
          <w:lang w:val="en-US"/>
        </w:rPr>
        <w:t xml:space="preserve"> provides analyses for t</w:t>
      </w:r>
      <w:r w:rsidR="00F62B10" w:rsidRPr="006E3AFA">
        <w:rPr>
          <w:rFonts w:cs="Arial"/>
          <w:color w:val="000000"/>
          <w:szCs w:val="20"/>
          <w:lang w:val="en-US"/>
        </w:rPr>
        <w:t xml:space="preserve">he use of </w:t>
      </w:r>
      <w:r w:rsidR="00B95E22">
        <w:rPr>
          <w:rFonts w:cs="Arial"/>
          <w:color w:val="000000"/>
          <w:szCs w:val="20"/>
          <w:lang w:val="en-US"/>
        </w:rPr>
        <w:t>WBB ECS</w:t>
      </w:r>
      <w:r w:rsidR="00F62B10" w:rsidRPr="006E3AFA">
        <w:rPr>
          <w:rFonts w:cs="Arial"/>
          <w:color w:val="000000"/>
          <w:szCs w:val="20"/>
          <w:lang w:val="en-US"/>
        </w:rPr>
        <w:t xml:space="preserve"> AAS BS ser</w:t>
      </w:r>
      <w:r w:rsidR="002B4506" w:rsidRPr="006E3AFA">
        <w:rPr>
          <w:rFonts w:cs="Arial"/>
          <w:color w:val="000000"/>
          <w:szCs w:val="20"/>
          <w:lang w:val="en-US"/>
        </w:rPr>
        <w:t>ving</w:t>
      </w:r>
      <w:r w:rsidR="00F62B10" w:rsidRPr="006E3AFA">
        <w:rPr>
          <w:rFonts w:cs="Arial"/>
          <w:color w:val="000000"/>
          <w:szCs w:val="20"/>
          <w:lang w:val="en-US"/>
        </w:rPr>
        <w:t xml:space="preserve"> aerial UE</w:t>
      </w:r>
      <w:r w:rsidR="003D31C1">
        <w:rPr>
          <w:rFonts w:cs="Arial"/>
          <w:color w:val="000000"/>
          <w:szCs w:val="20"/>
          <w:lang w:val="en-US"/>
        </w:rPr>
        <w:t xml:space="preserve"> (i.e. non-AAS ATS)</w:t>
      </w:r>
      <w:r w:rsidRPr="006E3AFA">
        <w:rPr>
          <w:rFonts w:cs="Arial"/>
          <w:color w:val="000000"/>
          <w:szCs w:val="20"/>
          <w:lang w:val="en-US"/>
        </w:rPr>
        <w:t>. It concludes that ATS</w:t>
      </w:r>
      <w:r w:rsidR="00F62B10" w:rsidRPr="006E3AFA">
        <w:rPr>
          <w:rFonts w:cs="Arial"/>
          <w:color w:val="000000"/>
          <w:szCs w:val="20"/>
          <w:lang w:val="en-US"/>
        </w:rPr>
        <w:t xml:space="preserve"> does not lead to additional interference cases</w:t>
      </w:r>
      <w:r w:rsidRPr="006E3AFA">
        <w:rPr>
          <w:rFonts w:cs="Arial"/>
          <w:color w:val="000000"/>
          <w:szCs w:val="20"/>
          <w:lang w:val="en-US"/>
        </w:rPr>
        <w:t>. T</w:t>
      </w:r>
      <w:r w:rsidR="00F62B10" w:rsidRPr="006E3AFA">
        <w:rPr>
          <w:rFonts w:cs="Arial"/>
          <w:color w:val="000000"/>
          <w:szCs w:val="20"/>
          <w:lang w:val="en-US"/>
        </w:rPr>
        <w:t xml:space="preserve">he usage of </w:t>
      </w:r>
      <w:r w:rsidR="00B95E22">
        <w:rPr>
          <w:rFonts w:cs="Arial"/>
          <w:color w:val="000000"/>
          <w:szCs w:val="20"/>
          <w:lang w:val="en-US"/>
        </w:rPr>
        <w:t>WBB ECS</w:t>
      </w:r>
      <w:r w:rsidR="00F62B10" w:rsidRPr="006E3AFA">
        <w:rPr>
          <w:rFonts w:cs="Arial"/>
          <w:color w:val="000000"/>
          <w:szCs w:val="20"/>
          <w:lang w:val="en-US"/>
        </w:rPr>
        <w:t xml:space="preserve"> by </w:t>
      </w:r>
      <w:r w:rsidR="003D31C1">
        <w:rPr>
          <w:rFonts w:cs="Arial"/>
          <w:color w:val="000000"/>
          <w:szCs w:val="20"/>
          <w:lang w:val="en-US"/>
        </w:rPr>
        <w:t>non-AAS ATS</w:t>
      </w:r>
      <w:r w:rsidR="00F62B10" w:rsidRPr="006E3AFA">
        <w:rPr>
          <w:rFonts w:cs="Arial"/>
          <w:color w:val="000000"/>
          <w:szCs w:val="20"/>
          <w:lang w:val="en-US"/>
        </w:rPr>
        <w:t xml:space="preserve"> where AAS BS are deployed does not require additional mitigation measures in the 1.8 GHz band other than those (if any) already identified in </w:t>
      </w:r>
      <w:r w:rsidRPr="006E3AFA">
        <w:rPr>
          <w:rFonts w:cs="Arial"/>
          <w:color w:val="000000"/>
          <w:szCs w:val="20"/>
          <w:lang w:val="en-US"/>
        </w:rPr>
        <w:t xml:space="preserve">the section </w:t>
      </w:r>
      <w:r w:rsidR="00FB4898">
        <w:rPr>
          <w:rFonts w:cs="Arial"/>
          <w:color w:val="000000"/>
          <w:szCs w:val="20"/>
          <w:lang w:val="en-US"/>
        </w:rPr>
        <w:t xml:space="preserve">above </w:t>
      </w:r>
      <w:r w:rsidR="00FB4898" w:rsidRPr="00D3016D">
        <w:rPr>
          <w:rFonts w:cs="Arial"/>
          <w:color w:val="000000"/>
          <w:szCs w:val="20"/>
          <w:lang w:val="en-US"/>
        </w:rPr>
        <w:t>(</w:t>
      </w:r>
      <w:r w:rsidR="00573086">
        <w:rPr>
          <w:rFonts w:cs="Arial"/>
          <w:color w:val="000000"/>
          <w:szCs w:val="20"/>
          <w:lang w:val="en-US"/>
        </w:rPr>
        <w:t xml:space="preserve">see </w:t>
      </w:r>
      <w:r w:rsidR="004A182B" w:rsidRPr="00FE5EB3">
        <w:rPr>
          <w:rFonts w:cs="Arial"/>
          <w:color w:val="000000"/>
          <w:szCs w:val="20"/>
          <w:lang w:val="en-US"/>
        </w:rPr>
        <w:fldChar w:fldCharType="begin"/>
      </w:r>
      <w:r w:rsidR="004A182B" w:rsidRPr="00FE5EB3">
        <w:rPr>
          <w:rFonts w:cs="Arial"/>
          <w:color w:val="000000"/>
          <w:szCs w:val="20"/>
          <w:lang w:val="en-US"/>
        </w:rPr>
        <w:instrText xml:space="preserve"> REF _Ref176869971 \r \h </w:instrText>
      </w:r>
      <w:r w:rsidR="00D3016D" w:rsidRPr="00FE5EB3">
        <w:rPr>
          <w:rFonts w:cs="Arial"/>
          <w:color w:val="000000"/>
          <w:szCs w:val="20"/>
          <w:lang w:val="en-US"/>
        </w:rPr>
        <w:instrText xml:space="preserve"> \* MERGEFORMAT </w:instrText>
      </w:r>
      <w:r w:rsidR="004A182B" w:rsidRPr="00FE5EB3">
        <w:rPr>
          <w:rFonts w:cs="Arial"/>
          <w:color w:val="000000"/>
          <w:szCs w:val="20"/>
          <w:lang w:val="en-US"/>
        </w:rPr>
      </w:r>
      <w:r w:rsidR="004A182B" w:rsidRPr="00FE5EB3">
        <w:rPr>
          <w:rFonts w:cs="Arial"/>
          <w:color w:val="000000"/>
          <w:szCs w:val="20"/>
          <w:lang w:val="en-US"/>
        </w:rPr>
        <w:fldChar w:fldCharType="separate"/>
      </w:r>
      <w:r w:rsidR="00A038B5" w:rsidRPr="00FE5EB3">
        <w:rPr>
          <w:rFonts w:cs="Arial"/>
          <w:color w:val="000000"/>
          <w:szCs w:val="20"/>
          <w:lang w:val="en-US"/>
        </w:rPr>
        <w:t>2.1.4.1</w:t>
      </w:r>
      <w:r w:rsidR="004A182B" w:rsidRPr="00FE5EB3">
        <w:rPr>
          <w:rFonts w:cs="Arial"/>
          <w:color w:val="000000"/>
          <w:szCs w:val="20"/>
          <w:lang w:val="en-US"/>
        </w:rPr>
        <w:fldChar w:fldCharType="end"/>
      </w:r>
      <w:r w:rsidR="00FB4898" w:rsidRPr="00715F78">
        <w:rPr>
          <w:color w:val="000000"/>
          <w:lang w:val="en-US"/>
        </w:rPr>
        <w:t>)</w:t>
      </w:r>
      <w:r w:rsidR="00F62B10" w:rsidRPr="00D3016D">
        <w:rPr>
          <w:rFonts w:cs="Arial"/>
          <w:color w:val="000000"/>
          <w:szCs w:val="20"/>
          <w:lang w:val="en-US"/>
        </w:rPr>
        <w:t>.</w:t>
      </w:r>
    </w:p>
    <w:p w14:paraId="49EE4D5E" w14:textId="77777777" w:rsidR="00923BAB" w:rsidRDefault="00923BAB" w:rsidP="001D65BC">
      <w:pPr>
        <w:pStyle w:val="Heading3"/>
        <w:rPr>
          <w:lang w:val="fr-FR"/>
        </w:rPr>
      </w:pPr>
      <w:bookmarkStart w:id="15" w:name="_Toc192499493"/>
      <w:r>
        <w:rPr>
          <w:lang w:val="fr-FR"/>
        </w:rPr>
        <w:t>2 GHz Frequency band</w:t>
      </w:r>
      <w:bookmarkEnd w:id="15"/>
      <w:r>
        <w:rPr>
          <w:lang w:val="fr-FR"/>
        </w:rPr>
        <w:t xml:space="preserve"> </w:t>
      </w:r>
    </w:p>
    <w:p w14:paraId="561AE59D" w14:textId="77777777" w:rsidR="0084551D" w:rsidRPr="006C2FC6" w:rsidRDefault="0084551D" w:rsidP="001D65BC">
      <w:pPr>
        <w:pStyle w:val="Heading4"/>
      </w:pPr>
      <w:r w:rsidRPr="006C2FC6">
        <w:t xml:space="preserve">2 GHz frequency band – aerial terminal stations served by non-AAS </w:t>
      </w:r>
      <w:r w:rsidR="00B95E22">
        <w:t>WBB ECS</w:t>
      </w:r>
      <w:r w:rsidRPr="006C2FC6">
        <w:t xml:space="preserve"> BS</w:t>
      </w:r>
    </w:p>
    <w:p w14:paraId="60E7A966" w14:textId="71619129" w:rsidR="00923BAB" w:rsidRPr="00923BAB" w:rsidRDefault="00AD630A" w:rsidP="00923BAB">
      <w:pPr>
        <w:pStyle w:val="ECCParagraph"/>
        <w:rPr>
          <w:lang w:val="en-US"/>
        </w:rPr>
      </w:pPr>
      <w:r>
        <w:rPr>
          <w:lang w:val="en-US"/>
        </w:rPr>
        <w:t>ATS</w:t>
      </w:r>
      <w:r w:rsidR="007835AC">
        <w:rPr>
          <w:lang w:val="en-US"/>
        </w:rPr>
        <w:t xml:space="preserve"> operating</w:t>
      </w:r>
      <w:r>
        <w:rPr>
          <w:lang w:val="en-US"/>
        </w:rPr>
        <w:t xml:space="preserve"> in t</w:t>
      </w:r>
      <w:r w:rsidR="00923BAB" w:rsidRPr="00923BAB">
        <w:rPr>
          <w:lang w:val="en-US"/>
        </w:rPr>
        <w:t xml:space="preserve">he 1920-1980 MHz </w:t>
      </w:r>
      <w:r w:rsidR="00FB4898">
        <w:rPr>
          <w:lang w:val="en-US"/>
        </w:rPr>
        <w:t xml:space="preserve">frequency </w:t>
      </w:r>
      <w:r w:rsidR="00923BAB" w:rsidRPr="00923BAB">
        <w:rPr>
          <w:lang w:val="en-US"/>
        </w:rPr>
        <w:t>band is adjacent to:</w:t>
      </w:r>
    </w:p>
    <w:p w14:paraId="325AA771" w14:textId="1088D704" w:rsidR="00923BAB" w:rsidRDefault="004F1C24" w:rsidP="006C2FC6">
      <w:pPr>
        <w:pStyle w:val="ECCBulletsLv1"/>
      </w:pPr>
      <w:r>
        <w:t xml:space="preserve">FRMCS operating in the </w:t>
      </w:r>
      <w:r w:rsidR="00FB4898">
        <w:t xml:space="preserve">frequency </w:t>
      </w:r>
      <w:r>
        <w:t xml:space="preserve">band </w:t>
      </w:r>
      <w:r w:rsidR="00923BAB" w:rsidRPr="00923BAB">
        <w:t>1900-19</w:t>
      </w:r>
      <w:r w:rsidR="005F5C6F">
        <w:t>1</w:t>
      </w:r>
      <w:r w:rsidR="00923BAB" w:rsidRPr="00923BAB">
        <w:t>0 MHz</w:t>
      </w:r>
      <w:r w:rsidR="006C2523">
        <w:t xml:space="preserve"> </w:t>
      </w:r>
      <w:r w:rsidR="006C2523" w:rsidRPr="006C2523">
        <w:t xml:space="preserve">with the associated harmonised technical conditions for Railway Mobile Radio (RMR) defined in ECC Decision (20)02 </w:t>
      </w:r>
      <w:r w:rsidR="00761D27">
        <w:fldChar w:fldCharType="begin"/>
      </w:r>
      <w:r w:rsidR="00761D27">
        <w:instrText xml:space="preserve"> REF _Ref181957960 \r \h </w:instrText>
      </w:r>
      <w:r w:rsidR="00761D27">
        <w:fldChar w:fldCharType="separate"/>
      </w:r>
      <w:r w:rsidR="00A038B5">
        <w:t>[11]</w:t>
      </w:r>
      <w:r w:rsidR="00761D27">
        <w:fldChar w:fldCharType="end"/>
      </w:r>
      <w:r w:rsidR="00761D27">
        <w:t xml:space="preserve"> </w:t>
      </w:r>
      <w:r w:rsidR="006C2523" w:rsidRPr="006C2523">
        <w:t>and corresponding Commission Implementing Decision (EU) 2021/1730</w:t>
      </w:r>
      <w:r w:rsidR="00761D27">
        <w:t xml:space="preserve"> </w:t>
      </w:r>
      <w:r w:rsidR="00761D27">
        <w:fldChar w:fldCharType="begin"/>
      </w:r>
      <w:r w:rsidR="00761D27">
        <w:instrText xml:space="preserve"> REF _Ref181957889 \r \h </w:instrText>
      </w:r>
      <w:r w:rsidR="00761D27">
        <w:fldChar w:fldCharType="separate"/>
      </w:r>
      <w:r w:rsidR="00A038B5">
        <w:t>[10]</w:t>
      </w:r>
      <w:r w:rsidR="00761D27">
        <w:fldChar w:fldCharType="end"/>
      </w:r>
      <w:r w:rsidR="004A182B">
        <w:t>.</w:t>
      </w:r>
      <w:r w:rsidR="00923BAB" w:rsidRPr="00923BAB">
        <w:t xml:space="preserve"> CEPT Report 52</w:t>
      </w:r>
      <w:r w:rsidR="006E3AFA">
        <w:t xml:space="preserve"> </w:t>
      </w:r>
      <w:r w:rsidR="004F6D72">
        <w:fldChar w:fldCharType="begin"/>
      </w:r>
      <w:r w:rsidR="004F6D72">
        <w:instrText xml:space="preserve"> REF _Ref176870089 \r \h </w:instrText>
      </w:r>
      <w:r w:rsidR="004F6D72">
        <w:fldChar w:fldCharType="separate"/>
      </w:r>
      <w:r w:rsidR="00A038B5">
        <w:t>[6]</w:t>
      </w:r>
      <w:r w:rsidR="004F6D72">
        <w:fldChar w:fldCharType="end"/>
      </w:r>
      <w:r w:rsidR="00774D3D">
        <w:t xml:space="preserve"> </w:t>
      </w:r>
      <w:r w:rsidR="00774D3D" w:rsidRPr="00500170">
        <w:rPr>
          <w:lang w:val="en-US"/>
        </w:rPr>
        <w:t>assess</w:t>
      </w:r>
      <w:r w:rsidR="00774D3D">
        <w:rPr>
          <w:lang w:val="en-US"/>
        </w:rPr>
        <w:t>es</w:t>
      </w:r>
      <w:r w:rsidR="00774D3D" w:rsidRPr="00500170">
        <w:rPr>
          <w:lang w:val="en-US"/>
        </w:rPr>
        <w:t xml:space="preserve"> and identif</w:t>
      </w:r>
      <w:r w:rsidR="00774D3D">
        <w:rPr>
          <w:lang w:val="en-US"/>
        </w:rPr>
        <w:t>ies</w:t>
      </w:r>
      <w:r w:rsidR="00774D3D" w:rsidRPr="00500170">
        <w:rPr>
          <w:lang w:val="en-US"/>
        </w:rPr>
        <w:t xml:space="preserve"> alternative uses of the 1900-1920 MHz</w:t>
      </w:r>
      <w:r w:rsidR="00774D3D">
        <w:rPr>
          <w:lang w:val="en-US"/>
        </w:rPr>
        <w:t xml:space="preserve"> frequency band</w:t>
      </w:r>
      <w:r w:rsidR="00774D3D" w:rsidRPr="00500170">
        <w:rPr>
          <w:lang w:val="en-US"/>
        </w:rPr>
        <w:t xml:space="preserve"> other than for the provision of mobile electronic communications services through terrestrial cellular networks</w:t>
      </w:r>
      <w:r w:rsidR="00923BAB" w:rsidRPr="00923BAB">
        <w:t xml:space="preserve"> </w:t>
      </w:r>
      <w:r w:rsidR="00631614">
        <w:t xml:space="preserve">that </w:t>
      </w:r>
      <w:r w:rsidR="00696C3E">
        <w:t xml:space="preserve">up to now </w:t>
      </w:r>
      <w:r w:rsidR="00631614">
        <w:t xml:space="preserve">have </w:t>
      </w:r>
      <w:r w:rsidR="00696C3E">
        <w:t xml:space="preserve">not </w:t>
      </w:r>
      <w:r w:rsidR="00631614">
        <w:t xml:space="preserve">been </w:t>
      </w:r>
      <w:r w:rsidR="00696C3E">
        <w:t xml:space="preserve">harmonised </w:t>
      </w:r>
      <w:r w:rsidR="00631614">
        <w:t>in CEPT and EU</w:t>
      </w:r>
      <w:r w:rsidR="00923BAB" w:rsidRPr="00923BAB">
        <w:t>;</w:t>
      </w:r>
    </w:p>
    <w:p w14:paraId="5AD6576A" w14:textId="5C93504F" w:rsidR="00ED6F58" w:rsidRPr="00454912" w:rsidRDefault="00B4723C" w:rsidP="006C2FC6">
      <w:pPr>
        <w:pStyle w:val="ECCBulletsLv1"/>
      </w:pPr>
      <w:r>
        <w:t>A</w:t>
      </w:r>
      <w:r w:rsidR="00A86071">
        <w:t xml:space="preserve"> </w:t>
      </w:r>
      <w:r w:rsidR="00A86071" w:rsidRPr="00452739">
        <w:t>M</w:t>
      </w:r>
      <w:r w:rsidR="00A86071">
        <w:t>obile-</w:t>
      </w:r>
      <w:r w:rsidR="00A86071" w:rsidRPr="00452739">
        <w:t>S</w:t>
      </w:r>
      <w:r w:rsidR="00A86071">
        <w:t xml:space="preserve">atellite </w:t>
      </w:r>
      <w:r w:rsidR="00A86071" w:rsidRPr="00452739">
        <w:t>S</w:t>
      </w:r>
      <w:r w:rsidR="00A86071">
        <w:t xml:space="preserve">ystems </w:t>
      </w:r>
      <w:r w:rsidR="00A86071" w:rsidRPr="00452739">
        <w:t>with Complementary Ground Components</w:t>
      </w:r>
      <w:r w:rsidR="00A86071" w:rsidDel="00A86071">
        <w:t xml:space="preserve"> </w:t>
      </w:r>
      <w:r w:rsidR="00A86071">
        <w:t>(</w:t>
      </w:r>
      <w:r w:rsidR="00AD630A">
        <w:t xml:space="preserve">MSS </w:t>
      </w:r>
      <w:r w:rsidR="00FB4898" w:rsidRPr="00CF6CD7">
        <w:t>CGC</w:t>
      </w:r>
      <w:r w:rsidR="00A86071">
        <w:t>)</w:t>
      </w:r>
      <w:r w:rsidR="00FB4898" w:rsidRPr="00CF6CD7">
        <w:t xml:space="preserve"> aeronautical system </w:t>
      </w:r>
      <w:r>
        <w:t xml:space="preserve">operating </w:t>
      </w:r>
      <w:r w:rsidR="00AD630A">
        <w:t>in t</w:t>
      </w:r>
      <w:r w:rsidR="00923BAB" w:rsidRPr="00923BAB">
        <w:t xml:space="preserve">he band 1980-2010 </w:t>
      </w:r>
      <w:r w:rsidR="00923BAB" w:rsidRPr="00454912">
        <w:t>MHz and used in Europe.</w:t>
      </w:r>
    </w:p>
    <w:p w14:paraId="6BE474A4" w14:textId="73CC13B9" w:rsidR="00AD630A" w:rsidRPr="00454912" w:rsidRDefault="00AD630A" w:rsidP="00286FFD">
      <w:pPr>
        <w:pStyle w:val="ECCParagraph"/>
        <w:rPr>
          <w:rFonts w:cs="Arial"/>
          <w:color w:val="000000"/>
          <w:szCs w:val="20"/>
        </w:rPr>
      </w:pPr>
      <w:r w:rsidRPr="00454912">
        <w:rPr>
          <w:lang w:val="en-US"/>
        </w:rPr>
        <w:lastRenderedPageBreak/>
        <w:t xml:space="preserve">Based on the outcome of ECC Report 309 </w:t>
      </w:r>
      <w:r w:rsidR="006E4706" w:rsidRPr="000C52B6">
        <w:fldChar w:fldCharType="begin"/>
      </w:r>
      <w:r w:rsidR="006E4706" w:rsidRPr="000C52B6">
        <w:instrText xml:space="preserve"> REF _Ref103695135 \r \h </w:instrText>
      </w:r>
      <w:r w:rsidR="006E4706">
        <w:instrText xml:space="preserve"> \* MERGEFORMAT </w:instrText>
      </w:r>
      <w:r w:rsidR="006E4706" w:rsidRPr="000C52B6">
        <w:fldChar w:fldCharType="separate"/>
      </w:r>
      <w:r w:rsidR="00A038B5">
        <w:t>[1]</w:t>
      </w:r>
      <w:r w:rsidR="006E4706" w:rsidRPr="000C52B6">
        <w:fldChar w:fldCharType="end"/>
      </w:r>
      <w:r w:rsidR="006E4706">
        <w:t xml:space="preserve"> </w:t>
      </w:r>
      <w:r w:rsidR="00823DDD" w:rsidRPr="00454912">
        <w:rPr>
          <w:lang w:val="en-US"/>
        </w:rPr>
        <w:t xml:space="preserve">which </w:t>
      </w:r>
      <w:r w:rsidR="00823DDD" w:rsidRPr="00454912">
        <w:rPr>
          <w:rFonts w:cs="Arial"/>
          <w:color w:val="000000"/>
          <w:szCs w:val="20"/>
        </w:rPr>
        <w:t>provides relevant analysis and studies for the coexistence with these services</w:t>
      </w:r>
      <w:r w:rsidR="00B379CD" w:rsidRPr="00454912">
        <w:rPr>
          <w:rFonts w:cs="Arial"/>
          <w:color w:val="000000"/>
          <w:szCs w:val="20"/>
        </w:rPr>
        <w:t xml:space="preserve"> and additional consideration</w:t>
      </w:r>
      <w:r w:rsidR="005D4E6D">
        <w:rPr>
          <w:rFonts w:cs="Arial"/>
          <w:color w:val="000000"/>
          <w:szCs w:val="20"/>
        </w:rPr>
        <w:t>s</w:t>
      </w:r>
      <w:r w:rsidR="00B379CD" w:rsidRPr="00454912">
        <w:rPr>
          <w:rFonts w:cs="Arial"/>
          <w:color w:val="000000"/>
          <w:szCs w:val="20"/>
        </w:rPr>
        <w:t xml:space="preserve"> during the drafting of this Report</w:t>
      </w:r>
      <w:r w:rsidR="00823DDD" w:rsidRPr="00454912">
        <w:rPr>
          <w:rFonts w:cs="Arial"/>
          <w:color w:val="000000"/>
          <w:szCs w:val="20"/>
        </w:rPr>
        <w:t xml:space="preserve">, </w:t>
      </w:r>
      <w:r w:rsidR="00CA1980">
        <w:rPr>
          <w:rFonts w:cs="Arial"/>
          <w:color w:val="000000"/>
          <w:szCs w:val="20"/>
        </w:rPr>
        <w:t>the following</w:t>
      </w:r>
      <w:r w:rsidR="00CA1980" w:rsidRPr="00454912">
        <w:rPr>
          <w:rFonts w:cs="Arial"/>
          <w:color w:val="000000"/>
          <w:szCs w:val="20"/>
        </w:rPr>
        <w:t xml:space="preserve"> </w:t>
      </w:r>
      <w:r w:rsidR="00823DDD" w:rsidRPr="00454912">
        <w:rPr>
          <w:rFonts w:cs="Arial"/>
          <w:color w:val="000000"/>
          <w:szCs w:val="20"/>
        </w:rPr>
        <w:t xml:space="preserve">can be concluded: </w:t>
      </w:r>
    </w:p>
    <w:p w14:paraId="365BB070" w14:textId="77777777" w:rsidR="00823DDD" w:rsidRPr="00454912" w:rsidRDefault="00823DDD" w:rsidP="00361306">
      <w:pPr>
        <w:pStyle w:val="ECCBulletsLv1"/>
      </w:pPr>
      <w:r w:rsidRPr="00454912">
        <w:t>There is no need for the implementation of coexistence techniques between ATS and FRMCS services</w:t>
      </w:r>
      <w:r w:rsidR="00A460D5">
        <w:t>;</w:t>
      </w:r>
    </w:p>
    <w:p w14:paraId="768C9213" w14:textId="449D24F7" w:rsidR="00823DDD" w:rsidRPr="00E61ABB" w:rsidRDefault="00823DDD" w:rsidP="00DF092E">
      <w:pPr>
        <w:pStyle w:val="ECCBulletsLv1"/>
        <w:rPr>
          <w:lang w:val="en-US"/>
        </w:rPr>
      </w:pPr>
      <w:r w:rsidRPr="00454912">
        <w:t>In the case of MSS services</w:t>
      </w:r>
      <w:r w:rsidR="007431F8" w:rsidRPr="00454912">
        <w:t xml:space="preserve"> and coexistence with CGC</w:t>
      </w:r>
      <w:r w:rsidRPr="00454912">
        <w:t xml:space="preserve">, </w:t>
      </w:r>
      <w:r w:rsidRPr="00454912">
        <w:rPr>
          <w:lang w:val="en-US"/>
        </w:rPr>
        <w:t xml:space="preserve">the results of the conducted studies have </w:t>
      </w:r>
      <w:r w:rsidR="004F6D72" w:rsidRPr="00454912">
        <w:rPr>
          <w:lang w:val="en-US"/>
        </w:rPr>
        <w:t>show</w:t>
      </w:r>
      <w:r w:rsidR="004F6D72">
        <w:rPr>
          <w:lang w:val="en-US"/>
        </w:rPr>
        <w:t>n</w:t>
      </w:r>
      <w:r w:rsidR="004F6D72" w:rsidRPr="00454912">
        <w:rPr>
          <w:lang w:val="en-US"/>
        </w:rPr>
        <w:t xml:space="preserve"> </w:t>
      </w:r>
      <w:r w:rsidRPr="00454912">
        <w:rPr>
          <w:lang w:val="en-US"/>
        </w:rPr>
        <w:t xml:space="preserve">that </w:t>
      </w:r>
      <w:r w:rsidRPr="00454912">
        <w:t>different modelling and parameter assumptions have led to different conclusions.</w:t>
      </w:r>
      <w:r w:rsidR="007431F8" w:rsidRPr="00454912">
        <w:t xml:space="preserve"> Further to additional consideration when drafting this </w:t>
      </w:r>
      <w:r w:rsidR="004F6D72">
        <w:t>R</w:t>
      </w:r>
      <w:r w:rsidR="004F6D72" w:rsidRPr="00454912">
        <w:t>eport</w:t>
      </w:r>
      <w:r w:rsidR="007431F8" w:rsidRPr="00454912">
        <w:t>, CEPT concluded that no condition is required for the protection of CG</w:t>
      </w:r>
      <w:r w:rsidR="00B4723C" w:rsidRPr="00454912">
        <w:t>C</w:t>
      </w:r>
      <w:r w:rsidR="007431F8" w:rsidRPr="00454912">
        <w:t xml:space="preserve"> operating in 1980-2010 MHz</w:t>
      </w:r>
      <w:r w:rsidR="00921B26" w:rsidRPr="00454912">
        <w:t>.</w:t>
      </w:r>
      <w:r w:rsidR="00B76803" w:rsidRPr="00454912">
        <w:t xml:space="preserve"> At this stage</w:t>
      </w:r>
      <w:r w:rsidR="00B4723C">
        <w:t xml:space="preserve"> CEPT administrations </w:t>
      </w:r>
      <w:r w:rsidR="00921B26">
        <w:t xml:space="preserve">are invited </w:t>
      </w:r>
      <w:r w:rsidR="00B4723C">
        <w:t>to report interference</w:t>
      </w:r>
      <w:r w:rsidR="00921B26" w:rsidRPr="007B2417">
        <w:rPr>
          <w:rStyle w:val="FootnoteReference"/>
        </w:rPr>
        <w:footnoteReference w:id="3"/>
      </w:r>
      <w:r w:rsidR="00921B26">
        <w:t>.</w:t>
      </w:r>
      <w:r w:rsidR="00921B26" w:rsidRPr="00921B26">
        <w:t xml:space="preserve"> If appropriate, CEPT will further review the issue and inform the European Commission accordingly</w:t>
      </w:r>
      <w:r w:rsidR="00921B26">
        <w:t>.</w:t>
      </w:r>
    </w:p>
    <w:p w14:paraId="09CCD77F" w14:textId="77777777" w:rsidR="0084551D" w:rsidRPr="006C2FC6" w:rsidRDefault="0084551D" w:rsidP="001D65BC">
      <w:pPr>
        <w:pStyle w:val="Heading4"/>
      </w:pPr>
      <w:r w:rsidRPr="006C2FC6">
        <w:t xml:space="preserve">2 GHz frequency band – aerial terminal stations served by AAS </w:t>
      </w:r>
      <w:r w:rsidR="00B95E22">
        <w:t>WBB ECS</w:t>
      </w:r>
      <w:r w:rsidRPr="006C2FC6">
        <w:t xml:space="preserve"> BS</w:t>
      </w:r>
    </w:p>
    <w:p w14:paraId="1273C887" w14:textId="2345313A" w:rsidR="0084551D" w:rsidRDefault="002B4506" w:rsidP="00361306">
      <w:pPr>
        <w:pStyle w:val="ECCParagraph"/>
        <w:rPr>
          <w:lang w:val="en-US"/>
        </w:rPr>
      </w:pPr>
      <w:r w:rsidRPr="006C2FC6">
        <w:rPr>
          <w:lang w:val="en-US"/>
        </w:rPr>
        <w:t>Compatibility analyses ha</w:t>
      </w:r>
      <w:r w:rsidR="004F6D72">
        <w:rPr>
          <w:lang w:val="en-US"/>
        </w:rPr>
        <w:t>ve</w:t>
      </w:r>
      <w:r w:rsidRPr="006C2FC6">
        <w:rPr>
          <w:lang w:val="en-US"/>
        </w:rPr>
        <w:t xml:space="preserve"> been performed in the ECC Report 348</w:t>
      </w:r>
      <w:r w:rsidR="006E3AFA" w:rsidRPr="006C2FC6">
        <w:rPr>
          <w:lang w:val="en-US"/>
        </w:rPr>
        <w:t xml:space="preserve"> </w:t>
      </w:r>
      <w:r w:rsidR="006E4706" w:rsidRPr="000C52B6">
        <w:fldChar w:fldCharType="begin"/>
      </w:r>
      <w:r w:rsidR="006E4706" w:rsidRPr="000C52B6">
        <w:instrText xml:space="preserve"> REF _Ref176865865 \r \h </w:instrText>
      </w:r>
      <w:r w:rsidR="006E4706">
        <w:instrText xml:space="preserve"> \* MERGEFORMAT </w:instrText>
      </w:r>
      <w:r w:rsidR="006E4706" w:rsidRPr="000C52B6">
        <w:fldChar w:fldCharType="separate"/>
      </w:r>
      <w:r w:rsidR="00A038B5">
        <w:t>[2]</w:t>
      </w:r>
      <w:r w:rsidR="006E4706" w:rsidRPr="000C52B6">
        <w:fldChar w:fldCharType="end"/>
      </w:r>
      <w:r w:rsidRPr="006C2FC6">
        <w:rPr>
          <w:lang w:val="en-US"/>
        </w:rPr>
        <w:t xml:space="preserve"> </w:t>
      </w:r>
      <w:r w:rsidR="00823DDD">
        <w:rPr>
          <w:lang w:val="en-US"/>
        </w:rPr>
        <w:t>in order to identify if ATS</w:t>
      </w:r>
      <w:r w:rsidR="007431F8" w:rsidRPr="007431F8">
        <w:rPr>
          <w:lang w:val="en-US"/>
        </w:rPr>
        <w:t xml:space="preserve"> </w:t>
      </w:r>
      <w:r w:rsidR="007431F8">
        <w:rPr>
          <w:lang w:val="en-US"/>
        </w:rPr>
        <w:t>operating in t</w:t>
      </w:r>
      <w:r w:rsidR="007431F8" w:rsidRPr="00923BAB">
        <w:rPr>
          <w:lang w:val="en-US"/>
        </w:rPr>
        <w:t>he 1920-1980 MHz band</w:t>
      </w:r>
      <w:r w:rsidR="007431F8">
        <w:rPr>
          <w:lang w:val="en-US"/>
        </w:rPr>
        <w:t>,</w:t>
      </w:r>
      <w:r w:rsidR="00823DDD">
        <w:rPr>
          <w:lang w:val="en-US"/>
        </w:rPr>
        <w:t xml:space="preserve"> served by AAS </w:t>
      </w:r>
      <w:r w:rsidR="00B95E22">
        <w:rPr>
          <w:lang w:val="en-US"/>
        </w:rPr>
        <w:t>WBB ECS</w:t>
      </w:r>
      <w:r w:rsidR="00823DDD">
        <w:rPr>
          <w:lang w:val="en-US"/>
        </w:rPr>
        <w:t xml:space="preserve"> BS</w:t>
      </w:r>
      <w:r w:rsidR="004F6D72">
        <w:rPr>
          <w:lang w:val="en-US"/>
        </w:rPr>
        <w:t>,</w:t>
      </w:r>
      <w:r w:rsidR="001B259E">
        <w:rPr>
          <w:lang w:val="en-US"/>
        </w:rPr>
        <w:t xml:space="preserve"> differ from ATS served by non-AAS </w:t>
      </w:r>
      <w:r w:rsidR="00B95E22">
        <w:rPr>
          <w:lang w:val="en-US"/>
        </w:rPr>
        <w:t>WBB ECS</w:t>
      </w:r>
      <w:r w:rsidR="001B259E">
        <w:rPr>
          <w:lang w:val="en-US"/>
        </w:rPr>
        <w:t xml:space="preserve"> BS </w:t>
      </w:r>
      <w:r w:rsidRPr="00823DDD">
        <w:rPr>
          <w:lang w:val="en-US"/>
        </w:rPr>
        <w:t xml:space="preserve">and </w:t>
      </w:r>
      <w:r w:rsidR="006A2FEC">
        <w:rPr>
          <w:lang w:val="en-US"/>
        </w:rPr>
        <w:t>led</w:t>
      </w:r>
      <w:r w:rsidRPr="00823DDD">
        <w:rPr>
          <w:lang w:val="en-US"/>
        </w:rPr>
        <w:t xml:space="preserve"> to the following results:</w:t>
      </w:r>
    </w:p>
    <w:p w14:paraId="7EE0AF04" w14:textId="307E5643" w:rsidR="005F5C6F" w:rsidRPr="00823DDD" w:rsidRDefault="005F5C6F" w:rsidP="003D3A35">
      <w:pPr>
        <w:pStyle w:val="ECCBulletsLv1"/>
        <w:rPr>
          <w:lang w:val="en-US"/>
        </w:rPr>
      </w:pPr>
      <w:r w:rsidRPr="006C2FC6">
        <w:t xml:space="preserve">No </w:t>
      </w:r>
      <w:r>
        <w:t>need for</w:t>
      </w:r>
      <w:r w:rsidRPr="006C2FC6">
        <w:t xml:space="preserve"> protection measure is identified with </w:t>
      </w:r>
      <w:r w:rsidR="003107FB">
        <w:t>the mobile-satellite service (</w:t>
      </w:r>
      <w:r>
        <w:t>MSS</w:t>
      </w:r>
      <w:r w:rsidR="003107FB">
        <w:t>)</w:t>
      </w:r>
      <w:r w:rsidRPr="006C2FC6">
        <w:t xml:space="preserve"> operating in </w:t>
      </w:r>
      <w:r>
        <w:t>1980-2010</w:t>
      </w:r>
      <w:r w:rsidR="001C6B6B">
        <w:t> </w:t>
      </w:r>
      <w:r w:rsidRPr="006C2FC6">
        <w:t>MHz;</w:t>
      </w:r>
    </w:p>
    <w:p w14:paraId="0CA733B4" w14:textId="15CF16C5" w:rsidR="005F5C6F" w:rsidRDefault="002B4506" w:rsidP="003D3A35">
      <w:pPr>
        <w:pStyle w:val="ECCBulletsLv1"/>
      </w:pPr>
      <w:r w:rsidRPr="006C2FC6">
        <w:t xml:space="preserve">No </w:t>
      </w:r>
      <w:r w:rsidR="007431F8">
        <w:t>need for</w:t>
      </w:r>
      <w:r w:rsidRPr="006C2FC6">
        <w:t xml:space="preserve"> protection measure is identified with satellite services operating in 2025-2110 MHz (Earth-to-space);</w:t>
      </w:r>
    </w:p>
    <w:p w14:paraId="05772EA0" w14:textId="44A930AC" w:rsidR="002B4506" w:rsidRPr="00216A24" w:rsidRDefault="002B4506" w:rsidP="003D3A35">
      <w:pPr>
        <w:pStyle w:val="ECCBulletsLv1"/>
      </w:pPr>
      <w:r w:rsidRPr="006C2FC6">
        <w:t xml:space="preserve">No </w:t>
      </w:r>
      <w:r w:rsidR="007431F8">
        <w:t xml:space="preserve">need for </w:t>
      </w:r>
      <w:r w:rsidRPr="006C2FC6">
        <w:t>protection measure is identified with MSS</w:t>
      </w:r>
      <w:r w:rsidR="00A86071">
        <w:t xml:space="preserve"> </w:t>
      </w:r>
      <w:r w:rsidRPr="006C2FC6">
        <w:t xml:space="preserve">CGC </w:t>
      </w:r>
      <w:r w:rsidR="005F5C6F">
        <w:t xml:space="preserve">receivers </w:t>
      </w:r>
      <w:r w:rsidRPr="006C2FC6">
        <w:t>in 2170-2200 MHz.</w:t>
      </w:r>
    </w:p>
    <w:p w14:paraId="4844665F" w14:textId="5727BACE" w:rsidR="000759A0" w:rsidRPr="0032661B" w:rsidRDefault="00216A24" w:rsidP="001D65BC">
      <w:pPr>
        <w:pStyle w:val="Heading3"/>
        <w:rPr>
          <w:lang w:val="en-GB"/>
        </w:rPr>
      </w:pPr>
      <w:bookmarkStart w:id="16" w:name="_Toc192499494"/>
      <w:r>
        <w:t>2.6 GHz frequency band</w:t>
      </w:r>
      <w:bookmarkEnd w:id="16"/>
    </w:p>
    <w:p w14:paraId="031837D6" w14:textId="77777777" w:rsidR="00F85C2B" w:rsidRPr="001449EE" w:rsidRDefault="00F85C2B" w:rsidP="001D65BC">
      <w:pPr>
        <w:pStyle w:val="Heading4"/>
      </w:pPr>
      <w:r w:rsidRPr="001449EE">
        <w:t>2</w:t>
      </w:r>
      <w:r>
        <w:t xml:space="preserve">.6 </w:t>
      </w:r>
      <w:r w:rsidRPr="001449EE">
        <w:t xml:space="preserve">GHz frequency band – aerial terminal stations served by </w:t>
      </w:r>
      <w:r>
        <w:t>non</w:t>
      </w:r>
      <w:r w:rsidR="00925A00">
        <w:t>-</w:t>
      </w:r>
      <w:r w:rsidRPr="001449EE">
        <w:t xml:space="preserve">AAS </w:t>
      </w:r>
      <w:r w:rsidR="00B95E22">
        <w:t>WBB ECS</w:t>
      </w:r>
      <w:r w:rsidRPr="001449EE">
        <w:t xml:space="preserve"> BS</w:t>
      </w:r>
    </w:p>
    <w:p w14:paraId="5322C0BE" w14:textId="77D7B4D8" w:rsidR="000F5DAF" w:rsidRDefault="00F85C2B" w:rsidP="000F5DAF">
      <w:pPr>
        <w:pStyle w:val="ECCParagraph"/>
      </w:pPr>
      <w:r>
        <w:t>ATS in the 2.6 GHz has been studied in two cases, where ATS operates the 2.6 GHz FDD UL band (</w:t>
      </w:r>
      <w:r w:rsidR="000F5DAF">
        <w:t>2500-2570 MHz</w:t>
      </w:r>
      <w:r>
        <w:t>)</w:t>
      </w:r>
      <w:r w:rsidR="000F5DAF">
        <w:t xml:space="preserve"> </w:t>
      </w:r>
      <w:r>
        <w:t xml:space="preserve">and in the </w:t>
      </w:r>
      <w:r w:rsidR="000F5DAF">
        <w:t xml:space="preserve">TDD </w:t>
      </w:r>
      <w:r>
        <w:t xml:space="preserve">band </w:t>
      </w:r>
      <w:r w:rsidR="000F5DAF">
        <w:t>2570-2620 MHz.</w:t>
      </w:r>
    </w:p>
    <w:p w14:paraId="7749151C" w14:textId="2941A7B3" w:rsidR="000F5DAF" w:rsidRDefault="001B259E" w:rsidP="000F5DAF">
      <w:pPr>
        <w:pStyle w:val="ECCParagraph"/>
      </w:pPr>
      <w:r>
        <w:t xml:space="preserve">ATS operating in </w:t>
      </w:r>
      <w:r w:rsidR="000F5DAF">
        <w:t xml:space="preserve">2500-2570 MHz </w:t>
      </w:r>
      <w:r w:rsidR="004F6D72">
        <w:t xml:space="preserve">are </w:t>
      </w:r>
      <w:r w:rsidR="000F5DAF">
        <w:t>adjacent to:</w:t>
      </w:r>
    </w:p>
    <w:p w14:paraId="49BBCD14" w14:textId="56CB40CA" w:rsidR="000F5DAF" w:rsidRDefault="000F5DAF" w:rsidP="006D7FE7">
      <w:pPr>
        <w:pStyle w:val="ECCBulletsLv1"/>
      </w:pPr>
      <w:r>
        <w:t>F</w:t>
      </w:r>
      <w:r w:rsidR="00A86071">
        <w:t xml:space="preserve">ixed </w:t>
      </w:r>
      <w:r>
        <w:t>S</w:t>
      </w:r>
      <w:r w:rsidR="00A86071">
        <w:t>ervice</w:t>
      </w:r>
      <w:r>
        <w:t>, MSS (space to earth) and M</w:t>
      </w:r>
      <w:r w:rsidR="00A86071">
        <w:t xml:space="preserve">obile </w:t>
      </w:r>
      <w:r>
        <w:t>S</w:t>
      </w:r>
      <w:r w:rsidR="00A86071">
        <w:t>ervice</w:t>
      </w:r>
      <w:r>
        <w:t xml:space="preserve"> </w:t>
      </w:r>
      <w:r w:rsidR="002617AE">
        <w:t xml:space="preserve">(MS) </w:t>
      </w:r>
      <w:r>
        <w:t>below 2500 MHz;</w:t>
      </w:r>
    </w:p>
    <w:p w14:paraId="44B7667C" w14:textId="4E815927" w:rsidR="00216A24" w:rsidRDefault="004F6D72" w:rsidP="006D7FE7">
      <w:pPr>
        <w:pStyle w:val="ECCBulletsLv1"/>
      </w:pPr>
      <w:r>
        <w:t xml:space="preserve">MS in </w:t>
      </w:r>
      <w:r w:rsidR="000F5DAF">
        <w:t xml:space="preserve">the 2570-2620 MHz </w:t>
      </w:r>
      <w:r w:rsidR="00925F3B">
        <w:t xml:space="preserve">unpaired </w:t>
      </w:r>
      <w:r w:rsidR="000F5DAF">
        <w:t>TDD band;</w:t>
      </w:r>
    </w:p>
    <w:p w14:paraId="4AE3844E" w14:textId="534609DA" w:rsidR="00216A24" w:rsidRDefault="000F5DAF" w:rsidP="006D7FE7">
      <w:pPr>
        <w:pStyle w:val="ECCBulletsLv1"/>
      </w:pPr>
      <w:r>
        <w:t xml:space="preserve">MSS and MS services below 2500 MHz as well as </w:t>
      </w:r>
      <w:r w:rsidR="005756BB">
        <w:t>WBB ECS</w:t>
      </w:r>
      <w:r>
        <w:t xml:space="preserve"> above 2570 MHz</w:t>
      </w:r>
      <w:r w:rsidR="00A86071">
        <w:t>,</w:t>
      </w:r>
      <w:r>
        <w:t xml:space="preserve"> operating with receivers on the ground</w:t>
      </w:r>
      <w:r w:rsidR="00A460D5">
        <w:t>;</w:t>
      </w:r>
    </w:p>
    <w:p w14:paraId="15577556" w14:textId="77777777" w:rsidR="000F5DAF" w:rsidRDefault="000F5DAF" w:rsidP="006D7FE7">
      <w:pPr>
        <w:pStyle w:val="ECCBulletsLv1"/>
      </w:pPr>
      <w:r>
        <w:t xml:space="preserve">FS stations below 2500 MHz </w:t>
      </w:r>
      <w:r w:rsidR="00DC4DB4" w:rsidRPr="00CF6CD7">
        <w:t>typically</w:t>
      </w:r>
      <w:r w:rsidR="004C25E3">
        <w:t xml:space="preserve"> pointing</w:t>
      </w:r>
      <w:r w:rsidR="00DC4DB4" w:rsidRPr="00CF6CD7">
        <w:t xml:space="preserve"> towards the horizon</w:t>
      </w:r>
      <w:r w:rsidR="00A460D5">
        <w:t>.</w:t>
      </w:r>
    </w:p>
    <w:p w14:paraId="573D2547" w14:textId="6DE752C8" w:rsidR="00495427" w:rsidRDefault="003C2E29" w:rsidP="000F5DAF">
      <w:pPr>
        <w:pStyle w:val="ECCParagraph"/>
      </w:pPr>
      <w:r>
        <w:t xml:space="preserve">Based on </w:t>
      </w:r>
      <w:r w:rsidR="0009035A">
        <w:t xml:space="preserve">the outcome of ECC Report 309 </w:t>
      </w:r>
      <w:r w:rsidR="0009035A" w:rsidRPr="000C52B6">
        <w:fldChar w:fldCharType="begin"/>
      </w:r>
      <w:r w:rsidR="0009035A" w:rsidRPr="000C52B6">
        <w:instrText xml:space="preserve"> REF _Ref103695135 \r \h </w:instrText>
      </w:r>
      <w:r w:rsidR="0009035A">
        <w:instrText xml:space="preserve"> \* MERGEFORMAT </w:instrText>
      </w:r>
      <w:r w:rsidR="0009035A" w:rsidRPr="000C52B6">
        <w:fldChar w:fldCharType="separate"/>
      </w:r>
      <w:r w:rsidR="0009035A">
        <w:t>[1]</w:t>
      </w:r>
      <w:r w:rsidR="0009035A" w:rsidRPr="000C52B6">
        <w:fldChar w:fldCharType="end"/>
      </w:r>
      <w:r w:rsidR="0009035A">
        <w:t>, no specific measure is required for coexistence of ATS with the uses mentioned above.</w:t>
      </w:r>
    </w:p>
    <w:p w14:paraId="5FCC081B" w14:textId="40F4E47C" w:rsidR="000F5DAF" w:rsidRDefault="00DB20CB" w:rsidP="000F5DAF">
      <w:pPr>
        <w:pStyle w:val="ECCParagraph"/>
      </w:pPr>
      <w:r>
        <w:t xml:space="preserve">ATS </w:t>
      </w:r>
      <w:r w:rsidR="005756BB">
        <w:t>operating in t</w:t>
      </w:r>
      <w:r w:rsidR="000F5DAF">
        <w:t xml:space="preserve">he 2570-2620 MHz band </w:t>
      </w:r>
      <w:r w:rsidR="004F6D72">
        <w:t xml:space="preserve">are </w:t>
      </w:r>
      <w:r w:rsidR="000F5DAF">
        <w:t>adjacent to:</w:t>
      </w:r>
    </w:p>
    <w:p w14:paraId="315FE28E" w14:textId="77777777" w:rsidR="000F5DAF" w:rsidRDefault="000F5DAF" w:rsidP="006D7FE7">
      <w:pPr>
        <w:pStyle w:val="ECCBulletsLv1"/>
      </w:pPr>
      <w:r>
        <w:t xml:space="preserve">the 2500-2570 MHz </w:t>
      </w:r>
      <w:r w:rsidR="00B95E22">
        <w:t>WBB ECS</w:t>
      </w:r>
      <w:r>
        <w:t xml:space="preserve"> UL band;</w:t>
      </w:r>
    </w:p>
    <w:p w14:paraId="468326E5" w14:textId="77777777" w:rsidR="000F5DAF" w:rsidRDefault="000F5DAF" w:rsidP="006D7FE7">
      <w:pPr>
        <w:pStyle w:val="ECCBulletsLv1"/>
      </w:pPr>
      <w:r>
        <w:t xml:space="preserve">the 2620-2690 MHz </w:t>
      </w:r>
      <w:r w:rsidR="00B95E22">
        <w:t>WBB ECS</w:t>
      </w:r>
      <w:r>
        <w:t xml:space="preserve"> DL band.</w:t>
      </w:r>
    </w:p>
    <w:p w14:paraId="3077F9B5" w14:textId="5671CD5A" w:rsidR="000F5DAF" w:rsidRDefault="004F6D72" w:rsidP="000F5DAF">
      <w:pPr>
        <w:pStyle w:val="ECCParagraph"/>
      </w:pPr>
      <w:r>
        <w:t>Non</w:t>
      </w:r>
      <w:r w:rsidR="003D31C1">
        <w:t>-AAS ATS</w:t>
      </w:r>
      <w:r w:rsidR="000F5DAF">
        <w:t xml:space="preserve"> operating in 2570-2620 MHz will not create more interference to </w:t>
      </w:r>
      <w:r w:rsidR="00B95E22">
        <w:t>WBB ECS</w:t>
      </w:r>
      <w:r w:rsidR="000F5DAF">
        <w:t xml:space="preserve"> networks deployed in 2500-2570 MHz than </w:t>
      </w:r>
      <w:r w:rsidR="003D31C1">
        <w:t>non-AAS ATS</w:t>
      </w:r>
      <w:r w:rsidR="000F5DAF">
        <w:t xml:space="preserve"> operating in adjacent channels within 2500-2570 MHz</w:t>
      </w:r>
      <w:r w:rsidR="00334E53">
        <w:t xml:space="preserve"> (see </w:t>
      </w:r>
      <w:r w:rsidR="00334E53">
        <w:rPr>
          <w:lang w:val="en-US"/>
        </w:rPr>
        <w:t xml:space="preserve">ECC Report 309 </w:t>
      </w:r>
      <w:r w:rsidR="00334E53" w:rsidRPr="000C52B6">
        <w:fldChar w:fldCharType="begin"/>
      </w:r>
      <w:r w:rsidR="00334E53" w:rsidRPr="000C52B6">
        <w:instrText xml:space="preserve"> REF _Ref103695135 \r \h </w:instrText>
      </w:r>
      <w:r w:rsidR="00334E53">
        <w:instrText xml:space="preserve"> \* MERGEFORMAT </w:instrText>
      </w:r>
      <w:r w:rsidR="00334E53" w:rsidRPr="000C52B6">
        <w:fldChar w:fldCharType="separate"/>
      </w:r>
      <w:r w:rsidR="00334E53">
        <w:t>[1]</w:t>
      </w:r>
      <w:r w:rsidR="00334E53" w:rsidRPr="000C52B6">
        <w:fldChar w:fldCharType="end"/>
      </w:r>
      <w:r w:rsidR="00334E53">
        <w:t>)</w:t>
      </w:r>
      <w:r w:rsidR="000F5DAF">
        <w:t>.</w:t>
      </w:r>
    </w:p>
    <w:p w14:paraId="05B3586B" w14:textId="133E22C0" w:rsidR="00E97736" w:rsidRPr="00216A24" w:rsidRDefault="00F85C2B" w:rsidP="00F85C2B">
      <w:pPr>
        <w:pStyle w:val="ECCParagraph"/>
        <w:rPr>
          <w:rFonts w:cs="Arial"/>
          <w:color w:val="000000"/>
          <w:szCs w:val="20"/>
          <w:lang w:val="en-US"/>
        </w:rPr>
      </w:pPr>
      <w:r>
        <w:rPr>
          <w:lang w:val="en-US"/>
        </w:rPr>
        <w:t xml:space="preserve">Based on the </w:t>
      </w:r>
      <w:r w:rsidR="004D2D57">
        <w:rPr>
          <w:lang w:val="en-US"/>
        </w:rPr>
        <w:t xml:space="preserve">above and </w:t>
      </w:r>
      <w:r>
        <w:rPr>
          <w:lang w:val="en-US"/>
        </w:rPr>
        <w:t xml:space="preserve">outcome of ECC Report </w:t>
      </w:r>
      <w:proofErr w:type="gramStart"/>
      <w:r>
        <w:rPr>
          <w:lang w:val="en-US"/>
        </w:rPr>
        <w:t xml:space="preserve">309 </w:t>
      </w:r>
      <w:r w:rsidR="0055627D">
        <w:rPr>
          <w:rFonts w:cs="Arial"/>
          <w:color w:val="000000"/>
          <w:szCs w:val="20"/>
        </w:rPr>
        <w:t>,</w:t>
      </w:r>
      <w:proofErr w:type="gramEnd"/>
      <w:r>
        <w:rPr>
          <w:rFonts w:cs="Arial"/>
          <w:color w:val="000000"/>
          <w:szCs w:val="20"/>
        </w:rPr>
        <w:t xml:space="preserve"> it can be concluded that </w:t>
      </w:r>
      <w:r w:rsidRPr="00216A24">
        <w:rPr>
          <w:rFonts w:cs="Arial"/>
          <w:color w:val="000000"/>
          <w:szCs w:val="20"/>
          <w:lang w:val="en-US"/>
        </w:rPr>
        <w:t>ATS can</w:t>
      </w:r>
      <w:r>
        <w:rPr>
          <w:rFonts w:cs="Arial"/>
          <w:color w:val="000000"/>
          <w:szCs w:val="20"/>
          <w:lang w:val="en-US"/>
        </w:rPr>
        <w:t xml:space="preserve"> only</w:t>
      </w:r>
      <w:r w:rsidRPr="00216A24">
        <w:rPr>
          <w:rFonts w:cs="Arial"/>
          <w:color w:val="000000"/>
          <w:szCs w:val="20"/>
          <w:lang w:val="en-US"/>
        </w:rPr>
        <w:t xml:space="preserve"> operate in the </w:t>
      </w:r>
      <w:r>
        <w:rPr>
          <w:rFonts w:cs="Arial"/>
          <w:color w:val="000000"/>
          <w:szCs w:val="20"/>
          <w:lang w:val="en-US"/>
        </w:rPr>
        <w:t>26</w:t>
      </w:r>
      <w:r w:rsidRPr="00216A24">
        <w:rPr>
          <w:rFonts w:cs="Arial"/>
          <w:color w:val="000000"/>
          <w:szCs w:val="20"/>
          <w:lang w:val="en-US"/>
        </w:rPr>
        <w:t>00 MHz frequency band with the implementation of</w:t>
      </w:r>
      <w:r>
        <w:rPr>
          <w:rFonts w:cs="Arial"/>
          <w:color w:val="000000"/>
          <w:szCs w:val="20"/>
          <w:lang w:val="en-US"/>
        </w:rPr>
        <w:t xml:space="preserve"> </w:t>
      </w:r>
      <w:r w:rsidRPr="00216A24">
        <w:rPr>
          <w:rFonts w:cs="Arial"/>
          <w:color w:val="000000"/>
          <w:szCs w:val="20"/>
          <w:lang w:val="en-US"/>
        </w:rPr>
        <w:t>coexistence conditions</w:t>
      </w:r>
      <w:r w:rsidR="007431F8">
        <w:rPr>
          <w:rFonts w:cs="Arial"/>
          <w:color w:val="000000"/>
          <w:szCs w:val="20"/>
          <w:lang w:val="en-US"/>
        </w:rPr>
        <w:t xml:space="preserve"> in order to protect</w:t>
      </w:r>
      <w:r w:rsidRPr="00216A24">
        <w:rPr>
          <w:rFonts w:cs="Arial"/>
          <w:color w:val="000000"/>
          <w:szCs w:val="20"/>
          <w:lang w:val="en-US"/>
        </w:rPr>
        <w:t xml:space="preserve"> </w:t>
      </w:r>
      <w:r w:rsidR="00A86071">
        <w:rPr>
          <w:rFonts w:cs="Arial"/>
          <w:color w:val="000000"/>
          <w:szCs w:val="20"/>
          <w:lang w:val="en-US"/>
        </w:rPr>
        <w:t>r</w:t>
      </w:r>
      <w:r>
        <w:rPr>
          <w:rFonts w:cs="Arial"/>
          <w:color w:val="000000"/>
          <w:szCs w:val="20"/>
          <w:lang w:val="en-US"/>
        </w:rPr>
        <w:t>adar above 2700 MHz</w:t>
      </w:r>
      <w:r w:rsidR="00A86071">
        <w:rPr>
          <w:rFonts w:cs="Arial"/>
          <w:color w:val="000000"/>
          <w:szCs w:val="20"/>
          <w:lang w:val="en-US"/>
        </w:rPr>
        <w:t xml:space="preserve"> and</w:t>
      </w:r>
      <w:r w:rsidR="007431F8" w:rsidRPr="007431F8">
        <w:t xml:space="preserve"> </w:t>
      </w:r>
      <w:r w:rsidR="007431F8" w:rsidRPr="007431F8">
        <w:rPr>
          <w:rFonts w:cs="Arial"/>
          <w:color w:val="000000"/>
          <w:szCs w:val="20"/>
          <w:lang w:val="en-US"/>
        </w:rPr>
        <w:t>RAS in 2690-2700 MHz</w:t>
      </w:r>
      <w:r w:rsidRPr="00216A24">
        <w:rPr>
          <w:rFonts w:cs="Arial"/>
          <w:color w:val="000000"/>
          <w:szCs w:val="20"/>
          <w:lang w:val="en-US"/>
        </w:rPr>
        <w:t>.</w:t>
      </w:r>
      <w:r w:rsidR="0044362C">
        <w:rPr>
          <w:rFonts w:cs="Arial"/>
          <w:color w:val="000000"/>
          <w:szCs w:val="20"/>
          <w:lang w:val="en-US"/>
        </w:rPr>
        <w:t xml:space="preserve"> </w:t>
      </w:r>
      <w:r w:rsidR="00E97736" w:rsidRPr="003D6B7A">
        <w:rPr>
          <w:rFonts w:cs="Arial"/>
          <w:color w:val="000000"/>
          <w:szCs w:val="20"/>
          <w:lang w:val="en-US"/>
        </w:rPr>
        <w:t>Out-of-band emission limit: -50 dBm/MHz in the frequency range 2690-2900 MHz for ATS operating in 2500-2570 MHz or 2570-2620 MHz.</w:t>
      </w:r>
    </w:p>
    <w:p w14:paraId="4C53B52C" w14:textId="77777777" w:rsidR="00F85C2B" w:rsidRPr="001449EE" w:rsidRDefault="00F85C2B" w:rsidP="003E7815">
      <w:pPr>
        <w:pStyle w:val="Heading4"/>
        <w:keepNext/>
      </w:pPr>
      <w:r w:rsidRPr="001449EE">
        <w:lastRenderedPageBreak/>
        <w:t>2</w:t>
      </w:r>
      <w:r w:rsidR="0045742B">
        <w:t>.6</w:t>
      </w:r>
      <w:r w:rsidRPr="001449EE">
        <w:t xml:space="preserve"> GHz frequency band – aerial terminal stations served by AAS </w:t>
      </w:r>
      <w:r w:rsidR="00B95E22">
        <w:t>WBB ECS</w:t>
      </w:r>
      <w:r w:rsidRPr="001449EE">
        <w:t xml:space="preserve"> BS</w:t>
      </w:r>
    </w:p>
    <w:p w14:paraId="425A2A95" w14:textId="7A9A62C1" w:rsidR="00F85C2B" w:rsidRPr="00823DDD" w:rsidRDefault="00F85C2B" w:rsidP="003E7815">
      <w:pPr>
        <w:pStyle w:val="ECCParagraph"/>
        <w:keepNext/>
        <w:rPr>
          <w:lang w:val="en-US"/>
        </w:rPr>
      </w:pPr>
      <w:r w:rsidRPr="001449EE">
        <w:rPr>
          <w:lang w:val="en-US"/>
        </w:rPr>
        <w:t>Compatibility analyses ha</w:t>
      </w:r>
      <w:r w:rsidR="004F6D72">
        <w:rPr>
          <w:lang w:val="en-US"/>
        </w:rPr>
        <w:t>ve</w:t>
      </w:r>
      <w:r w:rsidRPr="001449EE">
        <w:rPr>
          <w:lang w:val="en-US"/>
        </w:rPr>
        <w:t xml:space="preserve"> been performed in the ECC Report 348 </w:t>
      </w:r>
      <w:r w:rsidR="006E4706" w:rsidRPr="000C52B6">
        <w:fldChar w:fldCharType="begin"/>
      </w:r>
      <w:r w:rsidR="006E4706" w:rsidRPr="000C52B6">
        <w:instrText xml:space="preserve"> REF _Ref176865865 \r \h </w:instrText>
      </w:r>
      <w:r w:rsidR="006E4706">
        <w:instrText xml:space="preserve"> \* MERGEFORMAT </w:instrText>
      </w:r>
      <w:r w:rsidR="006E4706" w:rsidRPr="000C52B6">
        <w:fldChar w:fldCharType="separate"/>
      </w:r>
      <w:r w:rsidR="00A038B5">
        <w:t>[2]</w:t>
      </w:r>
      <w:r w:rsidR="006E4706" w:rsidRPr="000C52B6">
        <w:fldChar w:fldCharType="end"/>
      </w:r>
      <w:r w:rsidR="006E4706" w:rsidRPr="001449EE">
        <w:rPr>
          <w:lang w:val="en-US"/>
        </w:rPr>
        <w:t xml:space="preserve"> </w:t>
      </w:r>
      <w:r>
        <w:rPr>
          <w:lang w:val="en-US"/>
        </w:rPr>
        <w:t xml:space="preserve">in order to identify if </w:t>
      </w:r>
      <w:r w:rsidR="00696C3E">
        <w:rPr>
          <w:lang w:val="en-US"/>
        </w:rPr>
        <w:t xml:space="preserve">an </w:t>
      </w:r>
      <w:r>
        <w:rPr>
          <w:lang w:val="en-US"/>
        </w:rPr>
        <w:t xml:space="preserve">ATS served by AAS </w:t>
      </w:r>
      <w:r w:rsidR="00B95E22">
        <w:rPr>
          <w:lang w:val="en-US"/>
        </w:rPr>
        <w:t>WBB ECS</w:t>
      </w:r>
      <w:r>
        <w:rPr>
          <w:lang w:val="en-US"/>
        </w:rPr>
        <w:t xml:space="preserve"> BS differ</w:t>
      </w:r>
      <w:r w:rsidR="00E054B5">
        <w:rPr>
          <w:lang w:val="en-US"/>
        </w:rPr>
        <w:t>s</w:t>
      </w:r>
      <w:r>
        <w:rPr>
          <w:lang w:val="en-US"/>
        </w:rPr>
        <w:t xml:space="preserve"> from ATS served by non-AAS </w:t>
      </w:r>
      <w:r w:rsidR="00B95E22">
        <w:rPr>
          <w:lang w:val="en-US"/>
        </w:rPr>
        <w:t>WBB ECS</w:t>
      </w:r>
      <w:r>
        <w:rPr>
          <w:lang w:val="en-US"/>
        </w:rPr>
        <w:t xml:space="preserve"> BS </w:t>
      </w:r>
      <w:r w:rsidRPr="00823DDD">
        <w:rPr>
          <w:lang w:val="en-US"/>
        </w:rPr>
        <w:t>and led to the following results:</w:t>
      </w:r>
    </w:p>
    <w:p w14:paraId="1820688E" w14:textId="77777777" w:rsidR="009E2507" w:rsidRPr="006D7FE7" w:rsidRDefault="00F85C2B" w:rsidP="003E7815">
      <w:pPr>
        <w:pStyle w:val="ECCBulletsLv1"/>
        <w:keepNext/>
      </w:pPr>
      <w:r w:rsidRPr="006D7FE7">
        <w:t>No additional protection measure is identified for RAS and Radar operating the 2.6 GHz.</w:t>
      </w:r>
    </w:p>
    <w:p w14:paraId="2E57BB92" w14:textId="77777777" w:rsidR="00806FD9" w:rsidRDefault="00A8167C" w:rsidP="004929E1">
      <w:pPr>
        <w:pStyle w:val="Heading1"/>
      </w:pPr>
      <w:bookmarkStart w:id="17" w:name="_Toc192499495"/>
      <w:r>
        <w:lastRenderedPageBreak/>
        <w:t xml:space="preserve">Recommended </w:t>
      </w:r>
      <w:r w:rsidR="00FE515D">
        <w:t>Regulatory Framework</w:t>
      </w:r>
      <w:bookmarkEnd w:id="17"/>
    </w:p>
    <w:p w14:paraId="76C39B6A" w14:textId="581847F7" w:rsidR="00BE1AFF" w:rsidRPr="00DD458E" w:rsidRDefault="00C67022" w:rsidP="00DD458E">
      <w:pPr>
        <w:pStyle w:val="ECCParagraph"/>
      </w:pPr>
      <w:r w:rsidRPr="00DD458E">
        <w:t xml:space="preserve">The recommended regulatory framework </w:t>
      </w:r>
      <w:r w:rsidR="003611B2" w:rsidRPr="00DD458E">
        <w:t xml:space="preserve">including the harmonised operational and technical conditions </w:t>
      </w:r>
      <w:r w:rsidR="009974CF" w:rsidRPr="00DD458E">
        <w:t>is presented</w:t>
      </w:r>
      <w:r w:rsidRPr="00DD458E">
        <w:t xml:space="preserve"> in </w:t>
      </w:r>
      <w:r w:rsidR="004F6D72">
        <w:fldChar w:fldCharType="begin"/>
      </w:r>
      <w:r w:rsidR="004F6D72">
        <w:instrText xml:space="preserve"> REF _Ref176870437 \r \h </w:instrText>
      </w:r>
      <w:r w:rsidR="004F6D72">
        <w:fldChar w:fldCharType="separate"/>
      </w:r>
      <w:r w:rsidR="00A038B5">
        <w:t>A</w:t>
      </w:r>
      <w:r w:rsidR="0067694F">
        <w:t>nnex</w:t>
      </w:r>
      <w:r w:rsidR="00A038B5">
        <w:t xml:space="preserve"> 2</w:t>
      </w:r>
      <w:r w:rsidR="004F6D72">
        <w:fldChar w:fldCharType="end"/>
      </w:r>
      <w:r w:rsidRPr="00DD458E">
        <w:t>. The following definitions are relevant to understand their application.</w:t>
      </w:r>
    </w:p>
    <w:p w14:paraId="492E275F" w14:textId="77777777" w:rsidR="00416118" w:rsidRDefault="00416118" w:rsidP="001D65BC">
      <w:pPr>
        <w:pStyle w:val="Heading3"/>
      </w:pPr>
      <w:bookmarkStart w:id="18" w:name="_Ref186703796"/>
      <w:bookmarkStart w:id="19" w:name="_Toc192499496"/>
      <w:r>
        <w:t>Non</w:t>
      </w:r>
      <w:r w:rsidR="00D73546">
        <w:t>-</w:t>
      </w:r>
      <w:r>
        <w:t>AAS ATS</w:t>
      </w:r>
      <w:bookmarkEnd w:id="18"/>
      <w:bookmarkEnd w:id="19"/>
    </w:p>
    <w:p w14:paraId="0AA936B7" w14:textId="43D64FC2" w:rsidR="00416118" w:rsidRDefault="00416118" w:rsidP="00416118">
      <w:pPr>
        <w:pStyle w:val="ECCParagraph"/>
      </w:pPr>
      <w:r>
        <w:t xml:space="preserve">In the context of this CEPT </w:t>
      </w:r>
      <w:r w:rsidR="004F6D72">
        <w:t>Report</w:t>
      </w:r>
      <w:r>
        <w:t>, aerial terminal station using non</w:t>
      </w:r>
      <w:r w:rsidR="009D5CF3">
        <w:t>-</w:t>
      </w:r>
      <w:r>
        <w:t>active antenna system</w:t>
      </w:r>
      <w:r w:rsidR="004F6D72">
        <w:t xml:space="preserve"> (non</w:t>
      </w:r>
      <w:r w:rsidR="00A86071">
        <w:t>-</w:t>
      </w:r>
      <w:r w:rsidR="004F6D72">
        <w:t>AAS ATS</w:t>
      </w:r>
      <w:r>
        <w:t xml:space="preserve">) refers to </w:t>
      </w:r>
      <w:r w:rsidR="00563DDD">
        <w:t xml:space="preserve">a </w:t>
      </w:r>
      <w:r w:rsidR="00840F24">
        <w:t>system installed on board of an unmanned aircraft (e.g</w:t>
      </w:r>
      <w:r w:rsidR="004F6D72">
        <w:t>.</w:t>
      </w:r>
      <w:r w:rsidR="00840F24">
        <w:t xml:space="preserve"> drone) or </w:t>
      </w:r>
      <w:r>
        <w:t>on</w:t>
      </w:r>
      <w:r w:rsidR="00A86071">
        <w:t xml:space="preserve"> </w:t>
      </w:r>
      <w:r>
        <w:t>board manned aircraft (e.g. helicopter</w:t>
      </w:r>
      <w:r w:rsidR="00563DDD">
        <w:t>)</w:t>
      </w:r>
      <w:r>
        <w:t>.</w:t>
      </w:r>
    </w:p>
    <w:p w14:paraId="18A4BDBC" w14:textId="0032D491" w:rsidR="00840F24" w:rsidRDefault="006C58FF" w:rsidP="00416118">
      <w:pPr>
        <w:pStyle w:val="ECCParagraph"/>
        <w:rPr>
          <w:szCs w:val="20"/>
        </w:rPr>
      </w:pPr>
      <w:r>
        <w:rPr>
          <w:szCs w:val="20"/>
        </w:rPr>
        <w:t>T</w:t>
      </w:r>
      <w:r w:rsidR="000B72AE">
        <w:rPr>
          <w:szCs w:val="20"/>
        </w:rPr>
        <w:t>he</w:t>
      </w:r>
      <w:r w:rsidR="00B12EB6">
        <w:rPr>
          <w:szCs w:val="20"/>
        </w:rPr>
        <w:t xml:space="preserve"> usage of </w:t>
      </w:r>
      <w:r w:rsidR="00914CBC">
        <w:rPr>
          <w:szCs w:val="20"/>
        </w:rPr>
        <w:t>“</w:t>
      </w:r>
      <w:r w:rsidR="00B12EB6">
        <w:rPr>
          <w:szCs w:val="20"/>
        </w:rPr>
        <w:t>aerial</w:t>
      </w:r>
      <w:r w:rsidR="00914CBC">
        <w:rPr>
          <w:szCs w:val="20"/>
        </w:rPr>
        <w:t>”</w:t>
      </w:r>
      <w:r w:rsidR="00B12EB6">
        <w:rPr>
          <w:szCs w:val="20"/>
        </w:rPr>
        <w:t xml:space="preserve"> </w:t>
      </w:r>
      <w:r>
        <w:rPr>
          <w:szCs w:val="20"/>
        </w:rPr>
        <w:t>terminal station</w:t>
      </w:r>
      <w:r w:rsidR="00B12EB6">
        <w:rPr>
          <w:szCs w:val="20"/>
        </w:rPr>
        <w:t>s</w:t>
      </w:r>
      <w:r w:rsidR="000B72AE">
        <w:rPr>
          <w:szCs w:val="20"/>
        </w:rPr>
        <w:t xml:space="preserve"> can be</w:t>
      </w:r>
      <w:r w:rsidR="00B12EB6">
        <w:rPr>
          <w:szCs w:val="20"/>
        </w:rPr>
        <w:t xml:space="preserve"> up to 10000 m. The communications links of </w:t>
      </w:r>
      <w:r>
        <w:rPr>
          <w:szCs w:val="20"/>
        </w:rPr>
        <w:t>ATS</w:t>
      </w:r>
      <w:r w:rsidR="00B12EB6">
        <w:rPr>
          <w:szCs w:val="20"/>
        </w:rPr>
        <w:t xml:space="preserve"> may be used for any type of communication, possibly including command and control and payload within </w:t>
      </w:r>
      <w:r w:rsidR="00B95E22">
        <w:rPr>
          <w:szCs w:val="20"/>
        </w:rPr>
        <w:t>WBB ECS</w:t>
      </w:r>
      <w:r w:rsidR="00B12EB6">
        <w:rPr>
          <w:szCs w:val="20"/>
        </w:rPr>
        <w:t xml:space="preserve"> bands.</w:t>
      </w:r>
    </w:p>
    <w:p w14:paraId="030F9211" w14:textId="77777777" w:rsidR="00B578A9" w:rsidRDefault="00B578A9" w:rsidP="00416118">
      <w:pPr>
        <w:pStyle w:val="ECCParagraph"/>
      </w:pPr>
      <w:r>
        <w:t xml:space="preserve">Aerial terminal station can be </w:t>
      </w:r>
      <w:r w:rsidR="005B71F9">
        <w:t>differentiated</w:t>
      </w:r>
      <w:r>
        <w:t xml:space="preserve"> from </w:t>
      </w:r>
      <w:r w:rsidR="00563DDD">
        <w:t xml:space="preserve">WBB ECS </w:t>
      </w:r>
      <w:r>
        <w:t xml:space="preserve">ground terminal station by using specific mechanism such as </w:t>
      </w:r>
      <w:r w:rsidR="009D5CF3">
        <w:t>aerial subscription.</w:t>
      </w:r>
    </w:p>
    <w:p w14:paraId="07635592" w14:textId="77777777" w:rsidR="00840F24" w:rsidRDefault="00E2409D" w:rsidP="001D65BC">
      <w:pPr>
        <w:pStyle w:val="Heading3"/>
      </w:pPr>
      <w:bookmarkStart w:id="20" w:name="_Toc192499497"/>
      <w:r>
        <w:t>“</w:t>
      </w:r>
      <w:r w:rsidR="00840F24">
        <w:t>No</w:t>
      </w:r>
      <w:r w:rsidR="00622EC8">
        <w:t>-</w:t>
      </w:r>
      <w:r w:rsidR="00840F24">
        <w:t>transmit</w:t>
      </w:r>
      <w:r>
        <w:t>”</w:t>
      </w:r>
      <w:r w:rsidR="00840F24">
        <w:t xml:space="preserve"> zone</w:t>
      </w:r>
      <w:bookmarkEnd w:id="20"/>
    </w:p>
    <w:p w14:paraId="08D668C8" w14:textId="3911712E" w:rsidR="00E728F4" w:rsidRDefault="000A5AFD" w:rsidP="006D7FE7">
      <w:pPr>
        <w:pStyle w:val="ECCParagraph"/>
      </w:pPr>
      <w:r w:rsidRPr="00216A24">
        <w:t>In the context of aerial terminal station</w:t>
      </w:r>
      <w:r w:rsidR="00E2409D">
        <w:t xml:space="preserve"> and in order to protect some adjacent services as described in this </w:t>
      </w:r>
      <w:r w:rsidR="004F6D72">
        <w:t>Report</w:t>
      </w:r>
      <w:r w:rsidRPr="00216A24">
        <w:t xml:space="preserve">, there is a need </w:t>
      </w:r>
      <w:r w:rsidR="004F6D72">
        <w:t>to identify</w:t>
      </w:r>
      <w:r w:rsidR="00E2409D">
        <w:t xml:space="preserve"> </w:t>
      </w:r>
      <w:r w:rsidR="00E2409D" w:rsidRPr="00DF092E">
        <w:t xml:space="preserve">geographical areas </w:t>
      </w:r>
      <w:r w:rsidR="005966DD" w:rsidRPr="00DF092E">
        <w:t>where</w:t>
      </w:r>
      <w:r w:rsidR="00E2409D" w:rsidRPr="00DF092E">
        <w:t xml:space="preserve"> ATS shall not transmit</w:t>
      </w:r>
      <w:r w:rsidR="00E2409D" w:rsidRPr="00216A24">
        <w:t xml:space="preserve"> for spectrum compatibility purposes in a given harmonised </w:t>
      </w:r>
      <w:r w:rsidR="00E2409D">
        <w:t>WBB ECS</w:t>
      </w:r>
      <w:r w:rsidR="00E2409D" w:rsidRPr="00216A24">
        <w:t xml:space="preserve"> band or part of it</w:t>
      </w:r>
      <w:r w:rsidR="00E2409D">
        <w:t xml:space="preserve">. </w:t>
      </w:r>
      <w:r w:rsidR="004F6D72">
        <w:t xml:space="preserve">This area </w:t>
      </w:r>
      <w:r w:rsidR="00E2409D">
        <w:t>is</w:t>
      </w:r>
      <w:r w:rsidRPr="00216A24">
        <w:t xml:space="preserve"> called </w:t>
      </w:r>
      <w:r w:rsidR="00E2409D">
        <w:t>“</w:t>
      </w:r>
      <w:r w:rsidRPr="00216A24">
        <w:t>no</w:t>
      </w:r>
      <w:r w:rsidR="00622EC8">
        <w:t>-</w:t>
      </w:r>
      <w:r w:rsidRPr="00216A24">
        <w:t>tran</w:t>
      </w:r>
      <w:r w:rsidR="00F33EE3" w:rsidRPr="00216A24">
        <w:t>s</w:t>
      </w:r>
      <w:r w:rsidRPr="00216A24">
        <w:t>mit</w:t>
      </w:r>
      <w:r w:rsidR="00E2409D">
        <w:t>”</w:t>
      </w:r>
      <w:r w:rsidRPr="00216A24">
        <w:t xml:space="preserve"> zone.</w:t>
      </w:r>
    </w:p>
    <w:p w14:paraId="247E879B" w14:textId="6D2FB585" w:rsidR="00E2409D" w:rsidRPr="00454912" w:rsidRDefault="000A5AFD" w:rsidP="006D7FE7">
      <w:pPr>
        <w:pStyle w:val="ECCParagraph"/>
      </w:pPr>
      <w:r w:rsidRPr="00454912">
        <w:t xml:space="preserve">These </w:t>
      </w:r>
      <w:r w:rsidR="00F033DE">
        <w:t>“</w:t>
      </w:r>
      <w:r w:rsidRPr="00454912">
        <w:t>no-</w:t>
      </w:r>
      <w:r w:rsidR="00F33EE3" w:rsidRPr="00454912">
        <w:t>transmit</w:t>
      </w:r>
      <w:r w:rsidR="00F033DE">
        <w:t>”</w:t>
      </w:r>
      <w:r w:rsidR="00F33EE3" w:rsidRPr="00454912">
        <w:t xml:space="preserve"> zone</w:t>
      </w:r>
      <w:r w:rsidRPr="00454912">
        <w:t xml:space="preserve">s are specific to transmitters in given bands or even in given channels. </w:t>
      </w:r>
      <w:r w:rsidR="00E2409D" w:rsidRPr="00454912">
        <w:t>Such zone</w:t>
      </w:r>
      <w:r w:rsidR="004F6D72">
        <w:t>s</w:t>
      </w:r>
      <w:r w:rsidR="00E2409D" w:rsidRPr="00454912">
        <w:t xml:space="preserve"> shall be identified</w:t>
      </w:r>
      <w:r w:rsidR="009C2E0B" w:rsidRPr="00454912">
        <w:t xml:space="preserve"> </w:t>
      </w:r>
      <w:r w:rsidR="00440123" w:rsidRPr="00454912">
        <w:t xml:space="preserve">and </w:t>
      </w:r>
      <w:r w:rsidR="00E2409D" w:rsidRPr="00454912">
        <w:t>implemented at national level (transmission restriction in given geographical areas).</w:t>
      </w:r>
    </w:p>
    <w:p w14:paraId="2525106B" w14:textId="77777777" w:rsidR="00563DDD" w:rsidRPr="00454912" w:rsidRDefault="000A5AFD" w:rsidP="006D7FE7">
      <w:pPr>
        <w:pStyle w:val="ECCParagraph"/>
      </w:pPr>
      <w:r w:rsidRPr="00454912">
        <w:t xml:space="preserve">In this Report, these </w:t>
      </w:r>
      <w:r w:rsidR="004F6D72">
        <w:rPr>
          <w:u w:val="single"/>
        </w:rPr>
        <w:t>“</w:t>
      </w:r>
      <w:r w:rsidR="00E2409D" w:rsidRPr="00454912">
        <w:t>no</w:t>
      </w:r>
      <w:r w:rsidR="00622EC8" w:rsidRPr="00454912">
        <w:t>-</w:t>
      </w:r>
      <w:r w:rsidR="004F6D72" w:rsidRPr="00454912">
        <w:t>transmit</w:t>
      </w:r>
      <w:r w:rsidR="004F6D72">
        <w:t>”</w:t>
      </w:r>
      <w:r w:rsidR="004F6D72" w:rsidRPr="00454912">
        <w:t xml:space="preserve"> </w:t>
      </w:r>
      <w:r w:rsidRPr="00454912">
        <w:t>zones are defined for spectrum compatibility purposes.</w:t>
      </w:r>
      <w:r w:rsidR="00E2409D" w:rsidRPr="00454912">
        <w:t xml:space="preserve"> Other frequency bands, no</w:t>
      </w:r>
      <w:r w:rsidR="00B379CD" w:rsidRPr="00454912">
        <w:t>t</w:t>
      </w:r>
      <w:r w:rsidR="00E2409D" w:rsidRPr="00454912">
        <w:t xml:space="preserve"> subject to a </w:t>
      </w:r>
      <w:r w:rsidR="004F6D72">
        <w:t>”</w:t>
      </w:r>
      <w:r w:rsidR="00E2409D" w:rsidRPr="00454912">
        <w:t xml:space="preserve">no-transmit” zone requirement, could be used as appropriate in the given geographical area. </w:t>
      </w:r>
      <w:r w:rsidRPr="00454912">
        <w:t xml:space="preserve">Relevant national authorities and users should be informed of </w:t>
      </w:r>
      <w:r w:rsidR="00E2409D" w:rsidRPr="00454912">
        <w:t>“no</w:t>
      </w:r>
      <w:r w:rsidR="00622EC8" w:rsidRPr="00454912">
        <w:t>-</w:t>
      </w:r>
      <w:r w:rsidR="00E2409D" w:rsidRPr="00454912">
        <w:t>transmit”</w:t>
      </w:r>
      <w:r w:rsidRPr="00454912">
        <w:t xml:space="preserve"> zones related to spectrum compatibility. Any such </w:t>
      </w:r>
      <w:r w:rsidR="004F6D72">
        <w:t>”</w:t>
      </w:r>
      <w:r w:rsidR="00E2409D" w:rsidRPr="00454912">
        <w:t>no</w:t>
      </w:r>
      <w:r w:rsidR="00622EC8" w:rsidRPr="00454912">
        <w:t>-</w:t>
      </w:r>
      <w:r w:rsidR="00E2409D" w:rsidRPr="00454912">
        <w:t>transmit”</w:t>
      </w:r>
      <w:r w:rsidRPr="00454912">
        <w:t xml:space="preserve"> zones required to achieve coexistence would be defined by the </w:t>
      </w:r>
      <w:r w:rsidR="00563DDD" w:rsidRPr="00454912">
        <w:t>Member States</w:t>
      </w:r>
      <w:r w:rsidRPr="00454912">
        <w:t>.</w:t>
      </w:r>
    </w:p>
    <w:p w14:paraId="19F393EB" w14:textId="77777777" w:rsidR="000A5AFD" w:rsidRPr="00216A24" w:rsidRDefault="000A5AFD" w:rsidP="006D7FE7">
      <w:pPr>
        <w:pStyle w:val="ECCParagraph"/>
      </w:pPr>
      <w:r w:rsidRPr="00454912">
        <w:t xml:space="preserve">Additionally, there is also a need to establish a mechanism to ensure that </w:t>
      </w:r>
      <w:r w:rsidR="009A7B1E" w:rsidRPr="00454912">
        <w:t>ATS</w:t>
      </w:r>
      <w:r w:rsidR="006354C4" w:rsidRPr="00454912">
        <w:t xml:space="preserve"> </w:t>
      </w:r>
      <w:r w:rsidRPr="00454912">
        <w:t xml:space="preserve">respect the </w:t>
      </w:r>
      <w:r w:rsidR="009507F2" w:rsidRPr="00454912">
        <w:t>“no</w:t>
      </w:r>
      <w:r w:rsidR="00622EC8" w:rsidRPr="00454912">
        <w:t>-</w:t>
      </w:r>
      <w:r w:rsidR="009507F2" w:rsidRPr="00454912">
        <w:t>transmit”</w:t>
      </w:r>
      <w:r w:rsidRPr="00454912">
        <w:t xml:space="preserve"> zone defined by</w:t>
      </w:r>
      <w:r w:rsidR="0012652A" w:rsidRPr="00454912">
        <w:t xml:space="preserve"> </w:t>
      </w:r>
      <w:r w:rsidR="00535AB4">
        <w:t>M</w:t>
      </w:r>
      <w:r w:rsidR="00535AB4" w:rsidRPr="00454912">
        <w:t xml:space="preserve">ember </w:t>
      </w:r>
      <w:r w:rsidR="00535AB4">
        <w:t>S</w:t>
      </w:r>
      <w:r w:rsidR="00535AB4" w:rsidRPr="00454912">
        <w:t>tates</w:t>
      </w:r>
      <w:r w:rsidRPr="00454912">
        <w:t xml:space="preserve">. Such mechanism may need activities in </w:t>
      </w:r>
      <w:r w:rsidR="009C2E0B" w:rsidRPr="00454912">
        <w:t xml:space="preserve">different </w:t>
      </w:r>
      <w:r w:rsidRPr="00454912">
        <w:t xml:space="preserve">standardisation </w:t>
      </w:r>
      <w:r w:rsidR="009C2E0B" w:rsidRPr="00454912">
        <w:t xml:space="preserve">bodies (e.g. 3GPP, </w:t>
      </w:r>
      <w:r w:rsidRPr="00454912">
        <w:t>ETSI in Europe</w:t>
      </w:r>
      <w:r w:rsidR="009C2E0B" w:rsidRPr="00454912">
        <w:t>, etc.)</w:t>
      </w:r>
      <w:r w:rsidRPr="00454912">
        <w:t xml:space="preserve">. </w:t>
      </w:r>
      <w:r w:rsidR="00440123" w:rsidRPr="00454912">
        <w:t xml:space="preserve">When drafting this </w:t>
      </w:r>
      <w:r w:rsidR="00535AB4">
        <w:t>R</w:t>
      </w:r>
      <w:r w:rsidR="00535AB4" w:rsidRPr="00454912">
        <w:t>eport</w:t>
      </w:r>
      <w:r w:rsidR="00440123" w:rsidRPr="00454912">
        <w:t xml:space="preserve">, CEPT noted that availability of national </w:t>
      </w:r>
      <w:r w:rsidR="00E61ABB" w:rsidRPr="00454912">
        <w:t>”no-transmit” zone</w:t>
      </w:r>
      <w:r w:rsidR="00440123" w:rsidRPr="00454912">
        <w:t xml:space="preserve"> information at the national WBB ECS terrestrial networks could help to develop such relevant mechanism. It is up to each Member State to manage how the relevant information is made available for such purpose.</w:t>
      </w:r>
    </w:p>
    <w:p w14:paraId="307E56F1" w14:textId="77777777" w:rsidR="00AB46DF" w:rsidRPr="00737D5F" w:rsidRDefault="00A8167C" w:rsidP="004929E1">
      <w:pPr>
        <w:pStyle w:val="Heading1"/>
      </w:pPr>
      <w:bookmarkStart w:id="21" w:name="_Toc192499498"/>
      <w:r>
        <w:lastRenderedPageBreak/>
        <w:t>ETSI</w:t>
      </w:r>
      <w:r w:rsidRPr="00A8167C">
        <w:t xml:space="preserve"> </w:t>
      </w:r>
      <w:r w:rsidRPr="003D3A35">
        <w:t>support to the implementation of this regulatory framework</w:t>
      </w:r>
      <w:bookmarkEnd w:id="21"/>
    </w:p>
    <w:p w14:paraId="79DA3AB5" w14:textId="5A53A64D" w:rsidR="00166803" w:rsidRDefault="005522BF" w:rsidP="006D7FE7">
      <w:pPr>
        <w:spacing w:before="240" w:after="60"/>
        <w:jc w:val="both"/>
      </w:pPr>
      <w:r>
        <w:t>CEPT invited</w:t>
      </w:r>
      <w:r w:rsidR="00563DDD">
        <w:t xml:space="preserve"> in November 2022</w:t>
      </w:r>
      <w:r w:rsidR="00166803">
        <w:t xml:space="preserve"> ETSI</w:t>
      </w:r>
      <w:r w:rsidR="009507F2">
        <w:rPr>
          <w:rStyle w:val="FootnoteReference"/>
        </w:rPr>
        <w:footnoteReference w:id="4"/>
      </w:r>
      <w:r w:rsidR="00166803">
        <w:t xml:space="preserve"> to include the following requirements in</w:t>
      </w:r>
      <w:r w:rsidR="00166803" w:rsidRPr="0018268C">
        <w:t xml:space="preserve"> </w:t>
      </w:r>
      <w:r w:rsidR="00166803">
        <w:t xml:space="preserve">future </w:t>
      </w:r>
      <w:r w:rsidR="00166803" w:rsidRPr="0018268C">
        <w:t>ETSI harmonised standard</w:t>
      </w:r>
      <w:r w:rsidR="00535AB4">
        <w:t xml:space="preserve"> (HS)</w:t>
      </w:r>
      <w:r w:rsidR="00166803">
        <w:t xml:space="preserve"> on </w:t>
      </w:r>
      <w:r w:rsidR="00A377EE">
        <w:t>ATS</w:t>
      </w:r>
      <w:r>
        <w:t xml:space="preserve"> </w:t>
      </w:r>
      <w:r w:rsidR="00166803" w:rsidRPr="0018268C">
        <w:t>in order to ensure</w:t>
      </w:r>
      <w:r w:rsidR="00166803">
        <w:t xml:space="preserve"> a coherence with t</w:t>
      </w:r>
      <w:r>
        <w:t>he</w:t>
      </w:r>
      <w:r w:rsidR="00A377EE">
        <w:t xml:space="preserve"> regulatory framework proposed in this Report</w:t>
      </w:r>
      <w:r w:rsidR="00166803">
        <w:t>:</w:t>
      </w:r>
    </w:p>
    <w:p w14:paraId="440B25D1" w14:textId="6BB79957" w:rsidR="00166803" w:rsidRPr="006D7FE7" w:rsidRDefault="00166803" w:rsidP="006D7FE7">
      <w:pPr>
        <w:pStyle w:val="ECCBulletsLv1"/>
      </w:pPr>
      <w:r w:rsidRPr="006D7FE7">
        <w:t xml:space="preserve">additional </w:t>
      </w:r>
      <w:r w:rsidR="00535AB4" w:rsidRPr="006D7FE7">
        <w:t>out-of-band emission (</w:t>
      </w:r>
      <w:r w:rsidRPr="006D7FE7">
        <w:t>OOBE</w:t>
      </w:r>
      <w:r w:rsidR="00535AB4" w:rsidRPr="006D7FE7">
        <w:t>)</w:t>
      </w:r>
      <w:r w:rsidRPr="006D7FE7">
        <w:t xml:space="preserve"> requirements applicable to </w:t>
      </w:r>
      <w:r w:rsidR="003D31C1" w:rsidRPr="006D7FE7">
        <w:t>non-AAS ATS</w:t>
      </w:r>
      <w:r w:rsidRPr="006D7FE7">
        <w:t xml:space="preserve"> in the following frequency bands 1710-1785 MHz, 2500-2570 MHz, 2570-2620 MHz, as defined </w:t>
      </w:r>
      <w:r w:rsidR="00A377EE" w:rsidRPr="006D7FE7">
        <w:t xml:space="preserve">in </w:t>
      </w:r>
      <w:r w:rsidR="000B47A5" w:rsidRPr="006D7FE7">
        <w:t xml:space="preserve">section </w:t>
      </w:r>
      <w:r w:rsidR="00C14753" w:rsidRPr="006D7FE7">
        <w:fldChar w:fldCharType="begin"/>
      </w:r>
      <w:r w:rsidR="00C14753" w:rsidRPr="006D7FE7">
        <w:instrText xml:space="preserve"> REF _Ref177095354 \r \h </w:instrText>
      </w:r>
      <w:r w:rsidR="006D7FE7">
        <w:instrText xml:space="preserve"> \* MERGEFORMAT </w:instrText>
      </w:r>
      <w:r w:rsidR="00C14753" w:rsidRPr="006D7FE7">
        <w:fldChar w:fldCharType="separate"/>
      </w:r>
      <w:r w:rsidR="00A038B5">
        <w:t>2</w:t>
      </w:r>
      <w:r w:rsidR="00C14753" w:rsidRPr="006D7FE7">
        <w:fldChar w:fldCharType="end"/>
      </w:r>
      <w:r w:rsidRPr="006D7FE7">
        <w:t xml:space="preserve">. In other frequency bands, OOBE limits applicable to terrestrial UE remain unchanged for </w:t>
      </w:r>
      <w:r w:rsidR="003D31C1" w:rsidRPr="006D7FE7">
        <w:t>non-AAS ATS</w:t>
      </w:r>
      <w:r w:rsidR="00A460D5" w:rsidRPr="006D7FE7">
        <w:t>;</w:t>
      </w:r>
    </w:p>
    <w:p w14:paraId="7AB6AAB3" w14:textId="7D829C55" w:rsidR="00166803" w:rsidRPr="006D7FE7" w:rsidRDefault="00166803" w:rsidP="006D7FE7">
      <w:pPr>
        <w:pStyle w:val="ECCBulletsLv1"/>
      </w:pPr>
      <w:r w:rsidRPr="006D7FE7">
        <w:t xml:space="preserve">a mechanism coherent with the </w:t>
      </w:r>
      <w:r w:rsidR="000B47A5" w:rsidRPr="006D7FE7">
        <w:t xml:space="preserve">ATS </w:t>
      </w:r>
      <w:r w:rsidRPr="006D7FE7">
        <w:t>definition</w:t>
      </w:r>
      <w:r w:rsidR="00536258">
        <w:t xml:space="preserve"> (see section </w:t>
      </w:r>
      <w:r w:rsidR="00536258">
        <w:fldChar w:fldCharType="begin"/>
      </w:r>
      <w:r w:rsidR="00536258">
        <w:instrText xml:space="preserve"> REF _Ref186703796 \r \h </w:instrText>
      </w:r>
      <w:r w:rsidR="00536258">
        <w:fldChar w:fldCharType="separate"/>
      </w:r>
      <w:r w:rsidR="00536258">
        <w:t>3.1.1</w:t>
      </w:r>
      <w:r w:rsidR="00536258">
        <w:fldChar w:fldCharType="end"/>
      </w:r>
      <w:r w:rsidR="00536258">
        <w:t>)</w:t>
      </w:r>
      <w:r w:rsidRPr="006D7FE7">
        <w:t xml:space="preserve"> in order to differentiate</w:t>
      </w:r>
      <w:r w:rsidR="000B47A5" w:rsidRPr="006D7FE7">
        <w:t xml:space="preserve"> it </w:t>
      </w:r>
      <w:r w:rsidRPr="006D7FE7">
        <w:t xml:space="preserve">from terrestrial UE operating under </w:t>
      </w:r>
      <w:r w:rsidR="00B379CD" w:rsidRPr="006D7FE7">
        <w:t>WBB ECS</w:t>
      </w:r>
      <w:r w:rsidRPr="006D7FE7">
        <w:t xml:space="preserve"> networks</w:t>
      </w:r>
      <w:r w:rsidR="00AF57AE" w:rsidRPr="006D7FE7">
        <w:t xml:space="preserve"> that would allow mobile operators to identify non-AAS ATS</w:t>
      </w:r>
      <w:r w:rsidR="00200681">
        <w:rPr>
          <w:rStyle w:val="FootnoteReference"/>
        </w:rPr>
        <w:footnoteReference w:id="5"/>
      </w:r>
      <w:r w:rsidR="00AF57AE" w:rsidRPr="006D7FE7">
        <w:t xml:space="preserve"> and also to manage interference</w:t>
      </w:r>
      <w:r w:rsidR="0083411B" w:rsidRPr="006D7FE7">
        <w:t xml:space="preserve"> intra WBB ECS networks</w:t>
      </w:r>
      <w:r w:rsidR="00A460D5" w:rsidRPr="006D7FE7">
        <w:t>;</w:t>
      </w:r>
    </w:p>
    <w:p w14:paraId="4CBF84D2" w14:textId="77777777" w:rsidR="00166803" w:rsidRPr="006D7FE7" w:rsidRDefault="00166803" w:rsidP="006D7FE7">
      <w:pPr>
        <w:pStyle w:val="ECCBulletsLv1"/>
      </w:pPr>
      <w:r w:rsidRPr="006D7FE7">
        <w:t xml:space="preserve">differentiation of </w:t>
      </w:r>
      <w:r w:rsidR="006A3211" w:rsidRPr="006D7FE7">
        <w:t xml:space="preserve">ATS </w:t>
      </w:r>
      <w:r w:rsidRPr="006D7FE7">
        <w:t xml:space="preserve">from </w:t>
      </w:r>
      <w:r w:rsidR="007B2B48" w:rsidRPr="006D7FE7">
        <w:t xml:space="preserve">conventional </w:t>
      </w:r>
      <w:r w:rsidRPr="006D7FE7">
        <w:t>UE shall not be changed by the end-user</w:t>
      </w:r>
      <w:r w:rsidR="00A460D5" w:rsidRPr="006D7FE7">
        <w:t>;</w:t>
      </w:r>
    </w:p>
    <w:p w14:paraId="6A57466D" w14:textId="77777777" w:rsidR="00166803" w:rsidRPr="006D7FE7" w:rsidRDefault="00166803" w:rsidP="006D7FE7">
      <w:pPr>
        <w:pStyle w:val="ECCBulletsLv1"/>
      </w:pPr>
      <w:r w:rsidRPr="006D7FE7">
        <w:t xml:space="preserve">the </w:t>
      </w:r>
      <w:r w:rsidR="006A3211" w:rsidRPr="006D7FE7">
        <w:t xml:space="preserve">ATS </w:t>
      </w:r>
      <w:r w:rsidRPr="006D7FE7">
        <w:t xml:space="preserve">shall not be capable to connect to </w:t>
      </w:r>
      <w:r w:rsidR="00B379CD" w:rsidRPr="006D7FE7">
        <w:t>WBB ECS</w:t>
      </w:r>
      <w:r w:rsidRPr="006D7FE7">
        <w:t xml:space="preserve"> networks without aerial subscription</w:t>
      </w:r>
      <w:r w:rsidR="00A460D5" w:rsidRPr="006D7FE7">
        <w:t>.</w:t>
      </w:r>
    </w:p>
    <w:p w14:paraId="3135B125" w14:textId="77777777" w:rsidR="00166803" w:rsidRDefault="006A3211" w:rsidP="006D7FE7">
      <w:pPr>
        <w:pStyle w:val="ECCParagraph"/>
      </w:pPr>
      <w:r w:rsidRPr="00454912">
        <w:t>CEPT</w:t>
      </w:r>
      <w:r w:rsidR="00166803" w:rsidRPr="00454912">
        <w:t xml:space="preserve"> </w:t>
      </w:r>
      <w:r w:rsidR="00563DDD" w:rsidRPr="00454912">
        <w:t>consider</w:t>
      </w:r>
      <w:r w:rsidR="007B2B48" w:rsidRPr="00454912">
        <w:t>s</w:t>
      </w:r>
      <w:r w:rsidR="00166803" w:rsidRPr="00454912">
        <w:t xml:space="preserve"> that </w:t>
      </w:r>
      <w:r w:rsidR="00535AB4">
        <w:t>this</w:t>
      </w:r>
      <w:r w:rsidR="00535AB4" w:rsidRPr="00454912">
        <w:t xml:space="preserve"> </w:t>
      </w:r>
      <w:r w:rsidR="00166803" w:rsidRPr="00454912">
        <w:t xml:space="preserve">HS would support </w:t>
      </w:r>
      <w:r w:rsidR="00394984" w:rsidRPr="00454912">
        <w:t xml:space="preserve">implementation of a </w:t>
      </w:r>
      <w:r w:rsidR="009507F2" w:rsidRPr="00454912">
        <w:t xml:space="preserve">national </w:t>
      </w:r>
      <w:r w:rsidR="00394984" w:rsidRPr="00454912">
        <w:t xml:space="preserve">licensing framework and </w:t>
      </w:r>
      <w:r w:rsidR="00166803" w:rsidRPr="00454912">
        <w:t>the development</w:t>
      </w:r>
      <w:r w:rsidR="00166803" w:rsidRPr="55E3B712">
        <w:t xml:space="preserve"> of this usage with confidence of all spectrum users.</w:t>
      </w:r>
    </w:p>
    <w:p w14:paraId="73D9A158" w14:textId="210529D4" w:rsidR="00166803" w:rsidRPr="008C0C2F" w:rsidRDefault="009507F2" w:rsidP="006D7FE7">
      <w:pPr>
        <w:pStyle w:val="ECCParagraph"/>
        <w:rPr>
          <w:iCs/>
          <w:szCs w:val="20"/>
        </w:rPr>
      </w:pPr>
      <w:r>
        <w:rPr>
          <w:iCs/>
          <w:szCs w:val="20"/>
        </w:rPr>
        <w:t>CEPT assumes that</w:t>
      </w:r>
      <w:r w:rsidR="00166803">
        <w:rPr>
          <w:iCs/>
          <w:szCs w:val="20"/>
        </w:rPr>
        <w:t xml:space="preserve"> investigat</w:t>
      </w:r>
      <w:r>
        <w:rPr>
          <w:iCs/>
          <w:szCs w:val="20"/>
        </w:rPr>
        <w:t>ion of</w:t>
      </w:r>
      <w:r w:rsidR="00166803">
        <w:rPr>
          <w:iCs/>
          <w:szCs w:val="20"/>
        </w:rPr>
        <w:t xml:space="preserve"> a</w:t>
      </w:r>
      <w:r w:rsidR="00166803" w:rsidRPr="00104DDD">
        <w:t xml:space="preserve"> mechanism en</w:t>
      </w:r>
      <w:r w:rsidR="00166803">
        <w:t xml:space="preserve">suring that </w:t>
      </w:r>
      <w:r w:rsidR="008C0C2F" w:rsidRPr="00454912">
        <w:t xml:space="preserve">ATS </w:t>
      </w:r>
      <w:r w:rsidR="00166803" w:rsidRPr="00454912">
        <w:t xml:space="preserve">respect </w:t>
      </w:r>
      <w:r w:rsidR="00F033DE">
        <w:t>“</w:t>
      </w:r>
      <w:r w:rsidR="00166803" w:rsidRPr="00454912">
        <w:t>no-transmit</w:t>
      </w:r>
      <w:r w:rsidR="00F033DE">
        <w:t>”</w:t>
      </w:r>
      <w:r w:rsidR="00166803" w:rsidRPr="00454912">
        <w:t xml:space="preserve"> zones and its implementation in future harmonised standards/ETSI standards</w:t>
      </w:r>
      <w:r w:rsidRPr="00454912">
        <w:t xml:space="preserve"> is under consideration</w:t>
      </w:r>
      <w:r w:rsidR="00166803" w:rsidRPr="00454912">
        <w:t xml:space="preserve">. </w:t>
      </w:r>
      <w:r w:rsidR="00B06086" w:rsidRPr="00454912">
        <w:t>CEPT n</w:t>
      </w:r>
      <w:r w:rsidR="005D067C" w:rsidRPr="00454912">
        <w:t>ote</w:t>
      </w:r>
      <w:r w:rsidR="00B06086" w:rsidRPr="00454912">
        <w:t xml:space="preserve">d during the </w:t>
      </w:r>
      <w:r w:rsidR="00535AB4">
        <w:t>preparation</w:t>
      </w:r>
      <w:r w:rsidR="00535AB4" w:rsidRPr="00454912">
        <w:t xml:space="preserve"> </w:t>
      </w:r>
      <w:r w:rsidR="00B06086" w:rsidRPr="00454912">
        <w:t xml:space="preserve">of this </w:t>
      </w:r>
      <w:r w:rsidR="00535AB4">
        <w:t>R</w:t>
      </w:r>
      <w:r w:rsidR="00535AB4" w:rsidRPr="00454912">
        <w:t xml:space="preserve">eport </w:t>
      </w:r>
      <w:r w:rsidR="005D067C" w:rsidRPr="00454912">
        <w:t xml:space="preserve">that the first version of the ETSI </w:t>
      </w:r>
      <w:r w:rsidR="00535AB4" w:rsidRPr="00454912">
        <w:t>harmoni</w:t>
      </w:r>
      <w:r w:rsidR="00535AB4">
        <w:t>s</w:t>
      </w:r>
      <w:r w:rsidR="00535AB4" w:rsidRPr="00454912">
        <w:t xml:space="preserve">ed </w:t>
      </w:r>
      <w:r w:rsidR="005D067C" w:rsidRPr="00454912">
        <w:t>standard is not expected to contain such mechanism.</w:t>
      </w:r>
    </w:p>
    <w:p w14:paraId="7F0FA30D" w14:textId="77777777" w:rsidR="007921CC" w:rsidRDefault="007921CC" w:rsidP="004929E1">
      <w:pPr>
        <w:pStyle w:val="Heading1"/>
      </w:pPr>
      <w:bookmarkStart w:id="22" w:name="_Toc192499499"/>
      <w:r>
        <w:lastRenderedPageBreak/>
        <w:t>CONCLUSIONS</w:t>
      </w:r>
      <w:bookmarkEnd w:id="22"/>
    </w:p>
    <w:p w14:paraId="1FAD49C8" w14:textId="2940103E" w:rsidR="00DB20CB" w:rsidRPr="000C52B6" w:rsidRDefault="00DB20CB" w:rsidP="00DB20CB">
      <w:pPr>
        <w:pStyle w:val="ECCParagraph"/>
      </w:pPr>
      <w:bookmarkStart w:id="23" w:name="_Ref176869130"/>
      <w:r w:rsidRPr="000C52B6">
        <w:t>The aim of this Report is to respond to the Mandate</w:t>
      </w:r>
      <w:r>
        <w:t xml:space="preserve"> from the European Commission (EC)</w:t>
      </w:r>
      <w:r w:rsidRPr="000C52B6">
        <w:t xml:space="preserve"> to develop harmonised technical and operational conditions for the usage of non-active antenna systems aerial terminal stations (non-AAS ATS) in EU-harmonised frequency bands for terrestrial systems capable of providing electronic communications services</w:t>
      </w:r>
      <w:r>
        <w:t xml:space="preserve"> (see </w:t>
      </w:r>
      <w:r>
        <w:fldChar w:fldCharType="begin"/>
      </w:r>
      <w:r>
        <w:instrText xml:space="preserve"> REF _Ref176869130 \r \h </w:instrText>
      </w:r>
      <w:r>
        <w:fldChar w:fldCharType="separate"/>
      </w:r>
      <w:r>
        <w:t>A</w:t>
      </w:r>
      <w:r w:rsidR="00A56FB8">
        <w:t>nnex</w:t>
      </w:r>
      <w:r>
        <w:t xml:space="preserve"> 1</w:t>
      </w:r>
      <w:r>
        <w:fldChar w:fldCharType="end"/>
      </w:r>
      <w:r>
        <w:t>)</w:t>
      </w:r>
      <w:r w:rsidRPr="000C52B6">
        <w:t>.</w:t>
      </w:r>
    </w:p>
    <w:p w14:paraId="55F442F7" w14:textId="77777777" w:rsidR="00DB20CB" w:rsidRPr="000C52B6" w:rsidRDefault="00DB20CB" w:rsidP="00DB20CB">
      <w:pPr>
        <w:pStyle w:val="ECCParagraph"/>
      </w:pPr>
      <w:r w:rsidRPr="000C52B6">
        <w:t xml:space="preserve">For the purpose of this Report, the term non-active antenna systems aerial terminal station (non-AAS ATS) is used instead of “aerial UE”, a term which has been used in the CEPT studies, (e.g. ECC Report 309 </w:t>
      </w:r>
      <w:r w:rsidRPr="000C52B6">
        <w:fldChar w:fldCharType="begin"/>
      </w:r>
      <w:r w:rsidRPr="000C52B6">
        <w:instrText xml:space="preserve"> REF _Ref103695135 \r \h </w:instrText>
      </w:r>
      <w:r>
        <w:instrText xml:space="preserve"> \* MERGEFORMAT </w:instrText>
      </w:r>
      <w:r w:rsidRPr="000C52B6">
        <w:fldChar w:fldCharType="separate"/>
      </w:r>
      <w:r>
        <w:t>[1]</w:t>
      </w:r>
      <w:r w:rsidRPr="000C52B6">
        <w:fldChar w:fldCharType="end"/>
      </w:r>
      <w:r w:rsidRPr="000C52B6">
        <w:t xml:space="preserve"> and ECC Report 348 </w:t>
      </w:r>
      <w:r w:rsidRPr="000C52B6">
        <w:fldChar w:fldCharType="begin"/>
      </w:r>
      <w:r w:rsidRPr="000C52B6">
        <w:instrText xml:space="preserve"> REF _Ref176865865 \r \h </w:instrText>
      </w:r>
      <w:r>
        <w:instrText xml:space="preserve"> \* MERGEFORMAT </w:instrText>
      </w:r>
      <w:r w:rsidRPr="000C52B6">
        <w:fldChar w:fldCharType="separate"/>
      </w:r>
      <w:r>
        <w:t>[2]</w:t>
      </w:r>
      <w:r w:rsidRPr="000C52B6">
        <w:fldChar w:fldCharType="end"/>
      </w:r>
      <w:r w:rsidRPr="000C52B6">
        <w:t xml:space="preserve">) and harmonisation measures related to this topic (e.g. ECC Decision (22)07 </w:t>
      </w:r>
      <w:r w:rsidRPr="000C52B6">
        <w:fldChar w:fldCharType="begin"/>
      </w:r>
      <w:r w:rsidRPr="000C52B6">
        <w:instrText xml:space="preserve"> REF _Ref176865974 \r \h </w:instrText>
      </w:r>
      <w:r>
        <w:instrText xml:space="preserve"> \* MERGEFORMAT </w:instrText>
      </w:r>
      <w:r w:rsidRPr="000C52B6">
        <w:fldChar w:fldCharType="separate"/>
      </w:r>
      <w:r>
        <w:t>[3]</w:t>
      </w:r>
      <w:r w:rsidRPr="000C52B6">
        <w:fldChar w:fldCharType="end"/>
      </w:r>
      <w:r w:rsidRPr="000C52B6">
        <w:t>). This clarification keeps terminology consistent with the EU legal framework.</w:t>
      </w:r>
    </w:p>
    <w:p w14:paraId="16B9D83F" w14:textId="6A52F048" w:rsidR="00DB20CB" w:rsidRPr="000C52B6" w:rsidRDefault="00DB20CB" w:rsidP="00DB20CB">
      <w:pPr>
        <w:pStyle w:val="ECCParagraph"/>
      </w:pPr>
      <w:r w:rsidRPr="000C52B6">
        <w:t>The assessed EU-harmonised frequency bands in the framework of this Report are the following:</w:t>
      </w:r>
    </w:p>
    <w:p w14:paraId="72A9AC8B" w14:textId="11367AC0" w:rsidR="00DB20CB" w:rsidRPr="000C52B6" w:rsidRDefault="00DB20CB" w:rsidP="00014EBB">
      <w:pPr>
        <w:pStyle w:val="ECCBulletsLv1"/>
        <w:spacing w:after="60"/>
        <w:jc w:val="left"/>
      </w:pPr>
      <w:r w:rsidRPr="000C52B6">
        <w:t>703-733 MHz/758-788 MHz (‘700 MHz’), 791</w:t>
      </w:r>
      <w:r>
        <w:t>-</w:t>
      </w:r>
      <w:r w:rsidRPr="000C52B6">
        <w:t>821 MHz/832-862 MHz (‘800 MHz'), 880-915 MHz/925-960</w:t>
      </w:r>
      <w:r w:rsidR="00014EBB">
        <w:t xml:space="preserve"> </w:t>
      </w:r>
      <w:r w:rsidRPr="000C52B6">
        <w:t>MHz (‘900 MHz’), 1710-1785 MHz/1805-1880 MHz (‘1800 MHz’), 1920-1980 MHz/2110-2170 MHz (‘paired terrestrial 2 GHz’), 2500-2570 MHz/2620-2690 MHz (‘paired 2.6 GHz’) and 2570-2620</w:t>
      </w:r>
      <w:r w:rsidR="001C6B6B">
        <w:t> </w:t>
      </w:r>
      <w:r w:rsidRPr="000C52B6">
        <w:t>MHz (unpaired 2.6 GHz), with non-AAS terrestrial base stations</w:t>
      </w:r>
      <w:r>
        <w:t>;</w:t>
      </w:r>
    </w:p>
    <w:p w14:paraId="724D5185" w14:textId="77777777" w:rsidR="00DB20CB" w:rsidRPr="000C52B6" w:rsidRDefault="00DB20CB" w:rsidP="00BD48AA">
      <w:pPr>
        <w:pStyle w:val="ECCBulletsLv1"/>
        <w:spacing w:after="60"/>
        <w:jc w:val="left"/>
      </w:pPr>
      <w:r w:rsidRPr="000C52B6">
        <w:t>1710-1785 MHz/1805-1880 MHz (‘1800 MHz’), 1920-1980 MHz/2110-2170 MHz (‘paired terrestrial 2 GHz’), 2500-2570 MHz/2620-2690 MHz (‘paired 2.6 GHz’), 2570-2620 MHz (unpaired 2.6 GHz) with AAS terrestrial base stations.</w:t>
      </w:r>
    </w:p>
    <w:p w14:paraId="1B3D536E" w14:textId="329D2716" w:rsidR="00DB20CB" w:rsidRDefault="00DB20CB" w:rsidP="00DB20CB">
      <w:pPr>
        <w:pStyle w:val="ECCParagraph"/>
        <w:rPr>
          <w:shd w:val="clear" w:color="auto" w:fill="FFFFFF"/>
        </w:rPr>
      </w:pPr>
      <w:r w:rsidRPr="006C2FC6">
        <w:rPr>
          <w:shd w:val="clear" w:color="auto" w:fill="FFFFFF"/>
        </w:rPr>
        <w:t xml:space="preserve">For the purpose of this </w:t>
      </w:r>
      <w:r>
        <w:rPr>
          <w:shd w:val="clear" w:color="auto" w:fill="FFFFFF"/>
        </w:rPr>
        <w:t>Report</w:t>
      </w:r>
      <w:r w:rsidRPr="006C2FC6">
        <w:rPr>
          <w:shd w:val="clear" w:color="auto" w:fill="FFFFFF"/>
        </w:rPr>
        <w:t>, a</w:t>
      </w:r>
      <w:r>
        <w:rPr>
          <w:shd w:val="clear" w:color="auto" w:fill="FFFFFF"/>
        </w:rPr>
        <w:t xml:space="preserve"> non-AAS </w:t>
      </w:r>
      <w:r w:rsidRPr="006C2FC6">
        <w:rPr>
          <w:shd w:val="clear" w:color="auto" w:fill="FFFFFF"/>
        </w:rPr>
        <w:t xml:space="preserve">ATS can be installed either on board of an unmanned aircraft (e.g. a drone) or on board of a manned aircraft (e.g. helicopters), and it </w:t>
      </w:r>
      <w:r w:rsidRPr="006C2FC6">
        <w:t>refers to non-AAS ATS only</w:t>
      </w:r>
      <w:r w:rsidRPr="006C2FC6">
        <w:rPr>
          <w:shd w:val="clear" w:color="auto" w:fill="FFFFFF"/>
        </w:rPr>
        <w:t>. It is without prejudice to EU</w:t>
      </w:r>
      <w:r>
        <w:rPr>
          <w:shd w:val="clear" w:color="auto" w:fill="FFFFFF"/>
        </w:rPr>
        <w:t xml:space="preserve"> </w:t>
      </w:r>
      <w:r w:rsidRPr="006C2FC6">
        <w:rPr>
          <w:shd w:val="clear" w:color="auto" w:fill="FFFFFF"/>
        </w:rPr>
        <w:t>level and national regulations regarding civil aviation and flight operations.</w:t>
      </w:r>
    </w:p>
    <w:p w14:paraId="1AB65D08" w14:textId="58E4FB3F" w:rsidR="00DB20CB" w:rsidRDefault="00DB20CB" w:rsidP="00DB20CB">
      <w:pPr>
        <w:pStyle w:val="ECCParagraph"/>
        <w:rPr>
          <w:shd w:val="clear" w:color="auto" w:fill="FFFFFF"/>
        </w:rPr>
      </w:pPr>
      <w:r w:rsidRPr="006C2FC6">
        <w:t xml:space="preserve">The technical assessment concluded that the operation of </w:t>
      </w:r>
      <w:r>
        <w:t xml:space="preserve">non-AAS </w:t>
      </w:r>
      <w:r w:rsidRPr="006C2FC6">
        <w:t>ATS</w:t>
      </w:r>
      <w:r>
        <w:t xml:space="preserve"> </w:t>
      </w:r>
      <w:r w:rsidRPr="006C2FC6">
        <w:t>in the bands 703-733 MHz, 832-862</w:t>
      </w:r>
      <w:r w:rsidR="00C64B12">
        <w:t xml:space="preserve"> </w:t>
      </w:r>
      <w:r w:rsidRPr="006C2FC6">
        <w:t xml:space="preserve">MHz, </w:t>
      </w:r>
      <w:r w:rsidRPr="0022144D">
        <w:rPr>
          <w:shd w:val="clear" w:color="auto" w:fill="FFFFFF"/>
        </w:rPr>
        <w:t xml:space="preserve">1710-1785 MHz, 2500-2570 MHz and 2570-2620 MHz is feasible within the operational and technical conditions defined in </w:t>
      </w:r>
      <w:r>
        <w:rPr>
          <w:shd w:val="clear" w:color="auto" w:fill="FFFFFF"/>
        </w:rPr>
        <w:fldChar w:fldCharType="begin"/>
      </w:r>
      <w:r>
        <w:rPr>
          <w:shd w:val="clear" w:color="auto" w:fill="FFFFFF"/>
        </w:rPr>
        <w:instrText xml:space="preserve"> REF _Ref176867717 \r \h </w:instrText>
      </w:r>
      <w:r>
        <w:rPr>
          <w:shd w:val="clear" w:color="auto" w:fill="FFFFFF"/>
        </w:rPr>
      </w:r>
      <w:r>
        <w:rPr>
          <w:shd w:val="clear" w:color="auto" w:fill="FFFFFF"/>
        </w:rPr>
        <w:fldChar w:fldCharType="separate"/>
      </w:r>
      <w:r>
        <w:rPr>
          <w:shd w:val="clear" w:color="auto" w:fill="FFFFFF"/>
        </w:rPr>
        <w:t>Annex 2</w:t>
      </w:r>
      <w:r>
        <w:rPr>
          <w:shd w:val="clear" w:color="auto" w:fill="FFFFFF"/>
        </w:rPr>
        <w:fldChar w:fldCharType="end"/>
      </w:r>
      <w:r w:rsidRPr="0022144D">
        <w:rPr>
          <w:shd w:val="clear" w:color="auto" w:fill="FFFFFF"/>
        </w:rPr>
        <w:t>.</w:t>
      </w:r>
    </w:p>
    <w:p w14:paraId="611BCCFA" w14:textId="609B1F7B" w:rsidR="00DB20CB" w:rsidRPr="0022144D" w:rsidRDefault="00DB20CB" w:rsidP="00DB20CB">
      <w:pPr>
        <w:pStyle w:val="ECCParagraph"/>
        <w:rPr>
          <w:shd w:val="clear" w:color="auto" w:fill="FFFFFF"/>
        </w:rPr>
      </w:pPr>
      <w:r w:rsidRPr="0022144D">
        <w:rPr>
          <w:shd w:val="clear" w:color="auto" w:fill="FFFFFF"/>
        </w:rPr>
        <w:t xml:space="preserve">The usage of </w:t>
      </w:r>
      <w:r>
        <w:rPr>
          <w:shd w:val="clear" w:color="auto" w:fill="FFFFFF"/>
        </w:rPr>
        <w:t xml:space="preserve">non-AAS </w:t>
      </w:r>
      <w:r w:rsidRPr="0022144D">
        <w:rPr>
          <w:shd w:val="clear" w:color="auto" w:fill="FFFFFF"/>
        </w:rPr>
        <w:t xml:space="preserve">ATS in the 880-915 MHz and 1920-1980 MHz frequency band is feasible without specific operational and technical conditions beyond those already applicable to conventional </w:t>
      </w:r>
      <w:r>
        <w:rPr>
          <w:shd w:val="clear" w:color="auto" w:fill="FFFFFF"/>
        </w:rPr>
        <w:t>user equipment (</w:t>
      </w:r>
      <w:r w:rsidRPr="0022144D">
        <w:rPr>
          <w:shd w:val="clear" w:color="auto" w:fill="FFFFFF"/>
        </w:rPr>
        <w:t>UE</w:t>
      </w:r>
      <w:r>
        <w:rPr>
          <w:shd w:val="clear" w:color="auto" w:fill="FFFFFF"/>
        </w:rPr>
        <w:t>)</w:t>
      </w:r>
      <w:r w:rsidRPr="0022144D">
        <w:rPr>
          <w:shd w:val="clear" w:color="auto" w:fill="FFFFFF"/>
        </w:rPr>
        <w:t xml:space="preserve"> in EC Decisions in the given </w:t>
      </w:r>
      <w:r>
        <w:rPr>
          <w:shd w:val="clear" w:color="auto" w:fill="FFFFFF"/>
        </w:rPr>
        <w:t xml:space="preserve">harmonised </w:t>
      </w:r>
      <w:r>
        <w:t>Wireless Broadband</w:t>
      </w:r>
      <w:r>
        <w:rPr>
          <w:shd w:val="clear" w:color="auto" w:fill="FFFFFF"/>
        </w:rPr>
        <w:t xml:space="preserve"> Electronic Communications Services (WBB ECS) </w:t>
      </w:r>
      <w:r w:rsidRPr="0022144D">
        <w:rPr>
          <w:shd w:val="clear" w:color="auto" w:fill="FFFFFF"/>
        </w:rPr>
        <w:t>bands</w:t>
      </w:r>
      <w:r>
        <w:rPr>
          <w:shd w:val="clear" w:color="auto" w:fill="FFFFFF"/>
        </w:rPr>
        <w:t>.</w:t>
      </w:r>
    </w:p>
    <w:p w14:paraId="02938132" w14:textId="3A138FF2" w:rsidR="00DB20CB" w:rsidRPr="0022144D" w:rsidRDefault="00DB20CB" w:rsidP="00DB20CB">
      <w:pPr>
        <w:pStyle w:val="ECCParagraph"/>
        <w:rPr>
          <w:shd w:val="clear" w:color="auto" w:fill="FFFFFF"/>
        </w:rPr>
      </w:pPr>
      <w:r>
        <w:rPr>
          <w:shd w:val="clear" w:color="auto" w:fill="FFFFFF"/>
        </w:rPr>
        <w:t>In order to protect other services (radio astronomy, radars in some adjacent bands)</w:t>
      </w:r>
      <w:r w:rsidRPr="0022144D">
        <w:rPr>
          <w:shd w:val="clear" w:color="auto" w:fill="FFFFFF"/>
        </w:rPr>
        <w:t xml:space="preserve"> </w:t>
      </w:r>
      <w:r>
        <w:rPr>
          <w:shd w:val="clear" w:color="auto" w:fill="FFFFFF"/>
        </w:rPr>
        <w:t>there is a need to implement a</w:t>
      </w:r>
      <w:r w:rsidRPr="0022144D">
        <w:rPr>
          <w:shd w:val="clear" w:color="auto" w:fill="FFFFFF"/>
        </w:rPr>
        <w:t xml:space="preserve"> </w:t>
      </w:r>
      <w:r>
        <w:rPr>
          <w:shd w:val="clear" w:color="auto" w:fill="FFFFFF"/>
        </w:rPr>
        <w:t>“</w:t>
      </w:r>
      <w:r w:rsidRPr="0022144D">
        <w:rPr>
          <w:shd w:val="clear" w:color="auto" w:fill="FFFFFF"/>
        </w:rPr>
        <w:t>no-transmit</w:t>
      </w:r>
      <w:r>
        <w:rPr>
          <w:shd w:val="clear" w:color="auto" w:fill="FFFFFF"/>
        </w:rPr>
        <w:t>”</w:t>
      </w:r>
      <w:r w:rsidRPr="0022144D">
        <w:rPr>
          <w:shd w:val="clear" w:color="auto" w:fill="FFFFFF"/>
        </w:rPr>
        <w:t xml:space="preserve"> zone</w:t>
      </w:r>
      <w:r>
        <w:rPr>
          <w:shd w:val="clear" w:color="auto" w:fill="FFFFFF"/>
        </w:rPr>
        <w:t xml:space="preserve"> requirement</w:t>
      </w:r>
      <w:r w:rsidRPr="0022144D">
        <w:rPr>
          <w:shd w:val="clear" w:color="auto" w:fill="FFFFFF"/>
        </w:rPr>
        <w:t xml:space="preserve"> </w:t>
      </w:r>
      <w:r>
        <w:rPr>
          <w:shd w:val="clear" w:color="auto" w:fill="FFFFFF"/>
        </w:rPr>
        <w:t>with</w:t>
      </w:r>
      <w:r w:rsidRPr="0022144D">
        <w:rPr>
          <w:shd w:val="clear" w:color="auto" w:fill="FFFFFF"/>
        </w:rPr>
        <w:t xml:space="preserve"> harmonised operational condition</w:t>
      </w:r>
      <w:r>
        <w:rPr>
          <w:shd w:val="clear" w:color="auto" w:fill="FFFFFF"/>
        </w:rPr>
        <w:t>s</w:t>
      </w:r>
      <w:r w:rsidRPr="0022144D">
        <w:rPr>
          <w:shd w:val="clear" w:color="auto" w:fill="FFFFFF"/>
        </w:rPr>
        <w:t xml:space="preserve"> described in </w:t>
      </w:r>
      <w:r>
        <w:rPr>
          <w:shd w:val="clear" w:color="auto" w:fill="FFFFFF"/>
        </w:rPr>
        <w:fldChar w:fldCharType="begin"/>
      </w:r>
      <w:r>
        <w:rPr>
          <w:shd w:val="clear" w:color="auto" w:fill="FFFFFF"/>
        </w:rPr>
        <w:instrText xml:space="preserve"> REF _Ref176867717 \r \h </w:instrText>
      </w:r>
      <w:r>
        <w:rPr>
          <w:shd w:val="clear" w:color="auto" w:fill="FFFFFF"/>
        </w:rPr>
      </w:r>
      <w:r>
        <w:rPr>
          <w:shd w:val="clear" w:color="auto" w:fill="FFFFFF"/>
        </w:rPr>
        <w:fldChar w:fldCharType="separate"/>
      </w:r>
      <w:r>
        <w:rPr>
          <w:shd w:val="clear" w:color="auto" w:fill="FFFFFF"/>
        </w:rPr>
        <w:t>Annex 2</w:t>
      </w:r>
      <w:r>
        <w:rPr>
          <w:shd w:val="clear" w:color="auto" w:fill="FFFFFF"/>
        </w:rPr>
        <w:fldChar w:fldCharType="end"/>
      </w:r>
      <w:r>
        <w:rPr>
          <w:shd w:val="clear" w:color="auto" w:fill="FFFFFF"/>
        </w:rPr>
        <w:t>. T</w:t>
      </w:r>
      <w:r w:rsidRPr="0022144D">
        <w:rPr>
          <w:shd w:val="clear" w:color="auto" w:fill="FFFFFF"/>
        </w:rPr>
        <w:t>hese zones sh</w:t>
      </w:r>
      <w:r>
        <w:rPr>
          <w:shd w:val="clear" w:color="auto" w:fill="FFFFFF"/>
        </w:rPr>
        <w:t>all</w:t>
      </w:r>
      <w:r w:rsidRPr="0022144D">
        <w:rPr>
          <w:shd w:val="clear" w:color="auto" w:fill="FFFFFF"/>
        </w:rPr>
        <w:t xml:space="preserve"> be defined (size and location) and implemented at national level and</w:t>
      </w:r>
      <w:r>
        <w:rPr>
          <w:shd w:val="clear" w:color="auto" w:fill="FFFFFF"/>
        </w:rPr>
        <w:t>,</w:t>
      </w:r>
      <w:r w:rsidRPr="0022144D">
        <w:rPr>
          <w:shd w:val="clear" w:color="auto" w:fill="FFFFFF"/>
        </w:rPr>
        <w:t xml:space="preserve"> where necessary</w:t>
      </w:r>
      <w:r>
        <w:rPr>
          <w:shd w:val="clear" w:color="auto" w:fill="FFFFFF"/>
        </w:rPr>
        <w:t>,</w:t>
      </w:r>
      <w:r w:rsidRPr="0022144D">
        <w:rPr>
          <w:shd w:val="clear" w:color="auto" w:fill="FFFFFF"/>
        </w:rPr>
        <w:t xml:space="preserve"> coordinated with neighbouring countries</w:t>
      </w:r>
      <w:r>
        <w:rPr>
          <w:shd w:val="clear" w:color="auto" w:fill="FFFFFF"/>
        </w:rPr>
        <w:t>.</w:t>
      </w:r>
    </w:p>
    <w:p w14:paraId="6FCFFDA1" w14:textId="4798212E" w:rsidR="00DB20CB" w:rsidRPr="003D3A35" w:rsidRDefault="00DB20CB" w:rsidP="00DB20CB">
      <w:pPr>
        <w:pStyle w:val="ECCParagraph"/>
        <w:rPr>
          <w:shd w:val="clear" w:color="auto" w:fill="FFFFFF"/>
        </w:rPr>
      </w:pPr>
      <w:r>
        <w:rPr>
          <w:shd w:val="clear" w:color="auto" w:fill="FFFFFF"/>
        </w:rPr>
        <w:t>A</w:t>
      </w:r>
      <w:r w:rsidRPr="0022144D">
        <w:rPr>
          <w:shd w:val="clear" w:color="auto" w:fill="FFFFFF"/>
        </w:rPr>
        <w:t xml:space="preserve"> mechanism to differentiate </w:t>
      </w:r>
      <w:r>
        <w:rPr>
          <w:shd w:val="clear" w:color="auto" w:fill="FFFFFF"/>
        </w:rPr>
        <w:t>non-AAS ATS</w:t>
      </w:r>
      <w:r w:rsidRPr="0022144D">
        <w:rPr>
          <w:shd w:val="clear" w:color="auto" w:fill="FFFFFF"/>
        </w:rPr>
        <w:t xml:space="preserve"> from other</w:t>
      </w:r>
      <w:r>
        <w:rPr>
          <w:shd w:val="clear" w:color="auto" w:fill="FFFFFF"/>
        </w:rPr>
        <w:t>/conventional</w:t>
      </w:r>
      <w:r w:rsidRPr="0022144D">
        <w:rPr>
          <w:shd w:val="clear" w:color="auto" w:fill="FFFFFF"/>
        </w:rPr>
        <w:t xml:space="preserve"> UE should</w:t>
      </w:r>
      <w:r>
        <w:rPr>
          <w:shd w:val="clear" w:color="auto" w:fill="FFFFFF"/>
        </w:rPr>
        <w:t xml:space="preserve"> </w:t>
      </w:r>
      <w:r w:rsidRPr="0022144D">
        <w:rPr>
          <w:shd w:val="clear" w:color="auto" w:fill="FFFFFF"/>
        </w:rPr>
        <w:t xml:space="preserve">allow mobile operators to identify </w:t>
      </w:r>
      <w:r>
        <w:rPr>
          <w:shd w:val="clear" w:color="auto" w:fill="FFFFFF"/>
        </w:rPr>
        <w:t xml:space="preserve">non-AAS </w:t>
      </w:r>
      <w:r w:rsidRPr="0022144D">
        <w:rPr>
          <w:shd w:val="clear" w:color="auto" w:fill="FFFFFF"/>
        </w:rPr>
        <w:t xml:space="preserve">ATS and </w:t>
      </w:r>
      <w:r>
        <w:rPr>
          <w:shd w:val="clear" w:color="auto" w:fill="FFFFFF"/>
        </w:rPr>
        <w:t>also</w:t>
      </w:r>
      <w:r w:rsidRPr="0022144D">
        <w:rPr>
          <w:shd w:val="clear" w:color="auto" w:fill="FFFFFF"/>
        </w:rPr>
        <w:t xml:space="preserve"> to manage interference</w:t>
      </w:r>
      <w:r>
        <w:rPr>
          <w:shd w:val="clear" w:color="auto" w:fill="FFFFFF"/>
        </w:rPr>
        <w:t xml:space="preserve"> intra WBB ECS network. </w:t>
      </w:r>
      <w:r w:rsidRPr="00865BD5">
        <w:rPr>
          <w:shd w:val="clear" w:color="auto" w:fill="FFFFFF"/>
        </w:rPr>
        <w:t xml:space="preserve">This mechanism cannot be changed by the end-user and </w:t>
      </w:r>
      <w:r>
        <w:rPr>
          <w:shd w:val="clear" w:color="auto" w:fill="FFFFFF"/>
        </w:rPr>
        <w:t>it has to be</w:t>
      </w:r>
      <w:r w:rsidRPr="00865BD5">
        <w:rPr>
          <w:shd w:val="clear" w:color="auto" w:fill="FFFFFF"/>
        </w:rPr>
        <w:t xml:space="preserve"> ensure</w:t>
      </w:r>
      <w:r>
        <w:rPr>
          <w:shd w:val="clear" w:color="auto" w:fill="FFFFFF"/>
        </w:rPr>
        <w:t>d</w:t>
      </w:r>
      <w:r w:rsidRPr="00865BD5">
        <w:rPr>
          <w:shd w:val="clear" w:color="auto" w:fill="FFFFFF"/>
        </w:rPr>
        <w:t xml:space="preserve"> that</w:t>
      </w:r>
      <w:r>
        <w:rPr>
          <w:shd w:val="clear" w:color="auto" w:fill="FFFFFF"/>
        </w:rPr>
        <w:t xml:space="preserve"> non-AAS</w:t>
      </w:r>
      <w:r w:rsidRPr="00865BD5">
        <w:rPr>
          <w:shd w:val="clear" w:color="auto" w:fill="FFFFFF"/>
        </w:rPr>
        <w:t xml:space="preserve"> </w:t>
      </w:r>
      <w:r>
        <w:rPr>
          <w:shd w:val="clear" w:color="auto" w:fill="FFFFFF"/>
        </w:rPr>
        <w:t>ATS</w:t>
      </w:r>
      <w:r w:rsidRPr="00865BD5">
        <w:rPr>
          <w:shd w:val="clear" w:color="auto" w:fill="FFFFFF"/>
        </w:rPr>
        <w:t xml:space="preserve"> respect </w:t>
      </w:r>
      <w:r>
        <w:rPr>
          <w:shd w:val="clear" w:color="auto" w:fill="FFFFFF"/>
        </w:rPr>
        <w:t xml:space="preserve">the </w:t>
      </w:r>
      <w:r w:rsidRPr="00865BD5">
        <w:rPr>
          <w:shd w:val="clear" w:color="auto" w:fill="FFFFFF"/>
        </w:rPr>
        <w:t>no-transmit zones.</w:t>
      </w:r>
    </w:p>
    <w:p w14:paraId="1941F89D" w14:textId="323DC3F1" w:rsidR="00DB20CB" w:rsidRDefault="00DB20CB" w:rsidP="00DB20CB">
      <w:pPr>
        <w:pStyle w:val="ECCParagraph"/>
        <w:rPr>
          <w:shd w:val="clear" w:color="auto" w:fill="FFFFFF"/>
        </w:rPr>
      </w:pPr>
      <w:r w:rsidRPr="00AD1A66">
        <w:rPr>
          <w:shd w:val="clear" w:color="auto" w:fill="FFFFFF"/>
        </w:rPr>
        <w:t>Harmonised operational conditions applied to non-AAS ATS have been developed under the assumption of the mechanism which is described above. CEPT has invited ETSI to develop a harmonised standard for non-AAS ATS, which includes such a mechanism and relevant specific out-of-band emission (OOBE) requirements applying to non-AAS ATS.</w:t>
      </w:r>
    </w:p>
    <w:p w14:paraId="12EB5177" w14:textId="03F057A5" w:rsidR="00DB20CB" w:rsidRDefault="00DB20CB" w:rsidP="00DB20CB">
      <w:pPr>
        <w:pStyle w:val="ECCParagraph"/>
        <w:rPr>
          <w:shd w:val="clear" w:color="auto" w:fill="FFFFFF"/>
        </w:rPr>
      </w:pPr>
      <w:r>
        <w:rPr>
          <w:shd w:val="clear" w:color="auto" w:fill="FFFFFF"/>
        </w:rPr>
        <w:t xml:space="preserve">CEPT invites the European Commission to include accordingly relevant requirements in the future European harmonised framework (see </w:t>
      </w:r>
      <w:r>
        <w:rPr>
          <w:shd w:val="clear" w:color="auto" w:fill="FFFFFF"/>
        </w:rPr>
        <w:fldChar w:fldCharType="begin"/>
      </w:r>
      <w:r>
        <w:rPr>
          <w:shd w:val="clear" w:color="auto" w:fill="FFFFFF"/>
        </w:rPr>
        <w:instrText xml:space="preserve"> REF _Ref176868922 \r \h </w:instrText>
      </w:r>
      <w:r>
        <w:rPr>
          <w:shd w:val="clear" w:color="auto" w:fill="FFFFFF"/>
        </w:rPr>
      </w:r>
      <w:r>
        <w:rPr>
          <w:shd w:val="clear" w:color="auto" w:fill="FFFFFF"/>
        </w:rPr>
        <w:fldChar w:fldCharType="separate"/>
      </w:r>
      <w:r>
        <w:rPr>
          <w:shd w:val="clear" w:color="auto" w:fill="FFFFFF"/>
        </w:rPr>
        <w:t>Annex 2</w:t>
      </w:r>
      <w:r>
        <w:rPr>
          <w:shd w:val="clear" w:color="auto" w:fill="FFFFFF"/>
        </w:rPr>
        <w:fldChar w:fldCharType="end"/>
      </w:r>
      <w:r>
        <w:rPr>
          <w:shd w:val="clear" w:color="auto" w:fill="FFFFFF"/>
        </w:rPr>
        <w:t>).</w:t>
      </w:r>
    </w:p>
    <w:p w14:paraId="68A0FF12" w14:textId="77777777" w:rsidR="00DB20CB" w:rsidRPr="0022144D" w:rsidRDefault="00DB20CB" w:rsidP="00DB20CB">
      <w:pPr>
        <w:pStyle w:val="ECCParagraph"/>
        <w:rPr>
          <w:shd w:val="clear" w:color="auto" w:fill="FFFFFF"/>
        </w:rPr>
      </w:pPr>
      <w:r w:rsidRPr="00556A1B">
        <w:rPr>
          <w:iCs/>
        </w:rPr>
        <w:t xml:space="preserve">In addition, CEPT will address issues regarding the use of </w:t>
      </w:r>
      <w:r>
        <w:rPr>
          <w:iCs/>
        </w:rPr>
        <w:t xml:space="preserve">non-AAS </w:t>
      </w:r>
      <w:r w:rsidRPr="00556A1B">
        <w:rPr>
          <w:iCs/>
        </w:rPr>
        <w:t>ATS in border areas operating in the bands mentioned above and will provide guidance to administrations on cross-border coordination.</w:t>
      </w:r>
    </w:p>
    <w:p w14:paraId="7A65D962" w14:textId="77777777" w:rsidR="00AB46DF" w:rsidRDefault="00921482" w:rsidP="004929E1">
      <w:pPr>
        <w:pStyle w:val="ECCAnnexheading1"/>
      </w:pPr>
      <w:bookmarkStart w:id="24" w:name="_Toc192499500"/>
      <w:r>
        <w:lastRenderedPageBreak/>
        <w:t>EC</w:t>
      </w:r>
      <w:r w:rsidR="00CD734A">
        <w:t xml:space="preserve"> M</w:t>
      </w:r>
      <w:r w:rsidR="00F7005D">
        <w:t>andate</w:t>
      </w:r>
      <w:bookmarkEnd w:id="23"/>
      <w:r>
        <w:t xml:space="preserve"> to CEPT</w:t>
      </w:r>
      <w:bookmarkEnd w:id="24"/>
    </w:p>
    <w:p w14:paraId="30518E3F" w14:textId="77777777" w:rsidR="006E5EB7" w:rsidRDefault="006E5EB7" w:rsidP="006E5EB7">
      <w:pPr>
        <w:spacing w:line="259" w:lineRule="auto"/>
        <w:ind w:left="780"/>
      </w:pPr>
      <w:r>
        <w:rPr>
          <w:noProof/>
          <w:lang w:val="de-DE" w:eastAsia="de-DE"/>
        </w:rPr>
        <w:drawing>
          <wp:anchor distT="0" distB="0" distL="114300" distR="114300" simplePos="0" relativeHeight="251658243" behindDoc="0" locked="0" layoutInCell="1" allowOverlap="0" wp14:anchorId="65D6166C" wp14:editId="61271A07">
            <wp:simplePos x="0" y="0"/>
            <wp:positionH relativeFrom="column">
              <wp:posOffset>495293</wp:posOffset>
            </wp:positionH>
            <wp:positionV relativeFrom="paragraph">
              <wp:posOffset>-4697</wp:posOffset>
            </wp:positionV>
            <wp:extent cx="1097587" cy="518206"/>
            <wp:effectExtent l="0" t="0" r="0" b="0"/>
            <wp:wrapSquare wrapText="bothSides"/>
            <wp:docPr id="1370049739" name="Picture 1370049739" descr="A blue square with yellow stars&#10;&#10;Description automatically generated"/>
            <wp:cNvGraphicFramePr/>
            <a:graphic xmlns:a="http://schemas.openxmlformats.org/drawingml/2006/main">
              <a:graphicData uri="http://schemas.openxmlformats.org/drawingml/2006/picture">
                <pic:pic xmlns:pic="http://schemas.openxmlformats.org/drawingml/2006/picture">
                  <pic:nvPicPr>
                    <pic:cNvPr id="1370049739" name="Picture 1370049739" descr="A blue square with yellow stars&#10;&#10;Description automatically generated"/>
                    <pic:cNvPicPr/>
                  </pic:nvPicPr>
                  <pic:blipFill>
                    <a:blip r:embed="rId11"/>
                    <a:stretch>
                      <a:fillRect/>
                    </a:stretch>
                  </pic:blipFill>
                  <pic:spPr>
                    <a:xfrm>
                      <a:off x="0" y="0"/>
                      <a:ext cx="1097587" cy="518206"/>
                    </a:xfrm>
                    <a:prstGeom prst="rect">
                      <a:avLst/>
                    </a:prstGeom>
                  </pic:spPr>
                </pic:pic>
              </a:graphicData>
            </a:graphic>
          </wp:anchor>
        </w:drawing>
      </w:r>
      <w:r>
        <w:rPr>
          <w:rFonts w:eastAsia="Arial" w:cs="Arial"/>
        </w:rPr>
        <w:t xml:space="preserve">EUROPEAN COMMISSION </w:t>
      </w:r>
    </w:p>
    <w:p w14:paraId="43CAD44A" w14:textId="77777777" w:rsidR="006E5EB7" w:rsidRDefault="006E5EB7" w:rsidP="006E5EB7">
      <w:pPr>
        <w:spacing w:line="259" w:lineRule="auto"/>
        <w:ind w:left="790"/>
      </w:pPr>
      <w:r>
        <w:rPr>
          <w:rFonts w:eastAsia="Arial" w:cs="Arial"/>
          <w:sz w:val="16"/>
        </w:rPr>
        <w:t xml:space="preserve">Communications Networks Content &amp; Technology Directorate-General </w:t>
      </w:r>
    </w:p>
    <w:p w14:paraId="573EE6B6" w14:textId="77777777" w:rsidR="006E5EB7" w:rsidRDefault="006E5EB7" w:rsidP="006E5EB7">
      <w:pPr>
        <w:spacing w:after="39" w:line="259" w:lineRule="auto"/>
        <w:ind w:left="780"/>
      </w:pPr>
      <w:r>
        <w:rPr>
          <w:rFonts w:eastAsia="Arial" w:cs="Arial"/>
          <w:sz w:val="16"/>
        </w:rPr>
        <w:t xml:space="preserve"> </w:t>
      </w:r>
    </w:p>
    <w:p w14:paraId="2325A711" w14:textId="77777777" w:rsidR="006E5EB7" w:rsidRDefault="006E5EB7" w:rsidP="006E5EB7">
      <w:pPr>
        <w:spacing w:line="259" w:lineRule="auto"/>
        <w:ind w:left="790"/>
      </w:pPr>
      <w:r>
        <w:rPr>
          <w:rFonts w:eastAsia="Arial" w:cs="Arial"/>
          <w:sz w:val="16"/>
        </w:rPr>
        <w:t xml:space="preserve">Digital Decade and Connectivity </w:t>
      </w:r>
    </w:p>
    <w:p w14:paraId="7686ED92" w14:textId="77777777" w:rsidR="006E5EB7" w:rsidRDefault="006E5EB7" w:rsidP="006E5EB7">
      <w:pPr>
        <w:spacing w:line="259" w:lineRule="auto"/>
        <w:ind w:left="2594"/>
      </w:pPr>
      <w:r>
        <w:rPr>
          <w:rFonts w:eastAsia="Arial" w:cs="Arial"/>
          <w:b/>
          <w:sz w:val="16"/>
        </w:rPr>
        <w:t xml:space="preserve">Radio Spectrum Policy </w:t>
      </w:r>
    </w:p>
    <w:p w14:paraId="3154F54C" w14:textId="77777777" w:rsidR="006E5EB7" w:rsidRDefault="006E5EB7" w:rsidP="006E5EB7">
      <w:pPr>
        <w:spacing w:after="579" w:line="259" w:lineRule="auto"/>
        <w:ind w:left="2594"/>
      </w:pPr>
      <w:r>
        <w:rPr>
          <w:rFonts w:eastAsia="Arial" w:cs="Arial"/>
          <w:sz w:val="16"/>
        </w:rPr>
        <w:t xml:space="preserve"> </w:t>
      </w:r>
    </w:p>
    <w:p w14:paraId="235336CF" w14:textId="77777777" w:rsidR="006E5EB7" w:rsidRDefault="006E5EB7" w:rsidP="006E5EB7">
      <w:pPr>
        <w:spacing w:after="3" w:line="279" w:lineRule="auto"/>
        <w:ind w:left="1230" w:right="1544"/>
        <w:jc w:val="center"/>
      </w:pPr>
      <w:r>
        <w:rPr>
          <w:rFonts w:ascii="Times New Roman" w:hAnsi="Times New Roman"/>
          <w:b/>
        </w:rPr>
        <w:t>M</w:t>
      </w:r>
      <w:r>
        <w:rPr>
          <w:rFonts w:ascii="Times New Roman" w:hAnsi="Times New Roman"/>
          <w:b/>
          <w:sz w:val="19"/>
        </w:rPr>
        <w:t xml:space="preserve">ANDATE TO THE </w:t>
      </w:r>
      <w:r>
        <w:rPr>
          <w:rFonts w:ascii="Times New Roman" w:hAnsi="Times New Roman"/>
          <w:b/>
        </w:rPr>
        <w:t>CEPT</w:t>
      </w:r>
      <w:r>
        <w:rPr>
          <w:rFonts w:ascii="Times New Roman" w:hAnsi="Times New Roman"/>
          <w:b/>
          <w:sz w:val="19"/>
        </w:rPr>
        <w:t xml:space="preserve"> TO DEVELOP HARMONISED TECHNICAL AND OPERATIONAL CONDITIONS FOR THE USAGE OF NON</w:t>
      </w:r>
      <w:r>
        <w:rPr>
          <w:rFonts w:ascii="Times New Roman" w:hAnsi="Times New Roman"/>
          <w:b/>
        </w:rPr>
        <w:t>-A</w:t>
      </w:r>
      <w:r>
        <w:rPr>
          <w:rFonts w:ascii="Times New Roman" w:hAnsi="Times New Roman"/>
          <w:b/>
          <w:sz w:val="19"/>
        </w:rPr>
        <w:t xml:space="preserve">CTIVE </w:t>
      </w:r>
      <w:r>
        <w:rPr>
          <w:rFonts w:ascii="Times New Roman" w:hAnsi="Times New Roman"/>
          <w:b/>
        </w:rPr>
        <w:t>A</w:t>
      </w:r>
      <w:r>
        <w:rPr>
          <w:rFonts w:ascii="Times New Roman" w:hAnsi="Times New Roman"/>
          <w:b/>
          <w:sz w:val="19"/>
        </w:rPr>
        <w:t xml:space="preserve">NTENNA </w:t>
      </w:r>
      <w:r>
        <w:rPr>
          <w:rFonts w:ascii="Times New Roman" w:hAnsi="Times New Roman"/>
          <w:b/>
        </w:rPr>
        <w:t>S</w:t>
      </w:r>
      <w:r>
        <w:rPr>
          <w:rFonts w:ascii="Times New Roman" w:hAnsi="Times New Roman"/>
          <w:b/>
          <w:sz w:val="19"/>
        </w:rPr>
        <w:t xml:space="preserve">YSTEMS AERIAL TERMINAL STATIONS IN </w:t>
      </w:r>
      <w:r>
        <w:rPr>
          <w:rFonts w:ascii="Times New Roman" w:hAnsi="Times New Roman"/>
          <w:b/>
        </w:rPr>
        <w:t>EU-</w:t>
      </w:r>
      <w:r>
        <w:rPr>
          <w:rFonts w:ascii="Times New Roman" w:hAnsi="Times New Roman"/>
          <w:b/>
          <w:sz w:val="19"/>
        </w:rPr>
        <w:t xml:space="preserve">HARMONISED FREQUENCY BANDS FOR </w:t>
      </w:r>
    </w:p>
    <w:p w14:paraId="4A6A60A4" w14:textId="77777777" w:rsidR="006E5EB7" w:rsidRDefault="006E5EB7" w:rsidP="006E5EB7">
      <w:pPr>
        <w:spacing w:after="356" w:line="279" w:lineRule="auto"/>
        <w:ind w:left="1230" w:right="1550"/>
        <w:jc w:val="center"/>
      </w:pPr>
      <w:r>
        <w:rPr>
          <w:rFonts w:ascii="Times New Roman" w:hAnsi="Times New Roman"/>
          <w:b/>
          <w:sz w:val="19"/>
        </w:rPr>
        <w:t>TERRESTRIAL SYSTEMS CAPABLE OF PROVIDING ELECTRONIC COMMUNICATIONS SERVICES</w:t>
      </w:r>
      <w:r>
        <w:rPr>
          <w:rFonts w:ascii="Times New Roman" w:hAnsi="Times New Roman"/>
          <w:b/>
        </w:rPr>
        <w:t xml:space="preserve"> </w:t>
      </w:r>
    </w:p>
    <w:p w14:paraId="6E0A4B51" w14:textId="77777777" w:rsidR="006E5EB7" w:rsidRDefault="006E5EB7" w:rsidP="006E5EB7">
      <w:pPr>
        <w:pStyle w:val="ListParagraph"/>
        <w:widowControl w:val="0"/>
        <w:numPr>
          <w:ilvl w:val="0"/>
          <w:numId w:val="100"/>
        </w:numPr>
        <w:tabs>
          <w:tab w:val="left" w:pos="649"/>
        </w:tabs>
        <w:autoSpaceDE w:val="0"/>
        <w:autoSpaceDN w:val="0"/>
        <w:spacing w:before="0" w:after="0"/>
        <w:contextualSpacing w:val="0"/>
        <w:rPr>
          <w:b/>
          <w:sz w:val="19"/>
        </w:rPr>
      </w:pPr>
      <w:r>
        <w:rPr>
          <w:b/>
          <w:spacing w:val="-2"/>
          <w:sz w:val="24"/>
        </w:rPr>
        <w:t>P</w:t>
      </w:r>
      <w:r>
        <w:rPr>
          <w:b/>
          <w:spacing w:val="-2"/>
          <w:sz w:val="19"/>
        </w:rPr>
        <w:t>URPOSE</w:t>
      </w:r>
    </w:p>
    <w:p w14:paraId="1BF8572B" w14:textId="77777777" w:rsidR="006E5EB7" w:rsidRDefault="006E5EB7" w:rsidP="00420549">
      <w:pPr>
        <w:pStyle w:val="BodyText"/>
        <w:spacing w:before="120"/>
        <w:ind w:left="169" w:right="355"/>
        <w:jc w:val="both"/>
        <w:rPr>
          <w:spacing w:val="-2"/>
        </w:rPr>
      </w:pPr>
      <w:r>
        <w:t>The purpose of this mandate to the CEPT is the feasibility study and development of harmonised</w:t>
      </w:r>
      <w:r>
        <w:rPr>
          <w:spacing w:val="-3"/>
        </w:rPr>
        <w:t xml:space="preserve"> </w:t>
      </w:r>
      <w:r>
        <w:t>technical</w:t>
      </w:r>
      <w:r>
        <w:rPr>
          <w:spacing w:val="-1"/>
        </w:rPr>
        <w:t xml:space="preserve"> </w:t>
      </w:r>
      <w:r>
        <w:t>and operational</w:t>
      </w:r>
      <w:r>
        <w:rPr>
          <w:spacing w:val="-1"/>
        </w:rPr>
        <w:t xml:space="preserve"> </w:t>
      </w:r>
      <w:r>
        <w:t>conditions,</w:t>
      </w:r>
      <w:r>
        <w:rPr>
          <w:spacing w:val="-2"/>
        </w:rPr>
        <w:t xml:space="preserve"> </w:t>
      </w:r>
      <w:r>
        <w:t>for</w:t>
      </w:r>
      <w:r>
        <w:rPr>
          <w:spacing w:val="-4"/>
        </w:rPr>
        <w:t xml:space="preserve"> </w:t>
      </w:r>
      <w:r>
        <w:t>the</w:t>
      </w:r>
      <w:r>
        <w:rPr>
          <w:spacing w:val="-2"/>
        </w:rPr>
        <w:t xml:space="preserve"> </w:t>
      </w:r>
      <w:r>
        <w:t>usage</w:t>
      </w:r>
      <w:r>
        <w:rPr>
          <w:vertAlign w:val="superscript"/>
        </w:rPr>
        <w:t>1</w:t>
      </w:r>
      <w:r>
        <w:rPr>
          <w:spacing w:val="-1"/>
        </w:rPr>
        <w:t xml:space="preserve"> </w:t>
      </w:r>
      <w:r>
        <w:t>of</w:t>
      </w:r>
      <w:r>
        <w:rPr>
          <w:spacing w:val="-2"/>
        </w:rPr>
        <w:t xml:space="preserve"> </w:t>
      </w:r>
      <w:r>
        <w:t>aerial</w:t>
      </w:r>
      <w:r>
        <w:rPr>
          <w:spacing w:val="-2"/>
        </w:rPr>
        <w:t xml:space="preserve"> </w:t>
      </w:r>
      <w:r>
        <w:t>terminal</w:t>
      </w:r>
      <w:r>
        <w:rPr>
          <w:spacing w:val="-2"/>
        </w:rPr>
        <w:t xml:space="preserve"> </w:t>
      </w:r>
      <w:r>
        <w:t>stations (ATS)</w:t>
      </w:r>
      <w:r>
        <w:rPr>
          <w:vertAlign w:val="superscript"/>
        </w:rPr>
        <w:t>2</w:t>
      </w:r>
      <w:r>
        <w:t xml:space="preserve"> in EU-harmonised bands for terrestrial systems capable of providing electronic communications</w:t>
      </w:r>
      <w:r>
        <w:rPr>
          <w:spacing w:val="80"/>
        </w:rPr>
        <w:t xml:space="preserve"> </w:t>
      </w:r>
      <w:r>
        <w:t>services.</w:t>
      </w:r>
      <w:r>
        <w:rPr>
          <w:spacing w:val="80"/>
        </w:rPr>
        <w:t xml:space="preserve"> </w:t>
      </w:r>
      <w:r>
        <w:t>The</w:t>
      </w:r>
      <w:r>
        <w:rPr>
          <w:spacing w:val="80"/>
        </w:rPr>
        <w:t xml:space="preserve"> </w:t>
      </w:r>
      <w:r>
        <w:t>mandate</w:t>
      </w:r>
      <w:r>
        <w:rPr>
          <w:spacing w:val="80"/>
        </w:rPr>
        <w:t xml:space="preserve"> </w:t>
      </w:r>
      <w:r>
        <w:t>addresses</w:t>
      </w:r>
      <w:r>
        <w:rPr>
          <w:spacing w:val="80"/>
        </w:rPr>
        <w:t xml:space="preserve"> </w:t>
      </w:r>
      <w:r>
        <w:t>the</w:t>
      </w:r>
      <w:r>
        <w:rPr>
          <w:spacing w:val="80"/>
        </w:rPr>
        <w:t xml:space="preserve"> </w:t>
      </w:r>
      <w:r>
        <w:t>following</w:t>
      </w:r>
      <w:r>
        <w:rPr>
          <w:spacing w:val="80"/>
        </w:rPr>
        <w:t xml:space="preserve"> </w:t>
      </w:r>
      <w:r>
        <w:t>frequency</w:t>
      </w:r>
      <w:r>
        <w:rPr>
          <w:spacing w:val="80"/>
        </w:rPr>
        <w:t xml:space="preserve"> </w:t>
      </w:r>
      <w:r>
        <w:t>bands: 700</w:t>
      </w:r>
      <w:r>
        <w:rPr>
          <w:spacing w:val="-3"/>
        </w:rPr>
        <w:t xml:space="preserve"> </w:t>
      </w:r>
      <w:r>
        <w:t>MHz,</w:t>
      </w:r>
      <w:r>
        <w:rPr>
          <w:spacing w:val="-14"/>
        </w:rPr>
        <w:t xml:space="preserve"> </w:t>
      </w:r>
      <w:r>
        <w:t>800</w:t>
      </w:r>
      <w:r>
        <w:rPr>
          <w:spacing w:val="-3"/>
        </w:rPr>
        <w:t xml:space="preserve"> </w:t>
      </w:r>
      <w:r>
        <w:t>MHz,</w:t>
      </w:r>
      <w:r>
        <w:rPr>
          <w:spacing w:val="-14"/>
        </w:rPr>
        <w:t xml:space="preserve"> </w:t>
      </w:r>
      <w:r>
        <w:t>900 MHz,</w:t>
      </w:r>
      <w:r>
        <w:rPr>
          <w:spacing w:val="-14"/>
        </w:rPr>
        <w:t xml:space="preserve"> </w:t>
      </w:r>
      <w:r>
        <w:t>1</w:t>
      </w:r>
      <w:r>
        <w:rPr>
          <w:spacing w:val="-3"/>
        </w:rPr>
        <w:t xml:space="preserve"> </w:t>
      </w:r>
      <w:r>
        <w:t>800</w:t>
      </w:r>
      <w:r>
        <w:rPr>
          <w:spacing w:val="-14"/>
        </w:rPr>
        <w:t xml:space="preserve"> </w:t>
      </w:r>
      <w:r>
        <w:t>MHz,</w:t>
      </w:r>
      <w:r>
        <w:rPr>
          <w:spacing w:val="-12"/>
        </w:rPr>
        <w:t xml:space="preserve"> </w:t>
      </w:r>
      <w:r>
        <w:t>the</w:t>
      </w:r>
      <w:r>
        <w:rPr>
          <w:spacing w:val="-15"/>
        </w:rPr>
        <w:t xml:space="preserve"> </w:t>
      </w:r>
      <w:r>
        <w:t>paired</w:t>
      </w:r>
      <w:r>
        <w:rPr>
          <w:spacing w:val="-14"/>
        </w:rPr>
        <w:t xml:space="preserve"> </w:t>
      </w:r>
      <w:r>
        <w:t>terrestrial</w:t>
      </w:r>
      <w:r>
        <w:rPr>
          <w:spacing w:val="-14"/>
        </w:rPr>
        <w:t xml:space="preserve"> </w:t>
      </w:r>
      <w:r>
        <w:t>2</w:t>
      </w:r>
      <w:r>
        <w:rPr>
          <w:spacing w:val="-2"/>
        </w:rPr>
        <w:t xml:space="preserve"> </w:t>
      </w:r>
      <w:r>
        <w:t>GHz</w:t>
      </w:r>
      <w:r>
        <w:rPr>
          <w:spacing w:val="-15"/>
        </w:rPr>
        <w:t xml:space="preserve"> </w:t>
      </w:r>
      <w:r>
        <w:t>band</w:t>
      </w:r>
      <w:r>
        <w:rPr>
          <w:spacing w:val="-14"/>
        </w:rPr>
        <w:t xml:space="preserve"> </w:t>
      </w:r>
      <w:r>
        <w:t>and</w:t>
      </w:r>
      <w:r>
        <w:rPr>
          <w:spacing w:val="-14"/>
        </w:rPr>
        <w:t xml:space="preserve"> </w:t>
      </w:r>
      <w:r>
        <w:t>2.6</w:t>
      </w:r>
      <w:r>
        <w:rPr>
          <w:spacing w:val="-2"/>
        </w:rPr>
        <w:t xml:space="preserve"> </w:t>
      </w:r>
      <w:r>
        <w:t>GHz (both, its paired and unpaired portions). It sets focus on the latest generations of mobile communications technology, namely 4G/LTE and 5G, given their tailored performance characteristics.</w:t>
      </w:r>
      <w:r>
        <w:rPr>
          <w:spacing w:val="-3"/>
        </w:rPr>
        <w:t xml:space="preserve"> </w:t>
      </w:r>
      <w:r>
        <w:t>The</w:t>
      </w:r>
      <w:r>
        <w:rPr>
          <w:spacing w:val="-4"/>
        </w:rPr>
        <w:t xml:space="preserve"> </w:t>
      </w:r>
      <w:r>
        <w:t>deliverables</w:t>
      </w:r>
      <w:r>
        <w:rPr>
          <w:spacing w:val="-3"/>
        </w:rPr>
        <w:t xml:space="preserve"> </w:t>
      </w:r>
      <w:r>
        <w:t>of</w:t>
      </w:r>
      <w:r>
        <w:rPr>
          <w:spacing w:val="-3"/>
        </w:rPr>
        <w:t xml:space="preserve"> </w:t>
      </w:r>
      <w:r>
        <w:t>the</w:t>
      </w:r>
      <w:r>
        <w:rPr>
          <w:spacing w:val="-5"/>
        </w:rPr>
        <w:t xml:space="preserve"> </w:t>
      </w:r>
      <w:r>
        <w:t>work</w:t>
      </w:r>
      <w:r>
        <w:rPr>
          <w:spacing w:val="-3"/>
        </w:rPr>
        <w:t xml:space="preserve"> </w:t>
      </w:r>
      <w:r>
        <w:t>on</w:t>
      </w:r>
      <w:r>
        <w:rPr>
          <w:spacing w:val="-4"/>
        </w:rPr>
        <w:t xml:space="preserve"> </w:t>
      </w:r>
      <w:r>
        <w:t>this</w:t>
      </w:r>
      <w:r>
        <w:rPr>
          <w:spacing w:val="-3"/>
        </w:rPr>
        <w:t xml:space="preserve"> </w:t>
      </w:r>
      <w:r>
        <w:t>mandate</w:t>
      </w:r>
      <w:r>
        <w:rPr>
          <w:spacing w:val="-3"/>
        </w:rPr>
        <w:t xml:space="preserve"> </w:t>
      </w:r>
      <w:r>
        <w:t>will</w:t>
      </w:r>
      <w:r>
        <w:rPr>
          <w:spacing w:val="-3"/>
        </w:rPr>
        <w:t xml:space="preserve"> </w:t>
      </w:r>
      <w:r>
        <w:t>be</w:t>
      </w:r>
      <w:r>
        <w:rPr>
          <w:spacing w:val="-4"/>
        </w:rPr>
        <w:t xml:space="preserve"> </w:t>
      </w:r>
      <w:r>
        <w:t>used</w:t>
      </w:r>
      <w:r>
        <w:rPr>
          <w:spacing w:val="-3"/>
        </w:rPr>
        <w:t xml:space="preserve"> </w:t>
      </w:r>
      <w:r>
        <w:t>in</w:t>
      </w:r>
      <w:r>
        <w:rPr>
          <w:spacing w:val="-3"/>
        </w:rPr>
        <w:t xml:space="preserve"> </w:t>
      </w:r>
      <w:r>
        <w:t>support</w:t>
      </w:r>
      <w:r>
        <w:rPr>
          <w:spacing w:val="-3"/>
        </w:rPr>
        <w:t xml:space="preserve"> </w:t>
      </w:r>
      <w:r>
        <w:t>of</w:t>
      </w:r>
      <w:r>
        <w:rPr>
          <w:spacing w:val="-4"/>
        </w:rPr>
        <w:t xml:space="preserve"> </w:t>
      </w:r>
      <w:r>
        <w:t xml:space="preserve">an EU-level technical harmonisation measure under the Radio Spectrum Decision (Decision </w:t>
      </w:r>
      <w:r>
        <w:rPr>
          <w:spacing w:val="-2"/>
        </w:rPr>
        <w:t>676/2002/EC</w:t>
      </w:r>
      <w:r>
        <w:rPr>
          <w:spacing w:val="-2"/>
          <w:vertAlign w:val="superscript"/>
        </w:rPr>
        <w:t>3</w:t>
      </w:r>
      <w:r>
        <w:rPr>
          <w:spacing w:val="-2"/>
        </w:rPr>
        <w:t>).</w:t>
      </w:r>
    </w:p>
    <w:p w14:paraId="2134C019" w14:textId="77777777" w:rsidR="006E5EB7" w:rsidRDefault="006E5EB7" w:rsidP="00420549">
      <w:pPr>
        <w:pStyle w:val="ListParagraph"/>
        <w:widowControl w:val="0"/>
        <w:numPr>
          <w:ilvl w:val="0"/>
          <w:numId w:val="100"/>
        </w:numPr>
        <w:tabs>
          <w:tab w:val="left" w:pos="649"/>
        </w:tabs>
        <w:autoSpaceDE w:val="0"/>
        <w:autoSpaceDN w:val="0"/>
        <w:spacing w:after="240"/>
        <w:contextualSpacing w:val="0"/>
        <w:rPr>
          <w:b/>
          <w:sz w:val="19"/>
        </w:rPr>
      </w:pPr>
      <w:r>
        <w:rPr>
          <w:b/>
          <w:sz w:val="24"/>
        </w:rPr>
        <w:t>EU</w:t>
      </w:r>
      <w:r>
        <w:rPr>
          <w:b/>
          <w:spacing w:val="-15"/>
          <w:sz w:val="24"/>
        </w:rPr>
        <w:t xml:space="preserve"> </w:t>
      </w:r>
      <w:r>
        <w:rPr>
          <w:b/>
          <w:sz w:val="24"/>
        </w:rPr>
        <w:t>P</w:t>
      </w:r>
      <w:r>
        <w:rPr>
          <w:b/>
          <w:sz w:val="19"/>
        </w:rPr>
        <w:t>OLICY</w:t>
      </w:r>
      <w:r>
        <w:rPr>
          <w:b/>
          <w:spacing w:val="-8"/>
          <w:sz w:val="19"/>
        </w:rPr>
        <w:t xml:space="preserve"> </w:t>
      </w:r>
      <w:r>
        <w:rPr>
          <w:b/>
          <w:spacing w:val="-2"/>
          <w:sz w:val="19"/>
        </w:rPr>
        <w:t>OBJECTIVES</w:t>
      </w:r>
    </w:p>
    <w:p w14:paraId="29B8D581" w14:textId="77777777" w:rsidR="006E5EB7" w:rsidRDefault="006E5EB7" w:rsidP="00420549">
      <w:pPr>
        <w:pStyle w:val="BodyText"/>
        <w:spacing w:before="120"/>
        <w:ind w:left="170" w:right="360"/>
        <w:jc w:val="both"/>
      </w:pPr>
      <w:r>
        <w:t>The EU’s digital decade policy programme</w:t>
      </w:r>
      <w:r>
        <w:rPr>
          <w:vertAlign w:val="superscript"/>
        </w:rPr>
        <w:t>4</w:t>
      </w:r>
      <w:r>
        <w:t xml:space="preserve"> sets ambitious connectivity targets and infrastructure priorities in support of the digital and green transformation.</w:t>
      </w:r>
    </w:p>
    <w:p w14:paraId="32E3842A" w14:textId="77777777" w:rsidR="006E5EB7" w:rsidRDefault="006E5EB7" w:rsidP="00420549">
      <w:pPr>
        <w:pStyle w:val="BodyText"/>
        <w:spacing w:before="120"/>
        <w:ind w:left="170" w:right="354"/>
        <w:jc w:val="both"/>
      </w:pPr>
      <w:r>
        <w:t>There has been a big increase in demand across the Member States for the operation of ATSs</w:t>
      </w:r>
      <w:r>
        <w:rPr>
          <w:spacing w:val="-9"/>
        </w:rPr>
        <w:t xml:space="preserve"> </w:t>
      </w:r>
      <w:r>
        <w:t>over</w:t>
      </w:r>
      <w:r>
        <w:rPr>
          <w:spacing w:val="-10"/>
        </w:rPr>
        <w:t xml:space="preserve"> </w:t>
      </w:r>
      <w:r>
        <w:t>large</w:t>
      </w:r>
      <w:r>
        <w:rPr>
          <w:spacing w:val="-10"/>
        </w:rPr>
        <w:t xml:space="preserve"> </w:t>
      </w:r>
      <w:r>
        <w:t>distances</w:t>
      </w:r>
      <w:r>
        <w:rPr>
          <w:spacing w:val="-9"/>
        </w:rPr>
        <w:t xml:space="preserve"> </w:t>
      </w:r>
      <w:r>
        <w:t>under</w:t>
      </w:r>
      <w:r>
        <w:rPr>
          <w:spacing w:val="-9"/>
        </w:rPr>
        <w:t xml:space="preserve"> </w:t>
      </w:r>
      <w:r>
        <w:t>beyond-visual-line-of-sight</w:t>
      </w:r>
      <w:r>
        <w:rPr>
          <w:spacing w:val="-8"/>
        </w:rPr>
        <w:t xml:space="preserve"> </w:t>
      </w:r>
      <w:r>
        <w:t>(BVLOS)</w:t>
      </w:r>
      <w:r>
        <w:rPr>
          <w:spacing w:val="-9"/>
        </w:rPr>
        <w:t xml:space="preserve"> </w:t>
      </w:r>
      <w:r>
        <w:t>conditions,</w:t>
      </w:r>
      <w:r>
        <w:rPr>
          <w:spacing w:val="-9"/>
        </w:rPr>
        <w:t xml:space="preserve"> </w:t>
      </w:r>
      <w:r>
        <w:t>mainly for professional purposes, such as industrial and governmental use cases (e.g. pipelines inspections,</w:t>
      </w:r>
      <w:r>
        <w:rPr>
          <w:spacing w:val="-4"/>
        </w:rPr>
        <w:t xml:space="preserve"> </w:t>
      </w:r>
      <w:r>
        <w:t>agriculture</w:t>
      </w:r>
      <w:r>
        <w:rPr>
          <w:spacing w:val="-5"/>
        </w:rPr>
        <w:t xml:space="preserve"> </w:t>
      </w:r>
      <w:r>
        <w:t>fields</w:t>
      </w:r>
      <w:r>
        <w:rPr>
          <w:spacing w:val="-4"/>
        </w:rPr>
        <w:t xml:space="preserve"> </w:t>
      </w:r>
      <w:r>
        <w:t>monitoring,</w:t>
      </w:r>
      <w:r>
        <w:rPr>
          <w:spacing w:val="-3"/>
        </w:rPr>
        <w:t xml:space="preserve"> </w:t>
      </w:r>
      <w:r>
        <w:t>assistance</w:t>
      </w:r>
      <w:r>
        <w:rPr>
          <w:spacing w:val="-5"/>
        </w:rPr>
        <w:t xml:space="preserve"> </w:t>
      </w:r>
      <w:r>
        <w:t>in</w:t>
      </w:r>
      <w:r>
        <w:rPr>
          <w:spacing w:val="-4"/>
        </w:rPr>
        <w:t xml:space="preserve"> </w:t>
      </w:r>
      <w:r>
        <w:t>search</w:t>
      </w:r>
      <w:r>
        <w:rPr>
          <w:spacing w:val="-4"/>
        </w:rPr>
        <w:t xml:space="preserve"> </w:t>
      </w:r>
      <w:r>
        <w:t>and</w:t>
      </w:r>
      <w:r>
        <w:rPr>
          <w:spacing w:val="-4"/>
        </w:rPr>
        <w:t xml:space="preserve"> </w:t>
      </w:r>
      <w:r>
        <w:t>rescue</w:t>
      </w:r>
      <w:r>
        <w:rPr>
          <w:spacing w:val="-5"/>
        </w:rPr>
        <w:t xml:space="preserve"> </w:t>
      </w:r>
      <w:r>
        <w:t>missions)</w:t>
      </w:r>
      <w:r>
        <w:rPr>
          <w:spacing w:val="-3"/>
        </w:rPr>
        <w:t xml:space="preserve"> </w:t>
      </w:r>
      <w:r>
        <w:t>based on</w:t>
      </w:r>
      <w:r>
        <w:rPr>
          <w:spacing w:val="-5"/>
        </w:rPr>
        <w:t xml:space="preserve"> </w:t>
      </w:r>
      <w:r>
        <w:t>the</w:t>
      </w:r>
      <w:r>
        <w:rPr>
          <w:spacing w:val="-5"/>
        </w:rPr>
        <w:t xml:space="preserve"> </w:t>
      </w:r>
      <w:r>
        <w:t>most</w:t>
      </w:r>
      <w:r>
        <w:rPr>
          <w:spacing w:val="-5"/>
        </w:rPr>
        <w:t xml:space="preserve"> </w:t>
      </w:r>
      <w:r>
        <w:t>advanced</w:t>
      </w:r>
      <w:r>
        <w:rPr>
          <w:spacing w:val="-5"/>
        </w:rPr>
        <w:t xml:space="preserve"> </w:t>
      </w:r>
      <w:r>
        <w:t>mobile</w:t>
      </w:r>
      <w:r>
        <w:rPr>
          <w:spacing w:val="-5"/>
        </w:rPr>
        <w:t xml:space="preserve"> </w:t>
      </w:r>
      <w:r>
        <w:t>communication</w:t>
      </w:r>
      <w:r>
        <w:rPr>
          <w:spacing w:val="-5"/>
        </w:rPr>
        <w:t xml:space="preserve"> </w:t>
      </w:r>
      <w:r>
        <w:t>technologies</w:t>
      </w:r>
      <w:r>
        <w:rPr>
          <w:spacing w:val="-5"/>
        </w:rPr>
        <w:t xml:space="preserve"> </w:t>
      </w:r>
      <w:r>
        <w:t>(4G/LTE</w:t>
      </w:r>
      <w:r>
        <w:rPr>
          <w:spacing w:val="-6"/>
        </w:rPr>
        <w:t xml:space="preserve"> </w:t>
      </w:r>
      <w:r>
        <w:t>and</w:t>
      </w:r>
      <w:r>
        <w:rPr>
          <w:spacing w:val="-5"/>
        </w:rPr>
        <w:t xml:space="preserve"> </w:t>
      </w:r>
      <w:r>
        <w:t>5G).</w:t>
      </w:r>
      <w:r>
        <w:rPr>
          <w:spacing w:val="-5"/>
        </w:rPr>
        <w:t xml:space="preserve"> </w:t>
      </w:r>
      <w:r>
        <w:t>The</w:t>
      </w:r>
      <w:r>
        <w:rPr>
          <w:spacing w:val="-6"/>
        </w:rPr>
        <w:t xml:space="preserve"> </w:t>
      </w:r>
      <w:r>
        <w:t>ATS</w:t>
      </w:r>
      <w:r>
        <w:rPr>
          <w:spacing w:val="-5"/>
        </w:rPr>
        <w:t xml:space="preserve"> </w:t>
      </w:r>
      <w:r>
        <w:t>is intended</w:t>
      </w:r>
      <w:r>
        <w:rPr>
          <w:spacing w:val="13"/>
        </w:rPr>
        <w:t xml:space="preserve"> </w:t>
      </w:r>
      <w:r>
        <w:t>for</w:t>
      </w:r>
      <w:r>
        <w:rPr>
          <w:spacing w:val="11"/>
        </w:rPr>
        <w:t xml:space="preserve"> </w:t>
      </w:r>
      <w:r>
        <w:t>wireless</w:t>
      </w:r>
      <w:r>
        <w:rPr>
          <w:spacing w:val="14"/>
        </w:rPr>
        <w:t xml:space="preserve"> </w:t>
      </w:r>
      <w:r>
        <w:t>communications</w:t>
      </w:r>
      <w:r>
        <w:rPr>
          <w:spacing w:val="12"/>
        </w:rPr>
        <w:t xml:space="preserve"> </w:t>
      </w:r>
      <w:r>
        <w:t>with</w:t>
      </w:r>
      <w:r>
        <w:rPr>
          <w:spacing w:val="13"/>
        </w:rPr>
        <w:t xml:space="preserve"> </w:t>
      </w:r>
      <w:r>
        <w:t>base</w:t>
      </w:r>
      <w:r>
        <w:rPr>
          <w:spacing w:val="11"/>
        </w:rPr>
        <w:t xml:space="preserve"> </w:t>
      </w:r>
      <w:r>
        <w:t>stations</w:t>
      </w:r>
      <w:r>
        <w:rPr>
          <w:spacing w:val="13"/>
        </w:rPr>
        <w:t xml:space="preserve"> </w:t>
      </w:r>
      <w:r>
        <w:t>of</w:t>
      </w:r>
      <w:r>
        <w:rPr>
          <w:spacing w:val="12"/>
        </w:rPr>
        <w:t xml:space="preserve"> </w:t>
      </w:r>
      <w:r>
        <w:t>terrestrial</w:t>
      </w:r>
      <w:r>
        <w:rPr>
          <w:spacing w:val="13"/>
        </w:rPr>
        <w:t xml:space="preserve"> </w:t>
      </w:r>
      <w:r>
        <w:t>systems</w:t>
      </w:r>
      <w:r>
        <w:rPr>
          <w:spacing w:val="13"/>
        </w:rPr>
        <w:t xml:space="preserve"> </w:t>
      </w:r>
      <w:r>
        <w:rPr>
          <w:spacing w:val="-2"/>
        </w:rPr>
        <w:t>providing</w:t>
      </w:r>
    </w:p>
    <w:p w14:paraId="5D5211FA" w14:textId="77777777" w:rsidR="006E5EB7" w:rsidRDefault="006E5EB7" w:rsidP="006E5EB7">
      <w:pPr>
        <w:spacing w:line="259" w:lineRule="auto"/>
        <w:ind w:left="781"/>
      </w:pPr>
      <w:r>
        <w:rPr>
          <w:rFonts w:ascii="Calibri" w:eastAsia="Calibri" w:hAnsi="Calibri" w:cs="Calibri"/>
          <w:noProof/>
          <w:sz w:val="22"/>
          <w:lang w:val="de-DE" w:eastAsia="de-DE"/>
        </w:rPr>
        <mc:AlternateContent>
          <mc:Choice Requires="wpg">
            <w:drawing>
              <wp:inline distT="0" distB="0" distL="0" distR="0" wp14:anchorId="341E74DB" wp14:editId="0F75C822">
                <wp:extent cx="1829054" cy="7620"/>
                <wp:effectExtent l="0" t="0" r="0" b="0"/>
                <wp:docPr id="6645" name="Group 6645"/>
                <wp:cNvGraphicFramePr/>
                <a:graphic xmlns:a="http://schemas.openxmlformats.org/drawingml/2006/main">
                  <a:graphicData uri="http://schemas.microsoft.com/office/word/2010/wordprocessingGroup">
                    <wpg:wgp>
                      <wpg:cNvGrpSpPr/>
                      <wpg:grpSpPr>
                        <a:xfrm>
                          <a:off x="0" y="0"/>
                          <a:ext cx="1829054" cy="7620"/>
                          <a:chOff x="0" y="0"/>
                          <a:chExt cx="1829054" cy="7620"/>
                        </a:xfrm>
                      </wpg:grpSpPr>
                      <wps:wsp>
                        <wps:cNvPr id="7516" name="Shape 7516"/>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FF1B12F" id="Group 6645" o:spid="_x0000_s1026" style="width:2in;height:.6pt;mso-position-horizontal-relative:char;mso-position-vertical-relative:line" coordsize="18290,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">
                <v:shape id="Shape 7516" o:spid="_x0000_s1027" style="position:absolute;width:18290;height:91;visibility:visible;mso-wrap-style:square;v-text-anchor:top" coordsize="18290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" path="m,l1829054,r,9144l,9144,,e" fillcolor="black" stroked="f" strokeweight="0">
                  <v:stroke miterlimit="83231f" joinstyle="miter"/>
                  <v:path arrowok="t" textboxrect="0,0,1829054,9144"/>
                </v:shape>
                <w10:anchorlock/>
              </v:group>
            </w:pict>
          </mc:Fallback>
        </mc:AlternateContent>
      </w:r>
      <w:r>
        <w:t xml:space="preserve"> </w:t>
      </w:r>
    </w:p>
    <w:p w14:paraId="3088920B" w14:textId="77777777" w:rsidR="006E5EB7" w:rsidRPr="00E4240D" w:rsidRDefault="006E5EB7" w:rsidP="00420549">
      <w:pPr>
        <w:spacing w:before="80" w:after="80"/>
        <w:ind w:left="567" w:right="355" w:hanging="567"/>
        <w:jc w:val="both"/>
        <w:rPr>
          <w:rFonts w:ascii="Times New Roman" w:hAnsi="Times New Roman"/>
          <w:sz w:val="18"/>
          <w:szCs w:val="18"/>
        </w:rPr>
      </w:pPr>
      <w:r w:rsidRPr="00E4240D">
        <w:rPr>
          <w:rFonts w:ascii="Times New Roman" w:hAnsi="Times New Roman"/>
          <w:sz w:val="16"/>
          <w:szCs w:val="16"/>
          <w:vertAlign w:val="superscript"/>
        </w:rPr>
        <w:t>1</w:t>
      </w:r>
      <w:r>
        <w:rPr>
          <w:rFonts w:ascii="Times New Roman" w:hAnsi="Times New Roman"/>
          <w:sz w:val="16"/>
          <w:szCs w:val="16"/>
        </w:rPr>
        <w:t xml:space="preserve"> </w:t>
      </w:r>
      <w:r w:rsidRPr="00E4240D">
        <w:rPr>
          <w:rFonts w:ascii="Times New Roman" w:hAnsi="Times New Roman"/>
          <w:sz w:val="18"/>
          <w:szCs w:val="18"/>
        </w:rPr>
        <w:tab/>
        <w:t>Currently</w:t>
      </w:r>
      <w:r w:rsidRPr="00E4240D">
        <w:rPr>
          <w:rFonts w:ascii="Times New Roman" w:hAnsi="Times New Roman"/>
          <w:spacing w:val="-9"/>
          <w:sz w:val="18"/>
          <w:szCs w:val="18"/>
        </w:rPr>
        <w:t xml:space="preserve"> </w:t>
      </w:r>
      <w:r w:rsidRPr="00E4240D">
        <w:rPr>
          <w:rFonts w:ascii="Times New Roman" w:hAnsi="Times New Roman"/>
          <w:sz w:val="18"/>
          <w:szCs w:val="18"/>
        </w:rPr>
        <w:t>under</w:t>
      </w:r>
      <w:r w:rsidRPr="00E4240D">
        <w:rPr>
          <w:rFonts w:ascii="Times New Roman" w:hAnsi="Times New Roman"/>
          <w:spacing w:val="-8"/>
          <w:sz w:val="18"/>
          <w:szCs w:val="18"/>
        </w:rPr>
        <w:t xml:space="preserve"> </w:t>
      </w:r>
      <w:r w:rsidRPr="00E4240D">
        <w:rPr>
          <w:rFonts w:ascii="Times New Roman" w:hAnsi="Times New Roman"/>
          <w:sz w:val="18"/>
          <w:szCs w:val="18"/>
        </w:rPr>
        <w:t>study</w:t>
      </w:r>
      <w:r w:rsidRPr="00E4240D">
        <w:rPr>
          <w:rFonts w:ascii="Times New Roman" w:hAnsi="Times New Roman"/>
          <w:spacing w:val="-8"/>
          <w:sz w:val="18"/>
          <w:szCs w:val="18"/>
        </w:rPr>
        <w:t xml:space="preserve"> </w:t>
      </w:r>
      <w:r w:rsidRPr="00E4240D">
        <w:rPr>
          <w:rFonts w:ascii="Times New Roman" w:hAnsi="Times New Roman"/>
          <w:sz w:val="18"/>
          <w:szCs w:val="18"/>
        </w:rPr>
        <w:t>by</w:t>
      </w:r>
      <w:r w:rsidRPr="00E4240D">
        <w:rPr>
          <w:rFonts w:ascii="Times New Roman" w:hAnsi="Times New Roman"/>
          <w:spacing w:val="-8"/>
          <w:sz w:val="18"/>
          <w:szCs w:val="18"/>
        </w:rPr>
        <w:t xml:space="preserve"> </w:t>
      </w:r>
      <w:r w:rsidRPr="00E4240D">
        <w:rPr>
          <w:rFonts w:ascii="Times New Roman" w:hAnsi="Times New Roman"/>
          <w:sz w:val="18"/>
          <w:szCs w:val="18"/>
        </w:rPr>
        <w:t>ETSI,</w:t>
      </w:r>
      <w:r w:rsidRPr="00E4240D">
        <w:rPr>
          <w:rFonts w:ascii="Times New Roman" w:hAnsi="Times New Roman"/>
          <w:spacing w:val="-9"/>
          <w:sz w:val="18"/>
          <w:szCs w:val="18"/>
        </w:rPr>
        <w:t xml:space="preserve"> </w:t>
      </w:r>
      <w:r w:rsidRPr="00E4240D">
        <w:rPr>
          <w:rFonts w:ascii="Times New Roman" w:hAnsi="Times New Roman"/>
          <w:sz w:val="18"/>
          <w:szCs w:val="18"/>
        </w:rPr>
        <w:t>there</w:t>
      </w:r>
      <w:r w:rsidRPr="00E4240D">
        <w:rPr>
          <w:rFonts w:ascii="Times New Roman" w:hAnsi="Times New Roman"/>
          <w:spacing w:val="-9"/>
          <w:sz w:val="18"/>
          <w:szCs w:val="18"/>
        </w:rPr>
        <w:t xml:space="preserve"> </w:t>
      </w:r>
      <w:r w:rsidRPr="00E4240D">
        <w:rPr>
          <w:rFonts w:ascii="Times New Roman" w:hAnsi="Times New Roman"/>
          <w:sz w:val="18"/>
          <w:szCs w:val="18"/>
        </w:rPr>
        <w:t>is</w:t>
      </w:r>
      <w:r w:rsidRPr="00E4240D">
        <w:rPr>
          <w:rFonts w:ascii="Times New Roman" w:hAnsi="Times New Roman"/>
          <w:spacing w:val="-10"/>
          <w:sz w:val="18"/>
          <w:szCs w:val="18"/>
        </w:rPr>
        <w:t xml:space="preserve"> </w:t>
      </w:r>
      <w:r w:rsidRPr="00E4240D">
        <w:rPr>
          <w:rFonts w:ascii="Times New Roman" w:hAnsi="Times New Roman"/>
          <w:sz w:val="18"/>
          <w:szCs w:val="18"/>
        </w:rPr>
        <w:t>need</w:t>
      </w:r>
      <w:r w:rsidRPr="00E4240D">
        <w:rPr>
          <w:rFonts w:ascii="Times New Roman" w:hAnsi="Times New Roman"/>
          <w:spacing w:val="-8"/>
          <w:sz w:val="18"/>
          <w:szCs w:val="18"/>
        </w:rPr>
        <w:t xml:space="preserve"> </w:t>
      </w:r>
      <w:r w:rsidRPr="00E4240D">
        <w:rPr>
          <w:rFonts w:ascii="Times New Roman" w:hAnsi="Times New Roman"/>
          <w:sz w:val="18"/>
          <w:szCs w:val="18"/>
        </w:rPr>
        <w:t>for</w:t>
      </w:r>
      <w:r w:rsidRPr="00E4240D">
        <w:rPr>
          <w:rFonts w:ascii="Times New Roman" w:hAnsi="Times New Roman"/>
          <w:spacing w:val="-9"/>
          <w:sz w:val="18"/>
          <w:szCs w:val="18"/>
        </w:rPr>
        <w:t xml:space="preserve"> </w:t>
      </w:r>
      <w:r w:rsidRPr="00E4240D">
        <w:rPr>
          <w:rFonts w:ascii="Times New Roman" w:hAnsi="Times New Roman"/>
          <w:sz w:val="18"/>
          <w:szCs w:val="18"/>
        </w:rPr>
        <w:t>a</w:t>
      </w:r>
      <w:r w:rsidRPr="00E4240D">
        <w:rPr>
          <w:rFonts w:ascii="Times New Roman" w:hAnsi="Times New Roman"/>
          <w:spacing w:val="-7"/>
          <w:sz w:val="18"/>
          <w:szCs w:val="18"/>
        </w:rPr>
        <w:t xml:space="preserve"> </w:t>
      </w:r>
      <w:r w:rsidRPr="00E4240D">
        <w:rPr>
          <w:rFonts w:ascii="Times New Roman" w:hAnsi="Times New Roman"/>
          <w:sz w:val="18"/>
          <w:szCs w:val="18"/>
        </w:rPr>
        <w:t>mechanism</w:t>
      </w:r>
      <w:r w:rsidRPr="00E4240D">
        <w:rPr>
          <w:rFonts w:ascii="Times New Roman" w:hAnsi="Times New Roman"/>
          <w:spacing w:val="-10"/>
          <w:sz w:val="18"/>
          <w:szCs w:val="18"/>
        </w:rPr>
        <w:t xml:space="preserve"> </w:t>
      </w:r>
      <w:r w:rsidRPr="00E4240D">
        <w:rPr>
          <w:rFonts w:ascii="Times New Roman" w:hAnsi="Times New Roman"/>
          <w:sz w:val="18"/>
          <w:szCs w:val="18"/>
        </w:rPr>
        <w:t>to</w:t>
      </w:r>
      <w:r w:rsidRPr="00E4240D">
        <w:rPr>
          <w:rFonts w:ascii="Times New Roman" w:hAnsi="Times New Roman"/>
          <w:spacing w:val="-8"/>
          <w:sz w:val="18"/>
          <w:szCs w:val="18"/>
        </w:rPr>
        <w:t xml:space="preserve"> </w:t>
      </w:r>
      <w:r w:rsidRPr="00E4240D">
        <w:rPr>
          <w:rFonts w:ascii="Times New Roman" w:hAnsi="Times New Roman"/>
          <w:sz w:val="18"/>
          <w:szCs w:val="18"/>
        </w:rPr>
        <w:t>differentiate</w:t>
      </w:r>
      <w:r w:rsidRPr="00E4240D">
        <w:rPr>
          <w:rFonts w:ascii="Times New Roman" w:hAnsi="Times New Roman"/>
          <w:spacing w:val="-9"/>
          <w:sz w:val="18"/>
          <w:szCs w:val="18"/>
        </w:rPr>
        <w:t xml:space="preserve"> </w:t>
      </w:r>
      <w:r w:rsidRPr="00E4240D">
        <w:rPr>
          <w:rFonts w:ascii="Times New Roman" w:hAnsi="Times New Roman"/>
          <w:sz w:val="18"/>
          <w:szCs w:val="18"/>
        </w:rPr>
        <w:t>between</w:t>
      </w:r>
      <w:r w:rsidRPr="00E4240D">
        <w:rPr>
          <w:rFonts w:ascii="Times New Roman" w:hAnsi="Times New Roman"/>
          <w:spacing w:val="-8"/>
          <w:sz w:val="18"/>
          <w:szCs w:val="18"/>
        </w:rPr>
        <w:t xml:space="preserve"> </w:t>
      </w:r>
      <w:r w:rsidRPr="00E4240D">
        <w:rPr>
          <w:rFonts w:ascii="Times New Roman" w:hAnsi="Times New Roman"/>
          <w:sz w:val="18"/>
          <w:szCs w:val="18"/>
        </w:rPr>
        <w:t>an</w:t>
      </w:r>
      <w:r w:rsidRPr="00E4240D">
        <w:rPr>
          <w:rFonts w:ascii="Times New Roman" w:hAnsi="Times New Roman"/>
          <w:spacing w:val="-8"/>
          <w:sz w:val="18"/>
          <w:szCs w:val="18"/>
        </w:rPr>
        <w:t xml:space="preserve"> </w:t>
      </w:r>
      <w:r w:rsidRPr="00E4240D">
        <w:rPr>
          <w:rFonts w:ascii="Times New Roman" w:hAnsi="Times New Roman"/>
          <w:sz w:val="18"/>
          <w:szCs w:val="18"/>
        </w:rPr>
        <w:t>aerial</w:t>
      </w:r>
      <w:r w:rsidRPr="00E4240D">
        <w:rPr>
          <w:rFonts w:ascii="Times New Roman" w:hAnsi="Times New Roman"/>
          <w:spacing w:val="-6"/>
          <w:sz w:val="18"/>
          <w:szCs w:val="18"/>
        </w:rPr>
        <w:t xml:space="preserve"> </w:t>
      </w:r>
      <w:r w:rsidRPr="00E4240D">
        <w:rPr>
          <w:rFonts w:ascii="Times New Roman" w:hAnsi="Times New Roman"/>
          <w:sz w:val="18"/>
          <w:szCs w:val="18"/>
        </w:rPr>
        <w:t>terminal station and a conventional User Equipment. This</w:t>
      </w:r>
      <w:r w:rsidRPr="00E4240D">
        <w:rPr>
          <w:rFonts w:ascii="Times New Roman" w:hAnsi="Times New Roman"/>
          <w:spacing w:val="-1"/>
          <w:sz w:val="18"/>
          <w:szCs w:val="18"/>
        </w:rPr>
        <w:t xml:space="preserve"> </w:t>
      </w:r>
      <w:r w:rsidRPr="00E4240D">
        <w:rPr>
          <w:rFonts w:ascii="Times New Roman" w:hAnsi="Times New Roman"/>
          <w:sz w:val="18"/>
          <w:szCs w:val="18"/>
        </w:rPr>
        <w:t>mechanism cannot be changed by the end-user and is necessary to ensure that aerial terminal stations respect no-transmit zones.</w:t>
      </w:r>
    </w:p>
    <w:p w14:paraId="02576AE5" w14:textId="77777777" w:rsidR="006E5EB7" w:rsidRPr="00E4240D" w:rsidRDefault="006E5EB7" w:rsidP="00420549">
      <w:pPr>
        <w:spacing w:before="80" w:after="80"/>
        <w:ind w:left="567" w:right="358" w:hanging="567"/>
        <w:jc w:val="both"/>
        <w:rPr>
          <w:rFonts w:ascii="Times New Roman" w:hAnsi="Times New Roman"/>
          <w:sz w:val="18"/>
          <w:szCs w:val="18"/>
        </w:rPr>
      </w:pPr>
      <w:r w:rsidRPr="00E4240D">
        <w:rPr>
          <w:rFonts w:ascii="Times New Roman" w:hAnsi="Times New Roman"/>
          <w:sz w:val="18"/>
          <w:szCs w:val="18"/>
          <w:vertAlign w:val="superscript"/>
        </w:rPr>
        <w:t>2</w:t>
      </w:r>
      <w:r w:rsidRPr="00E4240D">
        <w:rPr>
          <w:rFonts w:ascii="Times New Roman" w:hAnsi="Times New Roman"/>
          <w:spacing w:val="80"/>
          <w:sz w:val="18"/>
          <w:szCs w:val="18"/>
        </w:rPr>
        <w:t xml:space="preserve"> </w:t>
      </w:r>
      <w:r w:rsidRPr="00E4240D">
        <w:rPr>
          <w:rFonts w:ascii="Times New Roman" w:hAnsi="Times New Roman"/>
          <w:spacing w:val="80"/>
          <w:sz w:val="18"/>
          <w:szCs w:val="18"/>
        </w:rPr>
        <w:tab/>
      </w:r>
      <w:r w:rsidRPr="00E4240D">
        <w:rPr>
          <w:rFonts w:ascii="Times New Roman" w:hAnsi="Times New Roman"/>
          <w:sz w:val="18"/>
          <w:szCs w:val="18"/>
        </w:rPr>
        <w:t>For</w:t>
      </w:r>
      <w:r w:rsidRPr="00E4240D">
        <w:rPr>
          <w:rFonts w:ascii="Times New Roman" w:hAnsi="Times New Roman"/>
          <w:spacing w:val="-4"/>
          <w:sz w:val="18"/>
          <w:szCs w:val="18"/>
        </w:rPr>
        <w:t xml:space="preserve"> </w:t>
      </w:r>
      <w:r w:rsidRPr="00E4240D">
        <w:rPr>
          <w:rFonts w:ascii="Times New Roman" w:hAnsi="Times New Roman"/>
          <w:sz w:val="18"/>
          <w:szCs w:val="18"/>
        </w:rPr>
        <w:t>the</w:t>
      </w:r>
      <w:r w:rsidRPr="00E4240D">
        <w:rPr>
          <w:rFonts w:ascii="Times New Roman" w:hAnsi="Times New Roman"/>
          <w:spacing w:val="-4"/>
          <w:sz w:val="18"/>
          <w:szCs w:val="18"/>
        </w:rPr>
        <w:t xml:space="preserve"> </w:t>
      </w:r>
      <w:r w:rsidRPr="00E4240D">
        <w:rPr>
          <w:rFonts w:ascii="Times New Roman" w:hAnsi="Times New Roman"/>
          <w:sz w:val="18"/>
          <w:szCs w:val="18"/>
        </w:rPr>
        <w:t>purpose</w:t>
      </w:r>
      <w:r w:rsidRPr="00E4240D">
        <w:rPr>
          <w:rFonts w:ascii="Times New Roman" w:hAnsi="Times New Roman"/>
          <w:spacing w:val="-4"/>
          <w:sz w:val="18"/>
          <w:szCs w:val="18"/>
        </w:rPr>
        <w:t xml:space="preserve"> </w:t>
      </w:r>
      <w:r w:rsidRPr="00E4240D">
        <w:rPr>
          <w:rFonts w:ascii="Times New Roman" w:hAnsi="Times New Roman"/>
          <w:sz w:val="18"/>
          <w:szCs w:val="18"/>
        </w:rPr>
        <w:t>of</w:t>
      </w:r>
      <w:r w:rsidRPr="00E4240D">
        <w:rPr>
          <w:rFonts w:ascii="Times New Roman" w:hAnsi="Times New Roman"/>
          <w:spacing w:val="-4"/>
          <w:sz w:val="18"/>
          <w:szCs w:val="18"/>
        </w:rPr>
        <w:t xml:space="preserve"> </w:t>
      </w:r>
      <w:r w:rsidRPr="00E4240D">
        <w:rPr>
          <w:rFonts w:ascii="Times New Roman" w:hAnsi="Times New Roman"/>
          <w:sz w:val="18"/>
          <w:szCs w:val="18"/>
        </w:rPr>
        <w:t>this</w:t>
      </w:r>
      <w:r w:rsidRPr="00E4240D">
        <w:rPr>
          <w:rFonts w:ascii="Times New Roman" w:hAnsi="Times New Roman"/>
          <w:spacing w:val="-3"/>
          <w:sz w:val="18"/>
          <w:szCs w:val="18"/>
        </w:rPr>
        <w:t xml:space="preserve"> </w:t>
      </w:r>
      <w:r w:rsidRPr="00E4240D">
        <w:rPr>
          <w:rFonts w:ascii="Times New Roman" w:hAnsi="Times New Roman"/>
          <w:sz w:val="18"/>
          <w:szCs w:val="18"/>
        </w:rPr>
        <w:t>mandate</w:t>
      </w:r>
      <w:r w:rsidRPr="00E4240D">
        <w:rPr>
          <w:rFonts w:ascii="Times New Roman" w:hAnsi="Times New Roman"/>
          <w:spacing w:val="-4"/>
          <w:sz w:val="18"/>
          <w:szCs w:val="18"/>
        </w:rPr>
        <w:t xml:space="preserve"> </w:t>
      </w:r>
      <w:r w:rsidRPr="00E4240D">
        <w:rPr>
          <w:rFonts w:ascii="Times New Roman" w:hAnsi="Times New Roman"/>
          <w:sz w:val="18"/>
          <w:szCs w:val="18"/>
        </w:rPr>
        <w:t>and</w:t>
      </w:r>
      <w:r w:rsidRPr="00E4240D">
        <w:rPr>
          <w:rFonts w:ascii="Times New Roman" w:hAnsi="Times New Roman"/>
          <w:spacing w:val="-3"/>
          <w:sz w:val="18"/>
          <w:szCs w:val="18"/>
        </w:rPr>
        <w:t xml:space="preserve"> </w:t>
      </w:r>
      <w:r w:rsidRPr="00E4240D">
        <w:rPr>
          <w:rFonts w:ascii="Times New Roman" w:hAnsi="Times New Roman"/>
          <w:sz w:val="18"/>
          <w:szCs w:val="18"/>
        </w:rPr>
        <w:t>its</w:t>
      </w:r>
      <w:r w:rsidRPr="00E4240D">
        <w:rPr>
          <w:rFonts w:ascii="Times New Roman" w:hAnsi="Times New Roman"/>
          <w:spacing w:val="-5"/>
          <w:sz w:val="18"/>
          <w:szCs w:val="18"/>
        </w:rPr>
        <w:t xml:space="preserve"> </w:t>
      </w:r>
      <w:r w:rsidRPr="00E4240D">
        <w:rPr>
          <w:rFonts w:ascii="Times New Roman" w:hAnsi="Times New Roman"/>
          <w:sz w:val="18"/>
          <w:szCs w:val="18"/>
        </w:rPr>
        <w:t>follow-up,</w:t>
      </w:r>
      <w:r w:rsidRPr="00E4240D">
        <w:rPr>
          <w:rFonts w:ascii="Times New Roman" w:hAnsi="Times New Roman"/>
          <w:spacing w:val="-4"/>
          <w:sz w:val="18"/>
          <w:szCs w:val="18"/>
        </w:rPr>
        <w:t xml:space="preserve"> </w:t>
      </w:r>
      <w:r w:rsidRPr="00E4240D">
        <w:rPr>
          <w:rFonts w:ascii="Times New Roman" w:hAnsi="Times New Roman"/>
          <w:sz w:val="18"/>
          <w:szCs w:val="18"/>
        </w:rPr>
        <w:t>the</w:t>
      </w:r>
      <w:r w:rsidRPr="00E4240D">
        <w:rPr>
          <w:rFonts w:ascii="Times New Roman" w:hAnsi="Times New Roman"/>
          <w:spacing w:val="-4"/>
          <w:sz w:val="18"/>
          <w:szCs w:val="18"/>
        </w:rPr>
        <w:t xml:space="preserve"> </w:t>
      </w:r>
      <w:r w:rsidRPr="00E4240D">
        <w:rPr>
          <w:rFonts w:ascii="Times New Roman" w:hAnsi="Times New Roman"/>
          <w:sz w:val="18"/>
          <w:szCs w:val="18"/>
        </w:rPr>
        <w:t>term</w:t>
      </w:r>
      <w:r w:rsidRPr="00E4240D">
        <w:rPr>
          <w:rFonts w:ascii="Times New Roman" w:hAnsi="Times New Roman"/>
          <w:spacing w:val="-4"/>
          <w:sz w:val="18"/>
          <w:szCs w:val="18"/>
        </w:rPr>
        <w:t xml:space="preserve"> </w:t>
      </w:r>
      <w:r w:rsidRPr="00E4240D">
        <w:rPr>
          <w:rFonts w:ascii="Times New Roman" w:hAnsi="Times New Roman"/>
          <w:sz w:val="18"/>
          <w:szCs w:val="18"/>
        </w:rPr>
        <w:t>aerial</w:t>
      </w:r>
      <w:r w:rsidRPr="00E4240D">
        <w:rPr>
          <w:rFonts w:ascii="Times New Roman" w:hAnsi="Times New Roman"/>
          <w:spacing w:val="-4"/>
          <w:sz w:val="18"/>
          <w:szCs w:val="18"/>
        </w:rPr>
        <w:t xml:space="preserve"> </w:t>
      </w:r>
      <w:r w:rsidRPr="00E4240D">
        <w:rPr>
          <w:rFonts w:ascii="Times New Roman" w:hAnsi="Times New Roman"/>
          <w:sz w:val="18"/>
          <w:szCs w:val="18"/>
        </w:rPr>
        <w:t>terminal</w:t>
      </w:r>
      <w:r w:rsidRPr="00E4240D">
        <w:rPr>
          <w:rFonts w:ascii="Times New Roman" w:hAnsi="Times New Roman"/>
          <w:spacing w:val="-4"/>
          <w:sz w:val="18"/>
          <w:szCs w:val="18"/>
        </w:rPr>
        <w:t xml:space="preserve"> </w:t>
      </w:r>
      <w:r w:rsidRPr="00E4240D">
        <w:rPr>
          <w:rFonts w:ascii="Times New Roman" w:hAnsi="Times New Roman"/>
          <w:sz w:val="18"/>
          <w:szCs w:val="18"/>
        </w:rPr>
        <w:t>station</w:t>
      </w:r>
      <w:r w:rsidRPr="00E4240D">
        <w:rPr>
          <w:rFonts w:ascii="Times New Roman" w:hAnsi="Times New Roman"/>
          <w:spacing w:val="-3"/>
          <w:sz w:val="18"/>
          <w:szCs w:val="18"/>
        </w:rPr>
        <w:t xml:space="preserve"> </w:t>
      </w:r>
      <w:r w:rsidRPr="00E4240D">
        <w:rPr>
          <w:rFonts w:ascii="Times New Roman" w:hAnsi="Times New Roman"/>
          <w:sz w:val="18"/>
          <w:szCs w:val="18"/>
        </w:rPr>
        <w:t>(ATS)</w:t>
      </w:r>
      <w:r w:rsidRPr="00E4240D">
        <w:rPr>
          <w:rFonts w:ascii="Times New Roman" w:hAnsi="Times New Roman"/>
          <w:spacing w:val="-4"/>
          <w:sz w:val="18"/>
          <w:szCs w:val="18"/>
        </w:rPr>
        <w:t xml:space="preserve"> </w:t>
      </w:r>
      <w:r w:rsidRPr="00E4240D">
        <w:rPr>
          <w:rFonts w:ascii="Times New Roman" w:hAnsi="Times New Roman"/>
          <w:sz w:val="18"/>
          <w:szCs w:val="18"/>
        </w:rPr>
        <w:t>is</w:t>
      </w:r>
      <w:r w:rsidRPr="00E4240D">
        <w:rPr>
          <w:rFonts w:ascii="Times New Roman" w:hAnsi="Times New Roman"/>
          <w:spacing w:val="-3"/>
          <w:sz w:val="18"/>
          <w:szCs w:val="18"/>
        </w:rPr>
        <w:t xml:space="preserve"> </w:t>
      </w:r>
      <w:r w:rsidRPr="00E4240D">
        <w:rPr>
          <w:rFonts w:ascii="Times New Roman" w:hAnsi="Times New Roman"/>
          <w:sz w:val="18"/>
          <w:szCs w:val="18"/>
        </w:rPr>
        <w:t>used</w:t>
      </w:r>
      <w:r w:rsidRPr="00E4240D">
        <w:rPr>
          <w:rFonts w:ascii="Times New Roman" w:hAnsi="Times New Roman"/>
          <w:spacing w:val="-3"/>
          <w:sz w:val="18"/>
          <w:szCs w:val="18"/>
        </w:rPr>
        <w:t xml:space="preserve"> </w:t>
      </w:r>
      <w:r w:rsidRPr="00E4240D">
        <w:rPr>
          <w:rFonts w:ascii="Times New Roman" w:hAnsi="Times New Roman"/>
          <w:sz w:val="18"/>
          <w:szCs w:val="18"/>
        </w:rPr>
        <w:t xml:space="preserve">instead of “aerial UE”, term which has been used in the CEPT studies and harmonisation initiative related to this topic and cited in this mandate. This clarification keeps terminology consistent with the EU legal </w:t>
      </w:r>
      <w:r w:rsidRPr="00E4240D">
        <w:rPr>
          <w:rFonts w:ascii="Times New Roman" w:hAnsi="Times New Roman"/>
          <w:spacing w:val="-2"/>
          <w:sz w:val="18"/>
          <w:szCs w:val="18"/>
        </w:rPr>
        <w:t>framework.</w:t>
      </w:r>
    </w:p>
    <w:p w14:paraId="6EAC7DD3" w14:textId="77777777" w:rsidR="006E5EB7" w:rsidRPr="00E4240D" w:rsidRDefault="006E5EB7" w:rsidP="00420549">
      <w:pPr>
        <w:spacing w:before="80" w:after="80"/>
        <w:ind w:left="567" w:right="371" w:hanging="567"/>
        <w:jc w:val="both"/>
        <w:rPr>
          <w:rFonts w:ascii="Times New Roman" w:hAnsi="Times New Roman"/>
          <w:sz w:val="18"/>
          <w:szCs w:val="18"/>
        </w:rPr>
      </w:pPr>
      <w:r w:rsidRPr="00E4240D">
        <w:rPr>
          <w:rFonts w:ascii="Times New Roman" w:hAnsi="Times New Roman"/>
          <w:sz w:val="18"/>
          <w:szCs w:val="18"/>
          <w:vertAlign w:val="superscript"/>
        </w:rPr>
        <w:t>3</w:t>
      </w:r>
      <w:r w:rsidRPr="00E4240D">
        <w:rPr>
          <w:rFonts w:ascii="Times New Roman" w:hAnsi="Times New Roman"/>
          <w:spacing w:val="80"/>
          <w:sz w:val="18"/>
          <w:szCs w:val="18"/>
        </w:rPr>
        <w:t xml:space="preserve"> </w:t>
      </w:r>
      <w:r w:rsidRPr="00E4240D">
        <w:rPr>
          <w:rFonts w:ascii="Times New Roman" w:hAnsi="Times New Roman"/>
          <w:spacing w:val="80"/>
          <w:sz w:val="18"/>
          <w:szCs w:val="18"/>
        </w:rPr>
        <w:tab/>
      </w:r>
      <w:r w:rsidRPr="00E4240D">
        <w:rPr>
          <w:rFonts w:ascii="Times New Roman" w:hAnsi="Times New Roman"/>
          <w:sz w:val="18"/>
          <w:szCs w:val="18"/>
        </w:rPr>
        <w:t>Decision 676/2002/EC of the European Parliament and of the Council of 7 March 2002 on a regulatory framework for radio spectrum policy in the European Community, OJ L 108, 24.4.2002, p. 1.</w:t>
      </w:r>
    </w:p>
    <w:p w14:paraId="6A63EF0E" w14:textId="77777777" w:rsidR="006E5EB7" w:rsidRDefault="006E5EB7" w:rsidP="00420549">
      <w:pPr>
        <w:widowControl w:val="0"/>
        <w:spacing w:before="80" w:after="80"/>
        <w:ind w:left="567" w:right="1616" w:hanging="567"/>
        <w:rPr>
          <w:rFonts w:ascii="Times New Roman" w:hAnsi="Times New Roman"/>
          <w:sz w:val="18"/>
          <w:szCs w:val="18"/>
        </w:rPr>
      </w:pPr>
      <w:r w:rsidRPr="00E4240D">
        <w:rPr>
          <w:rFonts w:ascii="Times New Roman" w:hAnsi="Times New Roman"/>
          <w:sz w:val="18"/>
          <w:szCs w:val="18"/>
          <w:vertAlign w:val="superscript"/>
        </w:rPr>
        <w:t>4</w:t>
      </w:r>
      <w:r w:rsidRPr="00E4240D">
        <w:rPr>
          <w:rFonts w:ascii="Times New Roman" w:hAnsi="Times New Roman"/>
          <w:spacing w:val="80"/>
          <w:sz w:val="18"/>
          <w:szCs w:val="18"/>
        </w:rPr>
        <w:t xml:space="preserve"> </w:t>
      </w:r>
      <w:r w:rsidRPr="00E4240D">
        <w:rPr>
          <w:rFonts w:ascii="Times New Roman" w:hAnsi="Times New Roman"/>
          <w:spacing w:val="80"/>
          <w:sz w:val="18"/>
          <w:szCs w:val="18"/>
        </w:rPr>
        <w:tab/>
      </w:r>
      <w:r w:rsidRPr="00E4240D">
        <w:rPr>
          <w:rFonts w:ascii="Times New Roman" w:hAnsi="Times New Roman"/>
          <w:sz w:val="18"/>
          <w:szCs w:val="18"/>
        </w:rPr>
        <w:t>Decision (EU) 2022/2481 of the European Parliament and of the Council of 14 December 2022 establishing the Digital Decade Policy Programme 2030, OJ L 323, 19.12.2022, p. 4</w:t>
      </w:r>
    </w:p>
    <w:p w14:paraId="16D6D01E" w14:textId="77777777" w:rsidR="00982AF6" w:rsidRPr="00E4240D" w:rsidRDefault="00982AF6" w:rsidP="006E5EB7">
      <w:pPr>
        <w:widowControl w:val="0"/>
        <w:spacing w:before="40" w:after="40"/>
        <w:ind w:left="567" w:right="1616" w:hanging="567"/>
        <w:rPr>
          <w:rFonts w:ascii="Times New Roman" w:hAnsi="Times New Roman"/>
          <w:sz w:val="18"/>
          <w:szCs w:val="18"/>
        </w:rPr>
      </w:pPr>
    </w:p>
    <w:p w14:paraId="49FAD52E" w14:textId="77777777" w:rsidR="00982AF6" w:rsidRDefault="00982AF6" w:rsidP="00982AF6">
      <w:pPr>
        <w:pStyle w:val="BodyText"/>
        <w:spacing w:before="120"/>
        <w:ind w:left="169" w:right="708"/>
        <w:jc w:val="both"/>
      </w:pPr>
      <w:r>
        <w:lastRenderedPageBreak/>
        <w:t>electronic communications services</w:t>
      </w:r>
      <w:r>
        <w:rPr>
          <w:vertAlign w:val="superscript"/>
        </w:rPr>
        <w:t>5</w:t>
      </w:r>
      <w:r>
        <w:t>, using EU-harmonised frequency bands. Usage of 4G/LTE and 5G technology provides high data rate, low latency, large system capacity and robust reliability, which are necessary for the operation and data exchange of ATSs. In</w:t>
      </w:r>
      <w:r>
        <w:rPr>
          <w:spacing w:val="-11"/>
        </w:rPr>
        <w:t xml:space="preserve"> </w:t>
      </w:r>
      <w:r>
        <w:t>this</w:t>
      </w:r>
      <w:r>
        <w:rPr>
          <w:spacing w:val="-10"/>
        </w:rPr>
        <w:t xml:space="preserve"> </w:t>
      </w:r>
      <w:r>
        <w:t>regard,</w:t>
      </w:r>
      <w:r>
        <w:rPr>
          <w:spacing w:val="-11"/>
        </w:rPr>
        <w:t xml:space="preserve"> </w:t>
      </w:r>
      <w:r>
        <w:t>the</w:t>
      </w:r>
      <w:r>
        <w:rPr>
          <w:spacing w:val="-11"/>
        </w:rPr>
        <w:t xml:space="preserve"> </w:t>
      </w:r>
      <w:r>
        <w:t>Commission</w:t>
      </w:r>
      <w:r>
        <w:rPr>
          <w:spacing w:val="-10"/>
        </w:rPr>
        <w:t xml:space="preserve"> </w:t>
      </w:r>
      <w:r>
        <w:t>Communication</w:t>
      </w:r>
      <w:r>
        <w:rPr>
          <w:spacing w:val="-11"/>
        </w:rPr>
        <w:t xml:space="preserve"> </w:t>
      </w:r>
      <w:r>
        <w:t>‘5G</w:t>
      </w:r>
      <w:r>
        <w:rPr>
          <w:spacing w:val="-11"/>
        </w:rPr>
        <w:t xml:space="preserve"> </w:t>
      </w:r>
      <w:r>
        <w:t>for</w:t>
      </w:r>
      <w:r>
        <w:rPr>
          <w:spacing w:val="-12"/>
        </w:rPr>
        <w:t xml:space="preserve"> </w:t>
      </w:r>
      <w:r>
        <w:t>Europe:</w:t>
      </w:r>
      <w:r>
        <w:rPr>
          <w:spacing w:val="-10"/>
        </w:rPr>
        <w:t xml:space="preserve"> </w:t>
      </w:r>
      <w:r>
        <w:t>an</w:t>
      </w:r>
      <w:r>
        <w:rPr>
          <w:spacing w:val="-11"/>
        </w:rPr>
        <w:t xml:space="preserve"> </w:t>
      </w:r>
      <w:r>
        <w:t>Action</w:t>
      </w:r>
      <w:r>
        <w:rPr>
          <w:spacing w:val="-8"/>
        </w:rPr>
        <w:t xml:space="preserve"> </w:t>
      </w:r>
      <w:r>
        <w:t>Plan’</w:t>
      </w:r>
      <w:r>
        <w:rPr>
          <w:vertAlign w:val="superscript"/>
        </w:rPr>
        <w:t>6</w:t>
      </w:r>
      <w:r>
        <w:t>,</w:t>
      </w:r>
      <w:r>
        <w:rPr>
          <w:spacing w:val="-11"/>
        </w:rPr>
        <w:t xml:space="preserve"> </w:t>
      </w:r>
      <w:r>
        <w:t>calls</w:t>
      </w:r>
      <w:r>
        <w:rPr>
          <w:spacing w:val="-10"/>
        </w:rPr>
        <w:t xml:space="preserve"> </w:t>
      </w:r>
      <w:r>
        <w:t>for appropriate</w:t>
      </w:r>
      <w:r>
        <w:rPr>
          <w:spacing w:val="-3"/>
        </w:rPr>
        <w:t xml:space="preserve"> </w:t>
      </w:r>
      <w:r>
        <w:t>steps</w:t>
      </w:r>
      <w:r>
        <w:rPr>
          <w:spacing w:val="-1"/>
        </w:rPr>
        <w:t xml:space="preserve"> </w:t>
      </w:r>
      <w:r>
        <w:t>for</w:t>
      </w:r>
      <w:r>
        <w:rPr>
          <w:spacing w:val="-5"/>
        </w:rPr>
        <w:t xml:space="preserve"> </w:t>
      </w:r>
      <w:r>
        <w:t>the</w:t>
      </w:r>
      <w:r>
        <w:rPr>
          <w:spacing w:val="-1"/>
        </w:rPr>
        <w:t xml:space="preserve"> </w:t>
      </w:r>
      <w:r>
        <w:t>future</w:t>
      </w:r>
      <w:r>
        <w:rPr>
          <w:spacing w:val="-4"/>
        </w:rPr>
        <w:t xml:space="preserve"> </w:t>
      </w:r>
      <w:r>
        <w:t>evolution</w:t>
      </w:r>
      <w:r>
        <w:rPr>
          <w:spacing w:val="-3"/>
        </w:rPr>
        <w:t xml:space="preserve"> </w:t>
      </w:r>
      <w:r>
        <w:t>of</w:t>
      </w:r>
      <w:r>
        <w:rPr>
          <w:spacing w:val="-3"/>
        </w:rPr>
        <w:t xml:space="preserve"> </w:t>
      </w:r>
      <w:r>
        <w:t>the</w:t>
      </w:r>
      <w:r>
        <w:rPr>
          <w:spacing w:val="-4"/>
        </w:rPr>
        <w:t xml:space="preserve"> </w:t>
      </w:r>
      <w:r>
        <w:t>overall</w:t>
      </w:r>
      <w:r>
        <w:rPr>
          <w:spacing w:val="-3"/>
        </w:rPr>
        <w:t xml:space="preserve"> </w:t>
      </w:r>
      <w:r>
        <w:t>network</w:t>
      </w:r>
      <w:r>
        <w:rPr>
          <w:spacing w:val="-2"/>
        </w:rPr>
        <w:t xml:space="preserve"> </w:t>
      </w:r>
      <w:r>
        <w:t>architecture</w:t>
      </w:r>
      <w:r>
        <w:rPr>
          <w:spacing w:val="-1"/>
        </w:rPr>
        <w:t xml:space="preserve"> </w:t>
      </w:r>
      <w:r>
        <w:t>to</w:t>
      </w:r>
      <w:r>
        <w:rPr>
          <w:spacing w:val="-3"/>
        </w:rPr>
        <w:t xml:space="preserve"> </w:t>
      </w:r>
      <w:r>
        <w:t>respond</w:t>
      </w:r>
      <w:r>
        <w:rPr>
          <w:spacing w:val="-3"/>
        </w:rPr>
        <w:t xml:space="preserve"> </w:t>
      </w:r>
      <w:r>
        <w:t>to new use cases arising in key industrial sectors.</w:t>
      </w:r>
    </w:p>
    <w:p w14:paraId="36D12E16" w14:textId="77777777" w:rsidR="00982AF6" w:rsidRDefault="00982AF6" w:rsidP="00982AF6">
      <w:pPr>
        <w:pStyle w:val="BodyText"/>
        <w:spacing w:before="120"/>
        <w:ind w:left="169" w:right="708"/>
        <w:jc w:val="both"/>
      </w:pPr>
      <w:r>
        <w:t>Establishing harmonised technical and operational conditions for terrestrial wireless communications with ATSs will contribute to the development of the internal market, contribute</w:t>
      </w:r>
      <w:r>
        <w:rPr>
          <w:spacing w:val="-3"/>
        </w:rPr>
        <w:t xml:space="preserve"> </w:t>
      </w:r>
      <w:r>
        <w:t>to</w:t>
      </w:r>
      <w:r>
        <w:rPr>
          <w:spacing w:val="-1"/>
        </w:rPr>
        <w:t xml:space="preserve"> </w:t>
      </w:r>
      <w:r>
        <w:t>addressing</w:t>
      </w:r>
      <w:r>
        <w:rPr>
          <w:spacing w:val="-2"/>
        </w:rPr>
        <w:t xml:space="preserve"> </w:t>
      </w:r>
      <w:r>
        <w:t>safety</w:t>
      </w:r>
      <w:r>
        <w:rPr>
          <w:spacing w:val="-2"/>
        </w:rPr>
        <w:t xml:space="preserve"> </w:t>
      </w:r>
      <w:r>
        <w:t>issues</w:t>
      </w:r>
      <w:r>
        <w:rPr>
          <w:spacing w:val="-1"/>
        </w:rPr>
        <w:t xml:space="preserve"> </w:t>
      </w:r>
      <w:r>
        <w:t>(e.g.</w:t>
      </w:r>
      <w:r>
        <w:rPr>
          <w:spacing w:val="-2"/>
        </w:rPr>
        <w:t xml:space="preserve"> </w:t>
      </w:r>
      <w:r>
        <w:t>avoiding</w:t>
      </w:r>
      <w:r>
        <w:rPr>
          <w:spacing w:val="-2"/>
        </w:rPr>
        <w:t xml:space="preserve"> </w:t>
      </w:r>
      <w:r>
        <w:t>risks</w:t>
      </w:r>
      <w:r>
        <w:rPr>
          <w:spacing w:val="-2"/>
        </w:rPr>
        <w:t xml:space="preserve"> </w:t>
      </w:r>
      <w:r>
        <w:t>for</w:t>
      </w:r>
      <w:r>
        <w:rPr>
          <w:spacing w:val="-4"/>
        </w:rPr>
        <w:t xml:space="preserve"> </w:t>
      </w:r>
      <w:r>
        <w:t>workers</w:t>
      </w:r>
      <w:r>
        <w:rPr>
          <w:spacing w:val="-3"/>
        </w:rPr>
        <w:t xml:space="preserve"> </w:t>
      </w:r>
      <w:r>
        <w:t>linked</w:t>
      </w:r>
      <w:r>
        <w:rPr>
          <w:spacing w:val="-2"/>
        </w:rPr>
        <w:t xml:space="preserve"> </w:t>
      </w:r>
      <w:r>
        <w:t>to dangerous inspections or critical missions) and ensure radio coexistence with other users. At the CEPT</w:t>
      </w:r>
      <w:r>
        <w:rPr>
          <w:spacing w:val="-8"/>
        </w:rPr>
        <w:t xml:space="preserve"> </w:t>
      </w:r>
      <w:r>
        <w:t>level,</w:t>
      </w:r>
      <w:r>
        <w:rPr>
          <w:spacing w:val="-7"/>
        </w:rPr>
        <w:t xml:space="preserve"> </w:t>
      </w:r>
      <w:r>
        <w:t>following</w:t>
      </w:r>
      <w:r>
        <w:rPr>
          <w:spacing w:val="-7"/>
        </w:rPr>
        <w:t xml:space="preserve"> </w:t>
      </w:r>
      <w:r>
        <w:t>the</w:t>
      </w:r>
      <w:r>
        <w:rPr>
          <w:spacing w:val="-8"/>
        </w:rPr>
        <w:t xml:space="preserve"> </w:t>
      </w:r>
      <w:r>
        <w:t>results</w:t>
      </w:r>
      <w:r>
        <w:rPr>
          <w:spacing w:val="-7"/>
        </w:rPr>
        <w:t xml:space="preserve"> </w:t>
      </w:r>
      <w:r>
        <w:t>of</w:t>
      </w:r>
      <w:r>
        <w:rPr>
          <w:spacing w:val="-8"/>
        </w:rPr>
        <w:t xml:space="preserve"> </w:t>
      </w:r>
      <w:r>
        <w:t>the</w:t>
      </w:r>
      <w:r>
        <w:rPr>
          <w:spacing w:val="-6"/>
        </w:rPr>
        <w:t xml:space="preserve"> </w:t>
      </w:r>
      <w:r>
        <w:t>ECC</w:t>
      </w:r>
      <w:r>
        <w:rPr>
          <w:spacing w:val="-6"/>
        </w:rPr>
        <w:t xml:space="preserve"> </w:t>
      </w:r>
      <w:r>
        <w:t>Reports</w:t>
      </w:r>
      <w:r>
        <w:rPr>
          <w:spacing w:val="-7"/>
        </w:rPr>
        <w:t xml:space="preserve"> </w:t>
      </w:r>
      <w:r>
        <w:t>309</w:t>
      </w:r>
      <w:r>
        <w:rPr>
          <w:spacing w:val="-7"/>
        </w:rPr>
        <w:t xml:space="preserve"> </w:t>
      </w:r>
      <w:r>
        <w:t>and</w:t>
      </w:r>
      <w:r>
        <w:rPr>
          <w:spacing w:val="-5"/>
        </w:rPr>
        <w:t xml:space="preserve"> </w:t>
      </w:r>
      <w:r>
        <w:t>348,</w:t>
      </w:r>
      <w:r>
        <w:rPr>
          <w:spacing w:val="-6"/>
        </w:rPr>
        <w:t xml:space="preserve"> </w:t>
      </w:r>
      <w:r>
        <w:t>on</w:t>
      </w:r>
      <w:r>
        <w:rPr>
          <w:spacing w:val="-5"/>
        </w:rPr>
        <w:t xml:space="preserve"> </w:t>
      </w:r>
      <w:r>
        <w:t>18</w:t>
      </w:r>
      <w:r>
        <w:rPr>
          <w:spacing w:val="-5"/>
        </w:rPr>
        <w:t xml:space="preserve"> </w:t>
      </w:r>
      <w:r>
        <w:t>November</w:t>
      </w:r>
      <w:r>
        <w:rPr>
          <w:spacing w:val="-6"/>
        </w:rPr>
        <w:t xml:space="preserve"> </w:t>
      </w:r>
      <w:r>
        <w:t>2022 the</w:t>
      </w:r>
      <w:r>
        <w:rPr>
          <w:spacing w:val="-8"/>
        </w:rPr>
        <w:t xml:space="preserve"> </w:t>
      </w:r>
      <w:r>
        <w:t>ECC</w:t>
      </w:r>
      <w:r>
        <w:rPr>
          <w:spacing w:val="-6"/>
        </w:rPr>
        <w:t xml:space="preserve"> </w:t>
      </w:r>
      <w:r>
        <w:t>adopted</w:t>
      </w:r>
      <w:r>
        <w:rPr>
          <w:spacing w:val="-7"/>
        </w:rPr>
        <w:t xml:space="preserve"> </w:t>
      </w:r>
      <w:r>
        <w:t>its</w:t>
      </w:r>
      <w:r>
        <w:rPr>
          <w:spacing w:val="-6"/>
        </w:rPr>
        <w:t xml:space="preserve"> </w:t>
      </w:r>
      <w:r>
        <w:t>ECC</w:t>
      </w:r>
      <w:r>
        <w:rPr>
          <w:spacing w:val="-5"/>
        </w:rPr>
        <w:t xml:space="preserve"> </w:t>
      </w:r>
      <w:r>
        <w:t>Decision</w:t>
      </w:r>
      <w:r>
        <w:rPr>
          <w:spacing w:val="-7"/>
        </w:rPr>
        <w:t xml:space="preserve"> </w:t>
      </w:r>
      <w:r>
        <w:t>(22)07</w:t>
      </w:r>
      <w:r>
        <w:rPr>
          <w:spacing w:val="-7"/>
        </w:rPr>
        <w:t xml:space="preserve"> </w:t>
      </w:r>
      <w:r>
        <w:t>which</w:t>
      </w:r>
      <w:r>
        <w:rPr>
          <w:spacing w:val="-7"/>
        </w:rPr>
        <w:t xml:space="preserve"> </w:t>
      </w:r>
      <w:r>
        <w:t>sets</w:t>
      </w:r>
      <w:r>
        <w:rPr>
          <w:spacing w:val="-7"/>
        </w:rPr>
        <w:t xml:space="preserve"> </w:t>
      </w:r>
      <w:r>
        <w:t>out</w:t>
      </w:r>
      <w:r>
        <w:rPr>
          <w:spacing w:val="-7"/>
        </w:rPr>
        <w:t xml:space="preserve"> </w:t>
      </w:r>
      <w:r>
        <w:t>harmonised</w:t>
      </w:r>
      <w:r>
        <w:rPr>
          <w:spacing w:val="-8"/>
        </w:rPr>
        <w:t xml:space="preserve"> </w:t>
      </w:r>
      <w:r>
        <w:t>technical</w:t>
      </w:r>
      <w:r>
        <w:rPr>
          <w:spacing w:val="-7"/>
        </w:rPr>
        <w:t xml:space="preserve"> </w:t>
      </w:r>
      <w:r>
        <w:t>conditions for the provision of connectivity to non-AAS ATS based on 4G/LTE and 5G New Radio (NR) technology by terrestrial systems providing electronic communications services using the following EU-harmonised bands:</w:t>
      </w:r>
    </w:p>
    <w:p w14:paraId="11E1DCCF" w14:textId="77777777" w:rsidR="00982AF6" w:rsidRPr="00E4240D" w:rsidRDefault="00982AF6" w:rsidP="00982AF6">
      <w:pPr>
        <w:pStyle w:val="ListParagraph"/>
        <w:widowControl w:val="0"/>
        <w:numPr>
          <w:ilvl w:val="0"/>
          <w:numId w:val="101"/>
        </w:numPr>
        <w:tabs>
          <w:tab w:val="left" w:pos="889"/>
        </w:tabs>
        <w:autoSpaceDE w:val="0"/>
        <w:autoSpaceDN w:val="0"/>
        <w:spacing w:before="238" w:after="0"/>
        <w:ind w:right="708"/>
        <w:contextualSpacing w:val="0"/>
        <w:jc w:val="left"/>
        <w:rPr>
          <w:rFonts w:ascii="Times New Roman" w:hAnsi="Times New Roman"/>
          <w:sz w:val="24"/>
        </w:rPr>
      </w:pPr>
      <w:r w:rsidRPr="00E4240D">
        <w:rPr>
          <w:rFonts w:ascii="Times New Roman" w:hAnsi="Times New Roman"/>
          <w:sz w:val="24"/>
        </w:rPr>
        <w:t>700</w:t>
      </w:r>
      <w:r w:rsidRPr="00E4240D">
        <w:rPr>
          <w:rFonts w:ascii="Times New Roman" w:hAnsi="Times New Roman"/>
          <w:spacing w:val="-2"/>
          <w:sz w:val="24"/>
        </w:rPr>
        <w:t xml:space="preserve"> </w:t>
      </w:r>
      <w:r w:rsidRPr="00E4240D">
        <w:rPr>
          <w:rFonts w:ascii="Times New Roman" w:hAnsi="Times New Roman"/>
          <w:sz w:val="24"/>
        </w:rPr>
        <w:t>MHz, 800</w:t>
      </w:r>
      <w:r w:rsidRPr="00E4240D">
        <w:rPr>
          <w:rFonts w:ascii="Times New Roman" w:hAnsi="Times New Roman"/>
          <w:spacing w:val="-2"/>
          <w:sz w:val="24"/>
        </w:rPr>
        <w:t xml:space="preserve"> </w:t>
      </w:r>
      <w:r w:rsidRPr="00E4240D">
        <w:rPr>
          <w:rFonts w:ascii="Times New Roman" w:hAnsi="Times New Roman"/>
          <w:sz w:val="24"/>
        </w:rPr>
        <w:t>MHz, 900 MHz, 1</w:t>
      </w:r>
      <w:r w:rsidRPr="00E4240D">
        <w:rPr>
          <w:rFonts w:ascii="Times New Roman" w:hAnsi="Times New Roman"/>
          <w:spacing w:val="-2"/>
          <w:sz w:val="24"/>
        </w:rPr>
        <w:t xml:space="preserve"> </w:t>
      </w:r>
      <w:r w:rsidRPr="00E4240D">
        <w:rPr>
          <w:rFonts w:ascii="Times New Roman" w:hAnsi="Times New Roman"/>
          <w:sz w:val="24"/>
        </w:rPr>
        <w:t>800</w:t>
      </w:r>
      <w:r w:rsidRPr="00E4240D">
        <w:rPr>
          <w:rFonts w:ascii="Times New Roman" w:hAnsi="Times New Roman"/>
          <w:spacing w:val="-2"/>
          <w:sz w:val="24"/>
        </w:rPr>
        <w:t xml:space="preserve"> </w:t>
      </w:r>
      <w:r w:rsidRPr="00E4240D">
        <w:rPr>
          <w:rFonts w:ascii="Times New Roman" w:hAnsi="Times New Roman"/>
          <w:sz w:val="24"/>
        </w:rPr>
        <w:t>MHz, the</w:t>
      </w:r>
      <w:r w:rsidRPr="00E4240D">
        <w:rPr>
          <w:rFonts w:ascii="Times New Roman" w:hAnsi="Times New Roman"/>
          <w:spacing w:val="-1"/>
          <w:sz w:val="24"/>
        </w:rPr>
        <w:t xml:space="preserve"> </w:t>
      </w:r>
      <w:r w:rsidRPr="00E4240D">
        <w:rPr>
          <w:rFonts w:ascii="Times New Roman" w:hAnsi="Times New Roman"/>
          <w:sz w:val="24"/>
        </w:rPr>
        <w:t>paired terrestrial 2 GHz</w:t>
      </w:r>
      <w:r w:rsidRPr="00E4240D">
        <w:rPr>
          <w:rFonts w:ascii="Times New Roman" w:hAnsi="Times New Roman"/>
          <w:spacing w:val="-1"/>
          <w:sz w:val="24"/>
        </w:rPr>
        <w:t xml:space="preserve"> </w:t>
      </w:r>
      <w:r w:rsidRPr="00E4240D">
        <w:rPr>
          <w:rFonts w:ascii="Times New Roman" w:hAnsi="Times New Roman"/>
          <w:sz w:val="24"/>
        </w:rPr>
        <w:t>band and the paired/unpaired portion of the 2.6 GHz band with non-AAS base stations.</w:t>
      </w:r>
    </w:p>
    <w:p w14:paraId="20E0AA5F" w14:textId="77777777" w:rsidR="00982AF6" w:rsidRPr="00E4240D" w:rsidRDefault="00982AF6" w:rsidP="00982AF6">
      <w:pPr>
        <w:pStyle w:val="ListParagraph"/>
        <w:widowControl w:val="0"/>
        <w:numPr>
          <w:ilvl w:val="0"/>
          <w:numId w:val="101"/>
        </w:numPr>
        <w:tabs>
          <w:tab w:val="left" w:pos="889"/>
        </w:tabs>
        <w:autoSpaceDE w:val="0"/>
        <w:autoSpaceDN w:val="0"/>
        <w:spacing w:before="1" w:after="0"/>
        <w:ind w:right="708"/>
        <w:contextualSpacing w:val="0"/>
        <w:jc w:val="left"/>
        <w:rPr>
          <w:rFonts w:ascii="Times New Roman" w:hAnsi="Times New Roman"/>
          <w:sz w:val="24"/>
        </w:rPr>
      </w:pPr>
      <w:r w:rsidRPr="00E4240D">
        <w:rPr>
          <w:rFonts w:ascii="Times New Roman" w:hAnsi="Times New Roman"/>
          <w:sz w:val="24"/>
        </w:rPr>
        <w:t>1</w:t>
      </w:r>
      <w:r w:rsidRPr="00E4240D">
        <w:rPr>
          <w:rFonts w:ascii="Times New Roman" w:hAnsi="Times New Roman"/>
          <w:spacing w:val="-2"/>
          <w:sz w:val="24"/>
        </w:rPr>
        <w:t xml:space="preserve"> </w:t>
      </w:r>
      <w:r w:rsidRPr="00E4240D">
        <w:rPr>
          <w:rFonts w:ascii="Times New Roman" w:hAnsi="Times New Roman"/>
          <w:sz w:val="24"/>
        </w:rPr>
        <w:t>800</w:t>
      </w:r>
      <w:r w:rsidRPr="00E4240D">
        <w:rPr>
          <w:rFonts w:ascii="Times New Roman" w:hAnsi="Times New Roman"/>
          <w:spacing w:val="-2"/>
          <w:sz w:val="24"/>
        </w:rPr>
        <w:t xml:space="preserve"> </w:t>
      </w:r>
      <w:r w:rsidRPr="00E4240D">
        <w:rPr>
          <w:rFonts w:ascii="Times New Roman" w:hAnsi="Times New Roman"/>
          <w:sz w:val="24"/>
        </w:rPr>
        <w:t>MHz, the paired terrestrial 2</w:t>
      </w:r>
      <w:r w:rsidRPr="00E4240D">
        <w:rPr>
          <w:rFonts w:ascii="Times New Roman" w:hAnsi="Times New Roman"/>
          <w:spacing w:val="-2"/>
          <w:sz w:val="24"/>
        </w:rPr>
        <w:t xml:space="preserve"> </w:t>
      </w:r>
      <w:r w:rsidRPr="00E4240D">
        <w:rPr>
          <w:rFonts w:ascii="Times New Roman" w:hAnsi="Times New Roman"/>
          <w:sz w:val="24"/>
        </w:rPr>
        <w:t>GHz band and the paired/unpaired portion of the 2.6 GHz band with AAS base stations.</w:t>
      </w:r>
    </w:p>
    <w:p w14:paraId="65F4C8B0" w14:textId="77777777" w:rsidR="00982AF6" w:rsidRDefault="00982AF6" w:rsidP="00982AF6">
      <w:pPr>
        <w:pStyle w:val="BodyText"/>
        <w:spacing w:before="239"/>
        <w:ind w:left="169" w:right="708"/>
        <w:jc w:val="both"/>
      </w:pPr>
      <w:r>
        <w:t>Therefore,</w:t>
      </w:r>
      <w:r>
        <w:rPr>
          <w:spacing w:val="-1"/>
        </w:rPr>
        <w:t xml:space="preserve"> </w:t>
      </w:r>
      <w:r>
        <w:t>it is</w:t>
      </w:r>
      <w:r>
        <w:rPr>
          <w:spacing w:val="-1"/>
        </w:rPr>
        <w:t xml:space="preserve"> </w:t>
      </w:r>
      <w:r>
        <w:t>appropriate</w:t>
      </w:r>
      <w:r>
        <w:rPr>
          <w:spacing w:val="-2"/>
        </w:rPr>
        <w:t xml:space="preserve"> </w:t>
      </w:r>
      <w:r>
        <w:t>to further</w:t>
      </w:r>
      <w:r>
        <w:rPr>
          <w:spacing w:val="-3"/>
        </w:rPr>
        <w:t xml:space="preserve"> </w:t>
      </w:r>
      <w:r>
        <w:t>develop</w:t>
      </w:r>
      <w:r>
        <w:rPr>
          <w:spacing w:val="-1"/>
        </w:rPr>
        <w:t xml:space="preserve"> </w:t>
      </w:r>
      <w:r>
        <w:t>the</w:t>
      </w:r>
      <w:r>
        <w:rPr>
          <w:spacing w:val="-2"/>
        </w:rPr>
        <w:t xml:space="preserve"> </w:t>
      </w:r>
      <w:r>
        <w:t>EU</w:t>
      </w:r>
      <w:r>
        <w:rPr>
          <w:spacing w:val="-2"/>
        </w:rPr>
        <w:t xml:space="preserve"> </w:t>
      </w:r>
      <w:r>
        <w:t>framework</w:t>
      </w:r>
      <w:r>
        <w:rPr>
          <w:spacing w:val="-2"/>
        </w:rPr>
        <w:t xml:space="preserve"> </w:t>
      </w:r>
      <w:r>
        <w:t>and</w:t>
      </w:r>
      <w:r>
        <w:rPr>
          <w:spacing w:val="-1"/>
        </w:rPr>
        <w:t xml:space="preserve"> </w:t>
      </w:r>
      <w:r>
        <w:t>ensure</w:t>
      </w:r>
      <w:r>
        <w:rPr>
          <w:spacing w:val="-2"/>
        </w:rPr>
        <w:t xml:space="preserve"> </w:t>
      </w:r>
      <w:r>
        <w:t>its alignment with the CEPT framework.</w:t>
      </w:r>
    </w:p>
    <w:p w14:paraId="4C766A64" w14:textId="77777777" w:rsidR="00982AF6" w:rsidRDefault="00982AF6" w:rsidP="00347770">
      <w:pPr>
        <w:pStyle w:val="ListParagraph"/>
        <w:widowControl w:val="0"/>
        <w:numPr>
          <w:ilvl w:val="0"/>
          <w:numId w:val="100"/>
        </w:numPr>
        <w:tabs>
          <w:tab w:val="left" w:pos="649"/>
        </w:tabs>
        <w:autoSpaceDE w:val="0"/>
        <w:autoSpaceDN w:val="0"/>
        <w:spacing w:after="240"/>
        <w:ind w:right="708"/>
        <w:contextualSpacing w:val="0"/>
        <w:rPr>
          <w:b/>
          <w:sz w:val="19"/>
        </w:rPr>
      </w:pPr>
      <w:bookmarkStart w:id="25" w:name="3._Justification"/>
      <w:bookmarkEnd w:id="25"/>
      <w:r>
        <w:rPr>
          <w:b/>
          <w:spacing w:val="-2"/>
          <w:sz w:val="24"/>
        </w:rPr>
        <w:t>J</w:t>
      </w:r>
      <w:r>
        <w:rPr>
          <w:b/>
          <w:spacing w:val="-2"/>
          <w:sz w:val="19"/>
        </w:rPr>
        <w:t>USTIFICATION</w:t>
      </w:r>
    </w:p>
    <w:p w14:paraId="75DC4AFA" w14:textId="77777777" w:rsidR="00982AF6" w:rsidRPr="00026FD0" w:rsidRDefault="00982AF6" w:rsidP="00982AF6">
      <w:pPr>
        <w:pStyle w:val="BodyText"/>
        <w:spacing w:before="120"/>
        <w:ind w:left="169" w:right="708"/>
        <w:jc w:val="both"/>
      </w:pPr>
      <w:r w:rsidRPr="00026FD0">
        <w:t>Pursuant</w:t>
      </w:r>
      <w:r w:rsidRPr="00026FD0">
        <w:rPr>
          <w:spacing w:val="-5"/>
        </w:rPr>
        <w:t xml:space="preserve"> </w:t>
      </w:r>
      <w:r w:rsidRPr="00026FD0">
        <w:t>to</w:t>
      </w:r>
      <w:r w:rsidRPr="00026FD0">
        <w:rPr>
          <w:spacing w:val="-5"/>
        </w:rPr>
        <w:t xml:space="preserve"> </w:t>
      </w:r>
      <w:r w:rsidRPr="00026FD0">
        <w:t>Article</w:t>
      </w:r>
      <w:r w:rsidRPr="00026FD0">
        <w:rPr>
          <w:spacing w:val="-6"/>
        </w:rPr>
        <w:t xml:space="preserve"> </w:t>
      </w:r>
      <w:r w:rsidRPr="00026FD0">
        <w:t>4</w:t>
      </w:r>
      <w:r w:rsidRPr="00026FD0">
        <w:rPr>
          <w:spacing w:val="-6"/>
        </w:rPr>
        <w:t xml:space="preserve"> </w:t>
      </w:r>
      <w:r w:rsidRPr="00026FD0">
        <w:t>of</w:t>
      </w:r>
      <w:r w:rsidRPr="00026FD0">
        <w:rPr>
          <w:spacing w:val="-7"/>
        </w:rPr>
        <w:t xml:space="preserve"> </w:t>
      </w:r>
      <w:r w:rsidRPr="00026FD0">
        <w:t>the</w:t>
      </w:r>
      <w:r w:rsidRPr="00026FD0">
        <w:rPr>
          <w:spacing w:val="-7"/>
        </w:rPr>
        <w:t xml:space="preserve"> </w:t>
      </w:r>
      <w:r w:rsidRPr="00026FD0">
        <w:t>Radio</w:t>
      </w:r>
      <w:r w:rsidRPr="00026FD0">
        <w:rPr>
          <w:spacing w:val="-5"/>
        </w:rPr>
        <w:t xml:space="preserve"> </w:t>
      </w:r>
      <w:r w:rsidRPr="00026FD0">
        <w:t>Spectrum</w:t>
      </w:r>
      <w:r w:rsidRPr="00026FD0">
        <w:rPr>
          <w:spacing w:val="-6"/>
        </w:rPr>
        <w:t xml:space="preserve"> </w:t>
      </w:r>
      <w:r w:rsidRPr="00026FD0">
        <w:t>Decision,</w:t>
      </w:r>
      <w:r w:rsidRPr="00026FD0">
        <w:rPr>
          <w:spacing w:val="-4"/>
        </w:rPr>
        <w:t xml:space="preserve"> </w:t>
      </w:r>
      <w:r w:rsidRPr="00026FD0">
        <w:t>the</w:t>
      </w:r>
      <w:r w:rsidRPr="00026FD0">
        <w:rPr>
          <w:spacing w:val="-6"/>
        </w:rPr>
        <w:t xml:space="preserve"> </w:t>
      </w:r>
      <w:r w:rsidRPr="00026FD0">
        <w:t>CEPT</w:t>
      </w:r>
      <w:r w:rsidRPr="00026FD0">
        <w:rPr>
          <w:spacing w:val="-6"/>
        </w:rPr>
        <w:t xml:space="preserve"> </w:t>
      </w:r>
      <w:r w:rsidRPr="00026FD0">
        <w:t>is</w:t>
      </w:r>
      <w:r w:rsidRPr="00026FD0">
        <w:rPr>
          <w:spacing w:val="-8"/>
        </w:rPr>
        <w:t xml:space="preserve"> </w:t>
      </w:r>
      <w:r w:rsidRPr="00026FD0">
        <w:t>mandated</w:t>
      </w:r>
      <w:r w:rsidRPr="00026FD0">
        <w:rPr>
          <w:spacing w:val="-6"/>
        </w:rPr>
        <w:t xml:space="preserve"> </w:t>
      </w:r>
      <w:r w:rsidRPr="00026FD0">
        <w:t>to</w:t>
      </w:r>
      <w:r w:rsidRPr="00026FD0">
        <w:rPr>
          <w:spacing w:val="-5"/>
        </w:rPr>
        <w:t xml:space="preserve"> </w:t>
      </w:r>
      <w:r w:rsidRPr="00026FD0">
        <w:t xml:space="preserve">undertake the work required to study and develop harmonised technical and operational conditions for the operation of ATSs under the control of wireless terrestrial systems capable of providing electronic communications services, such as mobile networks (as of the fourth generation onwards) using EU-harmonised bands on the basis of the principles of technology and service neutrality laid down in the European Electronic Communications </w:t>
      </w:r>
      <w:r w:rsidRPr="00026FD0">
        <w:rPr>
          <w:spacing w:val="-2"/>
        </w:rPr>
        <w:t>Code</w:t>
      </w:r>
      <w:r w:rsidRPr="00026FD0">
        <w:rPr>
          <w:spacing w:val="-2"/>
          <w:vertAlign w:val="superscript"/>
        </w:rPr>
        <w:t>7</w:t>
      </w:r>
      <w:r w:rsidRPr="00026FD0">
        <w:rPr>
          <w:spacing w:val="-2"/>
        </w:rPr>
        <w:t>.</w:t>
      </w:r>
    </w:p>
    <w:p w14:paraId="1F35520E" w14:textId="2C867C91" w:rsidR="00982AF6" w:rsidRPr="00D55E47" w:rsidRDefault="00982AF6" w:rsidP="00982AF6">
      <w:pPr>
        <w:spacing w:before="120" w:after="120" w:line="259" w:lineRule="auto"/>
        <w:ind w:left="170" w:right="708"/>
        <w:jc w:val="both"/>
        <w:rPr>
          <w:rFonts w:ascii="Times New Roman" w:eastAsia="Calibri" w:hAnsi="Times New Roman"/>
          <w:sz w:val="24"/>
        </w:rPr>
      </w:pPr>
      <w:r w:rsidRPr="00D55E47">
        <w:rPr>
          <w:rFonts w:ascii="Times New Roman" w:hAnsi="Times New Roman"/>
          <w:sz w:val="24"/>
        </w:rPr>
        <w:t>For</w:t>
      </w:r>
      <w:r w:rsidRPr="00D55E47">
        <w:rPr>
          <w:rFonts w:ascii="Times New Roman" w:hAnsi="Times New Roman"/>
          <w:spacing w:val="-1"/>
          <w:sz w:val="24"/>
        </w:rPr>
        <w:t xml:space="preserve"> </w:t>
      </w:r>
      <w:r w:rsidRPr="00D55E47">
        <w:rPr>
          <w:rFonts w:ascii="Times New Roman" w:hAnsi="Times New Roman"/>
          <w:sz w:val="24"/>
        </w:rPr>
        <w:t>the</w:t>
      </w:r>
      <w:r w:rsidRPr="00D55E47">
        <w:rPr>
          <w:rFonts w:ascii="Times New Roman" w:hAnsi="Times New Roman"/>
          <w:spacing w:val="-1"/>
          <w:sz w:val="24"/>
        </w:rPr>
        <w:t xml:space="preserve"> </w:t>
      </w:r>
      <w:r w:rsidRPr="00D55E47">
        <w:rPr>
          <w:rFonts w:ascii="Times New Roman" w:hAnsi="Times New Roman"/>
          <w:sz w:val="24"/>
        </w:rPr>
        <w:t>purpose</w:t>
      </w:r>
      <w:r w:rsidRPr="00D55E47">
        <w:rPr>
          <w:rFonts w:ascii="Times New Roman" w:hAnsi="Times New Roman"/>
          <w:spacing w:val="-1"/>
          <w:sz w:val="24"/>
        </w:rPr>
        <w:t xml:space="preserve"> </w:t>
      </w:r>
      <w:r w:rsidRPr="00D55E47">
        <w:rPr>
          <w:rFonts w:ascii="Times New Roman" w:hAnsi="Times New Roman"/>
          <w:sz w:val="24"/>
        </w:rPr>
        <w:t>of</w:t>
      </w:r>
      <w:r w:rsidRPr="00D55E47">
        <w:rPr>
          <w:rFonts w:ascii="Times New Roman" w:hAnsi="Times New Roman"/>
          <w:spacing w:val="-1"/>
          <w:sz w:val="24"/>
        </w:rPr>
        <w:t xml:space="preserve"> </w:t>
      </w:r>
      <w:r w:rsidRPr="00D55E47">
        <w:rPr>
          <w:rFonts w:ascii="Times New Roman" w:hAnsi="Times New Roman"/>
          <w:sz w:val="24"/>
        </w:rPr>
        <w:t>this mandate, an ATS can be installed either</w:t>
      </w:r>
      <w:r w:rsidRPr="00D55E47">
        <w:rPr>
          <w:rFonts w:ascii="Times New Roman" w:hAnsi="Times New Roman"/>
          <w:spacing w:val="-1"/>
          <w:sz w:val="24"/>
        </w:rPr>
        <w:t xml:space="preserve"> </w:t>
      </w:r>
      <w:r w:rsidRPr="00D55E47">
        <w:rPr>
          <w:rFonts w:ascii="Times New Roman" w:hAnsi="Times New Roman"/>
          <w:sz w:val="24"/>
        </w:rPr>
        <w:t>on board of an unmanned aircraft (e.g. a drone) or on board of a manned aircraft (e.g. helicopters). This mandate deals</w:t>
      </w:r>
      <w:r w:rsidRPr="00D55E47">
        <w:rPr>
          <w:rFonts w:ascii="Times New Roman" w:hAnsi="Times New Roman"/>
          <w:spacing w:val="-15"/>
          <w:sz w:val="24"/>
        </w:rPr>
        <w:t xml:space="preserve"> </w:t>
      </w:r>
      <w:r w:rsidRPr="00D55E47">
        <w:rPr>
          <w:rFonts w:ascii="Times New Roman" w:hAnsi="Times New Roman"/>
          <w:sz w:val="24"/>
        </w:rPr>
        <w:t>exclusively</w:t>
      </w:r>
      <w:r w:rsidRPr="00D55E47">
        <w:rPr>
          <w:rFonts w:ascii="Times New Roman" w:hAnsi="Times New Roman"/>
          <w:spacing w:val="-15"/>
          <w:sz w:val="24"/>
        </w:rPr>
        <w:t xml:space="preserve"> </w:t>
      </w:r>
      <w:r w:rsidRPr="00D55E47">
        <w:rPr>
          <w:rFonts w:ascii="Times New Roman" w:hAnsi="Times New Roman"/>
          <w:sz w:val="24"/>
        </w:rPr>
        <w:t>with</w:t>
      </w:r>
      <w:r w:rsidRPr="00D55E47">
        <w:rPr>
          <w:rFonts w:ascii="Times New Roman" w:hAnsi="Times New Roman"/>
          <w:spacing w:val="-15"/>
          <w:sz w:val="24"/>
        </w:rPr>
        <w:t xml:space="preserve"> </w:t>
      </w:r>
      <w:r w:rsidRPr="00D55E47">
        <w:rPr>
          <w:rFonts w:ascii="Times New Roman" w:hAnsi="Times New Roman"/>
          <w:sz w:val="24"/>
        </w:rPr>
        <w:t>the</w:t>
      </w:r>
      <w:r w:rsidRPr="00D55E47">
        <w:rPr>
          <w:rFonts w:ascii="Times New Roman" w:hAnsi="Times New Roman"/>
          <w:spacing w:val="-15"/>
          <w:sz w:val="24"/>
        </w:rPr>
        <w:t xml:space="preserve"> </w:t>
      </w:r>
      <w:r w:rsidRPr="00D55E47">
        <w:rPr>
          <w:rFonts w:ascii="Times New Roman" w:hAnsi="Times New Roman"/>
          <w:sz w:val="24"/>
        </w:rPr>
        <w:t>development</w:t>
      </w:r>
      <w:r w:rsidRPr="00D55E47">
        <w:rPr>
          <w:rFonts w:ascii="Times New Roman" w:hAnsi="Times New Roman"/>
          <w:spacing w:val="-15"/>
          <w:sz w:val="24"/>
        </w:rPr>
        <w:t xml:space="preserve"> </w:t>
      </w:r>
      <w:r w:rsidRPr="00D55E47">
        <w:rPr>
          <w:rFonts w:ascii="Times New Roman" w:hAnsi="Times New Roman"/>
          <w:sz w:val="24"/>
        </w:rPr>
        <w:t>of</w:t>
      </w:r>
      <w:r w:rsidRPr="00D55E47">
        <w:rPr>
          <w:rFonts w:ascii="Times New Roman" w:hAnsi="Times New Roman"/>
          <w:spacing w:val="-15"/>
          <w:sz w:val="24"/>
        </w:rPr>
        <w:t xml:space="preserve"> </w:t>
      </w:r>
      <w:r w:rsidRPr="00D55E47">
        <w:rPr>
          <w:rFonts w:ascii="Times New Roman" w:hAnsi="Times New Roman"/>
          <w:sz w:val="24"/>
        </w:rPr>
        <w:t>harmonised</w:t>
      </w:r>
      <w:r w:rsidRPr="00D55E47">
        <w:rPr>
          <w:rFonts w:ascii="Times New Roman" w:hAnsi="Times New Roman"/>
          <w:spacing w:val="-15"/>
          <w:sz w:val="24"/>
        </w:rPr>
        <w:t xml:space="preserve"> </w:t>
      </w:r>
      <w:r w:rsidRPr="00D55E47">
        <w:rPr>
          <w:rFonts w:ascii="Times New Roman" w:hAnsi="Times New Roman"/>
          <w:sz w:val="24"/>
        </w:rPr>
        <w:t>technical</w:t>
      </w:r>
      <w:r w:rsidRPr="00D55E47">
        <w:rPr>
          <w:rFonts w:ascii="Times New Roman" w:hAnsi="Times New Roman"/>
          <w:spacing w:val="-15"/>
          <w:sz w:val="24"/>
        </w:rPr>
        <w:t xml:space="preserve"> </w:t>
      </w:r>
      <w:r w:rsidRPr="00D55E47">
        <w:rPr>
          <w:rFonts w:ascii="Times New Roman" w:hAnsi="Times New Roman"/>
          <w:sz w:val="24"/>
        </w:rPr>
        <w:t>and</w:t>
      </w:r>
      <w:r w:rsidRPr="00D55E47">
        <w:rPr>
          <w:rFonts w:ascii="Times New Roman" w:hAnsi="Times New Roman"/>
          <w:spacing w:val="-15"/>
          <w:sz w:val="24"/>
        </w:rPr>
        <w:t xml:space="preserve"> </w:t>
      </w:r>
      <w:r w:rsidRPr="00D55E47">
        <w:rPr>
          <w:rFonts w:ascii="Times New Roman" w:hAnsi="Times New Roman"/>
          <w:sz w:val="24"/>
        </w:rPr>
        <w:t>operational</w:t>
      </w:r>
      <w:r w:rsidRPr="00D55E47">
        <w:rPr>
          <w:rFonts w:ascii="Times New Roman" w:hAnsi="Times New Roman"/>
          <w:spacing w:val="-15"/>
          <w:sz w:val="24"/>
        </w:rPr>
        <w:t xml:space="preserve"> </w:t>
      </w:r>
      <w:r w:rsidRPr="00D55E47">
        <w:rPr>
          <w:rFonts w:ascii="Times New Roman" w:hAnsi="Times New Roman"/>
          <w:sz w:val="24"/>
        </w:rPr>
        <w:t>conditions (under</w:t>
      </w:r>
      <w:r w:rsidRPr="00D55E47">
        <w:rPr>
          <w:rFonts w:ascii="Times New Roman" w:hAnsi="Times New Roman"/>
          <w:spacing w:val="-11"/>
          <w:sz w:val="24"/>
        </w:rPr>
        <w:t xml:space="preserve"> </w:t>
      </w:r>
      <w:r w:rsidRPr="00D55E47">
        <w:rPr>
          <w:rFonts w:ascii="Times New Roman" w:hAnsi="Times New Roman"/>
          <w:sz w:val="24"/>
        </w:rPr>
        <w:t>the</w:t>
      </w:r>
      <w:r w:rsidRPr="00D55E47">
        <w:rPr>
          <w:rFonts w:ascii="Times New Roman" w:hAnsi="Times New Roman"/>
          <w:spacing w:val="-12"/>
          <w:sz w:val="24"/>
        </w:rPr>
        <w:t xml:space="preserve"> </w:t>
      </w:r>
      <w:r w:rsidRPr="00D55E47">
        <w:rPr>
          <w:rFonts w:ascii="Times New Roman" w:hAnsi="Times New Roman"/>
          <w:sz w:val="24"/>
        </w:rPr>
        <w:t>Radio</w:t>
      </w:r>
      <w:r w:rsidRPr="00D55E47">
        <w:rPr>
          <w:rFonts w:ascii="Times New Roman" w:hAnsi="Times New Roman"/>
          <w:spacing w:val="-8"/>
          <w:sz w:val="24"/>
        </w:rPr>
        <w:t xml:space="preserve"> </w:t>
      </w:r>
      <w:r w:rsidRPr="00D55E47">
        <w:rPr>
          <w:rFonts w:ascii="Times New Roman" w:hAnsi="Times New Roman"/>
          <w:sz w:val="24"/>
        </w:rPr>
        <w:t>Spectrum</w:t>
      </w:r>
      <w:r w:rsidRPr="00D55E47">
        <w:rPr>
          <w:rFonts w:ascii="Times New Roman" w:hAnsi="Times New Roman"/>
          <w:spacing w:val="-10"/>
          <w:sz w:val="24"/>
        </w:rPr>
        <w:t xml:space="preserve"> </w:t>
      </w:r>
      <w:r w:rsidRPr="00D55E47">
        <w:rPr>
          <w:rFonts w:ascii="Times New Roman" w:hAnsi="Times New Roman"/>
          <w:sz w:val="24"/>
        </w:rPr>
        <w:t>Decision)</w:t>
      </w:r>
      <w:r w:rsidRPr="00D55E47">
        <w:rPr>
          <w:rFonts w:ascii="Times New Roman" w:hAnsi="Times New Roman"/>
          <w:spacing w:val="-9"/>
          <w:sz w:val="24"/>
        </w:rPr>
        <w:t xml:space="preserve"> </w:t>
      </w:r>
      <w:r w:rsidRPr="00D55E47">
        <w:rPr>
          <w:rFonts w:ascii="Times New Roman" w:hAnsi="Times New Roman"/>
          <w:sz w:val="24"/>
        </w:rPr>
        <w:t>for</w:t>
      </w:r>
      <w:r w:rsidRPr="00D55E47">
        <w:rPr>
          <w:rFonts w:ascii="Times New Roman" w:hAnsi="Times New Roman"/>
          <w:spacing w:val="-10"/>
          <w:sz w:val="24"/>
        </w:rPr>
        <w:t xml:space="preserve"> </w:t>
      </w:r>
      <w:r w:rsidRPr="00D55E47">
        <w:rPr>
          <w:rFonts w:ascii="Times New Roman" w:hAnsi="Times New Roman"/>
          <w:sz w:val="24"/>
        </w:rPr>
        <w:t>wireless</w:t>
      </w:r>
      <w:r w:rsidRPr="00D55E47">
        <w:rPr>
          <w:rFonts w:ascii="Times New Roman" w:hAnsi="Times New Roman"/>
          <w:spacing w:val="-9"/>
          <w:sz w:val="24"/>
        </w:rPr>
        <w:t xml:space="preserve"> </w:t>
      </w:r>
      <w:r w:rsidRPr="00D55E47">
        <w:rPr>
          <w:rFonts w:ascii="Times New Roman" w:hAnsi="Times New Roman"/>
          <w:sz w:val="24"/>
        </w:rPr>
        <w:t>communications</w:t>
      </w:r>
      <w:r w:rsidRPr="00D55E47">
        <w:rPr>
          <w:rFonts w:ascii="Times New Roman" w:hAnsi="Times New Roman"/>
          <w:spacing w:val="-9"/>
          <w:sz w:val="24"/>
        </w:rPr>
        <w:t xml:space="preserve"> </w:t>
      </w:r>
      <w:r w:rsidRPr="00D55E47">
        <w:rPr>
          <w:rFonts w:ascii="Times New Roman" w:hAnsi="Times New Roman"/>
          <w:sz w:val="24"/>
        </w:rPr>
        <w:t>within</w:t>
      </w:r>
      <w:r w:rsidRPr="00D55E47">
        <w:rPr>
          <w:rFonts w:ascii="Times New Roman" w:hAnsi="Times New Roman"/>
          <w:spacing w:val="-11"/>
          <w:sz w:val="24"/>
        </w:rPr>
        <w:t xml:space="preserve"> </w:t>
      </w:r>
      <w:r w:rsidRPr="00D55E47">
        <w:rPr>
          <w:rFonts w:ascii="Times New Roman" w:hAnsi="Times New Roman"/>
          <w:sz w:val="24"/>
        </w:rPr>
        <w:t xml:space="preserve">EU-harmonised bands, between ATSs and terrestrial systems providing electronic communications services, such as mobile networks. </w:t>
      </w:r>
      <w:r w:rsidR="00E1490B" w:rsidRPr="00E1490B">
        <w:rPr>
          <w:rFonts w:ascii="Times New Roman" w:hAnsi="Times New Roman"/>
          <w:sz w:val="24"/>
        </w:rPr>
        <w:t>It is without prejudice to EU-level and national regulations regarding civil aviation and flight operations.</w:t>
      </w:r>
    </w:p>
    <w:p w14:paraId="5B99B907" w14:textId="77777777" w:rsidR="00982AF6" w:rsidRDefault="00982AF6" w:rsidP="00982AF6">
      <w:pPr>
        <w:spacing w:before="40" w:after="40" w:line="259" w:lineRule="auto"/>
        <w:ind w:left="567" w:right="708" w:hanging="567"/>
        <w:rPr>
          <w:rFonts w:ascii="Calibri" w:eastAsia="Calibri" w:hAnsi="Calibri" w:cs="Calibri"/>
        </w:rPr>
      </w:pPr>
    </w:p>
    <w:p w14:paraId="335C287F" w14:textId="77777777" w:rsidR="00982AF6" w:rsidRDefault="00982AF6" w:rsidP="00982AF6">
      <w:pPr>
        <w:pStyle w:val="BodyText"/>
        <w:spacing w:before="46"/>
        <w:rPr>
          <w:sz w:val="20"/>
        </w:rPr>
      </w:pPr>
      <w:r>
        <w:rPr>
          <w:noProof/>
          <w:lang w:val="de-DE" w:eastAsia="de-DE"/>
        </w:rPr>
        <mc:AlternateContent>
          <mc:Choice Requires="wps">
            <w:drawing>
              <wp:anchor distT="0" distB="0" distL="0" distR="0" simplePos="0" relativeHeight="251658244" behindDoc="1" locked="0" layoutInCell="1" allowOverlap="1" wp14:anchorId="348B7A46" wp14:editId="65DE9290">
                <wp:simplePos x="0" y="0"/>
                <wp:positionH relativeFrom="page">
                  <wp:posOffset>1009192</wp:posOffset>
                </wp:positionH>
                <wp:positionV relativeFrom="paragraph">
                  <wp:posOffset>190762</wp:posOffset>
                </wp:positionV>
                <wp:extent cx="1829435" cy="7620"/>
                <wp:effectExtent l="0" t="0" r="0" b="0"/>
                <wp:wrapTopAndBottom/>
                <wp:docPr id="1604842090"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7620"/>
                        </a:xfrm>
                        <a:custGeom>
                          <a:avLst/>
                          <a:gdLst/>
                          <a:ahLst/>
                          <a:cxnLst/>
                          <a:rect l="l" t="t" r="r" b="b"/>
                          <a:pathLst>
                            <a:path w="1829435" h="7620">
                              <a:moveTo>
                                <a:pt x="1829054" y="0"/>
                              </a:moveTo>
                              <a:lnTo>
                                <a:pt x="0" y="0"/>
                              </a:lnTo>
                              <a:lnTo>
                                <a:pt x="0" y="7619"/>
                              </a:lnTo>
                              <a:lnTo>
                                <a:pt x="1829054" y="7619"/>
                              </a:lnTo>
                              <a:lnTo>
                                <a:pt x="182905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626960" id="Graphic 8" o:spid="_x0000_s1026" style="position:absolute;margin-left:79.45pt;margin-top:15pt;width:144.05pt;height:.6pt;z-index:-25165823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" path="m1829054,l,,,7619r1829054,l1829054,xe" fillcolor="black" stroked="f">
                <v:path arrowok="t"/>
                <w10:wrap type="topAndBottom" anchorx="page"/>
              </v:shape>
            </w:pict>
          </mc:Fallback>
        </mc:AlternateContent>
      </w:r>
    </w:p>
    <w:p w14:paraId="718A59A4" w14:textId="77777777" w:rsidR="00982AF6" w:rsidRPr="00D55E47" w:rsidRDefault="00982AF6" w:rsidP="00982AF6">
      <w:pPr>
        <w:tabs>
          <w:tab w:val="left" w:pos="526"/>
        </w:tabs>
        <w:ind w:left="169"/>
        <w:rPr>
          <w:rFonts w:ascii="Times New Roman" w:hAnsi="Times New Roman"/>
        </w:rPr>
      </w:pPr>
      <w:r w:rsidRPr="00D55E47">
        <w:rPr>
          <w:rFonts w:ascii="Times New Roman" w:hAnsi="Times New Roman"/>
          <w:spacing w:val="-10"/>
          <w:vertAlign w:val="superscript"/>
        </w:rPr>
        <w:t>5</w:t>
      </w:r>
      <w:r w:rsidRPr="00D55E47">
        <w:rPr>
          <w:rFonts w:ascii="Times New Roman" w:hAnsi="Times New Roman"/>
        </w:rPr>
        <w:tab/>
        <w:t>Possibly</w:t>
      </w:r>
      <w:r w:rsidRPr="00D55E47">
        <w:rPr>
          <w:rFonts w:ascii="Times New Roman" w:hAnsi="Times New Roman"/>
          <w:spacing w:val="-3"/>
        </w:rPr>
        <w:t xml:space="preserve"> </w:t>
      </w:r>
      <w:r w:rsidRPr="00D55E47">
        <w:rPr>
          <w:rFonts w:ascii="Times New Roman" w:hAnsi="Times New Roman"/>
        </w:rPr>
        <w:t>also</w:t>
      </w:r>
      <w:r w:rsidRPr="00D55E47">
        <w:rPr>
          <w:rFonts w:ascii="Times New Roman" w:hAnsi="Times New Roman"/>
          <w:spacing w:val="-4"/>
        </w:rPr>
        <w:t xml:space="preserve"> </w:t>
      </w:r>
      <w:r w:rsidRPr="00D55E47">
        <w:rPr>
          <w:rFonts w:ascii="Times New Roman" w:hAnsi="Times New Roman"/>
        </w:rPr>
        <w:t>other</w:t>
      </w:r>
      <w:r w:rsidRPr="00D55E47">
        <w:rPr>
          <w:rFonts w:ascii="Times New Roman" w:hAnsi="Times New Roman"/>
          <w:spacing w:val="-3"/>
        </w:rPr>
        <w:t xml:space="preserve"> </w:t>
      </w:r>
      <w:r w:rsidRPr="00D55E47">
        <w:rPr>
          <w:rFonts w:ascii="Times New Roman" w:hAnsi="Times New Roman"/>
        </w:rPr>
        <w:t>types</w:t>
      </w:r>
      <w:r w:rsidRPr="00D55E47">
        <w:rPr>
          <w:rFonts w:ascii="Times New Roman" w:hAnsi="Times New Roman"/>
          <w:spacing w:val="-5"/>
        </w:rPr>
        <w:t xml:space="preserve"> </w:t>
      </w:r>
      <w:r w:rsidRPr="00D55E47">
        <w:rPr>
          <w:rFonts w:ascii="Times New Roman" w:hAnsi="Times New Roman"/>
        </w:rPr>
        <w:t>of</w:t>
      </w:r>
      <w:r w:rsidRPr="00D55E47">
        <w:rPr>
          <w:rFonts w:ascii="Times New Roman" w:hAnsi="Times New Roman"/>
          <w:spacing w:val="-6"/>
        </w:rPr>
        <w:t xml:space="preserve"> </w:t>
      </w:r>
      <w:r w:rsidRPr="00D55E47">
        <w:rPr>
          <w:rFonts w:ascii="Times New Roman" w:hAnsi="Times New Roman"/>
        </w:rPr>
        <w:t>base</w:t>
      </w:r>
      <w:r w:rsidRPr="00D55E47">
        <w:rPr>
          <w:rFonts w:ascii="Times New Roman" w:hAnsi="Times New Roman"/>
          <w:spacing w:val="-4"/>
        </w:rPr>
        <w:t xml:space="preserve"> </w:t>
      </w:r>
      <w:r w:rsidRPr="00D55E47">
        <w:rPr>
          <w:rFonts w:ascii="Times New Roman" w:hAnsi="Times New Roman"/>
        </w:rPr>
        <w:t>stations</w:t>
      </w:r>
      <w:r w:rsidRPr="00D55E47">
        <w:rPr>
          <w:rFonts w:ascii="Times New Roman" w:hAnsi="Times New Roman"/>
          <w:spacing w:val="-4"/>
        </w:rPr>
        <w:t xml:space="preserve"> </w:t>
      </w:r>
      <w:r w:rsidRPr="00D55E47">
        <w:rPr>
          <w:rFonts w:ascii="Times New Roman" w:hAnsi="Times New Roman"/>
        </w:rPr>
        <w:t>in</w:t>
      </w:r>
      <w:r w:rsidRPr="00D55E47">
        <w:rPr>
          <w:rFonts w:ascii="Times New Roman" w:hAnsi="Times New Roman"/>
          <w:spacing w:val="-3"/>
        </w:rPr>
        <w:t xml:space="preserve"> </w:t>
      </w:r>
      <w:r w:rsidRPr="00D55E47">
        <w:rPr>
          <w:rFonts w:ascii="Times New Roman" w:hAnsi="Times New Roman"/>
        </w:rPr>
        <w:t>the</w:t>
      </w:r>
      <w:r w:rsidRPr="00D55E47">
        <w:rPr>
          <w:rFonts w:ascii="Times New Roman" w:hAnsi="Times New Roman"/>
          <w:spacing w:val="-4"/>
        </w:rPr>
        <w:t xml:space="preserve"> </w:t>
      </w:r>
      <w:r w:rsidRPr="00D55E47">
        <w:rPr>
          <w:rFonts w:ascii="Times New Roman" w:hAnsi="Times New Roman"/>
          <w:spacing w:val="-2"/>
        </w:rPr>
        <w:t>future.</w:t>
      </w:r>
    </w:p>
    <w:p w14:paraId="639DC9AF" w14:textId="77777777" w:rsidR="00982AF6" w:rsidRPr="00D55E47" w:rsidRDefault="00982AF6" w:rsidP="00982AF6">
      <w:pPr>
        <w:pStyle w:val="BodyText"/>
        <w:spacing w:before="11"/>
        <w:rPr>
          <w:sz w:val="10"/>
          <w:szCs w:val="10"/>
          <w:lang w:val="en-US"/>
        </w:rPr>
      </w:pPr>
    </w:p>
    <w:p w14:paraId="374F2800" w14:textId="77777777" w:rsidR="00982AF6" w:rsidRPr="00D55E47" w:rsidRDefault="00982AF6" w:rsidP="00982AF6">
      <w:pPr>
        <w:ind w:left="526" w:right="363" w:hanging="358"/>
        <w:jc w:val="both"/>
        <w:rPr>
          <w:rFonts w:ascii="Times New Roman" w:hAnsi="Times New Roman"/>
        </w:rPr>
      </w:pPr>
      <w:r w:rsidRPr="00D55E47">
        <w:rPr>
          <w:rFonts w:ascii="Times New Roman" w:hAnsi="Times New Roman"/>
          <w:vertAlign w:val="superscript"/>
        </w:rPr>
        <w:t>6</w:t>
      </w:r>
      <w:r w:rsidRPr="00D55E47">
        <w:rPr>
          <w:rFonts w:ascii="Times New Roman" w:hAnsi="Times New Roman"/>
          <w:spacing w:val="80"/>
        </w:rPr>
        <w:t xml:space="preserve"> </w:t>
      </w:r>
      <w:r w:rsidRPr="00D55E47">
        <w:rPr>
          <w:rFonts w:ascii="Times New Roman" w:hAnsi="Times New Roman"/>
          <w:spacing w:val="80"/>
        </w:rPr>
        <w:tab/>
      </w:r>
      <w:r w:rsidRPr="00D55E47">
        <w:rPr>
          <w:rFonts w:ascii="Times New Roman" w:hAnsi="Times New Roman"/>
        </w:rPr>
        <w:t>Communication</w:t>
      </w:r>
      <w:r w:rsidRPr="00D55E47">
        <w:rPr>
          <w:rFonts w:ascii="Times New Roman" w:hAnsi="Times New Roman"/>
          <w:spacing w:val="-11"/>
        </w:rPr>
        <w:t xml:space="preserve"> </w:t>
      </w:r>
      <w:r w:rsidRPr="00D55E47">
        <w:rPr>
          <w:rFonts w:ascii="Times New Roman" w:hAnsi="Times New Roman"/>
        </w:rPr>
        <w:t>from</w:t>
      </w:r>
      <w:r w:rsidRPr="00D55E47">
        <w:rPr>
          <w:rFonts w:ascii="Times New Roman" w:hAnsi="Times New Roman"/>
          <w:spacing w:val="-11"/>
        </w:rPr>
        <w:t xml:space="preserve"> </w:t>
      </w:r>
      <w:r w:rsidRPr="00D55E47">
        <w:rPr>
          <w:rFonts w:ascii="Times New Roman" w:hAnsi="Times New Roman"/>
        </w:rPr>
        <w:t>the</w:t>
      </w:r>
      <w:r w:rsidRPr="00D55E47">
        <w:rPr>
          <w:rFonts w:ascii="Times New Roman" w:hAnsi="Times New Roman"/>
          <w:spacing w:val="-9"/>
        </w:rPr>
        <w:t xml:space="preserve"> </w:t>
      </w:r>
      <w:r w:rsidRPr="00D55E47">
        <w:rPr>
          <w:rFonts w:ascii="Times New Roman" w:hAnsi="Times New Roman"/>
        </w:rPr>
        <w:t>Commission</w:t>
      </w:r>
      <w:r w:rsidRPr="00D55E47">
        <w:rPr>
          <w:rFonts w:ascii="Times New Roman" w:hAnsi="Times New Roman"/>
          <w:spacing w:val="-11"/>
        </w:rPr>
        <w:t xml:space="preserve"> </w:t>
      </w:r>
      <w:r w:rsidRPr="00D55E47">
        <w:rPr>
          <w:rFonts w:ascii="Times New Roman" w:hAnsi="Times New Roman"/>
        </w:rPr>
        <w:t>to</w:t>
      </w:r>
      <w:r w:rsidRPr="00D55E47">
        <w:rPr>
          <w:rFonts w:ascii="Times New Roman" w:hAnsi="Times New Roman"/>
          <w:spacing w:val="-11"/>
        </w:rPr>
        <w:t xml:space="preserve"> </w:t>
      </w:r>
      <w:r w:rsidRPr="00D55E47">
        <w:rPr>
          <w:rFonts w:ascii="Times New Roman" w:hAnsi="Times New Roman"/>
        </w:rPr>
        <w:t>the</w:t>
      </w:r>
      <w:r w:rsidRPr="00D55E47">
        <w:rPr>
          <w:rFonts w:ascii="Times New Roman" w:hAnsi="Times New Roman"/>
          <w:spacing w:val="-11"/>
        </w:rPr>
        <w:t xml:space="preserve"> </w:t>
      </w:r>
      <w:r w:rsidRPr="00D55E47">
        <w:rPr>
          <w:rFonts w:ascii="Times New Roman" w:hAnsi="Times New Roman"/>
        </w:rPr>
        <w:t>Council,</w:t>
      </w:r>
      <w:r w:rsidRPr="00D55E47">
        <w:rPr>
          <w:rFonts w:ascii="Times New Roman" w:hAnsi="Times New Roman"/>
          <w:spacing w:val="-11"/>
        </w:rPr>
        <w:t xml:space="preserve"> </w:t>
      </w:r>
      <w:r w:rsidRPr="00D55E47">
        <w:rPr>
          <w:rFonts w:ascii="Times New Roman" w:hAnsi="Times New Roman"/>
        </w:rPr>
        <w:t>the</w:t>
      </w:r>
      <w:r w:rsidRPr="00D55E47">
        <w:rPr>
          <w:rFonts w:ascii="Times New Roman" w:hAnsi="Times New Roman"/>
          <w:spacing w:val="-11"/>
        </w:rPr>
        <w:t xml:space="preserve"> </w:t>
      </w:r>
      <w:r w:rsidRPr="00D55E47">
        <w:rPr>
          <w:rFonts w:ascii="Times New Roman" w:hAnsi="Times New Roman"/>
        </w:rPr>
        <w:t>European</w:t>
      </w:r>
      <w:r w:rsidRPr="00D55E47">
        <w:rPr>
          <w:rFonts w:ascii="Times New Roman" w:hAnsi="Times New Roman"/>
          <w:spacing w:val="-11"/>
        </w:rPr>
        <w:t xml:space="preserve"> </w:t>
      </w:r>
      <w:r w:rsidRPr="00D55E47">
        <w:rPr>
          <w:rFonts w:ascii="Times New Roman" w:hAnsi="Times New Roman"/>
        </w:rPr>
        <w:t>Parliament,</w:t>
      </w:r>
      <w:r w:rsidRPr="00D55E47">
        <w:rPr>
          <w:rFonts w:ascii="Times New Roman" w:hAnsi="Times New Roman"/>
          <w:spacing w:val="-11"/>
        </w:rPr>
        <w:t xml:space="preserve"> </w:t>
      </w:r>
      <w:r w:rsidRPr="00D55E47">
        <w:rPr>
          <w:rFonts w:ascii="Times New Roman" w:hAnsi="Times New Roman"/>
        </w:rPr>
        <w:t>the</w:t>
      </w:r>
      <w:r w:rsidRPr="00D55E47">
        <w:rPr>
          <w:rFonts w:ascii="Times New Roman" w:hAnsi="Times New Roman"/>
          <w:spacing w:val="-11"/>
        </w:rPr>
        <w:t xml:space="preserve"> </w:t>
      </w:r>
      <w:r w:rsidRPr="00D55E47">
        <w:rPr>
          <w:rFonts w:ascii="Times New Roman" w:hAnsi="Times New Roman"/>
        </w:rPr>
        <w:t>European</w:t>
      </w:r>
      <w:r w:rsidRPr="00D55E47">
        <w:rPr>
          <w:rFonts w:ascii="Times New Roman" w:hAnsi="Times New Roman"/>
          <w:spacing w:val="-11"/>
        </w:rPr>
        <w:t xml:space="preserve"> </w:t>
      </w:r>
      <w:r w:rsidRPr="00D55E47">
        <w:rPr>
          <w:rFonts w:ascii="Times New Roman" w:hAnsi="Times New Roman"/>
        </w:rPr>
        <w:t>Economic and</w:t>
      </w:r>
      <w:r w:rsidRPr="00D55E47">
        <w:rPr>
          <w:rFonts w:ascii="Times New Roman" w:hAnsi="Times New Roman"/>
          <w:spacing w:val="-7"/>
        </w:rPr>
        <w:t xml:space="preserve"> </w:t>
      </w:r>
      <w:r w:rsidRPr="00D55E47">
        <w:rPr>
          <w:rFonts w:ascii="Times New Roman" w:hAnsi="Times New Roman"/>
        </w:rPr>
        <w:t>Social</w:t>
      </w:r>
      <w:r w:rsidRPr="00D55E47">
        <w:rPr>
          <w:rFonts w:ascii="Times New Roman" w:hAnsi="Times New Roman"/>
          <w:spacing w:val="-7"/>
        </w:rPr>
        <w:t xml:space="preserve"> </w:t>
      </w:r>
      <w:r w:rsidRPr="00D55E47">
        <w:rPr>
          <w:rFonts w:ascii="Times New Roman" w:hAnsi="Times New Roman"/>
        </w:rPr>
        <w:t>Committee</w:t>
      </w:r>
      <w:r w:rsidRPr="00D55E47">
        <w:rPr>
          <w:rFonts w:ascii="Times New Roman" w:hAnsi="Times New Roman"/>
          <w:spacing w:val="-8"/>
        </w:rPr>
        <w:t xml:space="preserve"> </w:t>
      </w:r>
      <w:r w:rsidRPr="00D55E47">
        <w:rPr>
          <w:rFonts w:ascii="Times New Roman" w:hAnsi="Times New Roman"/>
        </w:rPr>
        <w:t>and</w:t>
      </w:r>
      <w:r w:rsidRPr="00D55E47">
        <w:rPr>
          <w:rFonts w:ascii="Times New Roman" w:hAnsi="Times New Roman"/>
          <w:spacing w:val="-9"/>
        </w:rPr>
        <w:t xml:space="preserve"> </w:t>
      </w:r>
      <w:r w:rsidRPr="00D55E47">
        <w:rPr>
          <w:rFonts w:ascii="Times New Roman" w:hAnsi="Times New Roman"/>
        </w:rPr>
        <w:t>the</w:t>
      </w:r>
      <w:r w:rsidRPr="00D55E47">
        <w:rPr>
          <w:rFonts w:ascii="Times New Roman" w:hAnsi="Times New Roman"/>
          <w:spacing w:val="-10"/>
        </w:rPr>
        <w:t xml:space="preserve"> </w:t>
      </w:r>
      <w:r w:rsidRPr="00D55E47">
        <w:rPr>
          <w:rFonts w:ascii="Times New Roman" w:hAnsi="Times New Roman"/>
        </w:rPr>
        <w:t>Committee</w:t>
      </w:r>
      <w:r w:rsidRPr="00D55E47">
        <w:rPr>
          <w:rFonts w:ascii="Times New Roman" w:hAnsi="Times New Roman"/>
          <w:spacing w:val="-8"/>
        </w:rPr>
        <w:t xml:space="preserve"> </w:t>
      </w:r>
      <w:r w:rsidRPr="00D55E47">
        <w:rPr>
          <w:rFonts w:ascii="Times New Roman" w:hAnsi="Times New Roman"/>
        </w:rPr>
        <w:t>of</w:t>
      </w:r>
      <w:r w:rsidRPr="00D55E47">
        <w:rPr>
          <w:rFonts w:ascii="Times New Roman" w:hAnsi="Times New Roman"/>
          <w:spacing w:val="-7"/>
        </w:rPr>
        <w:t xml:space="preserve"> </w:t>
      </w:r>
      <w:r w:rsidRPr="00D55E47">
        <w:rPr>
          <w:rFonts w:ascii="Times New Roman" w:hAnsi="Times New Roman"/>
        </w:rPr>
        <w:t>the</w:t>
      </w:r>
      <w:r w:rsidRPr="00D55E47">
        <w:rPr>
          <w:rFonts w:ascii="Times New Roman" w:hAnsi="Times New Roman"/>
          <w:spacing w:val="-10"/>
        </w:rPr>
        <w:t xml:space="preserve"> </w:t>
      </w:r>
      <w:r w:rsidRPr="00D55E47">
        <w:rPr>
          <w:rFonts w:ascii="Times New Roman" w:hAnsi="Times New Roman"/>
        </w:rPr>
        <w:t>Regions</w:t>
      </w:r>
      <w:r w:rsidRPr="00D55E47">
        <w:rPr>
          <w:rFonts w:ascii="Times New Roman" w:hAnsi="Times New Roman"/>
          <w:spacing w:val="-9"/>
        </w:rPr>
        <w:t xml:space="preserve"> </w:t>
      </w:r>
      <w:r w:rsidRPr="00D55E47">
        <w:rPr>
          <w:rFonts w:ascii="Times New Roman" w:hAnsi="Times New Roman"/>
        </w:rPr>
        <w:t>‘5G</w:t>
      </w:r>
      <w:r w:rsidRPr="00D55E47">
        <w:rPr>
          <w:rFonts w:ascii="Times New Roman" w:hAnsi="Times New Roman"/>
          <w:spacing w:val="-10"/>
        </w:rPr>
        <w:t xml:space="preserve"> </w:t>
      </w:r>
      <w:r w:rsidRPr="00D55E47">
        <w:rPr>
          <w:rFonts w:ascii="Times New Roman" w:hAnsi="Times New Roman"/>
        </w:rPr>
        <w:t>for</w:t>
      </w:r>
      <w:r w:rsidRPr="00D55E47">
        <w:rPr>
          <w:rFonts w:ascii="Times New Roman" w:hAnsi="Times New Roman"/>
          <w:spacing w:val="-9"/>
        </w:rPr>
        <w:t xml:space="preserve"> </w:t>
      </w:r>
      <w:r w:rsidRPr="00D55E47">
        <w:rPr>
          <w:rFonts w:ascii="Times New Roman" w:hAnsi="Times New Roman"/>
        </w:rPr>
        <w:t>Europe:</w:t>
      </w:r>
      <w:r w:rsidRPr="00D55E47">
        <w:rPr>
          <w:rFonts w:ascii="Times New Roman" w:hAnsi="Times New Roman"/>
          <w:spacing w:val="-8"/>
        </w:rPr>
        <w:t xml:space="preserve"> </w:t>
      </w:r>
      <w:r w:rsidRPr="00D55E47">
        <w:rPr>
          <w:rFonts w:ascii="Times New Roman" w:hAnsi="Times New Roman"/>
        </w:rPr>
        <w:t>An</w:t>
      </w:r>
      <w:r w:rsidRPr="00D55E47">
        <w:rPr>
          <w:rFonts w:ascii="Times New Roman" w:hAnsi="Times New Roman"/>
          <w:spacing w:val="-7"/>
        </w:rPr>
        <w:t xml:space="preserve"> </w:t>
      </w:r>
      <w:r w:rsidRPr="00D55E47">
        <w:rPr>
          <w:rFonts w:ascii="Times New Roman" w:hAnsi="Times New Roman"/>
        </w:rPr>
        <w:t>Action</w:t>
      </w:r>
      <w:r w:rsidRPr="00D55E47">
        <w:rPr>
          <w:rFonts w:ascii="Times New Roman" w:hAnsi="Times New Roman"/>
          <w:spacing w:val="-9"/>
        </w:rPr>
        <w:t xml:space="preserve"> </w:t>
      </w:r>
      <w:r w:rsidRPr="00D55E47">
        <w:rPr>
          <w:rFonts w:ascii="Times New Roman" w:hAnsi="Times New Roman"/>
        </w:rPr>
        <w:t>Plan’,</w:t>
      </w:r>
      <w:r w:rsidRPr="00D55E47">
        <w:rPr>
          <w:rFonts w:ascii="Times New Roman" w:hAnsi="Times New Roman"/>
          <w:spacing w:val="-10"/>
        </w:rPr>
        <w:t xml:space="preserve"> </w:t>
      </w:r>
      <w:r w:rsidRPr="00D55E47">
        <w:rPr>
          <w:rFonts w:ascii="Times New Roman" w:hAnsi="Times New Roman"/>
        </w:rPr>
        <w:t>COM(2016) 588 final.</w:t>
      </w:r>
    </w:p>
    <w:p w14:paraId="72BE5147" w14:textId="77777777" w:rsidR="00982AF6" w:rsidRPr="00D55E47" w:rsidRDefault="00982AF6" w:rsidP="00982AF6">
      <w:pPr>
        <w:pStyle w:val="BodyText"/>
        <w:spacing w:before="11"/>
        <w:rPr>
          <w:sz w:val="10"/>
          <w:szCs w:val="10"/>
        </w:rPr>
      </w:pPr>
    </w:p>
    <w:p w14:paraId="0A41035D" w14:textId="77777777" w:rsidR="00982AF6" w:rsidRPr="00D55E47" w:rsidRDefault="00982AF6" w:rsidP="00982AF6">
      <w:pPr>
        <w:spacing w:before="40" w:after="40" w:line="259" w:lineRule="auto"/>
        <w:ind w:left="567" w:right="708" w:hanging="399"/>
        <w:rPr>
          <w:rFonts w:ascii="Times New Roman" w:eastAsia="Calibri" w:hAnsi="Times New Roman"/>
        </w:rPr>
      </w:pPr>
      <w:r w:rsidRPr="00D55E47">
        <w:rPr>
          <w:rFonts w:ascii="Times New Roman" w:hAnsi="Times New Roman"/>
          <w:vertAlign w:val="superscript"/>
        </w:rPr>
        <w:t>7</w:t>
      </w:r>
      <w:r w:rsidRPr="00D55E47">
        <w:rPr>
          <w:rFonts w:ascii="Times New Roman" w:hAnsi="Times New Roman"/>
          <w:spacing w:val="80"/>
        </w:rPr>
        <w:t xml:space="preserve"> </w:t>
      </w:r>
      <w:r w:rsidRPr="00D55E47">
        <w:rPr>
          <w:rFonts w:ascii="Times New Roman" w:hAnsi="Times New Roman"/>
        </w:rPr>
        <w:t>Directive (EU) 2018/1972 of the European Parliament and of the Council of 11 December 2018 establishing the European Electronic Communications Code, OJ L 321, 17.12.2018, p. 36.</w:t>
      </w:r>
    </w:p>
    <w:p w14:paraId="7B2AAFEB" w14:textId="77777777" w:rsidR="00982AF6" w:rsidRDefault="00982AF6" w:rsidP="00982AF6">
      <w:pPr>
        <w:spacing w:before="40" w:after="40" w:line="259" w:lineRule="auto"/>
        <w:ind w:left="567" w:right="708" w:hanging="567"/>
        <w:rPr>
          <w:rFonts w:ascii="Calibri" w:eastAsia="Calibri" w:hAnsi="Calibri" w:cs="Calibri"/>
        </w:rPr>
      </w:pPr>
    </w:p>
    <w:p w14:paraId="2FABBFDC" w14:textId="77777777" w:rsidR="004213BB" w:rsidRDefault="004213BB" w:rsidP="004213BB">
      <w:pPr>
        <w:pStyle w:val="ListParagraph"/>
        <w:widowControl w:val="0"/>
        <w:numPr>
          <w:ilvl w:val="0"/>
          <w:numId w:val="102"/>
        </w:numPr>
        <w:tabs>
          <w:tab w:val="left" w:pos="649"/>
        </w:tabs>
        <w:autoSpaceDE w:val="0"/>
        <w:autoSpaceDN w:val="0"/>
        <w:spacing w:before="72" w:after="0"/>
        <w:ind w:right="708"/>
        <w:contextualSpacing w:val="0"/>
        <w:rPr>
          <w:b/>
          <w:sz w:val="19"/>
        </w:rPr>
      </w:pPr>
      <w:r>
        <w:rPr>
          <w:b/>
          <w:sz w:val="24"/>
        </w:rPr>
        <w:lastRenderedPageBreak/>
        <w:t>T</w:t>
      </w:r>
      <w:r>
        <w:rPr>
          <w:b/>
          <w:sz w:val="19"/>
        </w:rPr>
        <w:t>ASKS</w:t>
      </w:r>
      <w:r>
        <w:rPr>
          <w:b/>
          <w:spacing w:val="-6"/>
          <w:sz w:val="19"/>
        </w:rPr>
        <w:t xml:space="preserve"> </w:t>
      </w:r>
      <w:r>
        <w:rPr>
          <w:b/>
          <w:sz w:val="19"/>
        </w:rPr>
        <w:t>AND</w:t>
      </w:r>
      <w:r>
        <w:rPr>
          <w:b/>
          <w:spacing w:val="-5"/>
          <w:sz w:val="19"/>
        </w:rPr>
        <w:t xml:space="preserve"> </w:t>
      </w:r>
      <w:r>
        <w:rPr>
          <w:b/>
          <w:spacing w:val="-2"/>
          <w:sz w:val="24"/>
        </w:rPr>
        <w:t>S</w:t>
      </w:r>
      <w:r>
        <w:rPr>
          <w:b/>
          <w:spacing w:val="-2"/>
          <w:sz w:val="19"/>
        </w:rPr>
        <w:t>CHEDULE</w:t>
      </w:r>
    </w:p>
    <w:p w14:paraId="6AEC2D91" w14:textId="77777777" w:rsidR="004213BB" w:rsidRDefault="004213BB" w:rsidP="004213BB">
      <w:pPr>
        <w:pStyle w:val="BodyText"/>
        <w:spacing w:before="120"/>
        <w:ind w:left="169" w:right="708"/>
        <w:rPr>
          <w:spacing w:val="-2"/>
        </w:rPr>
      </w:pPr>
      <w:r>
        <w:t>The</w:t>
      </w:r>
      <w:r>
        <w:rPr>
          <w:spacing w:val="-3"/>
        </w:rPr>
        <w:t xml:space="preserve"> </w:t>
      </w:r>
      <w:r>
        <w:t>CEPT is hereby</w:t>
      </w:r>
      <w:r>
        <w:rPr>
          <w:spacing w:val="-1"/>
        </w:rPr>
        <w:t xml:space="preserve"> </w:t>
      </w:r>
      <w:r>
        <w:t>mandated to undertake</w:t>
      </w:r>
      <w:r>
        <w:rPr>
          <w:spacing w:val="-1"/>
        </w:rPr>
        <w:t xml:space="preserve"> </w:t>
      </w:r>
      <w:r>
        <w:t>a</w:t>
      </w:r>
      <w:r>
        <w:rPr>
          <w:spacing w:val="-2"/>
        </w:rPr>
        <w:t xml:space="preserve"> </w:t>
      </w:r>
      <w:r>
        <w:t>study with regard</w:t>
      </w:r>
      <w:r>
        <w:rPr>
          <w:spacing w:val="-2"/>
        </w:rPr>
        <w:t xml:space="preserve"> </w:t>
      </w:r>
      <w:r>
        <w:t xml:space="preserve">to the following </w:t>
      </w:r>
      <w:r>
        <w:rPr>
          <w:spacing w:val="-2"/>
        </w:rPr>
        <w:t>tasks.</w:t>
      </w:r>
    </w:p>
    <w:p w14:paraId="019CFAEE" w14:textId="77777777" w:rsidR="004213BB" w:rsidRDefault="004213BB" w:rsidP="004213BB">
      <w:pPr>
        <w:pStyle w:val="BodyText"/>
        <w:spacing w:before="120"/>
        <w:ind w:left="169" w:right="708"/>
        <w:rPr>
          <w:spacing w:val="-2"/>
        </w:rPr>
      </w:pPr>
    </w:p>
    <w:p w14:paraId="7E533B9F" w14:textId="77777777" w:rsidR="004213BB" w:rsidRPr="006A07BD" w:rsidRDefault="004213BB" w:rsidP="004213BB">
      <w:pPr>
        <w:pStyle w:val="BodyText"/>
        <w:spacing w:before="120"/>
        <w:ind w:left="169" w:right="708"/>
        <w:rPr>
          <w:rStyle w:val="ECCHLbold"/>
        </w:rPr>
      </w:pPr>
      <w:r w:rsidRPr="007E5B08">
        <w:rPr>
          <w:rStyle w:val="ECCHLbold"/>
        </w:rPr>
        <w:t xml:space="preserve">Task </w:t>
      </w:r>
      <w:r w:rsidRPr="006A07BD">
        <w:rPr>
          <w:rStyle w:val="ECCHLbold"/>
        </w:rPr>
        <w:t>1</w:t>
      </w:r>
    </w:p>
    <w:p w14:paraId="5A2347AF" w14:textId="77777777" w:rsidR="004213BB" w:rsidRDefault="004213BB" w:rsidP="004213BB">
      <w:pPr>
        <w:pStyle w:val="BodyText"/>
        <w:spacing w:before="120"/>
        <w:ind w:left="169" w:right="708"/>
        <w:jc w:val="both"/>
      </w:pPr>
      <w:r>
        <w:t xml:space="preserve">Assess the feasibility and the relevant conditions of radio communications between non- AAS ATSs based on </w:t>
      </w:r>
      <w:r>
        <w:rPr>
          <w:b/>
        </w:rPr>
        <w:t xml:space="preserve">4G/LTE and 5G NR technology </w:t>
      </w:r>
      <w:r>
        <w:t>and wireless terrestrial systems capable of providing electronic communications services using the EU-harmonised frequency bands:</w:t>
      </w:r>
    </w:p>
    <w:p w14:paraId="1681F2CC" w14:textId="77777777" w:rsidR="004213BB" w:rsidRPr="00A46FB7" w:rsidRDefault="004213BB" w:rsidP="004213BB">
      <w:pPr>
        <w:pStyle w:val="ListParagraph"/>
        <w:widowControl w:val="0"/>
        <w:numPr>
          <w:ilvl w:val="1"/>
          <w:numId w:val="102"/>
        </w:numPr>
        <w:tabs>
          <w:tab w:val="left" w:pos="889"/>
          <w:tab w:val="left" w:pos="4170"/>
          <w:tab w:val="left" w:pos="5973"/>
        </w:tabs>
        <w:autoSpaceDE w:val="0"/>
        <w:autoSpaceDN w:val="0"/>
        <w:spacing w:before="0" w:after="0" w:line="294" w:lineRule="exact"/>
        <w:ind w:right="567"/>
        <w:contextualSpacing w:val="0"/>
        <w:jc w:val="left"/>
        <w:rPr>
          <w:rFonts w:ascii="Times New Roman" w:hAnsi="Times New Roman"/>
          <w:sz w:val="24"/>
        </w:rPr>
      </w:pPr>
      <w:r w:rsidRPr="00A46FB7">
        <w:rPr>
          <w:rFonts w:ascii="Times New Roman" w:hAnsi="Times New Roman"/>
          <w:sz w:val="24"/>
        </w:rPr>
        <w:t>703-733</w:t>
      </w:r>
      <w:r w:rsidRPr="00A46FB7">
        <w:rPr>
          <w:rFonts w:ascii="Times New Roman" w:hAnsi="Times New Roman"/>
          <w:spacing w:val="-2"/>
          <w:sz w:val="24"/>
        </w:rPr>
        <w:t xml:space="preserve"> </w:t>
      </w:r>
      <w:r w:rsidRPr="00A46FB7">
        <w:rPr>
          <w:rFonts w:ascii="Times New Roman" w:hAnsi="Times New Roman"/>
          <w:sz w:val="24"/>
        </w:rPr>
        <w:t>MHz/758-788</w:t>
      </w:r>
      <w:r w:rsidRPr="00A46FB7">
        <w:rPr>
          <w:rFonts w:ascii="Times New Roman" w:hAnsi="Times New Roman"/>
          <w:spacing w:val="1"/>
          <w:sz w:val="24"/>
        </w:rPr>
        <w:t xml:space="preserve"> </w:t>
      </w:r>
      <w:r w:rsidRPr="00A46FB7">
        <w:rPr>
          <w:rFonts w:ascii="Times New Roman" w:hAnsi="Times New Roman"/>
          <w:spacing w:val="-5"/>
          <w:sz w:val="24"/>
        </w:rPr>
        <w:t>MHz</w:t>
      </w:r>
      <w:r w:rsidRPr="00A46FB7">
        <w:rPr>
          <w:rFonts w:ascii="Times New Roman" w:hAnsi="Times New Roman"/>
          <w:sz w:val="24"/>
        </w:rPr>
        <w:tab/>
        <w:t>(‘700</w:t>
      </w:r>
      <w:r w:rsidRPr="00A46FB7">
        <w:rPr>
          <w:rFonts w:ascii="Times New Roman" w:hAnsi="Times New Roman"/>
          <w:spacing w:val="-2"/>
          <w:sz w:val="24"/>
        </w:rPr>
        <w:t xml:space="preserve"> MHz’),</w:t>
      </w:r>
      <w:r w:rsidRPr="00A46FB7">
        <w:rPr>
          <w:rFonts w:ascii="Times New Roman" w:hAnsi="Times New Roman"/>
          <w:sz w:val="24"/>
        </w:rPr>
        <w:tab/>
        <w:t>791–821</w:t>
      </w:r>
      <w:r w:rsidRPr="00A46FB7">
        <w:rPr>
          <w:rFonts w:ascii="Times New Roman" w:hAnsi="Times New Roman"/>
          <w:spacing w:val="-1"/>
          <w:sz w:val="24"/>
        </w:rPr>
        <w:t xml:space="preserve"> </w:t>
      </w:r>
      <w:r w:rsidRPr="00A46FB7">
        <w:rPr>
          <w:rFonts w:ascii="Times New Roman" w:hAnsi="Times New Roman"/>
          <w:sz w:val="24"/>
        </w:rPr>
        <w:t xml:space="preserve">MHz/832-862 </w:t>
      </w:r>
      <w:r w:rsidRPr="00A46FB7">
        <w:rPr>
          <w:rFonts w:ascii="Times New Roman" w:hAnsi="Times New Roman"/>
          <w:spacing w:val="-5"/>
          <w:sz w:val="24"/>
        </w:rPr>
        <w:t>MHz</w:t>
      </w:r>
    </w:p>
    <w:p w14:paraId="124C3702" w14:textId="77777777" w:rsidR="004213BB" w:rsidRPr="00A46FB7" w:rsidRDefault="004213BB" w:rsidP="004213BB">
      <w:pPr>
        <w:pStyle w:val="BodyText"/>
        <w:spacing w:after="0" w:line="276" w:lineRule="exact"/>
        <w:ind w:left="889"/>
      </w:pPr>
      <w:r w:rsidRPr="00A46FB7">
        <w:t>(‘800</w:t>
      </w:r>
      <w:r w:rsidRPr="00A46FB7">
        <w:rPr>
          <w:spacing w:val="-4"/>
        </w:rPr>
        <w:t xml:space="preserve"> </w:t>
      </w:r>
      <w:r w:rsidRPr="00A46FB7">
        <w:t>MHz'),</w:t>
      </w:r>
      <w:r w:rsidRPr="00A46FB7">
        <w:rPr>
          <w:spacing w:val="57"/>
        </w:rPr>
        <w:t xml:space="preserve"> </w:t>
      </w:r>
      <w:r w:rsidRPr="00A46FB7">
        <w:t>880-915</w:t>
      </w:r>
      <w:r w:rsidRPr="00A46FB7">
        <w:rPr>
          <w:spacing w:val="-1"/>
        </w:rPr>
        <w:t xml:space="preserve"> </w:t>
      </w:r>
      <w:r w:rsidRPr="00A46FB7">
        <w:t>MHz/925-960</w:t>
      </w:r>
      <w:r w:rsidRPr="00A46FB7">
        <w:rPr>
          <w:spacing w:val="-1"/>
        </w:rPr>
        <w:t xml:space="preserve"> </w:t>
      </w:r>
      <w:r w:rsidRPr="00A46FB7">
        <w:t>MHz</w:t>
      </w:r>
      <w:r w:rsidRPr="00A46FB7">
        <w:rPr>
          <w:spacing w:val="56"/>
        </w:rPr>
        <w:t xml:space="preserve"> </w:t>
      </w:r>
      <w:r w:rsidRPr="00A46FB7">
        <w:t>(‘900</w:t>
      </w:r>
      <w:r w:rsidRPr="00A46FB7">
        <w:rPr>
          <w:spacing w:val="1"/>
        </w:rPr>
        <w:t xml:space="preserve"> </w:t>
      </w:r>
      <w:r w:rsidRPr="00A46FB7">
        <w:t>MHz’),</w:t>
      </w:r>
      <w:r w:rsidRPr="00A46FB7">
        <w:rPr>
          <w:spacing w:val="56"/>
        </w:rPr>
        <w:t xml:space="preserve"> </w:t>
      </w:r>
      <w:r w:rsidRPr="00A46FB7">
        <w:t>1710-1785</w:t>
      </w:r>
      <w:r w:rsidRPr="00A46FB7">
        <w:rPr>
          <w:spacing w:val="-1"/>
        </w:rPr>
        <w:t xml:space="preserve"> </w:t>
      </w:r>
      <w:r w:rsidRPr="00A46FB7">
        <w:rPr>
          <w:spacing w:val="-2"/>
        </w:rPr>
        <w:t>MHz/1805-</w:t>
      </w:r>
    </w:p>
    <w:p w14:paraId="10E6F25D" w14:textId="77777777" w:rsidR="004213BB" w:rsidRPr="00A46FB7" w:rsidRDefault="004213BB" w:rsidP="004213BB">
      <w:pPr>
        <w:pStyle w:val="BodyText"/>
        <w:spacing w:after="0"/>
        <w:ind w:left="889"/>
      </w:pPr>
      <w:r w:rsidRPr="00A46FB7">
        <w:t>1880</w:t>
      </w:r>
      <w:r w:rsidRPr="00A46FB7">
        <w:rPr>
          <w:spacing w:val="-3"/>
        </w:rPr>
        <w:t xml:space="preserve"> </w:t>
      </w:r>
      <w:r w:rsidRPr="00A46FB7">
        <w:t>MHz</w:t>
      </w:r>
      <w:r w:rsidRPr="00A46FB7">
        <w:rPr>
          <w:spacing w:val="53"/>
        </w:rPr>
        <w:t xml:space="preserve"> </w:t>
      </w:r>
      <w:r w:rsidRPr="00A46FB7">
        <w:t>(‘1</w:t>
      </w:r>
      <w:r w:rsidRPr="00A46FB7">
        <w:rPr>
          <w:spacing w:val="-1"/>
        </w:rPr>
        <w:t xml:space="preserve"> </w:t>
      </w:r>
      <w:r w:rsidRPr="00A46FB7">
        <w:t>800 MHz’),</w:t>
      </w:r>
      <w:r w:rsidRPr="00A46FB7">
        <w:rPr>
          <w:spacing w:val="53"/>
        </w:rPr>
        <w:t xml:space="preserve"> </w:t>
      </w:r>
      <w:r w:rsidRPr="00A46FB7">
        <w:t>1920-1980</w:t>
      </w:r>
      <w:r w:rsidRPr="00A46FB7">
        <w:rPr>
          <w:spacing w:val="-1"/>
        </w:rPr>
        <w:t xml:space="preserve"> </w:t>
      </w:r>
      <w:r w:rsidRPr="00A46FB7">
        <w:t>MHz/2110-2170 MHz</w:t>
      </w:r>
      <w:r w:rsidRPr="00A46FB7">
        <w:rPr>
          <w:spacing w:val="53"/>
        </w:rPr>
        <w:t xml:space="preserve"> </w:t>
      </w:r>
      <w:r w:rsidRPr="00A46FB7">
        <w:t>(‘paired</w:t>
      </w:r>
      <w:r w:rsidRPr="00A46FB7">
        <w:rPr>
          <w:spacing w:val="53"/>
        </w:rPr>
        <w:t xml:space="preserve"> </w:t>
      </w:r>
      <w:r w:rsidRPr="00A46FB7">
        <w:rPr>
          <w:spacing w:val="-2"/>
        </w:rPr>
        <w:t>terrestrial</w:t>
      </w:r>
    </w:p>
    <w:p w14:paraId="06EC9AD4" w14:textId="77777777" w:rsidR="004213BB" w:rsidRPr="00A46FB7" w:rsidRDefault="004213BB" w:rsidP="004213BB">
      <w:pPr>
        <w:pStyle w:val="BodyText"/>
        <w:spacing w:after="0"/>
        <w:ind w:left="889"/>
      </w:pPr>
      <w:r w:rsidRPr="00A46FB7">
        <w:t>2</w:t>
      </w:r>
      <w:r w:rsidRPr="00A46FB7">
        <w:rPr>
          <w:spacing w:val="-3"/>
        </w:rPr>
        <w:t xml:space="preserve"> </w:t>
      </w:r>
      <w:r w:rsidRPr="00A46FB7">
        <w:t>GHz’),</w:t>
      </w:r>
      <w:r w:rsidRPr="00A46FB7">
        <w:rPr>
          <w:spacing w:val="53"/>
        </w:rPr>
        <w:t xml:space="preserve"> </w:t>
      </w:r>
      <w:r w:rsidRPr="00A46FB7">
        <w:t>2500-2570 MHz/2620-2690</w:t>
      </w:r>
      <w:r w:rsidRPr="00A46FB7">
        <w:rPr>
          <w:spacing w:val="50"/>
        </w:rPr>
        <w:t xml:space="preserve"> </w:t>
      </w:r>
      <w:r w:rsidRPr="00A46FB7">
        <w:t>MHz</w:t>
      </w:r>
      <w:r w:rsidRPr="00A46FB7">
        <w:rPr>
          <w:spacing w:val="53"/>
        </w:rPr>
        <w:t xml:space="preserve"> </w:t>
      </w:r>
      <w:r w:rsidRPr="00A46FB7">
        <w:t>(‘paired</w:t>
      </w:r>
      <w:r w:rsidRPr="00A46FB7">
        <w:rPr>
          <w:spacing w:val="52"/>
        </w:rPr>
        <w:t xml:space="preserve"> </w:t>
      </w:r>
      <w:r w:rsidRPr="00A46FB7">
        <w:t>2.6</w:t>
      </w:r>
      <w:r w:rsidRPr="00A46FB7">
        <w:rPr>
          <w:spacing w:val="50"/>
        </w:rPr>
        <w:t xml:space="preserve"> </w:t>
      </w:r>
      <w:r w:rsidRPr="00A46FB7">
        <w:t>GHz’)</w:t>
      </w:r>
      <w:r w:rsidRPr="00A46FB7">
        <w:rPr>
          <w:spacing w:val="53"/>
        </w:rPr>
        <w:t xml:space="preserve"> </w:t>
      </w:r>
      <w:r w:rsidRPr="00A46FB7">
        <w:t>and</w:t>
      </w:r>
      <w:r w:rsidRPr="00A46FB7">
        <w:rPr>
          <w:spacing w:val="51"/>
        </w:rPr>
        <w:t xml:space="preserve"> </w:t>
      </w:r>
      <w:r w:rsidRPr="00A46FB7">
        <w:t>2570-</w:t>
      </w:r>
      <w:r w:rsidRPr="00A46FB7">
        <w:rPr>
          <w:spacing w:val="-4"/>
        </w:rPr>
        <w:t>2620</w:t>
      </w:r>
    </w:p>
    <w:p w14:paraId="3DFC5D9B" w14:textId="77777777" w:rsidR="004213BB" w:rsidRDefault="004213BB" w:rsidP="004213BB">
      <w:pPr>
        <w:pStyle w:val="BodyText"/>
        <w:spacing w:after="80"/>
        <w:ind w:left="889"/>
      </w:pPr>
      <w:r w:rsidRPr="00A46FB7">
        <w:t>MHz</w:t>
      </w:r>
      <w:r w:rsidRPr="00A46FB7">
        <w:rPr>
          <w:spacing w:val="-5"/>
        </w:rPr>
        <w:t xml:space="preserve"> </w:t>
      </w:r>
      <w:r w:rsidRPr="00A46FB7">
        <w:t>(unpaired 2.6</w:t>
      </w:r>
      <w:r w:rsidRPr="00A46FB7">
        <w:rPr>
          <w:spacing w:val="-1"/>
        </w:rPr>
        <w:t xml:space="preserve"> </w:t>
      </w:r>
      <w:r w:rsidRPr="00A46FB7">
        <w:t>GHz), with</w:t>
      </w:r>
      <w:r w:rsidRPr="00A46FB7">
        <w:rPr>
          <w:spacing w:val="-1"/>
        </w:rPr>
        <w:t xml:space="preserve"> </w:t>
      </w:r>
      <w:r w:rsidRPr="00A46FB7">
        <w:t>non-AAS terrestrial</w:t>
      </w:r>
      <w:r w:rsidRPr="00A46FB7">
        <w:rPr>
          <w:spacing w:val="-1"/>
        </w:rPr>
        <w:t xml:space="preserve"> </w:t>
      </w:r>
      <w:r w:rsidRPr="00A46FB7">
        <w:t>base</w:t>
      </w:r>
      <w:r w:rsidRPr="00A46FB7">
        <w:rPr>
          <w:spacing w:val="-1"/>
        </w:rPr>
        <w:t xml:space="preserve"> </w:t>
      </w:r>
      <w:r w:rsidRPr="00A46FB7">
        <w:rPr>
          <w:spacing w:val="-2"/>
        </w:rPr>
        <w:t>stations</w:t>
      </w:r>
      <w:r>
        <w:rPr>
          <w:spacing w:val="-2"/>
        </w:rPr>
        <w:t>.</w:t>
      </w:r>
    </w:p>
    <w:p w14:paraId="159FCBB1" w14:textId="77777777" w:rsidR="004213BB" w:rsidRPr="00A46FB7" w:rsidRDefault="004213BB" w:rsidP="004213BB">
      <w:pPr>
        <w:pStyle w:val="ListParagraph"/>
        <w:widowControl w:val="0"/>
        <w:numPr>
          <w:ilvl w:val="1"/>
          <w:numId w:val="102"/>
        </w:numPr>
        <w:tabs>
          <w:tab w:val="left" w:pos="889"/>
          <w:tab w:val="left" w:pos="4617"/>
          <w:tab w:val="left" w:pos="6563"/>
        </w:tabs>
        <w:autoSpaceDE w:val="0"/>
        <w:autoSpaceDN w:val="0"/>
        <w:spacing w:before="0" w:after="0" w:line="294" w:lineRule="exact"/>
        <w:contextualSpacing w:val="0"/>
        <w:jc w:val="left"/>
        <w:rPr>
          <w:rFonts w:ascii="Times New Roman" w:hAnsi="Times New Roman"/>
          <w:sz w:val="24"/>
        </w:rPr>
      </w:pPr>
      <w:r w:rsidRPr="00A46FB7">
        <w:rPr>
          <w:rFonts w:ascii="Times New Roman" w:hAnsi="Times New Roman"/>
          <w:sz w:val="24"/>
        </w:rPr>
        <w:t>1710-1785</w:t>
      </w:r>
      <w:r w:rsidRPr="00A46FB7">
        <w:rPr>
          <w:rFonts w:ascii="Times New Roman" w:hAnsi="Times New Roman"/>
          <w:spacing w:val="-1"/>
          <w:sz w:val="24"/>
        </w:rPr>
        <w:t xml:space="preserve"> </w:t>
      </w:r>
      <w:r w:rsidRPr="00A46FB7">
        <w:rPr>
          <w:rFonts w:ascii="Times New Roman" w:hAnsi="Times New Roman"/>
          <w:sz w:val="24"/>
        </w:rPr>
        <w:t>MHz/1805-1880</w:t>
      </w:r>
      <w:r w:rsidRPr="00A46FB7">
        <w:rPr>
          <w:rFonts w:ascii="Times New Roman" w:hAnsi="Times New Roman"/>
          <w:spacing w:val="-1"/>
          <w:sz w:val="24"/>
        </w:rPr>
        <w:t xml:space="preserve"> </w:t>
      </w:r>
      <w:r w:rsidRPr="00A46FB7">
        <w:rPr>
          <w:rFonts w:ascii="Times New Roman" w:hAnsi="Times New Roman"/>
          <w:spacing w:val="-5"/>
          <w:sz w:val="24"/>
        </w:rPr>
        <w:t>MHz</w:t>
      </w:r>
      <w:r w:rsidRPr="00A46FB7">
        <w:rPr>
          <w:rFonts w:ascii="Times New Roman" w:hAnsi="Times New Roman"/>
          <w:sz w:val="24"/>
        </w:rPr>
        <w:tab/>
        <w:t>(‘1</w:t>
      </w:r>
      <w:r w:rsidRPr="00A46FB7">
        <w:rPr>
          <w:rFonts w:ascii="Times New Roman" w:hAnsi="Times New Roman"/>
          <w:spacing w:val="-1"/>
          <w:sz w:val="24"/>
        </w:rPr>
        <w:t xml:space="preserve"> </w:t>
      </w:r>
      <w:r w:rsidRPr="00A46FB7">
        <w:rPr>
          <w:rFonts w:ascii="Times New Roman" w:hAnsi="Times New Roman"/>
          <w:sz w:val="24"/>
        </w:rPr>
        <w:t>800</w:t>
      </w:r>
      <w:r w:rsidRPr="00A46FB7">
        <w:rPr>
          <w:rFonts w:ascii="Times New Roman" w:hAnsi="Times New Roman"/>
          <w:spacing w:val="-1"/>
          <w:sz w:val="24"/>
        </w:rPr>
        <w:t xml:space="preserve"> </w:t>
      </w:r>
      <w:r w:rsidRPr="00A46FB7">
        <w:rPr>
          <w:rFonts w:ascii="Times New Roman" w:hAnsi="Times New Roman"/>
          <w:spacing w:val="-2"/>
          <w:sz w:val="24"/>
        </w:rPr>
        <w:t>MHz’),</w:t>
      </w:r>
      <w:r w:rsidRPr="00A46FB7">
        <w:rPr>
          <w:rFonts w:ascii="Times New Roman" w:hAnsi="Times New Roman"/>
          <w:sz w:val="24"/>
        </w:rPr>
        <w:tab/>
        <w:t xml:space="preserve">1920-1980 </w:t>
      </w:r>
      <w:r w:rsidRPr="00A46FB7">
        <w:rPr>
          <w:rFonts w:ascii="Times New Roman" w:hAnsi="Times New Roman"/>
          <w:spacing w:val="-2"/>
          <w:sz w:val="24"/>
        </w:rPr>
        <w:t>MHz/2110-</w:t>
      </w:r>
    </w:p>
    <w:p w14:paraId="2E560A9C" w14:textId="77777777" w:rsidR="004213BB" w:rsidRPr="00A46FB7" w:rsidRDefault="004213BB" w:rsidP="004213BB">
      <w:pPr>
        <w:pStyle w:val="BodyText"/>
        <w:spacing w:after="0"/>
        <w:ind w:left="889" w:right="119"/>
      </w:pPr>
      <w:r w:rsidRPr="00A46FB7">
        <w:t>2170</w:t>
      </w:r>
      <w:r w:rsidRPr="00A46FB7">
        <w:rPr>
          <w:spacing w:val="-4"/>
        </w:rPr>
        <w:t xml:space="preserve"> </w:t>
      </w:r>
      <w:r w:rsidRPr="00A46FB7">
        <w:t>MHz</w:t>
      </w:r>
      <w:r w:rsidRPr="00A46FB7">
        <w:rPr>
          <w:spacing w:val="-1"/>
        </w:rPr>
        <w:t xml:space="preserve"> </w:t>
      </w:r>
      <w:r w:rsidRPr="00A46FB7">
        <w:t>(‘paired terrestrial 2</w:t>
      </w:r>
      <w:r w:rsidRPr="00A46FB7">
        <w:rPr>
          <w:spacing w:val="-3"/>
        </w:rPr>
        <w:t xml:space="preserve"> </w:t>
      </w:r>
      <w:r w:rsidRPr="00A46FB7">
        <w:t>GHz’),</w:t>
      </w:r>
      <w:r w:rsidRPr="00A46FB7">
        <w:rPr>
          <w:spacing w:val="-1"/>
        </w:rPr>
        <w:t xml:space="preserve"> </w:t>
      </w:r>
      <w:r w:rsidRPr="00A46FB7">
        <w:t>2500-2570</w:t>
      </w:r>
      <w:r w:rsidRPr="00A46FB7">
        <w:rPr>
          <w:spacing w:val="-2"/>
        </w:rPr>
        <w:t xml:space="preserve"> </w:t>
      </w:r>
      <w:r w:rsidRPr="00A46FB7">
        <w:t>MHz/2620-2690</w:t>
      </w:r>
      <w:r w:rsidRPr="00A46FB7">
        <w:rPr>
          <w:spacing w:val="-4"/>
        </w:rPr>
        <w:t xml:space="preserve"> </w:t>
      </w:r>
      <w:r w:rsidRPr="00A46FB7">
        <w:t>MHz</w:t>
      </w:r>
      <w:r w:rsidRPr="00A46FB7">
        <w:rPr>
          <w:spacing w:val="-1"/>
        </w:rPr>
        <w:t xml:space="preserve"> </w:t>
      </w:r>
      <w:r w:rsidRPr="00A46FB7">
        <w:t>(‘paired 2.6</w:t>
      </w:r>
      <w:r w:rsidRPr="00A46FB7">
        <w:rPr>
          <w:spacing w:val="-4"/>
        </w:rPr>
        <w:t xml:space="preserve"> </w:t>
      </w:r>
      <w:r w:rsidRPr="00A46FB7">
        <w:t>GHz’),</w:t>
      </w:r>
      <w:r w:rsidRPr="00A46FB7">
        <w:rPr>
          <w:spacing w:val="-7"/>
        </w:rPr>
        <w:t xml:space="preserve"> </w:t>
      </w:r>
      <w:r w:rsidRPr="00A46FB7">
        <w:t>2570-2620</w:t>
      </w:r>
      <w:r w:rsidRPr="00A46FB7">
        <w:rPr>
          <w:spacing w:val="-9"/>
        </w:rPr>
        <w:t xml:space="preserve"> </w:t>
      </w:r>
      <w:r w:rsidRPr="00A46FB7">
        <w:t>MHz</w:t>
      </w:r>
      <w:r w:rsidRPr="00A46FB7">
        <w:rPr>
          <w:spacing w:val="-10"/>
        </w:rPr>
        <w:t xml:space="preserve"> </w:t>
      </w:r>
      <w:r w:rsidRPr="00A46FB7">
        <w:t>(unpaired</w:t>
      </w:r>
      <w:r w:rsidRPr="00A46FB7">
        <w:rPr>
          <w:spacing w:val="-9"/>
        </w:rPr>
        <w:t xml:space="preserve"> </w:t>
      </w:r>
      <w:r w:rsidRPr="00A46FB7">
        <w:t>2.6</w:t>
      </w:r>
      <w:r w:rsidRPr="00A46FB7">
        <w:rPr>
          <w:spacing w:val="-6"/>
        </w:rPr>
        <w:t xml:space="preserve"> </w:t>
      </w:r>
      <w:r w:rsidRPr="00A46FB7">
        <w:t>GHz)</w:t>
      </w:r>
      <w:r w:rsidRPr="00A46FB7">
        <w:rPr>
          <w:spacing w:val="-6"/>
        </w:rPr>
        <w:t xml:space="preserve"> </w:t>
      </w:r>
      <w:r w:rsidRPr="00A46FB7">
        <w:t>with</w:t>
      </w:r>
      <w:r w:rsidRPr="00A46FB7">
        <w:rPr>
          <w:spacing w:val="-8"/>
        </w:rPr>
        <w:t xml:space="preserve"> </w:t>
      </w:r>
      <w:r w:rsidRPr="00A46FB7">
        <w:t>AAS</w:t>
      </w:r>
      <w:r w:rsidRPr="00A46FB7">
        <w:rPr>
          <w:spacing w:val="-7"/>
        </w:rPr>
        <w:t xml:space="preserve"> </w:t>
      </w:r>
      <w:r w:rsidRPr="00A46FB7">
        <w:t>terrestrial</w:t>
      </w:r>
      <w:r w:rsidRPr="00A46FB7">
        <w:rPr>
          <w:spacing w:val="-9"/>
        </w:rPr>
        <w:t xml:space="preserve"> </w:t>
      </w:r>
      <w:r w:rsidRPr="00A46FB7">
        <w:t>base</w:t>
      </w:r>
      <w:r w:rsidRPr="00A46FB7">
        <w:rPr>
          <w:spacing w:val="-8"/>
        </w:rPr>
        <w:t xml:space="preserve"> </w:t>
      </w:r>
      <w:r w:rsidRPr="00A46FB7">
        <w:rPr>
          <w:spacing w:val="-2"/>
        </w:rPr>
        <w:t>stations.</w:t>
      </w:r>
    </w:p>
    <w:p w14:paraId="35E1DD30" w14:textId="77777777" w:rsidR="004213BB" w:rsidRDefault="004213BB" w:rsidP="004213BB">
      <w:pPr>
        <w:pStyle w:val="Default"/>
        <w:ind w:firstLine="169"/>
        <w:rPr>
          <w:rStyle w:val="ECCHLbold"/>
        </w:rPr>
      </w:pPr>
    </w:p>
    <w:p w14:paraId="34EF3E19" w14:textId="77777777" w:rsidR="004213BB" w:rsidRPr="006A07BD" w:rsidRDefault="004213BB" w:rsidP="004213BB">
      <w:pPr>
        <w:pStyle w:val="Default"/>
        <w:ind w:firstLine="169"/>
        <w:rPr>
          <w:rStyle w:val="ECCHLbold"/>
        </w:rPr>
      </w:pPr>
      <w:r w:rsidRPr="007E5B08">
        <w:rPr>
          <w:rStyle w:val="ECCHLbold"/>
        </w:rPr>
        <w:t xml:space="preserve">Task </w:t>
      </w:r>
      <w:r w:rsidRPr="006A07BD">
        <w:rPr>
          <w:rStyle w:val="ECCHLbold"/>
        </w:rPr>
        <w:t>2</w:t>
      </w:r>
    </w:p>
    <w:p w14:paraId="592E1FBE" w14:textId="77777777" w:rsidR="004213BB" w:rsidRDefault="004213BB" w:rsidP="004213BB">
      <w:pPr>
        <w:pStyle w:val="BodyText"/>
        <w:spacing w:before="120"/>
        <w:ind w:left="169" w:right="567"/>
        <w:jc w:val="both"/>
      </w:pPr>
      <w:r>
        <w:t>Pursuant to the outcome of Task 1, develop least restrictive harmonised technical and operational conditions for the radio communications between non-AAS ATSs based on 4G/LTE and 5G NR technology and wireless terrestrial systems capable of providing electronic communications services using the related EU-harmonised bands. These conditions should be consistent with the existing EU regulatory framework applicable to the frequency bands under consideration. They should ensure interference mitigation and appropriate</w:t>
      </w:r>
      <w:r>
        <w:rPr>
          <w:spacing w:val="-3"/>
        </w:rPr>
        <w:t xml:space="preserve"> </w:t>
      </w:r>
      <w:r>
        <w:t>co-existence</w:t>
      </w:r>
      <w:r>
        <w:rPr>
          <w:spacing w:val="-1"/>
        </w:rPr>
        <w:t xml:space="preserve"> </w:t>
      </w:r>
      <w:r>
        <w:t>with</w:t>
      </w:r>
      <w:r>
        <w:rPr>
          <w:spacing w:val="-2"/>
        </w:rPr>
        <w:t xml:space="preserve"> </w:t>
      </w:r>
      <w:r>
        <w:t>incumbent</w:t>
      </w:r>
      <w:r>
        <w:rPr>
          <w:spacing w:val="-4"/>
        </w:rPr>
        <w:t xml:space="preserve"> </w:t>
      </w:r>
      <w:r>
        <w:t>radio</w:t>
      </w:r>
      <w:r>
        <w:rPr>
          <w:spacing w:val="-4"/>
        </w:rPr>
        <w:t xml:space="preserve"> </w:t>
      </w:r>
      <w:r>
        <w:t>services/applications</w:t>
      </w:r>
      <w:r>
        <w:rPr>
          <w:spacing w:val="-4"/>
        </w:rPr>
        <w:t xml:space="preserve"> </w:t>
      </w:r>
      <w:r>
        <w:t>in</w:t>
      </w:r>
      <w:r>
        <w:rPr>
          <w:spacing w:val="-4"/>
        </w:rPr>
        <w:t xml:space="preserve"> </w:t>
      </w:r>
      <w:r>
        <w:t>the</w:t>
      </w:r>
      <w:r>
        <w:rPr>
          <w:spacing w:val="-3"/>
        </w:rPr>
        <w:t xml:space="preserve"> </w:t>
      </w:r>
      <w:r>
        <w:t>same</w:t>
      </w:r>
      <w:r>
        <w:rPr>
          <w:spacing w:val="-4"/>
        </w:rPr>
        <w:t xml:space="preserve"> </w:t>
      </w:r>
      <w:r>
        <w:t>band and in adjacent bands, in line with the regulatory status of these services/applications.</w:t>
      </w:r>
    </w:p>
    <w:p w14:paraId="5984B3FB" w14:textId="77777777" w:rsidR="004213BB" w:rsidRDefault="004213BB" w:rsidP="004213BB">
      <w:pPr>
        <w:pStyle w:val="BodyText"/>
        <w:spacing w:before="120"/>
        <w:ind w:left="169" w:right="567" w:firstLine="14"/>
        <w:jc w:val="both"/>
      </w:pPr>
      <w:r>
        <w:t>The</w:t>
      </w:r>
      <w:r>
        <w:rPr>
          <w:spacing w:val="-9"/>
        </w:rPr>
        <w:t xml:space="preserve"> </w:t>
      </w:r>
      <w:r>
        <w:t>CEPT</w:t>
      </w:r>
      <w:r>
        <w:rPr>
          <w:spacing w:val="-8"/>
        </w:rPr>
        <w:t xml:space="preserve"> </w:t>
      </w:r>
      <w:r>
        <w:t>may</w:t>
      </w:r>
      <w:r>
        <w:rPr>
          <w:spacing w:val="-9"/>
        </w:rPr>
        <w:t xml:space="preserve"> </w:t>
      </w:r>
      <w:r>
        <w:t>develop</w:t>
      </w:r>
      <w:r>
        <w:rPr>
          <w:spacing w:val="-4"/>
        </w:rPr>
        <w:t xml:space="preserve"> </w:t>
      </w:r>
      <w:r>
        <w:t>appropriate</w:t>
      </w:r>
      <w:r>
        <w:rPr>
          <w:spacing w:val="-7"/>
        </w:rPr>
        <w:t xml:space="preserve"> </w:t>
      </w:r>
      <w:r>
        <w:t>receiver</w:t>
      </w:r>
      <w:r>
        <w:rPr>
          <w:spacing w:val="-9"/>
        </w:rPr>
        <w:t xml:space="preserve"> </w:t>
      </w:r>
      <w:r>
        <w:t>characteristics</w:t>
      </w:r>
      <w:r>
        <w:rPr>
          <w:spacing w:val="-6"/>
        </w:rPr>
        <w:t xml:space="preserve"> </w:t>
      </w:r>
      <w:r>
        <w:t>for</w:t>
      </w:r>
      <w:r>
        <w:rPr>
          <w:spacing w:val="-7"/>
        </w:rPr>
        <w:t xml:space="preserve"> </w:t>
      </w:r>
      <w:r>
        <w:t>radio</w:t>
      </w:r>
      <w:r>
        <w:rPr>
          <w:spacing w:val="-8"/>
        </w:rPr>
        <w:t xml:space="preserve"> </w:t>
      </w:r>
      <w:r>
        <w:t>equipment</w:t>
      </w:r>
      <w:r>
        <w:rPr>
          <w:spacing w:val="-8"/>
        </w:rPr>
        <w:t xml:space="preserve"> </w:t>
      </w:r>
      <w:r>
        <w:t>as</w:t>
      </w:r>
      <w:r>
        <w:rPr>
          <w:spacing w:val="-4"/>
        </w:rPr>
        <w:t xml:space="preserve"> </w:t>
      </w:r>
      <w:r>
        <w:t>part</w:t>
      </w:r>
      <w:r>
        <w:rPr>
          <w:spacing w:val="-9"/>
        </w:rPr>
        <w:t xml:space="preserve"> </w:t>
      </w:r>
      <w:r>
        <w:t>of the</w:t>
      </w:r>
      <w:r>
        <w:rPr>
          <w:spacing w:val="-4"/>
        </w:rPr>
        <w:t xml:space="preserve"> </w:t>
      </w:r>
      <w:r>
        <w:t>harmonised</w:t>
      </w:r>
      <w:r>
        <w:rPr>
          <w:spacing w:val="-4"/>
        </w:rPr>
        <w:t xml:space="preserve"> </w:t>
      </w:r>
      <w:r>
        <w:t>technical</w:t>
      </w:r>
      <w:r>
        <w:rPr>
          <w:spacing w:val="-2"/>
        </w:rPr>
        <w:t xml:space="preserve"> </w:t>
      </w:r>
      <w:r>
        <w:t>conditions.</w:t>
      </w:r>
      <w:r>
        <w:rPr>
          <w:spacing w:val="-4"/>
        </w:rPr>
        <w:t xml:space="preserve"> </w:t>
      </w:r>
      <w:r>
        <w:t>Based</w:t>
      </w:r>
      <w:r>
        <w:rPr>
          <w:spacing w:val="-4"/>
        </w:rPr>
        <w:t xml:space="preserve"> </w:t>
      </w:r>
      <w:r>
        <w:t>on</w:t>
      </w:r>
      <w:r>
        <w:rPr>
          <w:spacing w:val="-4"/>
        </w:rPr>
        <w:t xml:space="preserve"> </w:t>
      </w:r>
      <w:r>
        <w:t>such</w:t>
      </w:r>
      <w:r>
        <w:rPr>
          <w:spacing w:val="-4"/>
        </w:rPr>
        <w:t xml:space="preserve"> </w:t>
      </w:r>
      <w:r>
        <w:t>harmonised</w:t>
      </w:r>
      <w:r>
        <w:rPr>
          <w:spacing w:val="-4"/>
        </w:rPr>
        <w:t xml:space="preserve"> </w:t>
      </w:r>
      <w:r>
        <w:t>technical</w:t>
      </w:r>
      <w:r>
        <w:rPr>
          <w:spacing w:val="-4"/>
        </w:rPr>
        <w:t xml:space="preserve"> </w:t>
      </w:r>
      <w:r>
        <w:t>and</w:t>
      </w:r>
      <w:r>
        <w:rPr>
          <w:spacing w:val="-4"/>
        </w:rPr>
        <w:t xml:space="preserve"> </w:t>
      </w:r>
      <w:r>
        <w:t>operational conditions,</w:t>
      </w:r>
      <w:r>
        <w:rPr>
          <w:spacing w:val="-5"/>
        </w:rPr>
        <w:t xml:space="preserve"> </w:t>
      </w:r>
      <w:r>
        <w:t>the</w:t>
      </w:r>
      <w:r>
        <w:rPr>
          <w:spacing w:val="-7"/>
        </w:rPr>
        <w:t xml:space="preserve"> </w:t>
      </w:r>
      <w:r>
        <w:t>CEPT</w:t>
      </w:r>
      <w:r>
        <w:rPr>
          <w:spacing w:val="-8"/>
        </w:rPr>
        <w:t xml:space="preserve"> </w:t>
      </w:r>
      <w:r>
        <w:t>may</w:t>
      </w:r>
      <w:r>
        <w:rPr>
          <w:spacing w:val="-6"/>
        </w:rPr>
        <w:t xml:space="preserve"> </w:t>
      </w:r>
      <w:r>
        <w:t>further</w:t>
      </w:r>
      <w:r>
        <w:rPr>
          <w:spacing w:val="-6"/>
        </w:rPr>
        <w:t xml:space="preserve"> </w:t>
      </w:r>
      <w:r>
        <w:t>recommend</w:t>
      </w:r>
      <w:r>
        <w:rPr>
          <w:spacing w:val="-6"/>
        </w:rPr>
        <w:t xml:space="preserve"> </w:t>
      </w:r>
      <w:r>
        <w:t>to</w:t>
      </w:r>
      <w:r>
        <w:rPr>
          <w:spacing w:val="-5"/>
        </w:rPr>
        <w:t xml:space="preserve"> </w:t>
      </w:r>
      <w:r>
        <w:t>ETSI</w:t>
      </w:r>
      <w:r>
        <w:rPr>
          <w:spacing w:val="-8"/>
        </w:rPr>
        <w:t xml:space="preserve"> </w:t>
      </w:r>
      <w:r>
        <w:t>to</w:t>
      </w:r>
      <w:r>
        <w:rPr>
          <w:spacing w:val="-5"/>
        </w:rPr>
        <w:t xml:space="preserve"> </w:t>
      </w:r>
      <w:r>
        <w:t>consider</w:t>
      </w:r>
      <w:r>
        <w:rPr>
          <w:spacing w:val="-7"/>
        </w:rPr>
        <w:t xml:space="preserve"> </w:t>
      </w:r>
      <w:r>
        <w:t>the</w:t>
      </w:r>
      <w:r>
        <w:rPr>
          <w:spacing w:val="-6"/>
        </w:rPr>
        <w:t xml:space="preserve"> </w:t>
      </w:r>
      <w:r>
        <w:t>results</w:t>
      </w:r>
      <w:r>
        <w:rPr>
          <w:spacing w:val="-6"/>
        </w:rPr>
        <w:t xml:space="preserve"> </w:t>
      </w:r>
      <w:r>
        <w:t>of</w:t>
      </w:r>
      <w:r>
        <w:rPr>
          <w:spacing w:val="-4"/>
        </w:rPr>
        <w:t xml:space="preserve"> </w:t>
      </w:r>
      <w:r>
        <w:t>this</w:t>
      </w:r>
      <w:r>
        <w:rPr>
          <w:spacing w:val="-5"/>
        </w:rPr>
        <w:t xml:space="preserve"> </w:t>
      </w:r>
      <w:r>
        <w:t>study when developing relevant harmonised standards.</w:t>
      </w:r>
    </w:p>
    <w:p w14:paraId="52F99CF8" w14:textId="77777777" w:rsidR="004213BB" w:rsidRDefault="004213BB" w:rsidP="004213BB">
      <w:pPr>
        <w:pStyle w:val="BodyText"/>
        <w:spacing w:before="120"/>
        <w:ind w:left="169"/>
        <w:jc w:val="both"/>
      </w:pPr>
      <w:r>
        <w:t>The</w:t>
      </w:r>
      <w:r>
        <w:rPr>
          <w:spacing w:val="-4"/>
        </w:rPr>
        <w:t xml:space="preserve"> </w:t>
      </w:r>
      <w:r>
        <w:t>CEPT</w:t>
      </w:r>
      <w:r>
        <w:rPr>
          <w:spacing w:val="-1"/>
        </w:rPr>
        <w:t xml:space="preserve"> </w:t>
      </w:r>
      <w:r>
        <w:t>should</w:t>
      </w:r>
      <w:r>
        <w:rPr>
          <w:spacing w:val="1"/>
        </w:rPr>
        <w:t xml:space="preserve"> </w:t>
      </w:r>
      <w:r>
        <w:t>provide</w:t>
      </w:r>
      <w:r>
        <w:rPr>
          <w:spacing w:val="-3"/>
        </w:rPr>
        <w:t xml:space="preserve"> </w:t>
      </w:r>
      <w:r>
        <w:t>deliverables according to the</w:t>
      </w:r>
      <w:r>
        <w:rPr>
          <w:spacing w:val="-2"/>
        </w:rPr>
        <w:t xml:space="preserve"> </w:t>
      </w:r>
      <w:r>
        <w:t xml:space="preserve">following </w:t>
      </w:r>
      <w:r>
        <w:rPr>
          <w:spacing w:val="-2"/>
        </w:rPr>
        <w:t>schedule:</w:t>
      </w:r>
    </w:p>
    <w:p w14:paraId="4D07A871" w14:textId="77777777" w:rsidR="004213BB" w:rsidRDefault="004213BB" w:rsidP="004213BB">
      <w:pPr>
        <w:pStyle w:val="BodyText"/>
        <w:spacing w:before="11"/>
        <w:rPr>
          <w:sz w:val="20"/>
        </w:rPr>
      </w:pPr>
    </w:p>
    <w:tbl>
      <w:tblPr>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1"/>
        <w:gridCol w:w="2878"/>
        <w:gridCol w:w="4112"/>
      </w:tblGrid>
      <w:tr w:rsidR="004213BB" w14:paraId="61EFF8EB" w14:textId="77777777">
        <w:trPr>
          <w:trHeight w:val="516"/>
        </w:trPr>
        <w:tc>
          <w:tcPr>
            <w:tcW w:w="1801" w:type="dxa"/>
          </w:tcPr>
          <w:p w14:paraId="39D5C26E" w14:textId="77777777" w:rsidR="004213BB" w:rsidRDefault="004213BB">
            <w:pPr>
              <w:pStyle w:val="TableParagraph"/>
              <w:ind w:left="215"/>
              <w:rPr>
                <w:b/>
                <w:sz w:val="24"/>
              </w:rPr>
            </w:pPr>
            <w:r>
              <w:rPr>
                <w:b/>
                <w:sz w:val="24"/>
              </w:rPr>
              <w:t>Delivery</w:t>
            </w:r>
            <w:r>
              <w:rPr>
                <w:b/>
                <w:spacing w:val="-4"/>
                <w:sz w:val="24"/>
              </w:rPr>
              <w:t xml:space="preserve"> date</w:t>
            </w:r>
          </w:p>
        </w:tc>
        <w:tc>
          <w:tcPr>
            <w:tcW w:w="2878" w:type="dxa"/>
          </w:tcPr>
          <w:p w14:paraId="5890C575" w14:textId="77777777" w:rsidR="004213BB" w:rsidRDefault="004213BB">
            <w:pPr>
              <w:pStyle w:val="TableParagraph"/>
              <w:ind w:left="851"/>
              <w:rPr>
                <w:b/>
                <w:sz w:val="24"/>
              </w:rPr>
            </w:pPr>
            <w:r>
              <w:rPr>
                <w:b/>
                <w:spacing w:val="-2"/>
                <w:sz w:val="24"/>
              </w:rPr>
              <w:t>Deliverable</w:t>
            </w:r>
          </w:p>
        </w:tc>
        <w:tc>
          <w:tcPr>
            <w:tcW w:w="4112" w:type="dxa"/>
          </w:tcPr>
          <w:p w14:paraId="44F40EFE" w14:textId="77777777" w:rsidR="004213BB" w:rsidRDefault="004213BB">
            <w:pPr>
              <w:pStyle w:val="TableParagraph"/>
              <w:ind w:left="6"/>
              <w:jc w:val="center"/>
              <w:rPr>
                <w:b/>
                <w:sz w:val="24"/>
              </w:rPr>
            </w:pPr>
            <w:r>
              <w:rPr>
                <w:b/>
                <w:spacing w:val="-2"/>
                <w:sz w:val="24"/>
              </w:rPr>
              <w:t>Subject</w:t>
            </w:r>
          </w:p>
        </w:tc>
      </w:tr>
      <w:tr w:rsidR="004213BB" w14:paraId="731F4DF2" w14:textId="77777777">
        <w:trPr>
          <w:trHeight w:val="1031"/>
        </w:trPr>
        <w:tc>
          <w:tcPr>
            <w:tcW w:w="1801" w:type="dxa"/>
          </w:tcPr>
          <w:p w14:paraId="4E2D369F" w14:textId="77777777" w:rsidR="004213BB" w:rsidRDefault="004213BB">
            <w:pPr>
              <w:pStyle w:val="TableParagraph"/>
              <w:ind w:left="69"/>
              <w:rPr>
                <w:sz w:val="24"/>
              </w:rPr>
            </w:pPr>
            <w:r>
              <w:rPr>
                <w:sz w:val="24"/>
              </w:rPr>
              <w:t>November</w:t>
            </w:r>
            <w:r>
              <w:rPr>
                <w:spacing w:val="-4"/>
                <w:sz w:val="24"/>
              </w:rPr>
              <w:t xml:space="preserve"> 2024</w:t>
            </w:r>
          </w:p>
        </w:tc>
        <w:tc>
          <w:tcPr>
            <w:tcW w:w="2878" w:type="dxa"/>
          </w:tcPr>
          <w:p w14:paraId="37955724" w14:textId="77777777" w:rsidR="004213BB" w:rsidRDefault="004213BB">
            <w:pPr>
              <w:pStyle w:val="TableParagraph"/>
              <w:ind w:left="68"/>
              <w:rPr>
                <w:sz w:val="24"/>
              </w:rPr>
            </w:pPr>
            <w:r>
              <w:rPr>
                <w:sz w:val="24"/>
              </w:rPr>
              <w:t>Draft</w:t>
            </w:r>
            <w:r>
              <w:rPr>
                <w:spacing w:val="-12"/>
                <w:sz w:val="24"/>
              </w:rPr>
              <w:t xml:space="preserve"> </w:t>
            </w:r>
            <w:r>
              <w:rPr>
                <w:sz w:val="24"/>
              </w:rPr>
              <w:t>Report</w:t>
            </w:r>
            <w:r>
              <w:rPr>
                <w:spacing w:val="-12"/>
                <w:sz w:val="24"/>
              </w:rPr>
              <w:t xml:space="preserve"> </w:t>
            </w:r>
            <w:r>
              <w:rPr>
                <w:sz w:val="24"/>
              </w:rPr>
              <w:t>from</w:t>
            </w:r>
            <w:r>
              <w:rPr>
                <w:spacing w:val="-11"/>
                <w:sz w:val="24"/>
              </w:rPr>
              <w:t xml:space="preserve"> </w:t>
            </w:r>
            <w:r>
              <w:rPr>
                <w:sz w:val="24"/>
              </w:rPr>
              <w:t>the</w:t>
            </w:r>
            <w:r>
              <w:rPr>
                <w:spacing w:val="-12"/>
                <w:sz w:val="24"/>
              </w:rPr>
              <w:t xml:space="preserve"> </w:t>
            </w:r>
            <w:r>
              <w:rPr>
                <w:sz w:val="24"/>
              </w:rPr>
              <w:t>CEPT to the Commission.</w:t>
            </w:r>
          </w:p>
        </w:tc>
        <w:tc>
          <w:tcPr>
            <w:tcW w:w="4112" w:type="dxa"/>
          </w:tcPr>
          <w:p w14:paraId="773CD0B3" w14:textId="77777777" w:rsidR="004213BB" w:rsidRDefault="004213BB">
            <w:pPr>
              <w:pStyle w:val="TableParagraph"/>
              <w:ind w:left="68"/>
              <w:rPr>
                <w:sz w:val="24"/>
              </w:rPr>
            </w:pPr>
            <w:r>
              <w:rPr>
                <w:sz w:val="24"/>
              </w:rPr>
              <w:t>Description</w:t>
            </w:r>
            <w:r>
              <w:rPr>
                <w:spacing w:val="-9"/>
                <w:sz w:val="24"/>
              </w:rPr>
              <w:t xml:space="preserve"> </w:t>
            </w:r>
            <w:r>
              <w:rPr>
                <w:sz w:val="24"/>
              </w:rPr>
              <w:t>of</w:t>
            </w:r>
            <w:r>
              <w:rPr>
                <w:spacing w:val="-8"/>
                <w:sz w:val="24"/>
              </w:rPr>
              <w:t xml:space="preserve"> </w:t>
            </w:r>
            <w:r>
              <w:rPr>
                <w:sz w:val="24"/>
              </w:rPr>
              <w:t>work</w:t>
            </w:r>
            <w:r>
              <w:rPr>
                <w:spacing w:val="-7"/>
                <w:sz w:val="24"/>
              </w:rPr>
              <w:t xml:space="preserve"> </w:t>
            </w:r>
            <w:r>
              <w:rPr>
                <w:sz w:val="24"/>
              </w:rPr>
              <w:t>undertaken</w:t>
            </w:r>
            <w:r>
              <w:rPr>
                <w:spacing w:val="-7"/>
                <w:sz w:val="24"/>
              </w:rPr>
              <w:t xml:space="preserve"> </w:t>
            </w:r>
            <w:r>
              <w:rPr>
                <w:sz w:val="24"/>
              </w:rPr>
              <w:t>and</w:t>
            </w:r>
            <w:r>
              <w:rPr>
                <w:spacing w:val="-7"/>
                <w:sz w:val="24"/>
              </w:rPr>
              <w:t xml:space="preserve"> </w:t>
            </w:r>
            <w:r>
              <w:rPr>
                <w:sz w:val="24"/>
              </w:rPr>
              <w:t>final results subject to public consultation.</w:t>
            </w:r>
          </w:p>
        </w:tc>
      </w:tr>
      <w:tr w:rsidR="004213BB" w14:paraId="61E4DC2A" w14:textId="77777777">
        <w:trPr>
          <w:trHeight w:val="1343"/>
        </w:trPr>
        <w:tc>
          <w:tcPr>
            <w:tcW w:w="1801" w:type="dxa"/>
          </w:tcPr>
          <w:p w14:paraId="12FE44E9" w14:textId="77777777" w:rsidR="004213BB" w:rsidRDefault="004213BB">
            <w:pPr>
              <w:pStyle w:val="TableParagraph"/>
              <w:ind w:left="69"/>
              <w:rPr>
                <w:sz w:val="24"/>
              </w:rPr>
            </w:pPr>
            <w:r>
              <w:rPr>
                <w:sz w:val="24"/>
              </w:rPr>
              <w:t>March</w:t>
            </w:r>
            <w:r>
              <w:rPr>
                <w:spacing w:val="-4"/>
                <w:sz w:val="24"/>
              </w:rPr>
              <w:t xml:space="preserve"> 2025</w:t>
            </w:r>
          </w:p>
        </w:tc>
        <w:tc>
          <w:tcPr>
            <w:tcW w:w="2878" w:type="dxa"/>
          </w:tcPr>
          <w:p w14:paraId="3FA66C32" w14:textId="77777777" w:rsidR="004213BB" w:rsidRDefault="004213BB">
            <w:pPr>
              <w:pStyle w:val="TableParagraph"/>
              <w:ind w:left="68" w:right="58"/>
              <w:jc w:val="both"/>
              <w:rPr>
                <w:sz w:val="24"/>
              </w:rPr>
            </w:pPr>
            <w:r>
              <w:rPr>
                <w:sz w:val="24"/>
              </w:rPr>
              <w:t>Final</w:t>
            </w:r>
            <w:r>
              <w:rPr>
                <w:spacing w:val="-8"/>
                <w:sz w:val="24"/>
              </w:rPr>
              <w:t xml:space="preserve"> </w:t>
            </w:r>
            <w:r>
              <w:rPr>
                <w:sz w:val="24"/>
              </w:rPr>
              <w:t>Report</w:t>
            </w:r>
            <w:r>
              <w:rPr>
                <w:spacing w:val="-9"/>
                <w:sz w:val="24"/>
              </w:rPr>
              <w:t xml:space="preserve"> </w:t>
            </w:r>
            <w:r>
              <w:rPr>
                <w:sz w:val="24"/>
              </w:rPr>
              <w:t>from</w:t>
            </w:r>
            <w:r>
              <w:rPr>
                <w:spacing w:val="-7"/>
                <w:sz w:val="24"/>
              </w:rPr>
              <w:t xml:space="preserve"> </w:t>
            </w:r>
            <w:r>
              <w:rPr>
                <w:sz w:val="24"/>
              </w:rPr>
              <w:t>the</w:t>
            </w:r>
            <w:r>
              <w:rPr>
                <w:spacing w:val="-8"/>
                <w:sz w:val="24"/>
              </w:rPr>
              <w:t xml:space="preserve"> </w:t>
            </w:r>
            <w:r>
              <w:rPr>
                <w:sz w:val="24"/>
              </w:rPr>
              <w:t>CEPT to the Commission, taking into account the outcome of the public consultation.</w:t>
            </w:r>
          </w:p>
        </w:tc>
        <w:tc>
          <w:tcPr>
            <w:tcW w:w="4112" w:type="dxa"/>
          </w:tcPr>
          <w:p w14:paraId="6E9193ED" w14:textId="77777777" w:rsidR="004213BB" w:rsidRDefault="004213BB">
            <w:pPr>
              <w:pStyle w:val="TableParagraph"/>
              <w:ind w:left="68"/>
              <w:rPr>
                <w:sz w:val="24"/>
              </w:rPr>
            </w:pPr>
            <w:r>
              <w:rPr>
                <w:sz w:val="24"/>
              </w:rPr>
              <w:t>Description</w:t>
            </w:r>
            <w:r>
              <w:rPr>
                <w:spacing w:val="-9"/>
                <w:sz w:val="24"/>
              </w:rPr>
              <w:t xml:space="preserve"> </w:t>
            </w:r>
            <w:r>
              <w:rPr>
                <w:sz w:val="24"/>
              </w:rPr>
              <w:t>of</w:t>
            </w:r>
            <w:r>
              <w:rPr>
                <w:spacing w:val="-8"/>
                <w:sz w:val="24"/>
              </w:rPr>
              <w:t xml:space="preserve"> </w:t>
            </w:r>
            <w:r>
              <w:rPr>
                <w:sz w:val="24"/>
              </w:rPr>
              <w:t>work</w:t>
            </w:r>
            <w:r>
              <w:rPr>
                <w:spacing w:val="-7"/>
                <w:sz w:val="24"/>
              </w:rPr>
              <w:t xml:space="preserve"> </w:t>
            </w:r>
            <w:r>
              <w:rPr>
                <w:sz w:val="24"/>
              </w:rPr>
              <w:t>undertaken</w:t>
            </w:r>
            <w:r>
              <w:rPr>
                <w:spacing w:val="-7"/>
                <w:sz w:val="24"/>
              </w:rPr>
              <w:t xml:space="preserve"> </w:t>
            </w:r>
            <w:r>
              <w:rPr>
                <w:sz w:val="24"/>
              </w:rPr>
              <w:t>and</w:t>
            </w:r>
            <w:r>
              <w:rPr>
                <w:spacing w:val="-7"/>
                <w:sz w:val="24"/>
              </w:rPr>
              <w:t xml:space="preserve"> </w:t>
            </w:r>
            <w:r>
              <w:rPr>
                <w:sz w:val="24"/>
              </w:rPr>
              <w:t xml:space="preserve">final </w:t>
            </w:r>
            <w:r>
              <w:rPr>
                <w:spacing w:val="-2"/>
                <w:sz w:val="24"/>
              </w:rPr>
              <w:t>results.</w:t>
            </w:r>
          </w:p>
        </w:tc>
      </w:tr>
    </w:tbl>
    <w:p w14:paraId="23DF14D8" w14:textId="77777777" w:rsidR="004213BB" w:rsidRDefault="004213BB" w:rsidP="004213BB">
      <w:pPr>
        <w:pStyle w:val="BodyText"/>
      </w:pPr>
    </w:p>
    <w:p w14:paraId="402F774A" w14:textId="77777777" w:rsidR="004213BB" w:rsidRPr="006233E4" w:rsidRDefault="004213BB" w:rsidP="004213BB">
      <w:pPr>
        <w:spacing w:before="40" w:after="40" w:line="259" w:lineRule="auto"/>
        <w:rPr>
          <w:rFonts w:ascii="Times New Roman" w:hAnsi="Times New Roman"/>
          <w:spacing w:val="-2"/>
          <w:sz w:val="22"/>
          <w:szCs w:val="22"/>
        </w:rPr>
      </w:pPr>
      <w:r w:rsidRPr="006233E4">
        <w:rPr>
          <w:rFonts w:ascii="Times New Roman" w:hAnsi="Times New Roman"/>
          <w:sz w:val="22"/>
          <w:szCs w:val="22"/>
        </w:rPr>
        <w:t>The</w:t>
      </w:r>
      <w:r w:rsidRPr="006233E4">
        <w:rPr>
          <w:rFonts w:ascii="Times New Roman" w:hAnsi="Times New Roman"/>
          <w:spacing w:val="-8"/>
          <w:sz w:val="22"/>
          <w:szCs w:val="22"/>
        </w:rPr>
        <w:t xml:space="preserve"> </w:t>
      </w:r>
      <w:r w:rsidRPr="006233E4">
        <w:rPr>
          <w:rFonts w:ascii="Times New Roman" w:hAnsi="Times New Roman"/>
          <w:sz w:val="22"/>
          <w:szCs w:val="22"/>
        </w:rPr>
        <w:t>CEPT</w:t>
      </w:r>
      <w:r w:rsidRPr="006233E4">
        <w:rPr>
          <w:rFonts w:ascii="Times New Roman" w:hAnsi="Times New Roman"/>
          <w:spacing w:val="-8"/>
          <w:sz w:val="22"/>
          <w:szCs w:val="22"/>
        </w:rPr>
        <w:t xml:space="preserve"> </w:t>
      </w:r>
      <w:r w:rsidRPr="006233E4">
        <w:rPr>
          <w:rFonts w:ascii="Times New Roman" w:hAnsi="Times New Roman"/>
          <w:sz w:val="22"/>
          <w:szCs w:val="22"/>
        </w:rPr>
        <w:t>is</w:t>
      </w:r>
      <w:r w:rsidRPr="006233E4">
        <w:rPr>
          <w:rFonts w:ascii="Times New Roman" w:hAnsi="Times New Roman"/>
          <w:spacing w:val="-7"/>
          <w:sz w:val="22"/>
          <w:szCs w:val="22"/>
        </w:rPr>
        <w:t xml:space="preserve"> </w:t>
      </w:r>
      <w:r w:rsidRPr="006233E4">
        <w:rPr>
          <w:rFonts w:ascii="Times New Roman" w:hAnsi="Times New Roman"/>
          <w:sz w:val="22"/>
          <w:szCs w:val="22"/>
        </w:rPr>
        <w:t>requested</w:t>
      </w:r>
      <w:r w:rsidRPr="006233E4">
        <w:rPr>
          <w:rFonts w:ascii="Times New Roman" w:hAnsi="Times New Roman"/>
          <w:spacing w:val="-8"/>
          <w:sz w:val="22"/>
          <w:szCs w:val="22"/>
        </w:rPr>
        <w:t xml:space="preserve"> </w:t>
      </w:r>
      <w:r w:rsidRPr="006233E4">
        <w:rPr>
          <w:rFonts w:ascii="Times New Roman" w:hAnsi="Times New Roman"/>
          <w:sz w:val="22"/>
          <w:szCs w:val="22"/>
        </w:rPr>
        <w:t>to</w:t>
      </w:r>
      <w:r w:rsidRPr="006233E4">
        <w:rPr>
          <w:rFonts w:ascii="Times New Roman" w:hAnsi="Times New Roman"/>
          <w:spacing w:val="-5"/>
          <w:sz w:val="22"/>
          <w:szCs w:val="22"/>
        </w:rPr>
        <w:t xml:space="preserve"> </w:t>
      </w:r>
      <w:r w:rsidRPr="006233E4">
        <w:rPr>
          <w:rFonts w:ascii="Times New Roman" w:hAnsi="Times New Roman"/>
          <w:sz w:val="22"/>
          <w:szCs w:val="22"/>
        </w:rPr>
        <w:t>report</w:t>
      </w:r>
      <w:r w:rsidRPr="006233E4">
        <w:rPr>
          <w:rFonts w:ascii="Times New Roman" w:hAnsi="Times New Roman"/>
          <w:spacing w:val="-8"/>
          <w:sz w:val="22"/>
          <w:szCs w:val="22"/>
        </w:rPr>
        <w:t xml:space="preserve"> </w:t>
      </w:r>
      <w:r w:rsidRPr="006233E4">
        <w:rPr>
          <w:rFonts w:ascii="Times New Roman" w:hAnsi="Times New Roman"/>
          <w:sz w:val="22"/>
          <w:szCs w:val="22"/>
        </w:rPr>
        <w:t>on</w:t>
      </w:r>
      <w:r w:rsidRPr="006233E4">
        <w:rPr>
          <w:rFonts w:ascii="Times New Roman" w:hAnsi="Times New Roman"/>
          <w:spacing w:val="-5"/>
          <w:sz w:val="22"/>
          <w:szCs w:val="22"/>
        </w:rPr>
        <w:t xml:space="preserve"> </w:t>
      </w:r>
      <w:r w:rsidRPr="006233E4">
        <w:rPr>
          <w:rFonts w:ascii="Times New Roman" w:hAnsi="Times New Roman"/>
          <w:sz w:val="22"/>
          <w:szCs w:val="22"/>
        </w:rPr>
        <w:t>the</w:t>
      </w:r>
      <w:r w:rsidRPr="006233E4">
        <w:rPr>
          <w:rFonts w:ascii="Times New Roman" w:hAnsi="Times New Roman"/>
          <w:spacing w:val="-8"/>
          <w:sz w:val="22"/>
          <w:szCs w:val="22"/>
        </w:rPr>
        <w:t xml:space="preserve"> </w:t>
      </w:r>
      <w:r w:rsidRPr="006233E4">
        <w:rPr>
          <w:rFonts w:ascii="Times New Roman" w:hAnsi="Times New Roman"/>
          <w:sz w:val="22"/>
          <w:szCs w:val="22"/>
        </w:rPr>
        <w:t>progress</w:t>
      </w:r>
      <w:r w:rsidRPr="006233E4">
        <w:rPr>
          <w:rFonts w:ascii="Times New Roman" w:hAnsi="Times New Roman"/>
          <w:spacing w:val="-7"/>
          <w:sz w:val="22"/>
          <w:szCs w:val="22"/>
        </w:rPr>
        <w:t xml:space="preserve"> </w:t>
      </w:r>
      <w:r w:rsidRPr="006233E4">
        <w:rPr>
          <w:rFonts w:ascii="Times New Roman" w:hAnsi="Times New Roman"/>
          <w:sz w:val="22"/>
          <w:szCs w:val="22"/>
        </w:rPr>
        <w:t>of</w:t>
      </w:r>
      <w:r w:rsidRPr="006233E4">
        <w:rPr>
          <w:rFonts w:ascii="Times New Roman" w:hAnsi="Times New Roman"/>
          <w:spacing w:val="-6"/>
          <w:sz w:val="22"/>
          <w:szCs w:val="22"/>
        </w:rPr>
        <w:t xml:space="preserve"> </w:t>
      </w:r>
      <w:r w:rsidRPr="006233E4">
        <w:rPr>
          <w:rFonts w:ascii="Times New Roman" w:hAnsi="Times New Roman"/>
          <w:sz w:val="22"/>
          <w:szCs w:val="22"/>
        </w:rPr>
        <w:t>its</w:t>
      </w:r>
      <w:r w:rsidRPr="006233E4">
        <w:rPr>
          <w:rFonts w:ascii="Times New Roman" w:hAnsi="Times New Roman"/>
          <w:spacing w:val="-7"/>
          <w:sz w:val="22"/>
          <w:szCs w:val="22"/>
        </w:rPr>
        <w:t xml:space="preserve"> </w:t>
      </w:r>
      <w:r w:rsidRPr="006233E4">
        <w:rPr>
          <w:rFonts w:ascii="Times New Roman" w:hAnsi="Times New Roman"/>
          <w:sz w:val="22"/>
          <w:szCs w:val="22"/>
        </w:rPr>
        <w:t>work</w:t>
      </w:r>
      <w:r w:rsidRPr="006233E4">
        <w:rPr>
          <w:rFonts w:ascii="Times New Roman" w:hAnsi="Times New Roman"/>
          <w:spacing w:val="-7"/>
          <w:sz w:val="22"/>
          <w:szCs w:val="22"/>
        </w:rPr>
        <w:t xml:space="preserve"> </w:t>
      </w:r>
      <w:r w:rsidRPr="006233E4">
        <w:rPr>
          <w:rFonts w:ascii="Times New Roman" w:hAnsi="Times New Roman"/>
          <w:sz w:val="22"/>
          <w:szCs w:val="22"/>
        </w:rPr>
        <w:t>pursuant</w:t>
      </w:r>
      <w:r w:rsidRPr="006233E4">
        <w:rPr>
          <w:rFonts w:ascii="Times New Roman" w:hAnsi="Times New Roman"/>
          <w:spacing w:val="-7"/>
          <w:sz w:val="22"/>
          <w:szCs w:val="22"/>
        </w:rPr>
        <w:t xml:space="preserve"> </w:t>
      </w:r>
      <w:r w:rsidRPr="006233E4">
        <w:rPr>
          <w:rFonts w:ascii="Times New Roman" w:hAnsi="Times New Roman"/>
          <w:sz w:val="22"/>
          <w:szCs w:val="22"/>
        </w:rPr>
        <w:t>to</w:t>
      </w:r>
      <w:r w:rsidRPr="006233E4">
        <w:rPr>
          <w:rFonts w:ascii="Times New Roman" w:hAnsi="Times New Roman"/>
          <w:spacing w:val="-5"/>
          <w:sz w:val="22"/>
          <w:szCs w:val="22"/>
        </w:rPr>
        <w:t xml:space="preserve"> </w:t>
      </w:r>
      <w:r w:rsidRPr="006233E4">
        <w:rPr>
          <w:rFonts w:ascii="Times New Roman" w:hAnsi="Times New Roman"/>
          <w:sz w:val="22"/>
          <w:szCs w:val="22"/>
        </w:rPr>
        <w:t>this</w:t>
      </w:r>
      <w:r w:rsidRPr="006233E4">
        <w:rPr>
          <w:rFonts w:ascii="Times New Roman" w:hAnsi="Times New Roman"/>
          <w:spacing w:val="-3"/>
          <w:sz w:val="22"/>
          <w:szCs w:val="22"/>
        </w:rPr>
        <w:t xml:space="preserve"> </w:t>
      </w:r>
      <w:r w:rsidRPr="006233E4">
        <w:rPr>
          <w:rFonts w:ascii="Times New Roman" w:hAnsi="Times New Roman"/>
          <w:sz w:val="22"/>
          <w:szCs w:val="22"/>
        </w:rPr>
        <w:t>mandate</w:t>
      </w:r>
      <w:r w:rsidRPr="006233E4">
        <w:rPr>
          <w:rFonts w:ascii="Times New Roman" w:hAnsi="Times New Roman"/>
          <w:spacing w:val="-8"/>
          <w:sz w:val="22"/>
          <w:szCs w:val="22"/>
        </w:rPr>
        <w:t xml:space="preserve"> </w:t>
      </w:r>
      <w:r w:rsidRPr="006233E4">
        <w:rPr>
          <w:rFonts w:ascii="Times New Roman" w:hAnsi="Times New Roman"/>
          <w:sz w:val="22"/>
          <w:szCs w:val="22"/>
        </w:rPr>
        <w:t>to</w:t>
      </w:r>
      <w:r w:rsidRPr="006233E4">
        <w:rPr>
          <w:rFonts w:ascii="Times New Roman" w:hAnsi="Times New Roman"/>
          <w:spacing w:val="-4"/>
          <w:sz w:val="22"/>
          <w:szCs w:val="22"/>
        </w:rPr>
        <w:t xml:space="preserve"> </w:t>
      </w:r>
      <w:r w:rsidRPr="006233E4">
        <w:rPr>
          <w:rFonts w:ascii="Times New Roman" w:hAnsi="Times New Roman"/>
          <w:sz w:val="22"/>
          <w:szCs w:val="22"/>
        </w:rPr>
        <w:t>all meetings</w:t>
      </w:r>
      <w:r w:rsidRPr="006233E4">
        <w:rPr>
          <w:rFonts w:ascii="Times New Roman" w:hAnsi="Times New Roman"/>
          <w:spacing w:val="-10"/>
          <w:sz w:val="22"/>
          <w:szCs w:val="22"/>
        </w:rPr>
        <w:t xml:space="preserve"> </w:t>
      </w:r>
      <w:r w:rsidRPr="006233E4">
        <w:rPr>
          <w:rFonts w:ascii="Times New Roman" w:hAnsi="Times New Roman"/>
          <w:sz w:val="22"/>
          <w:szCs w:val="22"/>
        </w:rPr>
        <w:t>of</w:t>
      </w:r>
      <w:r w:rsidRPr="006233E4">
        <w:rPr>
          <w:rFonts w:ascii="Times New Roman" w:hAnsi="Times New Roman"/>
          <w:spacing w:val="-9"/>
          <w:sz w:val="22"/>
          <w:szCs w:val="22"/>
        </w:rPr>
        <w:t xml:space="preserve"> </w:t>
      </w:r>
      <w:r w:rsidRPr="006233E4">
        <w:rPr>
          <w:rFonts w:ascii="Times New Roman" w:hAnsi="Times New Roman"/>
          <w:sz w:val="22"/>
          <w:szCs w:val="22"/>
        </w:rPr>
        <w:t>the</w:t>
      </w:r>
      <w:r w:rsidRPr="006233E4">
        <w:rPr>
          <w:rFonts w:ascii="Times New Roman" w:hAnsi="Times New Roman"/>
          <w:spacing w:val="-9"/>
          <w:sz w:val="22"/>
          <w:szCs w:val="22"/>
        </w:rPr>
        <w:t xml:space="preserve"> </w:t>
      </w:r>
      <w:r w:rsidRPr="006233E4">
        <w:rPr>
          <w:rFonts w:ascii="Times New Roman" w:hAnsi="Times New Roman"/>
          <w:sz w:val="22"/>
          <w:szCs w:val="22"/>
        </w:rPr>
        <w:t>Radio</w:t>
      </w:r>
      <w:r w:rsidRPr="006233E4">
        <w:rPr>
          <w:rFonts w:ascii="Times New Roman" w:hAnsi="Times New Roman"/>
          <w:spacing w:val="-7"/>
          <w:sz w:val="22"/>
          <w:szCs w:val="22"/>
        </w:rPr>
        <w:t xml:space="preserve"> </w:t>
      </w:r>
      <w:r w:rsidRPr="006233E4">
        <w:rPr>
          <w:rFonts w:ascii="Times New Roman" w:hAnsi="Times New Roman"/>
          <w:sz w:val="22"/>
          <w:szCs w:val="22"/>
        </w:rPr>
        <w:t>Spectrum</w:t>
      </w:r>
      <w:r w:rsidRPr="006233E4">
        <w:rPr>
          <w:rFonts w:ascii="Times New Roman" w:hAnsi="Times New Roman"/>
          <w:spacing w:val="-8"/>
          <w:sz w:val="22"/>
          <w:szCs w:val="22"/>
        </w:rPr>
        <w:t xml:space="preserve"> </w:t>
      </w:r>
      <w:r w:rsidRPr="006233E4">
        <w:rPr>
          <w:rFonts w:ascii="Times New Roman" w:hAnsi="Times New Roman"/>
          <w:sz w:val="22"/>
          <w:szCs w:val="22"/>
        </w:rPr>
        <w:t>Committee</w:t>
      </w:r>
      <w:r w:rsidRPr="006233E4">
        <w:rPr>
          <w:rFonts w:ascii="Times New Roman" w:hAnsi="Times New Roman"/>
          <w:spacing w:val="-10"/>
          <w:sz w:val="22"/>
          <w:szCs w:val="22"/>
        </w:rPr>
        <w:t xml:space="preserve"> </w:t>
      </w:r>
      <w:r w:rsidRPr="006233E4">
        <w:rPr>
          <w:rFonts w:ascii="Times New Roman" w:hAnsi="Times New Roman"/>
          <w:sz w:val="22"/>
          <w:szCs w:val="22"/>
        </w:rPr>
        <w:t>taking</w:t>
      </w:r>
      <w:r w:rsidRPr="006233E4">
        <w:rPr>
          <w:rFonts w:ascii="Times New Roman" w:hAnsi="Times New Roman"/>
          <w:spacing w:val="-8"/>
          <w:sz w:val="22"/>
          <w:szCs w:val="22"/>
        </w:rPr>
        <w:t xml:space="preserve"> </w:t>
      </w:r>
      <w:r w:rsidRPr="006233E4">
        <w:rPr>
          <w:rFonts w:ascii="Times New Roman" w:hAnsi="Times New Roman"/>
          <w:sz w:val="22"/>
          <w:szCs w:val="22"/>
        </w:rPr>
        <w:t>place</w:t>
      </w:r>
      <w:r w:rsidRPr="006233E4">
        <w:rPr>
          <w:rFonts w:ascii="Times New Roman" w:hAnsi="Times New Roman"/>
          <w:spacing w:val="-10"/>
          <w:sz w:val="22"/>
          <w:szCs w:val="22"/>
        </w:rPr>
        <w:t xml:space="preserve"> </w:t>
      </w:r>
      <w:r w:rsidRPr="006233E4">
        <w:rPr>
          <w:rFonts w:ascii="Times New Roman" w:hAnsi="Times New Roman"/>
          <w:sz w:val="22"/>
          <w:szCs w:val="22"/>
        </w:rPr>
        <w:t>during</w:t>
      </w:r>
      <w:r w:rsidRPr="006233E4">
        <w:rPr>
          <w:rFonts w:ascii="Times New Roman" w:hAnsi="Times New Roman"/>
          <w:spacing w:val="-9"/>
          <w:sz w:val="22"/>
          <w:szCs w:val="22"/>
        </w:rPr>
        <w:t xml:space="preserve"> </w:t>
      </w:r>
      <w:r w:rsidRPr="006233E4">
        <w:rPr>
          <w:rFonts w:ascii="Times New Roman" w:hAnsi="Times New Roman"/>
          <w:sz w:val="22"/>
          <w:szCs w:val="22"/>
        </w:rPr>
        <w:t>the</w:t>
      </w:r>
      <w:r w:rsidRPr="006233E4">
        <w:rPr>
          <w:rFonts w:ascii="Times New Roman" w:hAnsi="Times New Roman"/>
          <w:spacing w:val="-8"/>
          <w:sz w:val="22"/>
          <w:szCs w:val="22"/>
        </w:rPr>
        <w:t xml:space="preserve"> </w:t>
      </w:r>
      <w:r w:rsidRPr="006233E4">
        <w:rPr>
          <w:rFonts w:ascii="Times New Roman" w:hAnsi="Times New Roman"/>
          <w:sz w:val="22"/>
          <w:szCs w:val="22"/>
        </w:rPr>
        <w:t>course</w:t>
      </w:r>
      <w:r w:rsidRPr="006233E4">
        <w:rPr>
          <w:rFonts w:ascii="Times New Roman" w:hAnsi="Times New Roman"/>
          <w:spacing w:val="-10"/>
          <w:sz w:val="22"/>
          <w:szCs w:val="22"/>
        </w:rPr>
        <w:t xml:space="preserve"> </w:t>
      </w:r>
      <w:r w:rsidRPr="006233E4">
        <w:rPr>
          <w:rFonts w:ascii="Times New Roman" w:hAnsi="Times New Roman"/>
          <w:sz w:val="22"/>
          <w:szCs w:val="22"/>
        </w:rPr>
        <w:t>of</w:t>
      </w:r>
      <w:r w:rsidRPr="006233E4">
        <w:rPr>
          <w:rFonts w:ascii="Times New Roman" w:hAnsi="Times New Roman"/>
          <w:spacing w:val="-9"/>
          <w:sz w:val="22"/>
          <w:szCs w:val="22"/>
        </w:rPr>
        <w:t xml:space="preserve"> </w:t>
      </w:r>
      <w:r w:rsidRPr="006233E4">
        <w:rPr>
          <w:rFonts w:ascii="Times New Roman" w:hAnsi="Times New Roman"/>
          <w:sz w:val="22"/>
          <w:szCs w:val="22"/>
        </w:rPr>
        <w:t>the</w:t>
      </w:r>
      <w:r w:rsidRPr="006233E4">
        <w:rPr>
          <w:rFonts w:ascii="Times New Roman" w:hAnsi="Times New Roman"/>
          <w:spacing w:val="-4"/>
          <w:sz w:val="22"/>
          <w:szCs w:val="22"/>
        </w:rPr>
        <w:t xml:space="preserve"> </w:t>
      </w:r>
      <w:r w:rsidRPr="006233E4">
        <w:rPr>
          <w:rFonts w:ascii="Times New Roman" w:hAnsi="Times New Roman"/>
          <w:spacing w:val="-2"/>
          <w:sz w:val="22"/>
          <w:szCs w:val="22"/>
        </w:rPr>
        <w:t>mandate.</w:t>
      </w:r>
    </w:p>
    <w:p w14:paraId="78001D08" w14:textId="77777777" w:rsidR="004300A4" w:rsidRDefault="004300A4" w:rsidP="004300A4">
      <w:pPr>
        <w:spacing w:before="40" w:after="40" w:line="259" w:lineRule="auto"/>
        <w:rPr>
          <w:rFonts w:ascii="Times New Roman" w:hAnsi="Times New Roman"/>
        </w:rPr>
      </w:pPr>
      <w:r w:rsidRPr="004873E8">
        <w:rPr>
          <w:rFonts w:ascii="Times New Roman" w:hAnsi="Times New Roman"/>
        </w:rPr>
        <w:lastRenderedPageBreak/>
        <w:t>The Commission, with the assistance of the Radio Spectrum Committee and pursuant to the</w:t>
      </w:r>
      <w:r w:rsidRPr="004873E8">
        <w:rPr>
          <w:rFonts w:ascii="Times New Roman" w:hAnsi="Times New Roman"/>
          <w:spacing w:val="-13"/>
        </w:rPr>
        <w:t xml:space="preserve"> </w:t>
      </w:r>
      <w:r w:rsidRPr="004873E8">
        <w:rPr>
          <w:rFonts w:ascii="Times New Roman" w:hAnsi="Times New Roman"/>
        </w:rPr>
        <w:t>Radio</w:t>
      </w:r>
      <w:r w:rsidRPr="004873E8">
        <w:rPr>
          <w:rFonts w:ascii="Times New Roman" w:hAnsi="Times New Roman"/>
          <w:spacing w:val="-12"/>
        </w:rPr>
        <w:t xml:space="preserve"> </w:t>
      </w:r>
      <w:r w:rsidRPr="004873E8">
        <w:rPr>
          <w:rFonts w:ascii="Times New Roman" w:hAnsi="Times New Roman"/>
        </w:rPr>
        <w:t>Spectrum</w:t>
      </w:r>
      <w:r w:rsidRPr="004873E8">
        <w:rPr>
          <w:rFonts w:ascii="Times New Roman" w:hAnsi="Times New Roman"/>
          <w:spacing w:val="-12"/>
        </w:rPr>
        <w:t xml:space="preserve"> </w:t>
      </w:r>
      <w:r w:rsidRPr="004873E8">
        <w:rPr>
          <w:rFonts w:ascii="Times New Roman" w:hAnsi="Times New Roman"/>
        </w:rPr>
        <w:t>Decision,</w:t>
      </w:r>
      <w:r w:rsidRPr="004873E8">
        <w:rPr>
          <w:rFonts w:ascii="Times New Roman" w:hAnsi="Times New Roman"/>
          <w:spacing w:val="-11"/>
        </w:rPr>
        <w:t xml:space="preserve"> </w:t>
      </w:r>
      <w:r w:rsidRPr="004873E8">
        <w:rPr>
          <w:rFonts w:ascii="Times New Roman" w:hAnsi="Times New Roman"/>
        </w:rPr>
        <w:t>may</w:t>
      </w:r>
      <w:r w:rsidRPr="004873E8">
        <w:rPr>
          <w:rFonts w:ascii="Times New Roman" w:hAnsi="Times New Roman"/>
          <w:spacing w:val="-13"/>
        </w:rPr>
        <w:t xml:space="preserve"> </w:t>
      </w:r>
      <w:r w:rsidRPr="004873E8">
        <w:rPr>
          <w:rFonts w:ascii="Times New Roman" w:hAnsi="Times New Roman"/>
        </w:rPr>
        <w:t>consider</w:t>
      </w:r>
      <w:r w:rsidRPr="004873E8">
        <w:rPr>
          <w:rFonts w:ascii="Times New Roman" w:hAnsi="Times New Roman"/>
          <w:spacing w:val="-10"/>
        </w:rPr>
        <w:t xml:space="preserve"> </w:t>
      </w:r>
      <w:r w:rsidRPr="004873E8">
        <w:rPr>
          <w:rFonts w:ascii="Times New Roman" w:hAnsi="Times New Roman"/>
        </w:rPr>
        <w:t>applying</w:t>
      </w:r>
      <w:r w:rsidRPr="004873E8">
        <w:rPr>
          <w:rFonts w:ascii="Times New Roman" w:hAnsi="Times New Roman"/>
          <w:spacing w:val="-12"/>
        </w:rPr>
        <w:t xml:space="preserve"> </w:t>
      </w:r>
      <w:r w:rsidRPr="004873E8">
        <w:rPr>
          <w:rFonts w:ascii="Times New Roman" w:hAnsi="Times New Roman"/>
        </w:rPr>
        <w:t>the</w:t>
      </w:r>
      <w:r w:rsidRPr="004873E8">
        <w:rPr>
          <w:rFonts w:ascii="Times New Roman" w:hAnsi="Times New Roman"/>
          <w:spacing w:val="-13"/>
        </w:rPr>
        <w:t xml:space="preserve"> </w:t>
      </w:r>
      <w:r w:rsidRPr="004873E8">
        <w:rPr>
          <w:rFonts w:ascii="Times New Roman" w:hAnsi="Times New Roman"/>
        </w:rPr>
        <w:t>results</w:t>
      </w:r>
      <w:r w:rsidRPr="004873E8">
        <w:rPr>
          <w:rFonts w:ascii="Times New Roman" w:hAnsi="Times New Roman"/>
          <w:spacing w:val="-12"/>
        </w:rPr>
        <w:t xml:space="preserve"> </w:t>
      </w:r>
      <w:r w:rsidRPr="004873E8">
        <w:rPr>
          <w:rFonts w:ascii="Times New Roman" w:hAnsi="Times New Roman"/>
        </w:rPr>
        <w:t>of</w:t>
      </w:r>
      <w:r w:rsidRPr="004873E8">
        <w:rPr>
          <w:rFonts w:ascii="Times New Roman" w:hAnsi="Times New Roman"/>
          <w:spacing w:val="-13"/>
        </w:rPr>
        <w:t xml:space="preserve"> </w:t>
      </w:r>
      <w:r w:rsidRPr="004873E8">
        <w:rPr>
          <w:rFonts w:ascii="Times New Roman" w:hAnsi="Times New Roman"/>
        </w:rPr>
        <w:t>this</w:t>
      </w:r>
      <w:r w:rsidRPr="004873E8">
        <w:rPr>
          <w:rFonts w:ascii="Times New Roman" w:hAnsi="Times New Roman"/>
          <w:spacing w:val="-12"/>
        </w:rPr>
        <w:t xml:space="preserve"> </w:t>
      </w:r>
      <w:r w:rsidRPr="004873E8">
        <w:rPr>
          <w:rFonts w:ascii="Times New Roman" w:hAnsi="Times New Roman"/>
        </w:rPr>
        <w:t>mandate</w:t>
      </w:r>
      <w:r w:rsidRPr="004873E8">
        <w:rPr>
          <w:rFonts w:ascii="Times New Roman" w:hAnsi="Times New Roman"/>
          <w:spacing w:val="-13"/>
        </w:rPr>
        <w:t xml:space="preserve"> </w:t>
      </w:r>
      <w:r w:rsidRPr="004873E8">
        <w:rPr>
          <w:rFonts w:ascii="Times New Roman" w:hAnsi="Times New Roman"/>
        </w:rPr>
        <w:t>in</w:t>
      </w:r>
      <w:r w:rsidRPr="004873E8">
        <w:rPr>
          <w:rFonts w:ascii="Times New Roman" w:hAnsi="Times New Roman"/>
          <w:spacing w:val="-12"/>
        </w:rPr>
        <w:t xml:space="preserve"> </w:t>
      </w:r>
      <w:r w:rsidRPr="004873E8">
        <w:rPr>
          <w:rFonts w:ascii="Times New Roman" w:hAnsi="Times New Roman"/>
        </w:rPr>
        <w:t>the</w:t>
      </w:r>
      <w:r w:rsidRPr="004873E8">
        <w:rPr>
          <w:rFonts w:ascii="Times New Roman" w:hAnsi="Times New Roman"/>
          <w:spacing w:val="-13"/>
        </w:rPr>
        <w:t xml:space="preserve"> </w:t>
      </w:r>
      <w:r w:rsidRPr="004873E8">
        <w:rPr>
          <w:rFonts w:ascii="Times New Roman" w:hAnsi="Times New Roman"/>
        </w:rPr>
        <w:t>EU, pursuant to Article 4 of the Radio Spectrum Decision</w:t>
      </w:r>
      <w:r>
        <w:rPr>
          <w:rFonts w:ascii="Times New Roman" w:hAnsi="Times New Roman"/>
        </w:rPr>
        <w:t>.</w:t>
      </w:r>
    </w:p>
    <w:p w14:paraId="3766C33A" w14:textId="77777777" w:rsidR="004300A4" w:rsidRDefault="004300A4" w:rsidP="004300A4">
      <w:pPr>
        <w:spacing w:before="40" w:after="40" w:line="259" w:lineRule="auto"/>
        <w:rPr>
          <w:rFonts w:ascii="Times New Roman" w:hAnsi="Times New Roman"/>
        </w:rPr>
      </w:pPr>
    </w:p>
    <w:p w14:paraId="7C5C63B4" w14:textId="77777777" w:rsidR="00340315" w:rsidRDefault="00340315" w:rsidP="004300A4">
      <w:pPr>
        <w:spacing w:before="40" w:after="40" w:line="259" w:lineRule="auto"/>
        <w:rPr>
          <w:rFonts w:ascii="Times New Roman" w:hAnsi="Times New Roman"/>
        </w:rPr>
      </w:pPr>
    </w:p>
    <w:p w14:paraId="7F69F636" w14:textId="77777777" w:rsidR="00340315" w:rsidRDefault="00340315" w:rsidP="004300A4">
      <w:pPr>
        <w:spacing w:before="40" w:after="40" w:line="259" w:lineRule="auto"/>
        <w:rPr>
          <w:rFonts w:ascii="Times New Roman" w:hAnsi="Times New Roman"/>
        </w:rPr>
      </w:pPr>
    </w:p>
    <w:p w14:paraId="1F175F58" w14:textId="77777777" w:rsidR="00340315" w:rsidRDefault="00340315" w:rsidP="004300A4">
      <w:pPr>
        <w:spacing w:before="40" w:after="40" w:line="259" w:lineRule="auto"/>
        <w:rPr>
          <w:rFonts w:ascii="Times New Roman" w:hAnsi="Times New Roman"/>
        </w:rPr>
      </w:pPr>
    </w:p>
    <w:p w14:paraId="5EB171D5" w14:textId="77777777" w:rsidR="00340315" w:rsidRDefault="00340315" w:rsidP="004300A4">
      <w:pPr>
        <w:spacing w:before="40" w:after="40" w:line="259" w:lineRule="auto"/>
        <w:rPr>
          <w:rFonts w:ascii="Times New Roman" w:hAnsi="Times New Roman"/>
        </w:rPr>
      </w:pPr>
    </w:p>
    <w:p w14:paraId="5868E16D" w14:textId="77777777" w:rsidR="00340315" w:rsidRDefault="00340315" w:rsidP="004300A4">
      <w:pPr>
        <w:spacing w:before="40" w:after="40" w:line="259" w:lineRule="auto"/>
        <w:rPr>
          <w:rFonts w:ascii="Times New Roman" w:hAnsi="Times New Roman"/>
        </w:rPr>
      </w:pPr>
    </w:p>
    <w:p w14:paraId="4A9D05C3" w14:textId="77777777" w:rsidR="00340315" w:rsidRDefault="00340315" w:rsidP="004300A4">
      <w:pPr>
        <w:spacing w:before="40" w:after="40" w:line="259" w:lineRule="auto"/>
        <w:rPr>
          <w:rFonts w:ascii="Times New Roman" w:hAnsi="Times New Roman"/>
        </w:rPr>
      </w:pPr>
    </w:p>
    <w:p w14:paraId="04F2EAA7" w14:textId="77777777" w:rsidR="00340315" w:rsidRDefault="00340315" w:rsidP="004300A4">
      <w:pPr>
        <w:spacing w:before="40" w:after="40" w:line="259" w:lineRule="auto"/>
        <w:rPr>
          <w:rFonts w:ascii="Times New Roman" w:hAnsi="Times New Roman"/>
        </w:rPr>
      </w:pPr>
    </w:p>
    <w:p w14:paraId="7620AFDA" w14:textId="77777777" w:rsidR="00340315" w:rsidRDefault="00340315" w:rsidP="004300A4">
      <w:pPr>
        <w:spacing w:before="40" w:after="40" w:line="259" w:lineRule="auto"/>
        <w:rPr>
          <w:rFonts w:ascii="Times New Roman" w:hAnsi="Times New Roman"/>
        </w:rPr>
      </w:pPr>
    </w:p>
    <w:p w14:paraId="5F073E52" w14:textId="77777777" w:rsidR="00340315" w:rsidRDefault="00340315" w:rsidP="004300A4">
      <w:pPr>
        <w:spacing w:before="40" w:after="40" w:line="259" w:lineRule="auto"/>
        <w:rPr>
          <w:rFonts w:ascii="Times New Roman" w:hAnsi="Times New Roman"/>
        </w:rPr>
      </w:pPr>
    </w:p>
    <w:p w14:paraId="33EEC102" w14:textId="77777777" w:rsidR="00340315" w:rsidRDefault="00340315" w:rsidP="004300A4">
      <w:pPr>
        <w:spacing w:before="40" w:after="40" w:line="259" w:lineRule="auto"/>
        <w:rPr>
          <w:rFonts w:ascii="Times New Roman" w:hAnsi="Times New Roman"/>
        </w:rPr>
      </w:pPr>
    </w:p>
    <w:p w14:paraId="696F2ECF" w14:textId="77777777" w:rsidR="00340315" w:rsidRDefault="00340315" w:rsidP="004300A4">
      <w:pPr>
        <w:spacing w:before="40" w:after="40" w:line="259" w:lineRule="auto"/>
        <w:rPr>
          <w:rFonts w:ascii="Times New Roman" w:hAnsi="Times New Roman"/>
        </w:rPr>
      </w:pPr>
    </w:p>
    <w:p w14:paraId="6963A72B" w14:textId="77777777" w:rsidR="00340315" w:rsidRDefault="00340315" w:rsidP="004300A4">
      <w:pPr>
        <w:spacing w:before="40" w:after="40" w:line="259" w:lineRule="auto"/>
        <w:rPr>
          <w:rFonts w:ascii="Times New Roman" w:hAnsi="Times New Roman"/>
        </w:rPr>
      </w:pPr>
    </w:p>
    <w:p w14:paraId="2F111302" w14:textId="77777777" w:rsidR="00340315" w:rsidRDefault="00340315" w:rsidP="004300A4">
      <w:pPr>
        <w:spacing w:before="40" w:after="40" w:line="259" w:lineRule="auto"/>
        <w:rPr>
          <w:rFonts w:ascii="Times New Roman" w:hAnsi="Times New Roman"/>
        </w:rPr>
      </w:pPr>
    </w:p>
    <w:p w14:paraId="3D130D44" w14:textId="77777777" w:rsidR="00340315" w:rsidRDefault="00340315" w:rsidP="004300A4">
      <w:pPr>
        <w:spacing w:before="40" w:after="40" w:line="259" w:lineRule="auto"/>
        <w:rPr>
          <w:rFonts w:ascii="Times New Roman" w:hAnsi="Times New Roman"/>
        </w:rPr>
      </w:pPr>
    </w:p>
    <w:p w14:paraId="1EF0C5DE" w14:textId="77777777" w:rsidR="00340315" w:rsidRDefault="00340315" w:rsidP="004300A4">
      <w:pPr>
        <w:spacing w:before="40" w:after="40" w:line="259" w:lineRule="auto"/>
        <w:rPr>
          <w:rFonts w:ascii="Times New Roman" w:hAnsi="Times New Roman"/>
        </w:rPr>
      </w:pPr>
    </w:p>
    <w:p w14:paraId="15E39929" w14:textId="77777777" w:rsidR="00340315" w:rsidRDefault="00340315" w:rsidP="004300A4">
      <w:pPr>
        <w:spacing w:before="40" w:after="40" w:line="259" w:lineRule="auto"/>
        <w:rPr>
          <w:rFonts w:ascii="Times New Roman" w:hAnsi="Times New Roman"/>
        </w:rPr>
      </w:pPr>
    </w:p>
    <w:p w14:paraId="5777869F" w14:textId="77777777" w:rsidR="00340315" w:rsidRDefault="00340315" w:rsidP="004300A4">
      <w:pPr>
        <w:spacing w:before="40" w:after="40" w:line="259" w:lineRule="auto"/>
        <w:rPr>
          <w:rFonts w:ascii="Times New Roman" w:hAnsi="Times New Roman"/>
        </w:rPr>
      </w:pPr>
    </w:p>
    <w:p w14:paraId="1F745B9A" w14:textId="77777777" w:rsidR="00340315" w:rsidRDefault="00340315" w:rsidP="004300A4">
      <w:pPr>
        <w:spacing w:before="40" w:after="40" w:line="259" w:lineRule="auto"/>
        <w:rPr>
          <w:rFonts w:ascii="Times New Roman" w:hAnsi="Times New Roman"/>
        </w:rPr>
      </w:pPr>
    </w:p>
    <w:p w14:paraId="4DEAF49E" w14:textId="77777777" w:rsidR="00340315" w:rsidRDefault="00340315" w:rsidP="004300A4">
      <w:pPr>
        <w:spacing w:before="40" w:after="40" w:line="259" w:lineRule="auto"/>
        <w:rPr>
          <w:rFonts w:ascii="Times New Roman" w:hAnsi="Times New Roman"/>
        </w:rPr>
      </w:pPr>
    </w:p>
    <w:p w14:paraId="49B72ACA" w14:textId="77777777" w:rsidR="00340315" w:rsidRDefault="00340315" w:rsidP="004300A4">
      <w:pPr>
        <w:spacing w:before="40" w:after="40" w:line="259" w:lineRule="auto"/>
        <w:rPr>
          <w:rFonts w:ascii="Times New Roman" w:hAnsi="Times New Roman"/>
        </w:rPr>
      </w:pPr>
    </w:p>
    <w:p w14:paraId="12F1559C" w14:textId="77777777" w:rsidR="00340315" w:rsidRDefault="00340315" w:rsidP="004300A4">
      <w:pPr>
        <w:spacing w:before="40" w:after="40" w:line="259" w:lineRule="auto"/>
        <w:rPr>
          <w:rFonts w:ascii="Times New Roman" w:hAnsi="Times New Roman"/>
        </w:rPr>
      </w:pPr>
    </w:p>
    <w:p w14:paraId="4F6E0D6C" w14:textId="77777777" w:rsidR="00340315" w:rsidRDefault="00340315" w:rsidP="004300A4">
      <w:pPr>
        <w:spacing w:before="40" w:after="40" w:line="259" w:lineRule="auto"/>
        <w:rPr>
          <w:rFonts w:ascii="Times New Roman" w:hAnsi="Times New Roman"/>
        </w:rPr>
      </w:pPr>
    </w:p>
    <w:p w14:paraId="4C05DA93" w14:textId="77777777" w:rsidR="00340315" w:rsidRDefault="00340315" w:rsidP="004300A4">
      <w:pPr>
        <w:spacing w:before="40" w:after="40" w:line="259" w:lineRule="auto"/>
        <w:rPr>
          <w:rFonts w:ascii="Times New Roman" w:hAnsi="Times New Roman"/>
        </w:rPr>
      </w:pPr>
    </w:p>
    <w:p w14:paraId="179F1A4A" w14:textId="77777777" w:rsidR="00340315" w:rsidRDefault="00340315" w:rsidP="004300A4">
      <w:pPr>
        <w:spacing w:before="40" w:after="40" w:line="259" w:lineRule="auto"/>
        <w:rPr>
          <w:rFonts w:ascii="Times New Roman" w:hAnsi="Times New Roman"/>
        </w:rPr>
      </w:pPr>
    </w:p>
    <w:p w14:paraId="4DC0370A" w14:textId="77777777" w:rsidR="00340315" w:rsidRDefault="00340315" w:rsidP="004300A4">
      <w:pPr>
        <w:spacing w:before="40" w:after="40" w:line="259" w:lineRule="auto"/>
        <w:rPr>
          <w:rFonts w:ascii="Times New Roman" w:hAnsi="Times New Roman"/>
        </w:rPr>
      </w:pPr>
    </w:p>
    <w:p w14:paraId="620C5046" w14:textId="77777777" w:rsidR="00340315" w:rsidRDefault="00340315" w:rsidP="004300A4">
      <w:pPr>
        <w:spacing w:before="40" w:after="40" w:line="259" w:lineRule="auto"/>
        <w:rPr>
          <w:rFonts w:ascii="Times New Roman" w:hAnsi="Times New Roman"/>
        </w:rPr>
      </w:pPr>
    </w:p>
    <w:p w14:paraId="0D707EE0" w14:textId="77777777" w:rsidR="00340315" w:rsidRDefault="00340315" w:rsidP="004300A4">
      <w:pPr>
        <w:spacing w:before="40" w:after="40" w:line="259" w:lineRule="auto"/>
        <w:rPr>
          <w:rFonts w:ascii="Times New Roman" w:hAnsi="Times New Roman"/>
        </w:rPr>
      </w:pPr>
    </w:p>
    <w:p w14:paraId="2FC00B00" w14:textId="77777777" w:rsidR="00340315" w:rsidRDefault="00340315" w:rsidP="004300A4">
      <w:pPr>
        <w:spacing w:before="40" w:after="40" w:line="259" w:lineRule="auto"/>
        <w:rPr>
          <w:rFonts w:ascii="Times New Roman" w:hAnsi="Times New Roman"/>
        </w:rPr>
      </w:pPr>
    </w:p>
    <w:p w14:paraId="7572DE9B" w14:textId="77777777" w:rsidR="00340315" w:rsidRDefault="00340315" w:rsidP="004300A4">
      <w:pPr>
        <w:spacing w:before="40" w:after="40" w:line="259" w:lineRule="auto"/>
        <w:rPr>
          <w:rFonts w:ascii="Times New Roman" w:hAnsi="Times New Roman"/>
        </w:rPr>
      </w:pPr>
    </w:p>
    <w:p w14:paraId="52D2D7D2" w14:textId="77777777" w:rsidR="00340315" w:rsidRDefault="00340315" w:rsidP="004300A4">
      <w:pPr>
        <w:spacing w:before="40" w:after="40" w:line="259" w:lineRule="auto"/>
        <w:rPr>
          <w:rFonts w:ascii="Times New Roman" w:hAnsi="Times New Roman"/>
        </w:rPr>
      </w:pPr>
    </w:p>
    <w:p w14:paraId="7DAE6256" w14:textId="77777777" w:rsidR="00340315" w:rsidRDefault="00340315" w:rsidP="004300A4">
      <w:pPr>
        <w:spacing w:before="40" w:after="40" w:line="259" w:lineRule="auto"/>
        <w:rPr>
          <w:rFonts w:ascii="Times New Roman" w:hAnsi="Times New Roman"/>
        </w:rPr>
      </w:pPr>
    </w:p>
    <w:p w14:paraId="25FF6F49" w14:textId="77777777" w:rsidR="00340315" w:rsidRDefault="00340315" w:rsidP="004300A4">
      <w:pPr>
        <w:spacing w:before="40" w:after="40" w:line="259" w:lineRule="auto"/>
        <w:rPr>
          <w:rFonts w:ascii="Times New Roman" w:hAnsi="Times New Roman"/>
        </w:rPr>
      </w:pPr>
    </w:p>
    <w:p w14:paraId="535D08AD" w14:textId="77777777" w:rsidR="00340315" w:rsidRDefault="00340315" w:rsidP="004300A4">
      <w:pPr>
        <w:spacing w:before="40" w:after="40" w:line="259" w:lineRule="auto"/>
        <w:rPr>
          <w:rFonts w:ascii="Times New Roman" w:hAnsi="Times New Roman"/>
        </w:rPr>
      </w:pPr>
    </w:p>
    <w:p w14:paraId="3322C7CA" w14:textId="77777777" w:rsidR="00340315" w:rsidRDefault="00340315" w:rsidP="004300A4">
      <w:pPr>
        <w:spacing w:before="40" w:after="40" w:line="259" w:lineRule="auto"/>
        <w:rPr>
          <w:rFonts w:ascii="Times New Roman" w:hAnsi="Times New Roman"/>
        </w:rPr>
      </w:pPr>
    </w:p>
    <w:p w14:paraId="58575C49" w14:textId="77777777" w:rsidR="00340315" w:rsidRDefault="00340315" w:rsidP="004300A4">
      <w:pPr>
        <w:spacing w:before="40" w:after="40" w:line="259" w:lineRule="auto"/>
        <w:rPr>
          <w:rFonts w:ascii="Times New Roman" w:hAnsi="Times New Roman"/>
        </w:rPr>
      </w:pPr>
    </w:p>
    <w:p w14:paraId="2A7C366F" w14:textId="77777777" w:rsidR="00340315" w:rsidRDefault="00340315" w:rsidP="004300A4">
      <w:pPr>
        <w:spacing w:before="40" w:after="40" w:line="259" w:lineRule="auto"/>
        <w:rPr>
          <w:rFonts w:ascii="Times New Roman" w:hAnsi="Times New Roman"/>
        </w:rPr>
      </w:pPr>
    </w:p>
    <w:p w14:paraId="7A4118F6" w14:textId="77777777" w:rsidR="00340315" w:rsidRDefault="00340315" w:rsidP="004300A4">
      <w:pPr>
        <w:spacing w:before="40" w:after="40" w:line="259" w:lineRule="auto"/>
        <w:rPr>
          <w:rFonts w:ascii="Times New Roman" w:hAnsi="Times New Roman"/>
        </w:rPr>
      </w:pPr>
    </w:p>
    <w:p w14:paraId="2E679100" w14:textId="77777777" w:rsidR="00340315" w:rsidRDefault="00340315" w:rsidP="004300A4">
      <w:pPr>
        <w:spacing w:before="40" w:after="40" w:line="259" w:lineRule="auto"/>
        <w:rPr>
          <w:rFonts w:ascii="Times New Roman" w:hAnsi="Times New Roman"/>
        </w:rPr>
      </w:pPr>
    </w:p>
    <w:p w14:paraId="56327BC0" w14:textId="77777777" w:rsidR="00340315" w:rsidRDefault="00340315" w:rsidP="004300A4">
      <w:pPr>
        <w:spacing w:before="40" w:after="40" w:line="259" w:lineRule="auto"/>
        <w:rPr>
          <w:rFonts w:ascii="Times New Roman" w:hAnsi="Times New Roman"/>
        </w:rPr>
      </w:pPr>
    </w:p>
    <w:p w14:paraId="69C24AEA" w14:textId="77777777" w:rsidR="00340315" w:rsidRDefault="00340315" w:rsidP="004300A4">
      <w:pPr>
        <w:spacing w:before="40" w:after="40" w:line="259" w:lineRule="auto"/>
        <w:rPr>
          <w:rFonts w:ascii="Times New Roman" w:hAnsi="Times New Roman"/>
        </w:rPr>
      </w:pPr>
    </w:p>
    <w:p w14:paraId="5DC0EEDD" w14:textId="77777777" w:rsidR="00340315" w:rsidRDefault="00340315" w:rsidP="004300A4">
      <w:pPr>
        <w:spacing w:before="40" w:after="40" w:line="259" w:lineRule="auto"/>
        <w:rPr>
          <w:rFonts w:ascii="Times New Roman" w:hAnsi="Times New Roman"/>
        </w:rPr>
      </w:pPr>
    </w:p>
    <w:p w14:paraId="4D9877CA" w14:textId="77777777" w:rsidR="00340315" w:rsidRDefault="00340315" w:rsidP="004300A4">
      <w:pPr>
        <w:spacing w:before="40" w:after="40" w:line="259" w:lineRule="auto"/>
        <w:rPr>
          <w:rFonts w:ascii="Times New Roman" w:hAnsi="Times New Roman"/>
        </w:rPr>
      </w:pPr>
    </w:p>
    <w:p w14:paraId="6D38629D" w14:textId="77777777" w:rsidR="00340315" w:rsidRDefault="00340315" w:rsidP="004300A4">
      <w:pPr>
        <w:spacing w:before="40" w:after="40" w:line="259" w:lineRule="auto"/>
        <w:rPr>
          <w:rFonts w:ascii="Times New Roman" w:hAnsi="Times New Roman"/>
        </w:rPr>
      </w:pPr>
    </w:p>
    <w:p w14:paraId="272BFFE5" w14:textId="77777777" w:rsidR="00340315" w:rsidRDefault="00340315" w:rsidP="004300A4">
      <w:pPr>
        <w:spacing w:before="40" w:after="40" w:line="259" w:lineRule="auto"/>
        <w:rPr>
          <w:rFonts w:ascii="Times New Roman" w:hAnsi="Times New Roman"/>
        </w:rPr>
      </w:pPr>
    </w:p>
    <w:p w14:paraId="5E04CC88" w14:textId="77777777" w:rsidR="00340315" w:rsidRDefault="00340315" w:rsidP="00AB00AF">
      <w:pPr>
        <w:spacing w:before="40" w:after="40" w:line="259" w:lineRule="auto"/>
        <w:ind w:left="567" w:hanging="567"/>
        <w:rPr>
          <w:rFonts w:ascii="Times New Roman" w:hAnsi="Times New Roman"/>
        </w:rPr>
      </w:pPr>
      <w:r>
        <w:rPr>
          <w:noProof/>
          <w:lang w:val="de-DE" w:eastAsia="de-DE"/>
        </w:rPr>
        <w:drawing>
          <wp:anchor distT="0" distB="0" distL="0" distR="0" simplePos="0" relativeHeight="251658245" behindDoc="0" locked="0" layoutInCell="1" allowOverlap="1" wp14:anchorId="26A994ED" wp14:editId="52C3102E">
            <wp:simplePos x="0" y="0"/>
            <wp:positionH relativeFrom="page">
              <wp:posOffset>720090</wp:posOffset>
            </wp:positionH>
            <wp:positionV relativeFrom="page">
              <wp:posOffset>9489440</wp:posOffset>
            </wp:positionV>
            <wp:extent cx="214952" cy="143301"/>
            <wp:effectExtent l="0" t="0" r="0" b="0"/>
            <wp:wrapNone/>
            <wp:docPr id="1651278915" name="Image 10" descr="A blue background with yellow stars&#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637037" name="Image 10" descr="A blue background with yellow stars&#10;&#10;Description automatically generated"/>
                    <pic:cNvPicPr/>
                  </pic:nvPicPr>
                  <pic:blipFill>
                    <a:blip r:embed="rId12" cstate="print"/>
                    <a:stretch>
                      <a:fillRect/>
                    </a:stretch>
                  </pic:blipFill>
                  <pic:spPr>
                    <a:xfrm>
                      <a:off x="0" y="0"/>
                      <a:ext cx="214952" cy="143301"/>
                    </a:xfrm>
                    <a:prstGeom prst="rect">
                      <a:avLst/>
                    </a:prstGeom>
                  </pic:spPr>
                </pic:pic>
              </a:graphicData>
            </a:graphic>
          </wp:anchor>
        </w:drawing>
      </w:r>
      <w:r>
        <w:rPr>
          <w:rFonts w:ascii="Calibri" w:eastAsia="Calibri" w:hAnsi="Calibri" w:cs="Calibri"/>
          <w:sz w:val="16"/>
          <w:szCs w:val="16"/>
        </w:rPr>
        <w:t>E</w:t>
      </w:r>
      <w:r>
        <w:rPr>
          <w:rFonts w:ascii="Calibri" w:eastAsia="Calibri" w:hAnsi="Calibri" w:cs="Calibri"/>
          <w:sz w:val="16"/>
          <w:szCs w:val="16"/>
        </w:rPr>
        <w:tab/>
      </w:r>
      <w:r w:rsidRPr="00503801">
        <w:rPr>
          <w:rFonts w:eastAsia="Calibri" w:cs="Arial"/>
          <w:sz w:val="16"/>
          <w:szCs w:val="16"/>
        </w:rPr>
        <w:t>Electronically signed on 19/01/2024 18:21 (UTC+01) in accordance with Article 11 of Commission Decision (EU) 2021/2121</w:t>
      </w:r>
    </w:p>
    <w:p w14:paraId="79275D29" w14:textId="77777777" w:rsidR="00843872" w:rsidRDefault="00843872" w:rsidP="004929E1">
      <w:pPr>
        <w:pStyle w:val="ECCAnnexheading1"/>
      </w:pPr>
      <w:bookmarkStart w:id="26" w:name="_Ref176867608"/>
      <w:bookmarkStart w:id="27" w:name="_Ref176867717"/>
      <w:bookmarkStart w:id="28" w:name="_Ref176868922"/>
      <w:bookmarkStart w:id="29" w:name="_Ref176870235"/>
      <w:bookmarkStart w:id="30" w:name="_Ref176870437"/>
      <w:bookmarkStart w:id="31" w:name="_Toc192499501"/>
      <w:bookmarkStart w:id="32" w:name="_Toc380059620"/>
      <w:bookmarkStart w:id="33" w:name="_Toc380059762"/>
      <w:bookmarkStart w:id="34" w:name="_Toc396383876"/>
      <w:bookmarkStart w:id="35" w:name="_Toc396917309"/>
      <w:bookmarkStart w:id="36" w:name="_Toc396917420"/>
      <w:bookmarkStart w:id="37" w:name="_Toc396917640"/>
      <w:bookmarkStart w:id="38" w:name="_Toc396917655"/>
      <w:bookmarkStart w:id="39" w:name="_Toc396917760"/>
      <w:bookmarkStart w:id="40" w:name="_Toc79649515"/>
      <w:bookmarkStart w:id="41" w:name="_Toc79649516"/>
      <w:r>
        <w:lastRenderedPageBreak/>
        <w:t>H</w:t>
      </w:r>
      <w:r w:rsidR="00F7005D">
        <w:t xml:space="preserve">armonised </w:t>
      </w:r>
      <w:r w:rsidR="001A4CBF">
        <w:t>O</w:t>
      </w:r>
      <w:r w:rsidR="00F7005D">
        <w:t xml:space="preserve">perational and Technical </w:t>
      </w:r>
      <w:r w:rsidR="001A4CBF">
        <w:t>P</w:t>
      </w:r>
      <w:r w:rsidR="00F7005D">
        <w:t>arameters</w:t>
      </w:r>
      <w:bookmarkEnd w:id="26"/>
      <w:bookmarkEnd w:id="27"/>
      <w:bookmarkEnd w:id="28"/>
      <w:bookmarkEnd w:id="29"/>
      <w:bookmarkEnd w:id="30"/>
      <w:bookmarkEnd w:id="31"/>
    </w:p>
    <w:p w14:paraId="762DF357" w14:textId="1ED20858" w:rsidR="009B75B7" w:rsidRDefault="001A4CBF" w:rsidP="001A4CBF">
      <w:pPr>
        <w:pStyle w:val="ECCParagraph"/>
      </w:pPr>
      <w:r w:rsidRPr="00183C2E">
        <w:t xml:space="preserve">This </w:t>
      </w:r>
      <w:r w:rsidR="00535AB4">
        <w:t>A</w:t>
      </w:r>
      <w:r w:rsidR="00535AB4" w:rsidRPr="00183C2E">
        <w:t xml:space="preserve">nnex </w:t>
      </w:r>
      <w:r w:rsidRPr="00183C2E">
        <w:t>provides harmonised operational and technical conditions to be implemented in order to allow the usage of</w:t>
      </w:r>
      <w:r w:rsidR="00E82CF9">
        <w:t xml:space="preserve"> </w:t>
      </w:r>
      <w:r w:rsidR="002854F5">
        <w:t>non-AAS</w:t>
      </w:r>
      <w:r w:rsidR="002854F5" w:rsidRPr="00183C2E">
        <w:t xml:space="preserve"> </w:t>
      </w:r>
      <w:r w:rsidR="00E82CF9">
        <w:t xml:space="preserve">ATS </w:t>
      </w:r>
      <w:r w:rsidRPr="00183C2E">
        <w:t xml:space="preserve">in relevant </w:t>
      </w:r>
      <w:r w:rsidR="00B95E22">
        <w:t>WBB ECS</w:t>
      </w:r>
      <w:r w:rsidRPr="00183C2E">
        <w:t xml:space="preserve"> harmonised bands: 703-733 MHz, 832-862 MHz, 1710-1785</w:t>
      </w:r>
      <w:r w:rsidR="001C6B6B">
        <w:t> </w:t>
      </w:r>
      <w:r w:rsidRPr="00183C2E">
        <w:t>MHz, 2500-2570 MHz and 2570-2620 MHz.</w:t>
      </w:r>
      <w:r w:rsidR="0022547D">
        <w:t xml:space="preserve"> ATS refers to a </w:t>
      </w:r>
      <w:r w:rsidR="002854F5">
        <w:t xml:space="preserve">non-AAS </w:t>
      </w:r>
      <w:r w:rsidR="0022547D">
        <w:t>ATS</w:t>
      </w:r>
      <w:r w:rsidR="00E44BB7">
        <w:t xml:space="preserve"> </w:t>
      </w:r>
      <w:r w:rsidR="0022547D">
        <w:t>supporting UAS features and services and requiring an aerial subscription. An ATS is installed either on</w:t>
      </w:r>
      <w:r w:rsidR="00374581">
        <w:t xml:space="preserve"> </w:t>
      </w:r>
      <w:r w:rsidR="0022547D">
        <w:t>board an Unmanned Aircraft (e.g. drones) or on</w:t>
      </w:r>
      <w:r w:rsidR="00A86071">
        <w:t xml:space="preserve"> </w:t>
      </w:r>
      <w:r w:rsidR="0022547D">
        <w:t>board manned aircraft (e.g. helicopter).</w:t>
      </w:r>
    </w:p>
    <w:p w14:paraId="5BDD3DC6" w14:textId="77777777" w:rsidR="001A4CBF" w:rsidRPr="00732DE3" w:rsidRDefault="00E44BB7" w:rsidP="001A4CBF">
      <w:pPr>
        <w:pStyle w:val="ECCParagraph"/>
        <w:rPr>
          <w:lang w:val="en-US"/>
        </w:rPr>
      </w:pPr>
      <w:r>
        <w:t>ATS</w:t>
      </w:r>
      <w:r w:rsidR="0022547D">
        <w:t xml:space="preserve"> identifies itself to the mobile network as being in this class. This regulatory framework needs the implementation of a mechanism to differentiate ATS and a conventional </w:t>
      </w:r>
      <w:r w:rsidR="00BE6D38">
        <w:t xml:space="preserve">user </w:t>
      </w:r>
      <w:r w:rsidR="00AB53B2">
        <w:t xml:space="preserve">equipment </w:t>
      </w:r>
      <w:r w:rsidR="00F033DE">
        <w:t xml:space="preserve">(UE) </w:t>
      </w:r>
      <w:r w:rsidR="0022547D">
        <w:t xml:space="preserve">and this mechanism cannot be changed by the end-user. This mechanism to differentiate ATS from other UE, should allow mobile operators to identify ATS and to manage self-interference. </w:t>
      </w:r>
      <w:r w:rsidR="00411C3F">
        <w:t>A</w:t>
      </w:r>
      <w:r w:rsidR="00411C3F" w:rsidRPr="00F40A47">
        <w:t xml:space="preserve"> mechanism is necessary to ensure that </w:t>
      </w:r>
      <w:r w:rsidR="00082723">
        <w:t>ATS</w:t>
      </w:r>
      <w:r w:rsidR="009B75B7">
        <w:t xml:space="preserve"> </w:t>
      </w:r>
      <w:r w:rsidR="00411C3F" w:rsidRPr="00F40A47">
        <w:t xml:space="preserve">respect </w:t>
      </w:r>
      <w:r w:rsidR="00F033DE">
        <w:t>“</w:t>
      </w:r>
      <w:r w:rsidR="00411C3F" w:rsidRPr="00F40A47">
        <w:t>no-transmit</w:t>
      </w:r>
      <w:r w:rsidR="00F033DE">
        <w:t>”</w:t>
      </w:r>
      <w:r w:rsidR="00411C3F" w:rsidRPr="00F40A47">
        <w:t xml:space="preserve"> zones</w:t>
      </w:r>
      <w:r w:rsidR="008F3308">
        <w:t>.</w:t>
      </w:r>
    </w:p>
    <w:p w14:paraId="5197C7CB" w14:textId="7A96D09C" w:rsidR="001A4CBF" w:rsidRPr="003D1680" w:rsidRDefault="00082723" w:rsidP="001A4CBF">
      <w:pPr>
        <w:pStyle w:val="ECCParagraph"/>
      </w:pPr>
      <w:r>
        <w:t xml:space="preserve">Member </w:t>
      </w:r>
      <w:r w:rsidR="00F033DE">
        <w:t xml:space="preserve">States </w:t>
      </w:r>
      <w:r>
        <w:t>should make further</w:t>
      </w:r>
      <w:r w:rsidRPr="003D1680">
        <w:t xml:space="preserve"> </w:t>
      </w:r>
      <w:r w:rsidR="001A4CBF" w:rsidRPr="003D1680">
        <w:t>studies</w:t>
      </w:r>
      <w:r>
        <w:t xml:space="preserve"> at national level</w:t>
      </w:r>
      <w:r w:rsidR="001A4CBF" w:rsidRPr="00183C2E">
        <w:t xml:space="preserve">, to define and to implement </w:t>
      </w:r>
      <w:r w:rsidR="00F033DE">
        <w:t>“</w:t>
      </w:r>
      <w:r w:rsidR="001A4CBF" w:rsidRPr="00183C2E">
        <w:t>no-transmit</w:t>
      </w:r>
      <w:r w:rsidR="00F033DE">
        <w:t>”</w:t>
      </w:r>
      <w:r w:rsidR="001A4CBF" w:rsidRPr="00183C2E">
        <w:t xml:space="preserve"> zones for spectrum compatibility purposes, for </w:t>
      </w:r>
      <w:r w:rsidR="005575EE">
        <w:t xml:space="preserve">ATS </w:t>
      </w:r>
      <w:r w:rsidR="001A4CBF" w:rsidRPr="00183C2E">
        <w:t xml:space="preserve">operating in the respective frequency bands defined below. Furthermore, there is a need for OOBE limits for </w:t>
      </w:r>
      <w:r w:rsidR="00311E14">
        <w:t>ATS</w:t>
      </w:r>
      <w:r w:rsidR="001A4CBF" w:rsidRPr="00183C2E">
        <w:t xml:space="preserve"> in some frequency bands. There is no need for additional measures in 880-915 MHz and 1920-1980 MHz</w:t>
      </w:r>
      <w:r w:rsidR="008F3308">
        <w:t>.</w:t>
      </w:r>
    </w:p>
    <w:p w14:paraId="46D8A20B" w14:textId="77777777" w:rsidR="001A4CBF" w:rsidRPr="003D1680" w:rsidRDefault="00454F39" w:rsidP="001A4CBF">
      <w:pPr>
        <w:pStyle w:val="ECCAnnexheading2"/>
      </w:pPr>
      <w:r>
        <w:t xml:space="preserve">harmonised </w:t>
      </w:r>
      <w:r w:rsidR="001A4CBF" w:rsidRPr="003D1680">
        <w:t xml:space="preserve">Technical conditions </w:t>
      </w:r>
    </w:p>
    <w:p w14:paraId="1D743DED" w14:textId="409D1734" w:rsidR="001A4CBF" w:rsidRPr="00183C2E" w:rsidRDefault="0093759F" w:rsidP="001A4CBF">
      <w:pPr>
        <w:pStyle w:val="ECCParagraph"/>
      </w:pPr>
      <w:r>
        <w:t>ATS</w:t>
      </w:r>
      <w:r w:rsidR="00563DDD">
        <w:t xml:space="preserve"> </w:t>
      </w:r>
      <w:r w:rsidR="001A4CBF" w:rsidRPr="00183C2E">
        <w:t xml:space="preserve">shall meet as appropriate the requirements that already apply to UE in each relevant </w:t>
      </w:r>
      <w:r>
        <w:t>EU</w:t>
      </w:r>
      <w:r w:rsidR="001A4CBF" w:rsidRPr="00183C2E">
        <w:t xml:space="preserve"> Decision applicable to </w:t>
      </w:r>
      <w:r w:rsidR="00B95E22">
        <w:t>WBB ECS</w:t>
      </w:r>
      <w:r w:rsidR="007C7A51">
        <w:t>, i</w:t>
      </w:r>
      <w:r w:rsidR="007C7A51" w:rsidRPr="00183C2E">
        <w:t>f not mentioned</w:t>
      </w:r>
      <w:r w:rsidR="007C7A51">
        <w:t xml:space="preserve"> otherwise</w:t>
      </w:r>
      <w:r w:rsidR="001A4CBF" w:rsidRPr="00183C2E">
        <w:t>.</w:t>
      </w:r>
      <w:r w:rsidR="00FE74E8" w:rsidRPr="00FE74E8">
        <w:t xml:space="preserve"> </w:t>
      </w:r>
      <w:r w:rsidR="00FE74E8" w:rsidRPr="003D1680">
        <w:t>The</w:t>
      </w:r>
      <w:r w:rsidR="00E67F17">
        <w:t xml:space="preserve"> following</w:t>
      </w:r>
      <w:r w:rsidR="00FE74E8" w:rsidRPr="003D1680">
        <w:t xml:space="preserve"> technical conditions are additional requirements specific to</w:t>
      </w:r>
      <w:r w:rsidR="00FE74E8">
        <w:t xml:space="preserve"> ATS</w:t>
      </w:r>
      <w:r w:rsidR="000C196E" w:rsidRPr="003D1680">
        <w:t>:</w:t>
      </w:r>
    </w:p>
    <w:p w14:paraId="0F7877E1" w14:textId="77777777" w:rsidR="00E67F17" w:rsidRDefault="00E67F17" w:rsidP="00E67F17">
      <w:pPr>
        <w:pStyle w:val="ECCBulletsLv1"/>
      </w:pPr>
      <w:r>
        <w:t xml:space="preserve">a mechanism coherent with the ATS definition in order to differentiate it from terrestrial UE operating under LTE/NR 5G networks </w:t>
      </w:r>
    </w:p>
    <w:p w14:paraId="1B9BB0DB" w14:textId="53830974" w:rsidR="00E67F17" w:rsidRDefault="00E67F17" w:rsidP="00E67F17">
      <w:pPr>
        <w:pStyle w:val="ECCBulletsLv1"/>
      </w:pPr>
      <w:r w:rsidRPr="002854F5">
        <w:t>a</w:t>
      </w:r>
      <w:r>
        <w:t>n</w:t>
      </w:r>
      <w:r w:rsidRPr="002854F5">
        <w:t xml:space="preserve"> ATS shall not be capable to connect to WBB ECS terrestrial networks without identifying itself to the mobile network as being a non-AAS ATS</w:t>
      </w:r>
      <w:r w:rsidR="00757A23">
        <w:rPr>
          <w:rStyle w:val="FootnoteReference"/>
        </w:rPr>
        <w:footnoteReference w:id="6"/>
      </w:r>
    </w:p>
    <w:p w14:paraId="3EDC8B4A" w14:textId="77777777" w:rsidR="001A4CBF" w:rsidRPr="003D1680" w:rsidRDefault="001A4CBF" w:rsidP="001A4CBF">
      <w:pPr>
        <w:pStyle w:val="ECCParagraph"/>
      </w:pPr>
      <w:r w:rsidRPr="003D1680">
        <w:t xml:space="preserve">There is a need for OOBE limits for </w:t>
      </w:r>
      <w:r w:rsidR="00315639">
        <w:t>ATS</w:t>
      </w:r>
      <w:r w:rsidRPr="003D1680">
        <w:t xml:space="preserve"> operating in the following frequency bands:</w:t>
      </w:r>
    </w:p>
    <w:p w14:paraId="2DD86588" w14:textId="77777777" w:rsidR="001A4CBF" w:rsidRPr="00183C2E" w:rsidRDefault="007C11AF" w:rsidP="001A4CBF">
      <w:pPr>
        <w:pStyle w:val="ECCParagraph"/>
        <w:rPr>
          <w:b/>
        </w:rPr>
      </w:pPr>
      <w:r>
        <w:rPr>
          <w:b/>
        </w:rPr>
        <w:t xml:space="preserve">ATS operation in </w:t>
      </w:r>
      <w:r w:rsidR="001A4CBF" w:rsidRPr="00183C2E">
        <w:rPr>
          <w:b/>
        </w:rPr>
        <w:t xml:space="preserve">1710-1785 MHz: </w:t>
      </w:r>
      <w:r w:rsidR="001A4CBF">
        <w:rPr>
          <w:b/>
        </w:rPr>
        <w:t>P</w:t>
      </w:r>
      <w:r w:rsidR="001A4CBF" w:rsidRPr="00183C2E">
        <w:rPr>
          <w:b/>
        </w:rPr>
        <w:t>rotection</w:t>
      </w:r>
      <w:r w:rsidR="001A4CBF" w:rsidRPr="0014213F">
        <w:rPr>
          <w:b/>
        </w:rPr>
        <w:t xml:space="preserve"> of MetSat operating in the 1675-1710 MHz frequency band</w:t>
      </w:r>
    </w:p>
    <w:p w14:paraId="61BBEF77" w14:textId="77777777" w:rsidR="001A4CBF" w:rsidRPr="00183C2E" w:rsidRDefault="001A4CBF" w:rsidP="001A4CBF">
      <w:pPr>
        <w:pStyle w:val="ECCParBulleted"/>
      </w:pPr>
      <w:r w:rsidRPr="00183C2E">
        <w:t>Out-of-band</w:t>
      </w:r>
      <w:r w:rsidR="00F033DE">
        <w:t xml:space="preserve"> emission</w:t>
      </w:r>
      <w:r w:rsidRPr="00183C2E">
        <w:t xml:space="preserve"> limit: -40 dBm/MHz in the frequency range 1675-1710 MHz for </w:t>
      </w:r>
      <w:r w:rsidR="00315639">
        <w:t>ATS</w:t>
      </w:r>
      <w:r w:rsidR="00767447">
        <w:t xml:space="preserve"> </w:t>
      </w:r>
      <w:r w:rsidRPr="00183C2E">
        <w:t>operating in 1710-1785 MHz.</w:t>
      </w:r>
    </w:p>
    <w:p w14:paraId="01DE9900" w14:textId="77777777" w:rsidR="001A4CBF" w:rsidRPr="00183C2E" w:rsidRDefault="007C11AF" w:rsidP="001A4CBF">
      <w:pPr>
        <w:pStyle w:val="ECCParagraph"/>
        <w:rPr>
          <w:b/>
        </w:rPr>
      </w:pPr>
      <w:r>
        <w:rPr>
          <w:b/>
        </w:rPr>
        <w:t xml:space="preserve">ATS operation in </w:t>
      </w:r>
      <w:r w:rsidR="001A4CBF" w:rsidRPr="00183C2E">
        <w:rPr>
          <w:b/>
        </w:rPr>
        <w:t xml:space="preserve">2500-2570 MHz / 2570-2620 MHz: </w:t>
      </w:r>
      <w:r w:rsidR="001A4CBF">
        <w:rPr>
          <w:b/>
        </w:rPr>
        <w:t>P</w:t>
      </w:r>
      <w:r w:rsidR="001A4CBF" w:rsidRPr="00183C2E">
        <w:rPr>
          <w:b/>
        </w:rPr>
        <w:t>rotection of RAS operating in 2690 – 2700 MHz and radars operating in 2700-2900 MHz</w:t>
      </w:r>
    </w:p>
    <w:p w14:paraId="53A056A3" w14:textId="77777777" w:rsidR="001A4CBF" w:rsidRPr="0014213F" w:rsidRDefault="001A4CBF" w:rsidP="001A4CBF">
      <w:pPr>
        <w:pStyle w:val="ECCParBulleted"/>
      </w:pPr>
      <w:r w:rsidRPr="00183C2E">
        <w:t>Out-of-band</w:t>
      </w:r>
      <w:r w:rsidR="00F033DE">
        <w:t xml:space="preserve"> emission</w:t>
      </w:r>
      <w:r w:rsidRPr="00183C2E">
        <w:t xml:space="preserve"> limit: -50 dBm/MHz in the frequency range 2690-2900 MHz for </w:t>
      </w:r>
      <w:r w:rsidR="00315639">
        <w:t xml:space="preserve">ATS </w:t>
      </w:r>
      <w:r w:rsidRPr="00183C2E">
        <w:t>operating in 2500-2570 MHz or 2570-2620 MHz.</w:t>
      </w:r>
    </w:p>
    <w:p w14:paraId="4928898D" w14:textId="77777777" w:rsidR="001A4CBF" w:rsidRPr="003D1680" w:rsidRDefault="00454F39" w:rsidP="001A4CBF">
      <w:pPr>
        <w:pStyle w:val="ECCAnnexheading2"/>
      </w:pPr>
      <w:r>
        <w:t xml:space="preserve">HArmonised </w:t>
      </w:r>
      <w:r w:rsidR="001A4CBF" w:rsidRPr="003D1680">
        <w:t xml:space="preserve">Operational conditions </w:t>
      </w:r>
      <w:r>
        <w:t>and relevant requirements</w:t>
      </w:r>
    </w:p>
    <w:p w14:paraId="3331CB01" w14:textId="77777777" w:rsidR="001A4CBF" w:rsidRPr="003D1680" w:rsidRDefault="007C11AF" w:rsidP="001A4CBF">
      <w:pPr>
        <w:pStyle w:val="ECCParagraph"/>
      </w:pPr>
      <w:r>
        <w:t xml:space="preserve">Harmonised </w:t>
      </w:r>
      <w:r w:rsidR="001A4CBF" w:rsidRPr="003D1680">
        <w:t>operational conditions</w:t>
      </w:r>
      <w:r>
        <w:t>, as</w:t>
      </w:r>
      <w:r w:rsidR="001A4CBF" w:rsidRPr="003D1680">
        <w:t xml:space="preserve"> </w:t>
      </w:r>
      <w:r w:rsidRPr="003D1680">
        <w:t xml:space="preserve">additional measures to the </w:t>
      </w:r>
      <w:r>
        <w:t xml:space="preserve">harmonised </w:t>
      </w:r>
      <w:r w:rsidRPr="003D1680">
        <w:t>technical conditions</w:t>
      </w:r>
      <w:r>
        <w:t xml:space="preserve">, are required </w:t>
      </w:r>
      <w:r w:rsidRPr="003D1680">
        <w:t xml:space="preserve">in order to protect </w:t>
      </w:r>
      <w:r>
        <w:t>some</w:t>
      </w:r>
      <w:r w:rsidRPr="003D1680">
        <w:t xml:space="preserve"> </w:t>
      </w:r>
      <w:r>
        <w:t xml:space="preserve">adjacent </w:t>
      </w:r>
      <w:r w:rsidRPr="003D1680">
        <w:t>services</w:t>
      </w:r>
      <w:r>
        <w:t xml:space="preserve"> as described hereafter. Concerning the “no</w:t>
      </w:r>
      <w:r w:rsidR="00781640">
        <w:t>-</w:t>
      </w:r>
      <w:r>
        <w:t>transmit” zone requirement, location and size shall be</w:t>
      </w:r>
      <w:r w:rsidR="001A4CBF" w:rsidRPr="003D1680">
        <w:t xml:space="preserve"> defined and implemented at national level</w:t>
      </w:r>
      <w:r w:rsidR="008F3308">
        <w:t>.</w:t>
      </w:r>
    </w:p>
    <w:p w14:paraId="1845A49B" w14:textId="77777777" w:rsidR="001A4CBF" w:rsidRPr="00183C2E" w:rsidRDefault="007C11AF" w:rsidP="00BD48AA">
      <w:pPr>
        <w:pStyle w:val="ECCParagraph"/>
        <w:keepNext/>
        <w:rPr>
          <w:b/>
        </w:rPr>
      </w:pPr>
      <w:r>
        <w:rPr>
          <w:b/>
        </w:rPr>
        <w:lastRenderedPageBreak/>
        <w:t xml:space="preserve">ATS operation in </w:t>
      </w:r>
      <w:r w:rsidR="001A4CBF" w:rsidRPr="003D1680">
        <w:rPr>
          <w:b/>
        </w:rPr>
        <w:t>703-733 MHz</w:t>
      </w:r>
      <w:r w:rsidR="001A4CBF">
        <w:rPr>
          <w:b/>
        </w:rPr>
        <w:t>:</w:t>
      </w:r>
      <w:r w:rsidR="001A4CBF" w:rsidRPr="003D1680">
        <w:rPr>
          <w:b/>
        </w:rPr>
        <w:t xml:space="preserve"> </w:t>
      </w:r>
      <w:r w:rsidR="001A4CBF" w:rsidRPr="00183C2E">
        <w:rPr>
          <w:b/>
        </w:rPr>
        <w:t xml:space="preserve">Protection of DTT receivers </w:t>
      </w:r>
      <w:r w:rsidR="00DA3AEE">
        <w:rPr>
          <w:b/>
        </w:rPr>
        <w:t>and RAS sites</w:t>
      </w:r>
    </w:p>
    <w:p w14:paraId="42C88D79" w14:textId="77777777" w:rsidR="001A4CBF" w:rsidRDefault="00454F39" w:rsidP="00BD48AA">
      <w:pPr>
        <w:pStyle w:val="ECCParBulleted"/>
        <w:keepNext/>
      </w:pPr>
      <w:r>
        <w:t xml:space="preserve">Harmonised operational conditions: </w:t>
      </w:r>
      <w:r w:rsidR="00315639">
        <w:t>ATS</w:t>
      </w:r>
      <w:r w:rsidR="001A4CBF" w:rsidRPr="003D1680">
        <w:t xml:space="preserve"> operating in 703-733 MHz should not </w:t>
      </w:r>
      <w:r w:rsidR="001A4CBF" w:rsidRPr="00183C2E">
        <w:t>transmit when less than</w:t>
      </w:r>
      <w:r w:rsidR="001A4CBF" w:rsidRPr="003D1680">
        <w:t xml:space="preserve"> 30</w:t>
      </w:r>
      <w:r w:rsidR="00F033DE">
        <w:t> </w:t>
      </w:r>
      <w:r w:rsidR="001A4CBF" w:rsidRPr="003D1680">
        <w:t>m above ground level to avoid interference to DTT receivers</w:t>
      </w:r>
      <w:r w:rsidR="001A4CBF" w:rsidRPr="003D1680">
        <w:rPr>
          <w:rStyle w:val="FootnoteReference"/>
        </w:rPr>
        <w:footnoteReference w:id="7"/>
      </w:r>
      <w:r w:rsidR="001A4CBF" w:rsidRPr="003D1680">
        <w:rPr>
          <w:lang w:eastAsia="en-GB"/>
        </w:rPr>
        <w:t>;</w:t>
      </w:r>
    </w:p>
    <w:p w14:paraId="22E83985" w14:textId="77777777" w:rsidR="001A4CBF" w:rsidRPr="003D1680" w:rsidRDefault="00E91625" w:rsidP="00BD48AA">
      <w:pPr>
        <w:pStyle w:val="ECCParBulleted"/>
        <w:keepNext/>
      </w:pPr>
      <w:r>
        <w:t>H</w:t>
      </w:r>
      <w:r w:rsidR="00454F39">
        <w:t xml:space="preserve">armonised </w:t>
      </w:r>
      <w:r w:rsidR="00767447">
        <w:t xml:space="preserve">operational </w:t>
      </w:r>
      <w:r w:rsidR="00454F39">
        <w:t xml:space="preserve">requirements: </w:t>
      </w:r>
      <w:r w:rsidR="007C11AF">
        <w:t>“</w:t>
      </w:r>
      <w:r w:rsidR="001A4CBF" w:rsidRPr="003D1680">
        <w:t>no-transmit</w:t>
      </w:r>
      <w:r w:rsidR="007C11AF">
        <w:t>”</w:t>
      </w:r>
      <w:r w:rsidR="001A4CBF" w:rsidRPr="003D1680">
        <w:t xml:space="preserve"> zones are required around RAS sites operating in 1400-1427 MHz for </w:t>
      </w:r>
      <w:r w:rsidR="00315639">
        <w:t xml:space="preserve">ATS </w:t>
      </w:r>
      <w:r w:rsidR="001A4CBF" w:rsidRPr="003D1680">
        <w:t>operating in the 703-718 MHz frequency band, as appropriate.</w:t>
      </w:r>
      <w:r w:rsidR="00454F39">
        <w:t xml:space="preserve"> Locations and sizes of these</w:t>
      </w:r>
      <w:r w:rsidR="00412614">
        <w:t xml:space="preserve"> zones shall be de</w:t>
      </w:r>
      <w:r w:rsidR="00767447">
        <w:t>termined</w:t>
      </w:r>
      <w:r w:rsidR="00412614">
        <w:t xml:space="preserve"> by </w:t>
      </w:r>
      <w:r w:rsidR="00767447">
        <w:t xml:space="preserve">each </w:t>
      </w:r>
      <w:r w:rsidR="00412614">
        <w:t>Member State</w:t>
      </w:r>
      <w:r w:rsidR="00DA3AEE">
        <w:t>.</w:t>
      </w:r>
    </w:p>
    <w:p w14:paraId="41F35FA2" w14:textId="77777777" w:rsidR="001A4CBF" w:rsidRPr="003D1680" w:rsidRDefault="007C11AF" w:rsidP="001A4CBF">
      <w:pPr>
        <w:pStyle w:val="ECCParagraph"/>
        <w:rPr>
          <w:b/>
        </w:rPr>
      </w:pPr>
      <w:r>
        <w:rPr>
          <w:b/>
        </w:rPr>
        <w:t xml:space="preserve">ATS operation in </w:t>
      </w:r>
      <w:r w:rsidR="001A4CBF" w:rsidRPr="003D1680">
        <w:rPr>
          <w:b/>
        </w:rPr>
        <w:t>832-83</w:t>
      </w:r>
      <w:r w:rsidR="0091360C">
        <w:rPr>
          <w:b/>
        </w:rPr>
        <w:t>5</w:t>
      </w:r>
      <w:r w:rsidR="001A4CBF" w:rsidRPr="003D1680">
        <w:rPr>
          <w:b/>
        </w:rPr>
        <w:t xml:space="preserve"> MHz</w:t>
      </w:r>
      <w:r w:rsidR="001A4CBF" w:rsidRPr="00183C2E">
        <w:rPr>
          <w:b/>
        </w:rPr>
        <w:t>: Protection of RAS sites</w:t>
      </w:r>
    </w:p>
    <w:p w14:paraId="30A8AC29" w14:textId="77777777" w:rsidR="001A4CBF" w:rsidRPr="003D1680" w:rsidRDefault="00E91625" w:rsidP="001A4CBF">
      <w:pPr>
        <w:pStyle w:val="ECCParBulleted"/>
      </w:pPr>
      <w:r>
        <w:t>Harmonised operational requirements:</w:t>
      </w:r>
      <w:r w:rsidR="001A4CBF" w:rsidRPr="003D1680">
        <w:t xml:space="preserve"> </w:t>
      </w:r>
      <w:r w:rsidR="007C11AF">
        <w:t>“</w:t>
      </w:r>
      <w:r w:rsidR="001A4CBF" w:rsidRPr="003D1680">
        <w:t>no-transmit</w:t>
      </w:r>
      <w:r w:rsidR="007C11AF">
        <w:t>”</w:t>
      </w:r>
      <w:r w:rsidR="001A4CBF" w:rsidRPr="003D1680">
        <w:t xml:space="preserve"> zones are required around RAS sites operating in 1660-1670 MHz for </w:t>
      </w:r>
      <w:r w:rsidR="00315639">
        <w:t>ATS</w:t>
      </w:r>
      <w:r w:rsidR="007C11AF">
        <w:t xml:space="preserve"> </w:t>
      </w:r>
      <w:r w:rsidR="001A4CBF" w:rsidRPr="003D1680">
        <w:t>operating in the 832-83</w:t>
      </w:r>
      <w:r w:rsidR="0091360C">
        <w:t>5</w:t>
      </w:r>
      <w:r w:rsidR="001A4CBF" w:rsidRPr="003D1680">
        <w:t xml:space="preserve"> MHz frequency band, as appropriate.</w:t>
      </w:r>
      <w:r w:rsidRPr="00E91625">
        <w:t xml:space="preserve"> </w:t>
      </w:r>
      <w:r>
        <w:t>Locations and sizes of these zones shall be determined by each Member State.</w:t>
      </w:r>
    </w:p>
    <w:p w14:paraId="51E1605C" w14:textId="77777777" w:rsidR="001A4CBF" w:rsidRPr="00183C2E" w:rsidRDefault="007C11AF" w:rsidP="001A4CBF">
      <w:pPr>
        <w:pStyle w:val="ECCParagraph"/>
        <w:rPr>
          <w:b/>
        </w:rPr>
      </w:pPr>
      <w:r>
        <w:rPr>
          <w:b/>
        </w:rPr>
        <w:t xml:space="preserve">ATS operation in </w:t>
      </w:r>
      <w:r w:rsidR="001A4CBF" w:rsidRPr="003D1680">
        <w:rPr>
          <w:b/>
        </w:rPr>
        <w:t>2500-2570 MHz</w:t>
      </w:r>
      <w:r w:rsidR="001A4CBF" w:rsidRPr="00183C2E">
        <w:rPr>
          <w:b/>
        </w:rPr>
        <w:t>/</w:t>
      </w:r>
      <w:r w:rsidR="001A4CBF" w:rsidRPr="003D1680">
        <w:rPr>
          <w:b/>
        </w:rPr>
        <w:t>2570-2620 MHz</w:t>
      </w:r>
      <w:r w:rsidR="001A4CBF" w:rsidRPr="00183C2E">
        <w:rPr>
          <w:b/>
        </w:rPr>
        <w:t>: Protection of RAS sites and radars</w:t>
      </w:r>
    </w:p>
    <w:p w14:paraId="4E3A7D7E" w14:textId="77777777" w:rsidR="001A4CBF" w:rsidRPr="003D1680" w:rsidRDefault="00E91625" w:rsidP="001A4CBF">
      <w:pPr>
        <w:pStyle w:val="ECCParBulleted"/>
      </w:pPr>
      <w:r>
        <w:t>Harmonised operational requirements:</w:t>
      </w:r>
      <w:r w:rsidR="001A4CBF" w:rsidRPr="003D1680">
        <w:t xml:space="preserve"> </w:t>
      </w:r>
      <w:r w:rsidR="007C11AF">
        <w:t>“</w:t>
      </w:r>
      <w:r w:rsidR="001A4CBF" w:rsidRPr="003D1680">
        <w:t>no-transmit</w:t>
      </w:r>
      <w:r w:rsidR="007C11AF">
        <w:t>”</w:t>
      </w:r>
      <w:r w:rsidR="001A4CBF" w:rsidRPr="003D1680">
        <w:t xml:space="preserve"> zones are required around RAS sites operating in 2690-2700 MHz for </w:t>
      </w:r>
      <w:r w:rsidR="00315639">
        <w:t xml:space="preserve">ATS </w:t>
      </w:r>
      <w:r w:rsidR="001A4CBF" w:rsidRPr="003D1680">
        <w:t>operating in the 2500-2570 MHz or 2570-2620 MHz frequency band, as appropriate</w:t>
      </w:r>
      <w:r w:rsidR="00CF0F36">
        <w:t>.</w:t>
      </w:r>
      <w:r>
        <w:t xml:space="preserve"> Locations and sizes of these zones shall be determined by each Member State</w:t>
      </w:r>
      <w:r w:rsidR="008F3308">
        <w:t>;</w:t>
      </w:r>
    </w:p>
    <w:p w14:paraId="34ED1CF9" w14:textId="77777777" w:rsidR="001A4CBF" w:rsidRDefault="00E91625" w:rsidP="001A4CBF">
      <w:pPr>
        <w:pStyle w:val="ECCParBulleted"/>
      </w:pPr>
      <w:r>
        <w:t>Harmonised operational requirements:</w:t>
      </w:r>
      <w:r w:rsidRPr="003D1680">
        <w:t xml:space="preserve"> </w:t>
      </w:r>
      <w:r w:rsidR="007C11AF">
        <w:t>“</w:t>
      </w:r>
      <w:r w:rsidR="001A4CBF" w:rsidRPr="003D1680">
        <w:t>no-transmit</w:t>
      </w:r>
      <w:r w:rsidR="007C11AF">
        <w:t>”</w:t>
      </w:r>
      <w:r w:rsidR="001A4CBF" w:rsidRPr="003D1680">
        <w:t xml:space="preserve"> zones might be required around radars operating in 2700-2900 MHz for </w:t>
      </w:r>
      <w:r w:rsidR="00315639">
        <w:t xml:space="preserve">ATS </w:t>
      </w:r>
      <w:r w:rsidR="001A4CBF" w:rsidRPr="003D1680">
        <w:t>operating in the 2500-2570 MHz or 2570-2620 MHz frequency band.</w:t>
      </w:r>
      <w:r>
        <w:t xml:space="preserve"> Locations and sizes of these zones shall be determined by each Member State.</w:t>
      </w:r>
    </w:p>
    <w:p w14:paraId="077D39E7" w14:textId="77777777" w:rsidR="005609C2" w:rsidRDefault="00C222FC" w:rsidP="00E46E52">
      <w:pPr>
        <w:pStyle w:val="ECCAnnexheading2"/>
      </w:pPr>
      <w:r>
        <w:t>OTHER REQUIREMENT</w:t>
      </w:r>
    </w:p>
    <w:p w14:paraId="6A23044B" w14:textId="77777777" w:rsidR="002B4506" w:rsidRDefault="00C222FC">
      <w:pPr>
        <w:rPr>
          <w:lang w:val="en-GB"/>
        </w:rPr>
      </w:pPr>
      <w:r>
        <w:rPr>
          <w:shd w:val="clear" w:color="auto" w:fill="FFFFFF"/>
        </w:rPr>
        <w:t xml:space="preserve">CEPT recommends, as part of the harmonised technical conditions, to require that the </w:t>
      </w:r>
      <w:r w:rsidRPr="00C222FC">
        <w:rPr>
          <w:shd w:val="clear" w:color="auto" w:fill="FFFFFF"/>
        </w:rPr>
        <w:t>differentiation of ATS from conventional UE shall not be changed by the end-user</w:t>
      </w:r>
      <w:r>
        <w:rPr>
          <w:shd w:val="clear" w:color="auto" w:fill="FFFFFF"/>
        </w:rPr>
        <w:t xml:space="preserve"> and that the differentiation mechanism shall not be accessible to the users</w:t>
      </w:r>
      <w:r w:rsidR="00F033DE">
        <w:rPr>
          <w:shd w:val="clear" w:color="auto" w:fill="FFFFFF"/>
        </w:rPr>
        <w:t>.</w:t>
      </w:r>
    </w:p>
    <w:p w14:paraId="5C68A5FC" w14:textId="77777777" w:rsidR="00231B29" w:rsidRPr="003D3A35" w:rsidRDefault="00472C45" w:rsidP="004929E1">
      <w:pPr>
        <w:pStyle w:val="ECCAnnexheading1"/>
      </w:pPr>
      <w:bookmarkStart w:id="42" w:name="_Toc192499502"/>
      <w:r w:rsidRPr="003D3A35">
        <w:lastRenderedPageBreak/>
        <w:t>L</w:t>
      </w:r>
      <w:r w:rsidR="00F7005D" w:rsidRPr="003D3A35">
        <w:t>ist of Reference</w:t>
      </w:r>
      <w:bookmarkEnd w:id="32"/>
      <w:bookmarkEnd w:id="33"/>
      <w:bookmarkEnd w:id="34"/>
      <w:bookmarkEnd w:id="35"/>
      <w:bookmarkEnd w:id="36"/>
      <w:bookmarkEnd w:id="37"/>
      <w:bookmarkEnd w:id="38"/>
      <w:bookmarkEnd w:id="39"/>
      <w:bookmarkEnd w:id="40"/>
      <w:r w:rsidR="00DD155F">
        <w:t>s</w:t>
      </w:r>
      <w:bookmarkEnd w:id="42"/>
    </w:p>
    <w:bookmarkStart w:id="43" w:name="_Ref103342543"/>
    <w:bookmarkStart w:id="44" w:name="_Ref103695135"/>
    <w:p w14:paraId="35B48E3D" w14:textId="77777777" w:rsidR="00046F5E" w:rsidRPr="004369A0" w:rsidRDefault="00046F5E" w:rsidP="00046F5E">
      <w:pPr>
        <w:pStyle w:val="reference"/>
        <w:spacing w:before="60" w:after="60"/>
      </w:pPr>
      <w:r w:rsidRPr="004369A0">
        <w:fldChar w:fldCharType="begin"/>
      </w:r>
      <w:r w:rsidRPr="004369A0">
        <w:instrText>HYPERLINK "https://docdb.cept.org/document/15236"</w:instrText>
      </w:r>
      <w:r w:rsidRPr="004369A0">
        <w:fldChar w:fldCharType="separate"/>
      </w:r>
      <w:r w:rsidRPr="004369A0">
        <w:rPr>
          <w:rStyle w:val="Hyperlink"/>
        </w:rPr>
        <w:t>ECC Report 309</w:t>
      </w:r>
      <w:r w:rsidRPr="004369A0">
        <w:fldChar w:fldCharType="end"/>
      </w:r>
      <w:bookmarkEnd w:id="43"/>
      <w:r w:rsidRPr="004369A0">
        <w:t>: “Analysis of the usage of aerial UE for communication in current MFCN harmonised bands</w:t>
      </w:r>
      <w:r>
        <w:t xml:space="preserve">”, </w:t>
      </w:r>
      <w:r w:rsidRPr="004369A0">
        <w:t>approved July 2020</w:t>
      </w:r>
      <w:bookmarkEnd w:id="44"/>
    </w:p>
    <w:bookmarkStart w:id="45" w:name="_Ref181957926"/>
    <w:p w14:paraId="6AC17DE5" w14:textId="77777777" w:rsidR="00CE6518" w:rsidRPr="00373F36" w:rsidRDefault="00FE4726" w:rsidP="00CE6518">
      <w:pPr>
        <w:pStyle w:val="ECCReference"/>
        <w:numPr>
          <w:ilvl w:val="0"/>
          <w:numId w:val="6"/>
        </w:numPr>
        <w:rPr>
          <w:rFonts w:eastAsia="Times New Roman"/>
          <w:szCs w:val="24"/>
          <w:lang w:val="en-US"/>
        </w:rPr>
      </w:pPr>
      <w:r w:rsidRPr="00B20281">
        <w:rPr>
          <w:rFonts w:eastAsia="Times New Roman"/>
          <w:szCs w:val="24"/>
          <w:lang w:val="en-US"/>
        </w:rPr>
        <w:fldChar w:fldCharType="begin"/>
      </w:r>
      <w:r>
        <w:rPr>
          <w:rFonts w:eastAsia="Times New Roman"/>
          <w:szCs w:val="24"/>
          <w:lang w:val="en-US"/>
        </w:rPr>
        <w:instrText>HYPERLINK "https://docdb.cept.org/document/28570"</w:instrText>
      </w:r>
      <w:r w:rsidRPr="00B20281">
        <w:rPr>
          <w:rFonts w:eastAsia="Times New Roman"/>
          <w:szCs w:val="24"/>
          <w:lang w:val="en-US"/>
        </w:rPr>
      </w:r>
      <w:r w:rsidRPr="00B20281">
        <w:rPr>
          <w:rFonts w:eastAsia="Times New Roman"/>
          <w:szCs w:val="24"/>
          <w:lang w:val="en-US"/>
        </w:rPr>
        <w:fldChar w:fldCharType="separate"/>
      </w:r>
      <w:r>
        <w:rPr>
          <w:rStyle w:val="Hyperlink"/>
          <w:rFonts w:eastAsia="Times New Roman"/>
          <w:szCs w:val="24"/>
          <w:lang w:val="en-US"/>
        </w:rPr>
        <w:t>ECC Report 348</w:t>
      </w:r>
      <w:r w:rsidRPr="00B20281">
        <w:rPr>
          <w:rFonts w:eastAsia="Times New Roman"/>
          <w:szCs w:val="24"/>
          <w:lang w:val="en-US"/>
        </w:rPr>
        <w:fldChar w:fldCharType="end"/>
      </w:r>
      <w:bookmarkStart w:id="46" w:name="_Ref176865865"/>
      <w:r w:rsidR="006B7339" w:rsidRPr="00373F36">
        <w:rPr>
          <w:rFonts w:eastAsia="Times New Roman"/>
          <w:szCs w:val="24"/>
          <w:lang w:val="en-US"/>
        </w:rPr>
        <w:t xml:space="preserve">: </w:t>
      </w:r>
      <w:r w:rsidR="00157094" w:rsidRPr="00373F36">
        <w:rPr>
          <w:rFonts w:eastAsia="Times New Roman"/>
          <w:szCs w:val="24"/>
          <w:lang w:val="en-US"/>
        </w:rPr>
        <w:t>“</w:t>
      </w:r>
      <w:r w:rsidR="006B7339" w:rsidRPr="00373F36">
        <w:rPr>
          <w:rFonts w:eastAsia="Times New Roman"/>
          <w:szCs w:val="24"/>
          <w:lang w:val="en-US"/>
        </w:rPr>
        <w:t>Usage of aerial UE in 1.8 GHz, 2 GHz and 2.6 GHz frequency bands with MFCN AAS base stations</w:t>
      </w:r>
      <w:r w:rsidR="00157094" w:rsidRPr="00373F36">
        <w:rPr>
          <w:rFonts w:eastAsia="Times New Roman"/>
          <w:szCs w:val="24"/>
          <w:lang w:val="en-US"/>
        </w:rPr>
        <w:t>”</w:t>
      </w:r>
      <w:r w:rsidR="006B7339" w:rsidRPr="00373F36">
        <w:rPr>
          <w:rFonts w:eastAsia="Times New Roman"/>
          <w:szCs w:val="24"/>
          <w:lang w:val="en-US"/>
        </w:rPr>
        <w:t>, approved November 2022</w:t>
      </w:r>
      <w:bookmarkEnd w:id="45"/>
      <w:bookmarkEnd w:id="46"/>
    </w:p>
    <w:bookmarkStart w:id="47" w:name="_Ref176865974"/>
    <w:p w14:paraId="1C079BD3" w14:textId="3B6FD60C" w:rsidR="0059034C" w:rsidRPr="00373F36" w:rsidRDefault="00581338" w:rsidP="00CE6518">
      <w:pPr>
        <w:pStyle w:val="ECCReference"/>
        <w:numPr>
          <w:ilvl w:val="0"/>
          <w:numId w:val="6"/>
        </w:numPr>
        <w:rPr>
          <w:rFonts w:eastAsia="Times New Roman"/>
          <w:szCs w:val="24"/>
          <w:lang w:val="en-US"/>
        </w:rPr>
      </w:pPr>
      <w:r w:rsidRPr="008A3BCA">
        <w:rPr>
          <w:rFonts w:eastAsia="Times New Roman"/>
          <w:szCs w:val="24"/>
          <w:lang w:val="en-US"/>
        </w:rPr>
        <w:fldChar w:fldCharType="begin"/>
      </w:r>
      <w:r>
        <w:rPr>
          <w:rFonts w:eastAsia="Times New Roman"/>
          <w:szCs w:val="24"/>
          <w:lang w:val="en-US"/>
        </w:rPr>
        <w:instrText>HYPERLINK "https://docdb.cept.org/document/28575"</w:instrText>
      </w:r>
      <w:r w:rsidRPr="008A3BCA">
        <w:rPr>
          <w:rFonts w:eastAsia="Times New Roman"/>
          <w:szCs w:val="24"/>
          <w:lang w:val="en-US"/>
        </w:rPr>
      </w:r>
      <w:r w:rsidRPr="008A3BCA">
        <w:rPr>
          <w:rFonts w:eastAsia="Times New Roman"/>
          <w:szCs w:val="24"/>
          <w:lang w:val="en-US"/>
        </w:rPr>
        <w:fldChar w:fldCharType="separate"/>
      </w:r>
      <w:r>
        <w:rPr>
          <w:rStyle w:val="Hyperlink"/>
          <w:rFonts w:eastAsia="Times New Roman"/>
          <w:szCs w:val="24"/>
          <w:lang w:val="en-US"/>
        </w:rPr>
        <w:t>ECC Decision (22)07</w:t>
      </w:r>
      <w:r w:rsidRPr="008A3BCA">
        <w:rPr>
          <w:rFonts w:eastAsia="Times New Roman"/>
          <w:szCs w:val="24"/>
          <w:lang w:val="en-US"/>
        </w:rPr>
        <w:fldChar w:fldCharType="end"/>
      </w:r>
      <w:r w:rsidR="00157094" w:rsidRPr="00373F36">
        <w:rPr>
          <w:rFonts w:eastAsia="Times New Roman"/>
          <w:szCs w:val="24"/>
          <w:lang w:val="en-US"/>
        </w:rPr>
        <w:t xml:space="preserve">: </w:t>
      </w:r>
      <w:r w:rsidR="00B82BB4" w:rsidRPr="00373F36">
        <w:rPr>
          <w:rFonts w:eastAsia="Times New Roman"/>
          <w:szCs w:val="24"/>
          <w:lang w:val="en-US"/>
        </w:rPr>
        <w:t>“Harmonised technical conditions for the usage of aerial UE for communications based on LTE and 5G NR in the bands 703-733 MHz, 832-862 MHz, 880-915 MHz, 1710-1785 MHz, 1920-1980 MHz, 2500-2570 MHz and 2570-2620 MHz harmonised for MFCN”, approved November 2022</w:t>
      </w:r>
      <w:bookmarkEnd w:id="47"/>
      <w:r w:rsidR="00AD1A8D">
        <w:rPr>
          <w:rFonts w:eastAsia="Times New Roman"/>
          <w:szCs w:val="24"/>
          <w:lang w:val="en-US"/>
        </w:rPr>
        <w:t>, corrected March 2025</w:t>
      </w:r>
    </w:p>
    <w:bookmarkStart w:id="48" w:name="_Ref104305284"/>
    <w:p w14:paraId="6AF1BB20" w14:textId="77777777" w:rsidR="00046F5E" w:rsidRPr="000455DE" w:rsidRDefault="00046F5E" w:rsidP="00046F5E">
      <w:pPr>
        <w:pStyle w:val="ECCReference"/>
        <w:numPr>
          <w:ilvl w:val="0"/>
          <w:numId w:val="6"/>
        </w:numPr>
        <w:spacing w:before="60" w:after="60"/>
        <w:rPr>
          <w:rFonts w:eastAsia="Times New Roman"/>
          <w:szCs w:val="24"/>
        </w:rPr>
      </w:pPr>
      <w:r>
        <w:fldChar w:fldCharType="begin"/>
      </w:r>
      <w:r>
        <w:instrText>HYPERLINK "https://docdb.cept.org/document/12367"</w:instrText>
      </w:r>
      <w:r>
        <w:fldChar w:fldCharType="separate"/>
      </w:r>
      <w:r>
        <w:rPr>
          <w:rStyle w:val="Hyperlink"/>
        </w:rPr>
        <w:t>CEPT Report 72</w:t>
      </w:r>
      <w:r>
        <w:fldChar w:fldCharType="end"/>
      </w:r>
      <w:r>
        <w:t>: “</w:t>
      </w:r>
      <w:r w:rsidRPr="000455DE">
        <w:rPr>
          <w:rFonts w:eastAsia="Times New Roman"/>
          <w:szCs w:val="24"/>
        </w:rPr>
        <w:t>Report from CEPT to the European Commission in response to the Mandate</w:t>
      </w:r>
      <w:bookmarkEnd w:id="48"/>
    </w:p>
    <w:p w14:paraId="56A4B3C8" w14:textId="77777777" w:rsidR="00046F5E" w:rsidRDefault="00046F5E" w:rsidP="00046F5E">
      <w:pPr>
        <w:pStyle w:val="ECCReference"/>
        <w:tabs>
          <w:tab w:val="clear" w:pos="397"/>
        </w:tabs>
        <w:spacing w:before="20" w:after="20"/>
        <w:ind w:firstLine="0"/>
        <w:rPr>
          <w:rFonts w:eastAsia="Times New Roman"/>
          <w:szCs w:val="24"/>
        </w:rPr>
      </w:pPr>
      <w:r w:rsidRPr="000455DE">
        <w:rPr>
          <w:rFonts w:eastAsia="Times New Roman"/>
          <w:szCs w:val="24"/>
        </w:rPr>
        <w:t>“to review the harmonised technical conditions for certain EU-harmonised frequency bands and to develop least restrictive harmonised technical conditions suitable for next-generation (5G) terrestrial wireless systems”</w:t>
      </w:r>
      <w:r>
        <w:rPr>
          <w:rFonts w:eastAsia="Times New Roman"/>
          <w:szCs w:val="24"/>
        </w:rPr>
        <w:t xml:space="preserve"> </w:t>
      </w:r>
    </w:p>
    <w:p w14:paraId="0791F4EC" w14:textId="77777777" w:rsidR="00046F5E" w:rsidRDefault="00046F5E" w:rsidP="00046F5E">
      <w:pPr>
        <w:pStyle w:val="ECCReference"/>
        <w:tabs>
          <w:tab w:val="clear" w:pos="397"/>
        </w:tabs>
        <w:spacing w:before="20" w:after="20"/>
        <w:ind w:firstLine="0"/>
      </w:pPr>
      <w:r w:rsidRPr="000455DE">
        <w:rPr>
          <w:rFonts w:eastAsia="Times New Roman"/>
          <w:szCs w:val="24"/>
        </w:rPr>
        <w:t>Report A: Review of technical conditions in the paired terrestrial 2 GHz and the 2.6 GHz frequency bands, and the usage feasibility of the 900 MHz and 1800 MHz frequency bands</w:t>
      </w:r>
      <w:r w:rsidRPr="008B60BE">
        <w:t>”</w:t>
      </w:r>
      <w:r>
        <w:rPr>
          <w:rFonts w:eastAsia="Times New Roman"/>
          <w:szCs w:val="24"/>
        </w:rPr>
        <w:t>, approved July 2019</w:t>
      </w:r>
      <w:r>
        <w:t xml:space="preserve"> </w:t>
      </w:r>
    </w:p>
    <w:bookmarkStart w:id="49" w:name="_Ref104305307"/>
    <w:p w14:paraId="056DBF7B" w14:textId="77777777" w:rsidR="00B84634" w:rsidRDefault="00B84634" w:rsidP="00B84634">
      <w:pPr>
        <w:pStyle w:val="reference"/>
        <w:spacing w:before="60" w:after="60"/>
        <w:jc w:val="both"/>
      </w:pPr>
      <w:r w:rsidRPr="004369A0">
        <w:fldChar w:fldCharType="begin"/>
      </w:r>
      <w:r w:rsidRPr="004369A0">
        <w:instrText xml:space="preserve"> HYPERLINK "https://docdb.cept.org/document/13861" </w:instrText>
      </w:r>
      <w:r w:rsidRPr="004369A0">
        <w:fldChar w:fldCharType="separate"/>
      </w:r>
      <w:r w:rsidRPr="004369A0">
        <w:rPr>
          <w:rStyle w:val="Hyperlink"/>
        </w:rPr>
        <w:t>ECC Report 308</w:t>
      </w:r>
      <w:r w:rsidRPr="004369A0">
        <w:rPr>
          <w:rStyle w:val="Hyperlink"/>
        </w:rPr>
        <w:fldChar w:fldCharType="end"/>
      </w:r>
      <w:r w:rsidRPr="004369A0">
        <w:t>: “Analysis of the suitability and update of the regulatory technical conditions for 5G MFCN and AAS operation in the 2500-2690 MHz band</w:t>
      </w:r>
      <w:r w:rsidRPr="008B60BE">
        <w:t>”</w:t>
      </w:r>
      <w:r w:rsidRPr="004369A0">
        <w:t>, approved March 2020</w:t>
      </w:r>
      <w:bookmarkEnd w:id="49"/>
    </w:p>
    <w:bookmarkStart w:id="50" w:name="_Ref176870089"/>
    <w:p w14:paraId="5E577892" w14:textId="036FE5A4" w:rsidR="004A182B" w:rsidRDefault="00932237" w:rsidP="00B84634">
      <w:pPr>
        <w:pStyle w:val="reference"/>
        <w:spacing w:before="60" w:after="60"/>
        <w:jc w:val="both"/>
      </w:pPr>
      <w:r w:rsidRPr="00AB688C">
        <w:fldChar w:fldCharType="begin"/>
      </w:r>
      <w:r>
        <w:instrText>HYPERLINK "https://docdb.cept.org/document/52"</w:instrText>
      </w:r>
      <w:r w:rsidRPr="00AB688C">
        <w:fldChar w:fldCharType="separate"/>
      </w:r>
      <w:r>
        <w:rPr>
          <w:rStyle w:val="Hyperlink"/>
        </w:rPr>
        <w:t>CEPT Report 52</w:t>
      </w:r>
      <w:r w:rsidRPr="00AB688C">
        <w:fldChar w:fldCharType="end"/>
      </w:r>
      <w:r w:rsidR="004F6D72">
        <w:t xml:space="preserve">: </w:t>
      </w:r>
      <w:r w:rsidR="004F6D72" w:rsidRPr="004F6D72">
        <w:t xml:space="preserve">Report from CEPT to the European Commission in response to the Mandate </w:t>
      </w:r>
      <w:r w:rsidR="004F6D72" w:rsidRPr="004F6D72">
        <w:br/>
        <w:t>“To undertake studies on the harmonised technical conditions for the 1900-1920 MHz and 2010-2025</w:t>
      </w:r>
      <w:r w:rsidR="001C6B6B">
        <w:t> </w:t>
      </w:r>
      <w:r w:rsidR="004F6D72" w:rsidRPr="004F6D72">
        <w:t>MHz frequency bands (“Unpaired terrestrial 2 GHz bands”) in the EU”</w:t>
      </w:r>
      <w:bookmarkEnd w:id="50"/>
      <w:r w:rsidR="004A182B">
        <w:t xml:space="preserve"> </w:t>
      </w:r>
    </w:p>
    <w:bookmarkStart w:id="51" w:name="_Ref178753946"/>
    <w:bookmarkStart w:id="52" w:name="_Ref181957835"/>
    <w:p w14:paraId="5CB95D4B" w14:textId="77BF3941" w:rsidR="00FF5EA5" w:rsidRDefault="00FF5EA5" w:rsidP="00FF5EA5">
      <w:pPr>
        <w:pStyle w:val="reference"/>
        <w:spacing w:before="60" w:after="60"/>
        <w:jc w:val="both"/>
      </w:pPr>
      <w:r w:rsidRPr="004819C2">
        <w:fldChar w:fldCharType="begin"/>
      </w:r>
      <w:r>
        <w:instrText>HYPERLINK "https://docdb.cept.org/document/204"</w:instrText>
      </w:r>
      <w:r w:rsidRPr="004819C2">
        <w:fldChar w:fldCharType="separate"/>
      </w:r>
      <w:r>
        <w:rPr>
          <w:rStyle w:val="Hyperlink"/>
        </w:rPr>
        <w:t>ECC Report 96</w:t>
      </w:r>
      <w:r w:rsidRPr="004819C2">
        <w:fldChar w:fldCharType="end"/>
      </w:r>
      <w:bookmarkEnd w:id="51"/>
      <w:r>
        <w:t xml:space="preserve">: </w:t>
      </w:r>
      <w:r w:rsidR="00A038B5">
        <w:t>“</w:t>
      </w:r>
      <w:r w:rsidRPr="004819C2">
        <w:t>Compatibility between UMTS 900/1800 and systems operating in adjacent bands</w:t>
      </w:r>
      <w:r w:rsidR="00A038B5">
        <w:t>”</w:t>
      </w:r>
      <w:r>
        <w:t>, approved April 2007</w:t>
      </w:r>
      <w:bookmarkEnd w:id="52"/>
    </w:p>
    <w:bookmarkStart w:id="53" w:name="_Ref178753959"/>
    <w:bookmarkStart w:id="54" w:name="_Ref181957765"/>
    <w:p w14:paraId="4E3CE16F" w14:textId="77777777" w:rsidR="003176A8" w:rsidRDefault="003176A8" w:rsidP="003176A8">
      <w:pPr>
        <w:pStyle w:val="reference"/>
      </w:pPr>
      <w:r w:rsidRPr="00702972">
        <w:fldChar w:fldCharType="begin"/>
      </w:r>
      <w:r>
        <w:instrText>HYPERLINK "https://docdb.cept.org/document/14483"</w:instrText>
      </w:r>
      <w:r w:rsidRPr="00702972">
        <w:fldChar w:fldCharType="separate"/>
      </w:r>
      <w:r>
        <w:rPr>
          <w:rStyle w:val="Hyperlink"/>
        </w:rPr>
        <w:t>ECC Report 313</w:t>
      </w:r>
      <w:r w:rsidRPr="00702972">
        <w:fldChar w:fldCharType="end"/>
      </w:r>
      <w:r w:rsidRPr="00C51F98">
        <w:t>:</w:t>
      </w:r>
      <w:bookmarkEnd w:id="53"/>
      <w:r>
        <w:t xml:space="preserve"> Technical study for co-existence between RMR in the 900 MHz range and other applications in adjacent bands approved May 2020, editorial update February 2024</w:t>
      </w:r>
      <w:bookmarkEnd w:id="54"/>
    </w:p>
    <w:bookmarkStart w:id="55" w:name="_Ref178754198"/>
    <w:bookmarkStart w:id="56" w:name="_Ref181957869"/>
    <w:p w14:paraId="10A13B57" w14:textId="77777777" w:rsidR="003176A8" w:rsidRDefault="003176A8" w:rsidP="003176A8">
      <w:pPr>
        <w:pStyle w:val="reference"/>
      </w:pPr>
      <w:r w:rsidRPr="00BC70B1">
        <w:fldChar w:fldCharType="begin"/>
      </w:r>
      <w:r>
        <w:instrText>HYPERLINK "https://docdb.cept.org/document/16735"</w:instrText>
      </w:r>
      <w:r w:rsidRPr="00BC70B1">
        <w:fldChar w:fldCharType="separate"/>
      </w:r>
      <w:r>
        <w:rPr>
          <w:rStyle w:val="Hyperlink"/>
        </w:rPr>
        <w:t xml:space="preserve">CEPT Report 76 </w:t>
      </w:r>
      <w:r w:rsidRPr="00BC70B1">
        <w:fldChar w:fldCharType="end"/>
      </w:r>
      <w:bookmarkEnd w:id="55"/>
      <w:r>
        <w:t xml:space="preserve">: </w:t>
      </w:r>
      <w:r w:rsidRPr="00BC70B1">
        <w:t>Report from CEPT to the European Commission in response to the Mandate on spectrum for the future railway mobile communications system</w:t>
      </w:r>
      <w:r w:rsidRPr="00BC70B1">
        <w:br/>
        <w:t>Report B: EU-harmonised technical conditions for the future railway mobile radio communications system (Task 5)</w:t>
      </w:r>
      <w:bookmarkEnd w:id="56"/>
    </w:p>
    <w:p w14:paraId="146E2E2F" w14:textId="77777777" w:rsidR="003176A8" w:rsidRPr="00C51F98" w:rsidRDefault="003176A8" w:rsidP="003176A8">
      <w:pPr>
        <w:pStyle w:val="reference"/>
      </w:pPr>
      <w:bookmarkStart w:id="57" w:name="_Ref181957889"/>
      <w:r w:rsidRPr="001F38A4">
        <w:t>Commission implementing Decision (EU) 2021/1730 of 28 September 2021 on the harmonised use of the paired frequency bands 874.4-880.0 MHz and 919.4-925.0 MHz and of the unpaired frequency band 1900-1910 MHz for Railway Mobile Radio</w:t>
      </w:r>
      <w:bookmarkEnd w:id="57"/>
    </w:p>
    <w:bookmarkStart w:id="58" w:name="_Ref178755460"/>
    <w:bookmarkStart w:id="59" w:name="_Ref181957960"/>
    <w:p w14:paraId="61EE6FAE" w14:textId="3370F3AF" w:rsidR="003176A8" w:rsidRDefault="003176A8" w:rsidP="003176A8">
      <w:pPr>
        <w:pStyle w:val="reference"/>
        <w:spacing w:before="60" w:after="60"/>
        <w:jc w:val="both"/>
      </w:pPr>
      <w:r w:rsidRPr="005B3C77">
        <w:fldChar w:fldCharType="begin"/>
      </w:r>
      <w:r>
        <w:instrText>HYPERLINK "https://docdb.cept.org/document/16736"</w:instrText>
      </w:r>
      <w:r w:rsidRPr="005B3C77">
        <w:fldChar w:fldCharType="separate"/>
      </w:r>
      <w:r>
        <w:rPr>
          <w:rStyle w:val="Hyperlink"/>
        </w:rPr>
        <w:t>ECC Decision (20)02</w:t>
      </w:r>
      <w:r w:rsidRPr="005B3C77">
        <w:fldChar w:fldCharType="end"/>
      </w:r>
      <w:bookmarkEnd w:id="58"/>
      <w:r>
        <w:t>: “H</w:t>
      </w:r>
      <w:r w:rsidRPr="00013890">
        <w:t>armonised use of the paired frequency bands 874.4-880.0 MHz and 919.4-925.0</w:t>
      </w:r>
      <w:r w:rsidR="001C6B6B">
        <w:t> </w:t>
      </w:r>
      <w:r w:rsidRPr="00013890">
        <w:t>MHz and of the unpaired frequency band 1900-1910 MHz for Railway Mobile Radio (RMR)</w:t>
      </w:r>
      <w:r>
        <w:t xml:space="preserve">”, approved </w:t>
      </w:r>
      <w:r w:rsidRPr="00013890">
        <w:t>November 2020</w:t>
      </w:r>
      <w:r>
        <w:t>, latest amended</w:t>
      </w:r>
      <w:r w:rsidRPr="00AB2F5E">
        <w:t xml:space="preserve"> June 2024</w:t>
      </w:r>
      <w:bookmarkEnd w:id="59"/>
    </w:p>
    <w:p w14:paraId="133F3F4E" w14:textId="77777777" w:rsidR="003176A8" w:rsidRPr="0003336A" w:rsidRDefault="003176A8" w:rsidP="003176A8">
      <w:pPr>
        <w:pStyle w:val="ECCParagraph"/>
      </w:pPr>
    </w:p>
    <w:p w14:paraId="7C6C45AF" w14:textId="77777777" w:rsidR="00E97BBF" w:rsidRPr="0003336A" w:rsidRDefault="00E97BBF" w:rsidP="00E97BBF">
      <w:pPr>
        <w:pStyle w:val="ECCParagraph"/>
      </w:pPr>
    </w:p>
    <w:bookmarkEnd w:id="41"/>
    <w:p w14:paraId="60BA4D2C" w14:textId="77777777" w:rsidR="00E97BBF" w:rsidRPr="0059034C" w:rsidRDefault="00E97BBF" w:rsidP="0059034C">
      <w:pPr>
        <w:pStyle w:val="reference"/>
        <w:numPr>
          <w:ilvl w:val="0"/>
          <w:numId w:val="0"/>
        </w:numPr>
        <w:ind w:left="397" w:hanging="397"/>
      </w:pPr>
    </w:p>
    <w:sectPr w:rsidR="00E97BBF" w:rsidRPr="0059034C" w:rsidSect="00AB46DF">
      <w:headerReference w:type="even" r:id="rId13"/>
      <w:headerReference w:type="default" r:id="rId14"/>
      <w:headerReference w:type="first" r:id="rId1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D3282" w14:textId="77777777" w:rsidR="00822680" w:rsidRDefault="00822680" w:rsidP="00AB46DF">
      <w:r>
        <w:separator/>
      </w:r>
    </w:p>
  </w:endnote>
  <w:endnote w:type="continuationSeparator" w:id="0">
    <w:p w14:paraId="24A8979C" w14:textId="77777777" w:rsidR="00822680" w:rsidRDefault="00822680" w:rsidP="00AB46DF">
      <w:r>
        <w:continuationSeparator/>
      </w:r>
    </w:p>
  </w:endnote>
  <w:endnote w:type="continuationNotice" w:id="1">
    <w:p w14:paraId="4023DB3F" w14:textId="77777777" w:rsidR="00822680" w:rsidRDefault="00822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Bold">
    <w:altName w:val="Times New Roman"/>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949FD" w14:textId="77777777" w:rsidR="00822680" w:rsidRDefault="00822680" w:rsidP="00AB46DF">
      <w:r>
        <w:separator/>
      </w:r>
    </w:p>
  </w:footnote>
  <w:footnote w:type="continuationSeparator" w:id="0">
    <w:p w14:paraId="58D9A88C" w14:textId="77777777" w:rsidR="00822680" w:rsidRDefault="00822680" w:rsidP="00AB46DF">
      <w:r>
        <w:continuationSeparator/>
      </w:r>
    </w:p>
  </w:footnote>
  <w:footnote w:type="continuationNotice" w:id="1">
    <w:p w14:paraId="48B106DF" w14:textId="77777777" w:rsidR="00822680" w:rsidRDefault="00822680"/>
  </w:footnote>
  <w:footnote w:id="2">
    <w:p w14:paraId="753C84DA" w14:textId="41D65FC8" w:rsidR="00F818E6" w:rsidRPr="00E04447" w:rsidRDefault="00F818E6" w:rsidP="00065CA8">
      <w:pPr>
        <w:pStyle w:val="ECCFootnote"/>
      </w:pPr>
      <w:r>
        <w:rPr>
          <w:rStyle w:val="FootnoteReference"/>
        </w:rPr>
        <w:footnoteRef/>
      </w:r>
      <w:r>
        <w:t xml:space="preserve"> </w:t>
      </w:r>
      <w:r w:rsidR="00065CA8">
        <w:tab/>
      </w:r>
      <w:r w:rsidRPr="00065CA8">
        <w:t xml:space="preserve">Second harmonics of WBB ECS UE in the frequency range 832-835 MHz and 859-861 MHz could potentially affect RAS in the frequency bands 1660-1670 MHz and 1718.8-1722.2 MHz respectively. The former band has a primary allocation for RAS in the RR and is also mentioned in RR No. </w:t>
      </w:r>
      <w:r w:rsidRPr="00A87C03">
        <w:t>5.149</w:t>
      </w:r>
      <w:r w:rsidRPr="00065CA8">
        <w:t xml:space="preserve">, while the latter has only a secondary allocation for RAS according to RR No. </w:t>
      </w:r>
      <w:r w:rsidRPr="00A87C03">
        <w:t>5.385</w:t>
      </w:r>
      <w:r w:rsidRPr="00065CA8">
        <w:t xml:space="preserve"> and is mentioned in RR No. </w:t>
      </w:r>
      <w:r w:rsidRPr="00A87C03">
        <w:t>5.149</w:t>
      </w:r>
      <w:r w:rsidRPr="00065CA8">
        <w:t>.</w:t>
      </w:r>
    </w:p>
  </w:footnote>
  <w:footnote w:id="3">
    <w:p w14:paraId="2DC18553" w14:textId="5C40DB4B" w:rsidR="00F818E6" w:rsidRPr="00C54BBD" w:rsidRDefault="00F818E6" w:rsidP="00A87C03">
      <w:pPr>
        <w:pStyle w:val="ECCFootnote"/>
      </w:pPr>
      <w:r>
        <w:rPr>
          <w:rStyle w:val="FootnoteReference"/>
        </w:rPr>
        <w:footnoteRef/>
      </w:r>
      <w:r>
        <w:t xml:space="preserve"> </w:t>
      </w:r>
      <w:r w:rsidR="00065CA8">
        <w:tab/>
      </w:r>
      <w:r w:rsidRPr="006E4732">
        <w:t xml:space="preserve">see </w:t>
      </w:r>
      <w:r w:rsidRPr="00A87C03">
        <w:t>considering</w:t>
      </w:r>
      <w:r w:rsidRPr="006E4732">
        <w:t xml:space="preserve"> v) in ECC Decision 22(07) </w:t>
      </w:r>
      <w:r w:rsidRPr="006E4732">
        <w:fldChar w:fldCharType="begin"/>
      </w:r>
      <w:r w:rsidRPr="006E4732">
        <w:instrText xml:space="preserve"> REF _Ref176865974 \r \h </w:instrText>
      </w:r>
      <w:r w:rsidR="00065CA8">
        <w:instrText xml:space="preserve"> \* MERGEFORMAT </w:instrText>
      </w:r>
      <w:r w:rsidRPr="006E4732">
        <w:fldChar w:fldCharType="separate"/>
      </w:r>
      <w:r w:rsidRPr="006E4732">
        <w:t>[3]</w:t>
      </w:r>
      <w:r w:rsidRPr="006E4732">
        <w:fldChar w:fldCharType="end"/>
      </w:r>
    </w:p>
  </w:footnote>
  <w:footnote w:id="4">
    <w:p w14:paraId="74248ACE" w14:textId="49DD6CF3" w:rsidR="00F818E6" w:rsidRPr="009507F2" w:rsidRDefault="00F818E6" w:rsidP="00A87C03">
      <w:pPr>
        <w:pStyle w:val="ECCFootnote"/>
      </w:pPr>
      <w:r>
        <w:rPr>
          <w:rStyle w:val="FootnoteReference"/>
        </w:rPr>
        <w:footnoteRef/>
      </w:r>
      <w:r>
        <w:t xml:space="preserve"> </w:t>
      </w:r>
      <w:r w:rsidR="00065CA8">
        <w:tab/>
      </w:r>
      <w:hyperlink r:id="rId1" w:history="1">
        <w:r w:rsidR="00EA2FA8">
          <w:rPr>
            <w:color w:val="0000FF"/>
            <w:u w:val="single"/>
          </w:rPr>
          <w:t xml:space="preserve">ECC(22)057, annex 07 </w:t>
        </w:r>
      </w:hyperlink>
    </w:p>
  </w:footnote>
  <w:footnote w:id="5">
    <w:p w14:paraId="5C918713" w14:textId="5AEDA17D" w:rsidR="00F818E6" w:rsidRPr="00757A23" w:rsidRDefault="00F818E6" w:rsidP="00A87C03">
      <w:pPr>
        <w:pStyle w:val="ECCFootnote"/>
      </w:pPr>
      <w:r>
        <w:rPr>
          <w:rStyle w:val="FootnoteReference"/>
        </w:rPr>
        <w:footnoteRef/>
      </w:r>
      <w:r>
        <w:t xml:space="preserve"> </w:t>
      </w:r>
      <w:r w:rsidR="00065CA8">
        <w:tab/>
      </w:r>
      <w:r w:rsidRPr="000C52B6">
        <w:t xml:space="preserve">For the purpose of this Report, the term non-active antenna systems aerial terminal station (non-AAS ATS) is used instead of “aerial UE”, a term which has been used in the CEPT studies, (e.g. ECC Report 309 </w:t>
      </w:r>
      <w:r w:rsidRPr="000C52B6">
        <w:fldChar w:fldCharType="begin"/>
      </w:r>
      <w:r w:rsidRPr="000C52B6">
        <w:instrText xml:space="preserve"> REF _Ref103695135 \r \h </w:instrText>
      </w:r>
      <w:r>
        <w:instrText xml:space="preserve"> \* MERGEFORMAT </w:instrText>
      </w:r>
      <w:r w:rsidRPr="000C52B6">
        <w:fldChar w:fldCharType="separate"/>
      </w:r>
      <w:r>
        <w:t>[1]</w:t>
      </w:r>
      <w:r w:rsidRPr="000C52B6">
        <w:fldChar w:fldCharType="end"/>
      </w:r>
      <w:r w:rsidRPr="000C52B6">
        <w:t xml:space="preserve"> and ECC Report 348 </w:t>
      </w:r>
      <w:r w:rsidRPr="000C52B6">
        <w:fldChar w:fldCharType="begin"/>
      </w:r>
      <w:r w:rsidRPr="000C52B6">
        <w:instrText xml:space="preserve"> REF _Ref176865865 \r \h </w:instrText>
      </w:r>
      <w:r>
        <w:instrText xml:space="preserve"> \* MERGEFORMAT </w:instrText>
      </w:r>
      <w:r w:rsidRPr="000C52B6">
        <w:fldChar w:fldCharType="separate"/>
      </w:r>
      <w:r>
        <w:t>[2]</w:t>
      </w:r>
      <w:r w:rsidRPr="000C52B6">
        <w:fldChar w:fldCharType="end"/>
      </w:r>
      <w:r w:rsidRPr="000C52B6">
        <w:t xml:space="preserve">) and harmonisation measures related to this topic (e.g. ECC Decision (22)07 </w:t>
      </w:r>
      <w:r w:rsidRPr="000C52B6">
        <w:fldChar w:fldCharType="begin"/>
      </w:r>
      <w:r w:rsidRPr="000C52B6">
        <w:instrText xml:space="preserve"> REF _Ref176865974 \r \h </w:instrText>
      </w:r>
      <w:r>
        <w:instrText xml:space="preserve"> \* MERGEFORMAT </w:instrText>
      </w:r>
      <w:r w:rsidRPr="000C52B6">
        <w:fldChar w:fldCharType="separate"/>
      </w:r>
      <w:r>
        <w:t>[3]</w:t>
      </w:r>
      <w:r w:rsidRPr="000C52B6">
        <w:fldChar w:fldCharType="end"/>
      </w:r>
      <w:r w:rsidRPr="000C52B6">
        <w:t>). This clarification keeps terminology consistent with the EU legal framework.</w:t>
      </w:r>
    </w:p>
  </w:footnote>
  <w:footnote w:id="6">
    <w:p w14:paraId="650E8C11" w14:textId="7D4507E1" w:rsidR="00F818E6" w:rsidRPr="00115A9E" w:rsidRDefault="00F818E6" w:rsidP="008937C3">
      <w:pPr>
        <w:pStyle w:val="FootnoteText"/>
        <w:ind w:left="142" w:hanging="142"/>
        <w:rPr>
          <w:sz w:val="16"/>
          <w:szCs w:val="16"/>
          <w:lang w:val="en-GB"/>
        </w:rPr>
      </w:pPr>
      <w:r w:rsidRPr="00B838CE">
        <w:rPr>
          <w:rStyle w:val="FootnoteReference"/>
          <w:sz w:val="16"/>
          <w:szCs w:val="16"/>
        </w:rPr>
        <w:footnoteRef/>
      </w:r>
      <w:r w:rsidRPr="00115A9E">
        <w:rPr>
          <w:sz w:val="16"/>
          <w:szCs w:val="16"/>
        </w:rPr>
        <w:t xml:space="preserve"> For the purpose of this Report, the term non-active antenna systems aerial terminal station (non-AAS ATS) is used instead of “aerial UE”, a term which has been used in the CEPT studies, (e.g. ECC Report 309 [1] and ECC Report 348 [2]) and harmonisation measures related to this topic (e.g. ECC Decision (22)07 </w:t>
      </w:r>
      <w:r w:rsidR="008937C3" w:rsidRPr="006E4732">
        <w:rPr>
          <w:sz w:val="16"/>
          <w:szCs w:val="24"/>
          <w:lang w:val="en-GB"/>
        </w:rPr>
        <w:fldChar w:fldCharType="begin"/>
      </w:r>
      <w:r w:rsidR="008937C3" w:rsidRPr="006E4732">
        <w:rPr>
          <w:sz w:val="16"/>
          <w:szCs w:val="24"/>
          <w:lang w:val="en-GB"/>
        </w:rPr>
        <w:instrText xml:space="preserve"> REF _Ref176865974 \r \h </w:instrText>
      </w:r>
      <w:r w:rsidR="008937C3">
        <w:instrText xml:space="preserve"> \* MERGEFORMAT </w:instrText>
      </w:r>
      <w:r w:rsidR="008937C3" w:rsidRPr="006E4732">
        <w:rPr>
          <w:sz w:val="16"/>
          <w:szCs w:val="24"/>
          <w:lang w:val="en-GB"/>
        </w:rPr>
      </w:r>
      <w:r w:rsidR="008937C3" w:rsidRPr="006E4732">
        <w:rPr>
          <w:sz w:val="16"/>
          <w:szCs w:val="24"/>
          <w:lang w:val="en-GB"/>
        </w:rPr>
        <w:fldChar w:fldCharType="separate"/>
      </w:r>
      <w:r w:rsidR="008937C3" w:rsidRPr="006E4732">
        <w:rPr>
          <w:sz w:val="16"/>
          <w:szCs w:val="24"/>
          <w:lang w:val="en-GB"/>
        </w:rPr>
        <w:t>[3]</w:t>
      </w:r>
      <w:r w:rsidR="008937C3" w:rsidRPr="006E4732">
        <w:rPr>
          <w:sz w:val="16"/>
          <w:szCs w:val="24"/>
          <w:lang w:val="en-GB"/>
        </w:rPr>
        <w:fldChar w:fldCharType="end"/>
      </w:r>
      <w:r w:rsidRPr="00115A9E">
        <w:rPr>
          <w:sz w:val="16"/>
          <w:szCs w:val="16"/>
        </w:rPr>
        <w:t>). This clarification keeps terminology consistent with the EU legal framework.</w:t>
      </w:r>
    </w:p>
  </w:footnote>
  <w:footnote w:id="7">
    <w:p w14:paraId="38EDEFE1" w14:textId="77777777" w:rsidR="00F818E6" w:rsidRPr="00D00B7F" w:rsidRDefault="00F818E6">
      <w:pPr>
        <w:pStyle w:val="ECCFootnote"/>
      </w:pPr>
      <w:r w:rsidRPr="00A65F78">
        <w:rPr>
          <w:rStyle w:val="FootnoteReference"/>
        </w:rPr>
        <w:footnoteRef/>
      </w:r>
      <w:r w:rsidRPr="00A65F78">
        <w:t xml:space="preserve"> </w:t>
      </w:r>
      <w:r w:rsidRPr="00E35304">
        <w:t>Another frequency band than 703-733 MHz shall be used for landing and take-off.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F673D" w14:textId="075CD66B" w:rsidR="00F818E6" w:rsidRPr="007C5F95" w:rsidRDefault="00F818E6">
    <w:pPr>
      <w:pStyle w:val="Header"/>
      <w:rPr>
        <w:b w:val="0"/>
        <w:lang w:val="da-DK"/>
      </w:rPr>
    </w:pPr>
    <w:r w:rsidRPr="007C5F95">
      <w:rPr>
        <w:b w:val="0"/>
        <w:lang w:val="da-DK"/>
      </w:rPr>
      <w:t>Draft ECC REPORT XXX</w:t>
    </w:r>
  </w:p>
  <w:p w14:paraId="6C388818" w14:textId="77777777" w:rsidR="00F818E6" w:rsidRPr="007C5F95" w:rsidRDefault="00F818E6">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9A694" w14:textId="0F9A70FC" w:rsidR="00F818E6" w:rsidRPr="007C5F95" w:rsidRDefault="00F818E6" w:rsidP="00AB46DF">
    <w:pPr>
      <w:pStyle w:val="Header"/>
      <w:jc w:val="right"/>
      <w:rPr>
        <w:b w:val="0"/>
        <w:lang w:val="da-DK"/>
      </w:rPr>
    </w:pPr>
    <w:r w:rsidRPr="007C5F95">
      <w:rPr>
        <w:b w:val="0"/>
        <w:lang w:val="da-DK"/>
      </w:rPr>
      <w:t>Draft ECC REPORT XXX</w:t>
    </w:r>
  </w:p>
  <w:p w14:paraId="69082C9E" w14:textId="77777777" w:rsidR="00F818E6" w:rsidRPr="007C5F95" w:rsidRDefault="00F818E6"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A604D" w14:textId="292B90C0" w:rsidR="00F818E6" w:rsidRDefault="00F818E6">
    <w:pPr>
      <w:pStyle w:val="Header"/>
    </w:pPr>
    <w:r>
      <w:rPr>
        <w:noProof/>
        <w:szCs w:val="20"/>
        <w:lang w:val="de-DE" w:eastAsia="de-DE"/>
      </w:rPr>
      <w:drawing>
        <wp:anchor distT="0" distB="0" distL="114300" distR="114300" simplePos="0" relativeHeight="251658241" behindDoc="0" locked="0" layoutInCell="1" allowOverlap="1" wp14:anchorId="2C4E994A" wp14:editId="5E5B6D25">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e-DE" w:eastAsia="de-DE"/>
      </w:rPr>
      <w:drawing>
        <wp:anchor distT="0" distB="0" distL="114300" distR="114300" simplePos="0" relativeHeight="251658240" behindDoc="0" locked="0" layoutInCell="1" allowOverlap="1" wp14:anchorId="7477064B" wp14:editId="153973FE">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0B3E6" w14:textId="77C67EE4" w:rsidR="00F818E6" w:rsidRPr="007C5F95" w:rsidRDefault="00F818E6">
    <w:pPr>
      <w:pStyle w:val="Header"/>
      <w:rPr>
        <w:szCs w:val="16"/>
        <w:lang w:val="da-DK"/>
      </w:rPr>
    </w:pPr>
    <w:r>
      <w:rPr>
        <w:lang w:val="da-DK"/>
      </w:rPr>
      <w:t>CEPT REPORT 89 -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065CA8" w:rsidRPr="00065CA8">
      <w:rPr>
        <w:noProof/>
        <w:szCs w:val="16"/>
        <w:lang w:val="da-DK"/>
      </w:rPr>
      <w:t>2</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5FCEB" w14:textId="294B5F0E" w:rsidR="00F818E6" w:rsidRPr="007C5F95" w:rsidRDefault="00F818E6" w:rsidP="00AB46DF">
    <w:pPr>
      <w:pStyle w:val="Header"/>
      <w:jc w:val="right"/>
      <w:rPr>
        <w:szCs w:val="16"/>
        <w:lang w:val="da-DK"/>
      </w:rPr>
    </w:pPr>
    <w:r>
      <w:rPr>
        <w:lang w:val="da-DK"/>
      </w:rPr>
      <w:t>CEPT REPORT 89 -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065CA8" w:rsidRPr="00065CA8">
      <w:rPr>
        <w:noProof/>
        <w:szCs w:val="16"/>
        <w:lang w:val="da-DK"/>
      </w:rPr>
      <w:t>3</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EC39F" w14:textId="32ED2A2C" w:rsidR="00F818E6" w:rsidRPr="001223D0" w:rsidRDefault="00F818E6" w:rsidP="00AB46DF">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44AAE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3E1611"/>
    <w:multiLevelType w:val="multilevel"/>
    <w:tmpl w:val="BF1667A4"/>
    <w:lvl w:ilvl="0">
      <w:start w:val="1"/>
      <w:numFmt w:val="decimal"/>
      <w:lvlText w:val="[%1]"/>
      <w:lvlJc w:val="left"/>
      <w:pPr>
        <w:tabs>
          <w:tab w:val="num" w:pos="397"/>
        </w:tabs>
        <w:ind w:left="397" w:hanging="397"/>
      </w:pPr>
      <w:rPr>
        <w:rFonts w:ascii="Arial" w:hAnsi="Arial" w:hint="default"/>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F851B44"/>
    <w:multiLevelType w:val="hybridMultilevel"/>
    <w:tmpl w:val="4F26BA98"/>
    <w:lvl w:ilvl="0" w:tplc="CAAC2D2E">
      <w:start w:val="1"/>
      <w:numFmt w:val="bullet"/>
      <w:lvlText w:val=""/>
      <w:lvlJc w:val="left"/>
      <w:pPr>
        <w:ind w:left="780" w:hanging="360"/>
      </w:pPr>
      <w:rPr>
        <w:rFonts w:ascii="Wingdings" w:hAnsi="Wingdings" w:hint="default"/>
        <w:color w:val="D2232A"/>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29E6D4C"/>
    <w:multiLevelType w:val="hybridMultilevel"/>
    <w:tmpl w:val="7650411C"/>
    <w:lvl w:ilvl="0" w:tplc="106A1D3E">
      <w:start w:val="1"/>
      <w:numFmt w:val="bullet"/>
      <w:lvlText w:val="▪"/>
      <w:lvlJc w:val="left"/>
      <w:pPr>
        <w:ind w:left="720" w:hanging="3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5C746E"/>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8" w15:restartNumberingAfterBreak="0">
    <w:nsid w:val="19A044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373D8D"/>
    <w:multiLevelType w:val="hybridMultilevel"/>
    <w:tmpl w:val="4B52E528"/>
    <w:lvl w:ilvl="0" w:tplc="2EDE635A">
      <w:start w:val="1"/>
      <w:numFmt w:val="decimal"/>
      <w:lvlText w:val="%1."/>
      <w:lvlJc w:val="left"/>
      <w:pPr>
        <w:ind w:left="649" w:hanging="480"/>
      </w:pPr>
      <w:rPr>
        <w:rFonts w:ascii="Times New Roman" w:eastAsia="Times New Roman" w:hAnsi="Times New Roman" w:cs="Times New Roman" w:hint="default"/>
        <w:b/>
        <w:bCs/>
        <w:i w:val="0"/>
        <w:iCs w:val="0"/>
        <w:spacing w:val="0"/>
        <w:w w:val="100"/>
        <w:sz w:val="24"/>
        <w:szCs w:val="24"/>
        <w:lang w:val="en-US" w:eastAsia="en-US" w:bidi="ar-SA"/>
      </w:rPr>
    </w:lvl>
    <w:lvl w:ilvl="1" w:tplc="DB444A72">
      <w:numFmt w:val="bullet"/>
      <w:lvlText w:val=""/>
      <w:lvlJc w:val="left"/>
      <w:pPr>
        <w:ind w:left="889" w:hanging="360"/>
      </w:pPr>
      <w:rPr>
        <w:rFonts w:ascii="Symbol" w:eastAsia="Symbol" w:hAnsi="Symbol" w:cs="Symbol" w:hint="default"/>
        <w:b w:val="0"/>
        <w:bCs w:val="0"/>
        <w:i w:val="0"/>
        <w:iCs w:val="0"/>
        <w:spacing w:val="0"/>
        <w:w w:val="100"/>
        <w:sz w:val="24"/>
        <w:szCs w:val="24"/>
        <w:lang w:val="en-US" w:eastAsia="en-US" w:bidi="ar-SA"/>
      </w:rPr>
    </w:lvl>
    <w:lvl w:ilvl="2" w:tplc="63B6A02C">
      <w:numFmt w:val="bullet"/>
      <w:lvlText w:val="•"/>
      <w:lvlJc w:val="left"/>
      <w:pPr>
        <w:ind w:left="1798" w:hanging="360"/>
      </w:pPr>
      <w:rPr>
        <w:rFonts w:hint="default"/>
        <w:lang w:val="en-US" w:eastAsia="en-US" w:bidi="ar-SA"/>
      </w:rPr>
    </w:lvl>
    <w:lvl w:ilvl="3" w:tplc="30FCAB4E">
      <w:numFmt w:val="bullet"/>
      <w:lvlText w:val="•"/>
      <w:lvlJc w:val="left"/>
      <w:pPr>
        <w:ind w:left="2716" w:hanging="360"/>
      </w:pPr>
      <w:rPr>
        <w:rFonts w:hint="default"/>
        <w:lang w:val="en-US" w:eastAsia="en-US" w:bidi="ar-SA"/>
      </w:rPr>
    </w:lvl>
    <w:lvl w:ilvl="4" w:tplc="3A36AF32">
      <w:numFmt w:val="bullet"/>
      <w:lvlText w:val="•"/>
      <w:lvlJc w:val="left"/>
      <w:pPr>
        <w:ind w:left="3635" w:hanging="360"/>
      </w:pPr>
      <w:rPr>
        <w:rFonts w:hint="default"/>
        <w:lang w:val="en-US" w:eastAsia="en-US" w:bidi="ar-SA"/>
      </w:rPr>
    </w:lvl>
    <w:lvl w:ilvl="5" w:tplc="7F00C714">
      <w:numFmt w:val="bullet"/>
      <w:lvlText w:val="•"/>
      <w:lvlJc w:val="left"/>
      <w:pPr>
        <w:ind w:left="4553" w:hanging="360"/>
      </w:pPr>
      <w:rPr>
        <w:rFonts w:hint="default"/>
        <w:lang w:val="en-US" w:eastAsia="en-US" w:bidi="ar-SA"/>
      </w:rPr>
    </w:lvl>
    <w:lvl w:ilvl="6" w:tplc="FE0A615C">
      <w:numFmt w:val="bullet"/>
      <w:lvlText w:val="•"/>
      <w:lvlJc w:val="left"/>
      <w:pPr>
        <w:ind w:left="5472" w:hanging="360"/>
      </w:pPr>
      <w:rPr>
        <w:rFonts w:hint="default"/>
        <w:lang w:val="en-US" w:eastAsia="en-US" w:bidi="ar-SA"/>
      </w:rPr>
    </w:lvl>
    <w:lvl w:ilvl="7" w:tplc="6046EE98">
      <w:numFmt w:val="bullet"/>
      <w:lvlText w:val="•"/>
      <w:lvlJc w:val="left"/>
      <w:pPr>
        <w:ind w:left="6390" w:hanging="360"/>
      </w:pPr>
      <w:rPr>
        <w:rFonts w:hint="default"/>
        <w:lang w:val="en-US" w:eastAsia="en-US" w:bidi="ar-SA"/>
      </w:rPr>
    </w:lvl>
    <w:lvl w:ilvl="8" w:tplc="DF7662FE">
      <w:numFmt w:val="bullet"/>
      <w:lvlText w:val="•"/>
      <w:lvlJc w:val="left"/>
      <w:pPr>
        <w:ind w:left="7309" w:hanging="360"/>
      </w:pPr>
      <w:rPr>
        <w:rFonts w:hint="default"/>
        <w:lang w:val="en-US" w:eastAsia="en-US" w:bidi="ar-SA"/>
      </w:rPr>
    </w:lvl>
  </w:abstractNum>
  <w:abstractNum w:abstractNumId="10" w15:restartNumberingAfterBreak="0">
    <w:nsid w:val="204E13E7"/>
    <w:multiLevelType w:val="hybridMultilevel"/>
    <w:tmpl w:val="672EE260"/>
    <w:lvl w:ilvl="0" w:tplc="FE3CF2E6">
      <w:numFmt w:val="bullet"/>
      <w:lvlText w:val=""/>
      <w:lvlJc w:val="left"/>
      <w:pPr>
        <w:ind w:left="889" w:hanging="360"/>
      </w:pPr>
      <w:rPr>
        <w:rFonts w:ascii="Symbol" w:eastAsia="Symbol" w:hAnsi="Symbol" w:cs="Symbol" w:hint="default"/>
        <w:b w:val="0"/>
        <w:bCs w:val="0"/>
        <w:i w:val="0"/>
        <w:iCs w:val="0"/>
        <w:spacing w:val="0"/>
        <w:w w:val="100"/>
        <w:sz w:val="24"/>
        <w:szCs w:val="24"/>
        <w:lang w:val="en-US" w:eastAsia="en-US" w:bidi="ar-SA"/>
      </w:rPr>
    </w:lvl>
    <w:lvl w:ilvl="1" w:tplc="F7C6FBCE">
      <w:numFmt w:val="bullet"/>
      <w:lvlText w:val="•"/>
      <w:lvlJc w:val="left"/>
      <w:pPr>
        <w:ind w:left="1706" w:hanging="360"/>
      </w:pPr>
      <w:rPr>
        <w:rFonts w:hint="default"/>
        <w:lang w:val="en-US" w:eastAsia="en-US" w:bidi="ar-SA"/>
      </w:rPr>
    </w:lvl>
    <w:lvl w:ilvl="2" w:tplc="95508C6C">
      <w:numFmt w:val="bullet"/>
      <w:lvlText w:val="•"/>
      <w:lvlJc w:val="left"/>
      <w:pPr>
        <w:ind w:left="2533" w:hanging="360"/>
      </w:pPr>
      <w:rPr>
        <w:rFonts w:hint="default"/>
        <w:lang w:val="en-US" w:eastAsia="en-US" w:bidi="ar-SA"/>
      </w:rPr>
    </w:lvl>
    <w:lvl w:ilvl="3" w:tplc="84DECAE8">
      <w:numFmt w:val="bullet"/>
      <w:lvlText w:val="•"/>
      <w:lvlJc w:val="left"/>
      <w:pPr>
        <w:ind w:left="3359" w:hanging="360"/>
      </w:pPr>
      <w:rPr>
        <w:rFonts w:hint="default"/>
        <w:lang w:val="en-US" w:eastAsia="en-US" w:bidi="ar-SA"/>
      </w:rPr>
    </w:lvl>
    <w:lvl w:ilvl="4" w:tplc="DBD06FA8">
      <w:numFmt w:val="bullet"/>
      <w:lvlText w:val="•"/>
      <w:lvlJc w:val="left"/>
      <w:pPr>
        <w:ind w:left="4186" w:hanging="360"/>
      </w:pPr>
      <w:rPr>
        <w:rFonts w:hint="default"/>
        <w:lang w:val="en-US" w:eastAsia="en-US" w:bidi="ar-SA"/>
      </w:rPr>
    </w:lvl>
    <w:lvl w:ilvl="5" w:tplc="232E0052">
      <w:numFmt w:val="bullet"/>
      <w:lvlText w:val="•"/>
      <w:lvlJc w:val="left"/>
      <w:pPr>
        <w:ind w:left="5013" w:hanging="360"/>
      </w:pPr>
      <w:rPr>
        <w:rFonts w:hint="default"/>
        <w:lang w:val="en-US" w:eastAsia="en-US" w:bidi="ar-SA"/>
      </w:rPr>
    </w:lvl>
    <w:lvl w:ilvl="6" w:tplc="89669E34">
      <w:numFmt w:val="bullet"/>
      <w:lvlText w:val="•"/>
      <w:lvlJc w:val="left"/>
      <w:pPr>
        <w:ind w:left="5839" w:hanging="360"/>
      </w:pPr>
      <w:rPr>
        <w:rFonts w:hint="default"/>
        <w:lang w:val="en-US" w:eastAsia="en-US" w:bidi="ar-SA"/>
      </w:rPr>
    </w:lvl>
    <w:lvl w:ilvl="7" w:tplc="A46E867E">
      <w:numFmt w:val="bullet"/>
      <w:lvlText w:val="•"/>
      <w:lvlJc w:val="left"/>
      <w:pPr>
        <w:ind w:left="6666" w:hanging="360"/>
      </w:pPr>
      <w:rPr>
        <w:rFonts w:hint="default"/>
        <w:lang w:val="en-US" w:eastAsia="en-US" w:bidi="ar-SA"/>
      </w:rPr>
    </w:lvl>
    <w:lvl w:ilvl="8" w:tplc="340E7E0C">
      <w:numFmt w:val="bullet"/>
      <w:lvlText w:val="•"/>
      <w:lvlJc w:val="left"/>
      <w:pPr>
        <w:ind w:left="7493" w:hanging="360"/>
      </w:pPr>
      <w:rPr>
        <w:rFonts w:hint="default"/>
        <w:lang w:val="en-US" w:eastAsia="en-US" w:bidi="ar-SA"/>
      </w:rPr>
    </w:lvl>
  </w:abstractNum>
  <w:abstractNum w:abstractNumId="11" w15:restartNumberingAfterBreak="0">
    <w:nsid w:val="20A87A02"/>
    <w:multiLevelType w:val="hybridMultilevel"/>
    <w:tmpl w:val="A7A0144C"/>
    <w:lvl w:ilvl="0" w:tplc="AD46037E">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FB04C5"/>
    <w:multiLevelType w:val="multilevel"/>
    <w:tmpl w:val="4532EDC0"/>
    <w:lvl w:ilvl="0">
      <w:start w:val="1"/>
      <w:numFmt w:val="decimal"/>
      <w:lvlText w:val="[%1]"/>
      <w:lvlJc w:val="left"/>
      <w:pPr>
        <w:tabs>
          <w:tab w:val="num" w:pos="720"/>
        </w:tabs>
        <w:ind w:left="720" w:hanging="720"/>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1987670"/>
    <w:multiLevelType w:val="hybridMultilevel"/>
    <w:tmpl w:val="E34456FE"/>
    <w:lvl w:ilvl="0" w:tplc="D780FAA2">
      <w:start w:val="1"/>
      <w:numFmt w:val="bullet"/>
      <w:lvlText w:val="•"/>
      <w:lvlJc w:val="left"/>
      <w:pPr>
        <w:ind w:left="15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F3ACE6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06A1D3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D62B2D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818D5C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82EDAA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12A19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2E55D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380E3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28B620B"/>
    <w:multiLevelType w:val="hybridMultilevel"/>
    <w:tmpl w:val="4B52E528"/>
    <w:lvl w:ilvl="0" w:tplc="FFFFFFFF">
      <w:start w:val="1"/>
      <w:numFmt w:val="decimal"/>
      <w:lvlText w:val="%1."/>
      <w:lvlJc w:val="left"/>
      <w:pPr>
        <w:ind w:left="649" w:hanging="480"/>
      </w:pPr>
      <w:rPr>
        <w:rFonts w:ascii="Times New Roman" w:eastAsia="Times New Roman" w:hAnsi="Times New Roman" w:cs="Times New Roman" w:hint="default"/>
        <w:b/>
        <w:bCs/>
        <w:i w:val="0"/>
        <w:iCs w:val="0"/>
        <w:spacing w:val="0"/>
        <w:w w:val="100"/>
        <w:sz w:val="24"/>
        <w:szCs w:val="24"/>
        <w:lang w:val="en-US" w:eastAsia="en-US" w:bidi="ar-SA"/>
      </w:rPr>
    </w:lvl>
    <w:lvl w:ilvl="1" w:tplc="FFFFFFFF">
      <w:numFmt w:val="bullet"/>
      <w:lvlText w:val=""/>
      <w:lvlJc w:val="left"/>
      <w:pPr>
        <w:ind w:left="889" w:hanging="360"/>
      </w:pPr>
      <w:rPr>
        <w:rFonts w:ascii="Symbol" w:eastAsia="Symbol" w:hAnsi="Symbol" w:cs="Symbol" w:hint="default"/>
        <w:b w:val="0"/>
        <w:bCs w:val="0"/>
        <w:i w:val="0"/>
        <w:iCs w:val="0"/>
        <w:spacing w:val="0"/>
        <w:w w:val="100"/>
        <w:sz w:val="24"/>
        <w:szCs w:val="24"/>
        <w:lang w:val="en-US" w:eastAsia="en-US" w:bidi="ar-SA"/>
      </w:rPr>
    </w:lvl>
    <w:lvl w:ilvl="2" w:tplc="FFFFFFFF">
      <w:numFmt w:val="bullet"/>
      <w:lvlText w:val="•"/>
      <w:lvlJc w:val="left"/>
      <w:pPr>
        <w:ind w:left="1798" w:hanging="360"/>
      </w:pPr>
      <w:rPr>
        <w:rFonts w:hint="default"/>
        <w:lang w:val="en-US" w:eastAsia="en-US" w:bidi="ar-SA"/>
      </w:rPr>
    </w:lvl>
    <w:lvl w:ilvl="3" w:tplc="FFFFFFFF">
      <w:numFmt w:val="bullet"/>
      <w:lvlText w:val="•"/>
      <w:lvlJc w:val="left"/>
      <w:pPr>
        <w:ind w:left="2716" w:hanging="360"/>
      </w:pPr>
      <w:rPr>
        <w:rFonts w:hint="default"/>
        <w:lang w:val="en-US" w:eastAsia="en-US" w:bidi="ar-SA"/>
      </w:rPr>
    </w:lvl>
    <w:lvl w:ilvl="4" w:tplc="FFFFFFFF">
      <w:numFmt w:val="bullet"/>
      <w:lvlText w:val="•"/>
      <w:lvlJc w:val="left"/>
      <w:pPr>
        <w:ind w:left="3635" w:hanging="360"/>
      </w:pPr>
      <w:rPr>
        <w:rFonts w:hint="default"/>
        <w:lang w:val="en-US" w:eastAsia="en-US" w:bidi="ar-SA"/>
      </w:rPr>
    </w:lvl>
    <w:lvl w:ilvl="5" w:tplc="FFFFFFFF">
      <w:numFmt w:val="bullet"/>
      <w:lvlText w:val="•"/>
      <w:lvlJc w:val="left"/>
      <w:pPr>
        <w:ind w:left="4553" w:hanging="360"/>
      </w:pPr>
      <w:rPr>
        <w:rFonts w:hint="default"/>
        <w:lang w:val="en-US" w:eastAsia="en-US" w:bidi="ar-SA"/>
      </w:rPr>
    </w:lvl>
    <w:lvl w:ilvl="6" w:tplc="FFFFFFFF">
      <w:numFmt w:val="bullet"/>
      <w:lvlText w:val="•"/>
      <w:lvlJc w:val="left"/>
      <w:pPr>
        <w:ind w:left="5472" w:hanging="360"/>
      </w:pPr>
      <w:rPr>
        <w:rFonts w:hint="default"/>
        <w:lang w:val="en-US" w:eastAsia="en-US" w:bidi="ar-SA"/>
      </w:rPr>
    </w:lvl>
    <w:lvl w:ilvl="7" w:tplc="FFFFFFFF">
      <w:numFmt w:val="bullet"/>
      <w:lvlText w:val="•"/>
      <w:lvlJc w:val="left"/>
      <w:pPr>
        <w:ind w:left="6390" w:hanging="360"/>
      </w:pPr>
      <w:rPr>
        <w:rFonts w:hint="default"/>
        <w:lang w:val="en-US" w:eastAsia="en-US" w:bidi="ar-SA"/>
      </w:rPr>
    </w:lvl>
    <w:lvl w:ilvl="8" w:tplc="FFFFFFFF">
      <w:numFmt w:val="bullet"/>
      <w:lvlText w:val="•"/>
      <w:lvlJc w:val="left"/>
      <w:pPr>
        <w:ind w:left="7309" w:hanging="360"/>
      </w:pPr>
      <w:rPr>
        <w:rFonts w:hint="default"/>
        <w:lang w:val="en-US" w:eastAsia="en-US" w:bidi="ar-SA"/>
      </w:rPr>
    </w:lvl>
  </w:abstractNum>
  <w:abstractNum w:abstractNumId="17" w15:restartNumberingAfterBreak="0">
    <w:nsid w:val="229E521A"/>
    <w:multiLevelType w:val="hybridMultilevel"/>
    <w:tmpl w:val="E65E3968"/>
    <w:lvl w:ilvl="0" w:tplc="CAAC2D2E">
      <w:start w:val="1"/>
      <w:numFmt w:val="bullet"/>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D353C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0" w15:restartNumberingAfterBreak="0">
    <w:nsid w:val="2860238F"/>
    <w:multiLevelType w:val="hybridMultilevel"/>
    <w:tmpl w:val="D7ECF0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2892289D"/>
    <w:multiLevelType w:val="hybridMultilevel"/>
    <w:tmpl w:val="A5CE505E"/>
    <w:lvl w:ilvl="0" w:tplc="CAAC2D2E">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A0A7C33"/>
    <w:multiLevelType w:val="hybridMultilevel"/>
    <w:tmpl w:val="962210A0"/>
    <w:lvl w:ilvl="0" w:tplc="2718434E">
      <w:start w:val="1"/>
      <w:numFmt w:val="decimal"/>
      <w:pStyle w:val="ECCEditorsNote"/>
      <w:lvlText w:val="Editor's Note %1:"/>
      <w:lvlJc w:val="left"/>
      <w:pPr>
        <w:tabs>
          <w:tab w:val="num" w:pos="2836"/>
        </w:tabs>
        <w:ind w:left="283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2576" w:hanging="360"/>
      </w:pPr>
    </w:lvl>
    <w:lvl w:ilvl="2" w:tplc="0407001B" w:tentative="1">
      <w:start w:val="1"/>
      <w:numFmt w:val="lowerRoman"/>
      <w:lvlText w:val="%3."/>
      <w:lvlJc w:val="right"/>
      <w:pPr>
        <w:ind w:left="3296" w:hanging="180"/>
      </w:pPr>
    </w:lvl>
    <w:lvl w:ilvl="3" w:tplc="0407000F" w:tentative="1">
      <w:start w:val="1"/>
      <w:numFmt w:val="decimal"/>
      <w:lvlText w:val="%4."/>
      <w:lvlJc w:val="left"/>
      <w:pPr>
        <w:ind w:left="4016" w:hanging="360"/>
      </w:pPr>
    </w:lvl>
    <w:lvl w:ilvl="4" w:tplc="04070019" w:tentative="1">
      <w:start w:val="1"/>
      <w:numFmt w:val="lowerLetter"/>
      <w:lvlText w:val="%5."/>
      <w:lvlJc w:val="left"/>
      <w:pPr>
        <w:ind w:left="4736" w:hanging="360"/>
      </w:pPr>
    </w:lvl>
    <w:lvl w:ilvl="5" w:tplc="0407001B" w:tentative="1">
      <w:start w:val="1"/>
      <w:numFmt w:val="lowerRoman"/>
      <w:lvlText w:val="%6."/>
      <w:lvlJc w:val="right"/>
      <w:pPr>
        <w:ind w:left="5456" w:hanging="180"/>
      </w:pPr>
    </w:lvl>
    <w:lvl w:ilvl="6" w:tplc="0407000F" w:tentative="1">
      <w:start w:val="1"/>
      <w:numFmt w:val="decimal"/>
      <w:lvlText w:val="%7."/>
      <w:lvlJc w:val="left"/>
      <w:pPr>
        <w:ind w:left="6176" w:hanging="360"/>
      </w:pPr>
    </w:lvl>
    <w:lvl w:ilvl="7" w:tplc="04070019" w:tentative="1">
      <w:start w:val="1"/>
      <w:numFmt w:val="lowerLetter"/>
      <w:lvlText w:val="%8."/>
      <w:lvlJc w:val="left"/>
      <w:pPr>
        <w:ind w:left="6896" w:hanging="360"/>
      </w:pPr>
    </w:lvl>
    <w:lvl w:ilvl="8" w:tplc="0407001B" w:tentative="1">
      <w:start w:val="1"/>
      <w:numFmt w:val="lowerRoman"/>
      <w:lvlText w:val="%9."/>
      <w:lvlJc w:val="right"/>
      <w:pPr>
        <w:ind w:left="7616" w:hanging="180"/>
      </w:pPr>
    </w:lvl>
  </w:abstractNum>
  <w:abstractNum w:abstractNumId="24"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2DE143A6"/>
    <w:multiLevelType w:val="hybridMultilevel"/>
    <w:tmpl w:val="5BBA7608"/>
    <w:lvl w:ilvl="0" w:tplc="CDC45F46">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F9A72C9"/>
    <w:multiLevelType w:val="hybridMultilevel"/>
    <w:tmpl w:val="24A64E9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308806A5"/>
    <w:multiLevelType w:val="multilevel"/>
    <w:tmpl w:val="C696EAB8"/>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2" w15:restartNumberingAfterBreak="0">
    <w:nsid w:val="3509650D"/>
    <w:multiLevelType w:val="multilevel"/>
    <w:tmpl w:val="4D10CAE6"/>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678652B"/>
    <w:multiLevelType w:val="multilevel"/>
    <w:tmpl w:val="E1A410E2"/>
    <w:lvl w:ilvl="0">
      <w:start w:val="1"/>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76E44D1"/>
    <w:multiLevelType w:val="hybridMultilevel"/>
    <w:tmpl w:val="9EBAD07E"/>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37865C38"/>
    <w:multiLevelType w:val="hybridMultilevel"/>
    <w:tmpl w:val="064E2E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3D163F7A"/>
    <w:multiLevelType w:val="multilevel"/>
    <w:tmpl w:val="91F4C0AE"/>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40"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42586104"/>
    <w:multiLevelType w:val="multilevel"/>
    <w:tmpl w:val="75E0AD1C"/>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6E6242A"/>
    <w:multiLevelType w:val="hybridMultilevel"/>
    <w:tmpl w:val="FC34DCAC"/>
    <w:lvl w:ilvl="0" w:tplc="3E7EEAEC">
      <w:start w:val="1"/>
      <w:numFmt w:val="decimal"/>
      <w:pStyle w:val="reference"/>
      <w:lvlText w:val="[%1]"/>
      <w:lvlJc w:val="left"/>
      <w:pPr>
        <w:tabs>
          <w:tab w:val="num" w:pos="397"/>
        </w:tabs>
        <w:ind w:left="397" w:hanging="397"/>
      </w:pPr>
      <w:rPr>
        <w:b w:val="0"/>
        <w:bCs w:val="0"/>
        <w:i w:val="0"/>
        <w:iCs w:val="0"/>
        <w:caps w:val="0"/>
        <w:smallCaps w:val="0"/>
        <w:strike w:val="0"/>
        <w:dstrike w:val="0"/>
        <w:noProof w:val="0"/>
        <w:vanish w:val="0"/>
        <w:color w:val="D2232A"/>
        <w:spacing w:val="0"/>
        <w:kern w:val="0"/>
        <w:position w:val="0"/>
        <w:u w:val="none"/>
        <w:effect w:val="none"/>
        <w:vertAlign w:val="baseline"/>
        <w:em w:val="none"/>
        <w:lang w:val="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47887D33"/>
    <w:multiLevelType w:val="hybridMultilevel"/>
    <w:tmpl w:val="E0665D80"/>
    <w:lvl w:ilvl="0" w:tplc="CAAC2D2E">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0" w15:restartNumberingAfterBreak="0">
    <w:nsid w:val="48E532EA"/>
    <w:multiLevelType w:val="hybridMultilevel"/>
    <w:tmpl w:val="5810E2A4"/>
    <w:lvl w:ilvl="0" w:tplc="20B4FF9A">
      <w:start w:val="1"/>
      <w:numFmt w:val="bullet"/>
      <w:lvlText w:val=""/>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53"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523D38C4"/>
    <w:multiLevelType w:val="hybridMultilevel"/>
    <w:tmpl w:val="E85A4ACA"/>
    <w:lvl w:ilvl="0" w:tplc="CAAC2D2E">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25E1B47"/>
    <w:multiLevelType w:val="multilevel"/>
    <w:tmpl w:val="FCEC7FBC"/>
    <w:numStyleLink w:val="ECCBullets"/>
  </w:abstractNum>
  <w:abstractNum w:abstractNumId="56" w15:restartNumberingAfterBreak="0">
    <w:nsid w:val="53C1571F"/>
    <w:multiLevelType w:val="multilevel"/>
    <w:tmpl w:val="2F7051C8"/>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543954C4"/>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553C13D5"/>
    <w:multiLevelType w:val="hybridMultilevel"/>
    <w:tmpl w:val="FC7256F8"/>
    <w:lvl w:ilvl="0" w:tplc="E672244E">
      <w:start w:val="1"/>
      <w:numFmt w:val="bullet"/>
      <w:lvlText w:val="•"/>
      <w:lvlJc w:val="left"/>
      <w:pPr>
        <w:ind w:left="3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746A0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852152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862FBE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FFA800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7346212">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232701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E6041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D94B68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60"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62" w15:restartNumberingAfterBreak="0">
    <w:nsid w:val="5F9A5DA5"/>
    <w:multiLevelType w:val="hybridMultilevel"/>
    <w:tmpl w:val="B9849B36"/>
    <w:lvl w:ilvl="0" w:tplc="B74EBCAE">
      <w:start w:val="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2ED7149"/>
    <w:multiLevelType w:val="multilevel"/>
    <w:tmpl w:val="E65E3968"/>
    <w:lvl w:ilvl="0">
      <w:start w:val="1"/>
      <w:numFmt w:val="bullet"/>
      <w:lvlText w:val=""/>
      <w:lvlJc w:val="left"/>
      <w:pPr>
        <w:tabs>
          <w:tab w:val="num" w:pos="360"/>
        </w:tabs>
        <w:ind w:left="360" w:hanging="360"/>
      </w:pPr>
      <w:rPr>
        <w:rFonts w:ascii="Wingdings" w:hAnsi="Wingdings" w:hint="default"/>
        <w:color w:val="D2232A"/>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7" w15:restartNumberingAfterBreak="0">
    <w:nsid w:val="64EB515B"/>
    <w:multiLevelType w:val="hybridMultilevel"/>
    <w:tmpl w:val="9A14946E"/>
    <w:lvl w:ilvl="0" w:tplc="CAAC2D2E">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51D55B1"/>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66E36C84"/>
    <w:multiLevelType w:val="multilevel"/>
    <w:tmpl w:val="FCEC7FBC"/>
    <w:numStyleLink w:val="ECCBullets"/>
  </w:abstractNum>
  <w:abstractNum w:abstractNumId="71" w15:restartNumberingAfterBreak="0">
    <w:nsid w:val="67B90474"/>
    <w:multiLevelType w:val="hybridMultilevel"/>
    <w:tmpl w:val="F67A2980"/>
    <w:lvl w:ilvl="0" w:tplc="106A1D3E">
      <w:start w:val="1"/>
      <w:numFmt w:val="bullet"/>
      <w:lvlText w:val="▪"/>
      <w:lvlJc w:val="left"/>
      <w:pPr>
        <w:ind w:left="360" w:hanging="360"/>
      </w:pPr>
      <w:rPr>
        <w:rFonts w:ascii="Segoe UI Symbol" w:eastAsia="Segoe UI Symbol" w:hAnsi="Segoe UI Symbol" w:cs="Segoe UI Symbol" w:hint="default"/>
        <w:b w:val="0"/>
        <w:i w:val="0"/>
        <w:strike w:val="0"/>
        <w:dstrike w:val="0"/>
        <w:color w:val="000000"/>
        <w:sz w:val="24"/>
        <w:szCs w:val="24"/>
        <w:u w:val="none" w:color="000000"/>
        <w:bdr w:val="none" w:sz="0" w:space="0" w:color="auto"/>
        <w:shd w:val="clear" w:color="auto" w:fill="auto"/>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2" w15:restartNumberingAfterBreak="0">
    <w:nsid w:val="688A35D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3"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6EE21924"/>
    <w:multiLevelType w:val="hybridMultilevel"/>
    <w:tmpl w:val="E88CFE9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6" w15:restartNumberingAfterBreak="0">
    <w:nsid w:val="75D7021B"/>
    <w:multiLevelType w:val="hybridMultilevel"/>
    <w:tmpl w:val="069CDC3A"/>
    <w:lvl w:ilvl="0" w:tplc="CAAC2D2E">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75E52B4A"/>
    <w:multiLevelType w:val="hybridMultilevel"/>
    <w:tmpl w:val="E59AF812"/>
    <w:lvl w:ilvl="0" w:tplc="61B83010">
      <w:start w:val="1"/>
      <w:numFmt w:val="bullet"/>
      <w:lvlText w:val=""/>
      <w:lvlJc w:val="left"/>
      <w:pPr>
        <w:ind w:left="1080" w:hanging="360"/>
      </w:pPr>
      <w:rPr>
        <w:rFonts w:ascii="Wingdings" w:hAnsi="Wingdings" w:hint="default"/>
        <w:color w:val="D2232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8" w15:restartNumberingAfterBreak="0">
    <w:nsid w:val="75E6498E"/>
    <w:multiLevelType w:val="hybridMultilevel"/>
    <w:tmpl w:val="09707F86"/>
    <w:lvl w:ilvl="0" w:tplc="F342F086">
      <w:start w:val="18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67E04BB"/>
    <w:multiLevelType w:val="hybridMultilevel"/>
    <w:tmpl w:val="72CA4EBA"/>
    <w:lvl w:ilvl="0" w:tplc="CAAC2D2E">
      <w:start w:val="1"/>
      <w:numFmt w:val="bullet"/>
      <w:lvlText w:val=""/>
      <w:lvlJc w:val="left"/>
      <w:pPr>
        <w:ind w:left="720" w:hanging="360"/>
      </w:pPr>
      <w:rPr>
        <w:rFonts w:ascii="Wingdings" w:hAnsi="Wingdings" w:hint="default"/>
        <w:color w:val="D2232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7BB1B74"/>
    <w:multiLevelType w:val="hybridMultilevel"/>
    <w:tmpl w:val="24A64E9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1" w15:restartNumberingAfterBreak="0">
    <w:nsid w:val="799D56E7"/>
    <w:multiLevelType w:val="hybridMultilevel"/>
    <w:tmpl w:val="264A7192"/>
    <w:lvl w:ilvl="0" w:tplc="CF74418C">
      <w:start w:val="25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3"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84" w15:restartNumberingAfterBreak="0">
    <w:nsid w:val="7EC80E68"/>
    <w:multiLevelType w:val="hybridMultilevel"/>
    <w:tmpl w:val="9F786C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069645108">
    <w:abstractNumId w:val="11"/>
  </w:num>
  <w:num w:numId="2" w16cid:durableId="1589344166">
    <w:abstractNumId w:val="38"/>
  </w:num>
  <w:num w:numId="3" w16cid:durableId="2096660247">
    <w:abstractNumId w:val="82"/>
  </w:num>
  <w:num w:numId="4" w16cid:durableId="169760402">
    <w:abstractNumId w:val="51"/>
  </w:num>
  <w:num w:numId="5" w16cid:durableId="1097483352">
    <w:abstractNumId w:val="53"/>
  </w:num>
  <w:num w:numId="6" w16cid:durableId="890964378">
    <w:abstractNumId w:val="46"/>
  </w:num>
  <w:num w:numId="7" w16cid:durableId="267276314">
    <w:abstractNumId w:val="13"/>
  </w:num>
  <w:num w:numId="8" w16cid:durableId="898172006">
    <w:abstractNumId w:val="73"/>
  </w:num>
  <w:num w:numId="9" w16cid:durableId="419571994">
    <w:abstractNumId w:val="48"/>
  </w:num>
  <w:num w:numId="10" w16cid:durableId="1995258900">
    <w:abstractNumId w:val="36"/>
  </w:num>
  <w:num w:numId="11" w16cid:durableId="297221336">
    <w:abstractNumId w:val="60"/>
  </w:num>
  <w:num w:numId="12" w16cid:durableId="922757923">
    <w:abstractNumId w:val="25"/>
  </w:num>
  <w:num w:numId="13" w16cid:durableId="1811094899">
    <w:abstractNumId w:val="4"/>
  </w:num>
  <w:num w:numId="14" w16cid:durableId="1961759759">
    <w:abstractNumId w:val="64"/>
  </w:num>
  <w:num w:numId="15" w16cid:durableId="881135833">
    <w:abstractNumId w:val="66"/>
  </w:num>
  <w:num w:numId="16" w16cid:durableId="1649506098">
    <w:abstractNumId w:val="42"/>
  </w:num>
  <w:num w:numId="17" w16cid:durableId="63456031">
    <w:abstractNumId w:val="14"/>
  </w:num>
  <w:num w:numId="18" w16cid:durableId="180558154">
    <w:abstractNumId w:val="41"/>
  </w:num>
  <w:num w:numId="19" w16cid:durableId="596838545">
    <w:abstractNumId w:val="63"/>
  </w:num>
  <w:num w:numId="20" w16cid:durableId="67699410">
    <w:abstractNumId w:val="40"/>
  </w:num>
  <w:num w:numId="21" w16cid:durableId="1590308375">
    <w:abstractNumId w:val="69"/>
  </w:num>
  <w:num w:numId="22" w16cid:durableId="2071420820">
    <w:abstractNumId w:val="75"/>
  </w:num>
  <w:num w:numId="23" w16cid:durableId="1556161881">
    <w:abstractNumId w:val="43"/>
  </w:num>
  <w:num w:numId="24" w16cid:durableId="425657511">
    <w:abstractNumId w:val="37"/>
  </w:num>
  <w:num w:numId="25" w16cid:durableId="76023101">
    <w:abstractNumId w:val="24"/>
  </w:num>
  <w:num w:numId="26" w16cid:durableId="1008094741">
    <w:abstractNumId w:val="26"/>
  </w:num>
  <w:num w:numId="27" w16cid:durableId="611977730">
    <w:abstractNumId w:val="18"/>
  </w:num>
  <w:num w:numId="28" w16cid:durableId="909270640">
    <w:abstractNumId w:val="32"/>
  </w:num>
  <w:num w:numId="29" w16cid:durableId="1894777418">
    <w:abstractNumId w:val="46"/>
  </w:num>
  <w:num w:numId="30" w16cid:durableId="1119836835">
    <w:abstractNumId w:val="30"/>
  </w:num>
  <w:num w:numId="31" w16cid:durableId="275479675">
    <w:abstractNumId w:val="17"/>
  </w:num>
  <w:num w:numId="32" w16cid:durableId="1757556756">
    <w:abstractNumId w:val="57"/>
  </w:num>
  <w:num w:numId="33" w16cid:durableId="1836846125">
    <w:abstractNumId w:val="1"/>
  </w:num>
  <w:num w:numId="34" w16cid:durableId="774713312">
    <w:abstractNumId w:val="46"/>
    <w:lvlOverride w:ilvl="0">
      <w:startOverride w:val="1"/>
    </w:lvlOverride>
  </w:num>
  <w:num w:numId="35" w16cid:durableId="2087221594">
    <w:abstractNumId w:val="44"/>
  </w:num>
  <w:num w:numId="36" w16cid:durableId="168058204">
    <w:abstractNumId w:val="12"/>
  </w:num>
  <w:num w:numId="37" w16cid:durableId="1027297912">
    <w:abstractNumId w:val="7"/>
  </w:num>
  <w:num w:numId="38" w16cid:durableId="204296">
    <w:abstractNumId w:val="70"/>
  </w:num>
  <w:num w:numId="39" w16cid:durableId="1671176581">
    <w:abstractNumId w:val="61"/>
  </w:num>
  <w:num w:numId="40" w16cid:durableId="1077435005">
    <w:abstractNumId w:val="49"/>
  </w:num>
  <w:num w:numId="41" w16cid:durableId="1271278324">
    <w:abstractNumId w:val="65"/>
  </w:num>
  <w:num w:numId="42" w16cid:durableId="838425232">
    <w:abstractNumId w:val="55"/>
  </w:num>
  <w:num w:numId="43" w16cid:durableId="562330449">
    <w:abstractNumId w:val="8"/>
  </w:num>
  <w:num w:numId="44" w16cid:durableId="1907300982">
    <w:abstractNumId w:val="68"/>
  </w:num>
  <w:num w:numId="45" w16cid:durableId="818880715">
    <w:abstractNumId w:val="6"/>
  </w:num>
  <w:num w:numId="46" w16cid:durableId="629940505">
    <w:abstractNumId w:val="33"/>
  </w:num>
  <w:num w:numId="47" w16cid:durableId="1224288967">
    <w:abstractNumId w:val="39"/>
  </w:num>
  <w:num w:numId="48" w16cid:durableId="2776142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9398685">
    <w:abstractNumId w:val="19"/>
  </w:num>
  <w:num w:numId="50" w16cid:durableId="5180805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40103067">
    <w:abstractNumId w:val="23"/>
  </w:num>
  <w:num w:numId="52" w16cid:durableId="787236884">
    <w:abstractNumId w:val="3"/>
  </w:num>
  <w:num w:numId="53" w16cid:durableId="1382172732">
    <w:abstractNumId w:val="52"/>
  </w:num>
  <w:num w:numId="54" w16cid:durableId="1968388609">
    <w:abstractNumId w:val="31"/>
  </w:num>
  <w:num w:numId="55" w16cid:durableId="849563400">
    <w:abstractNumId w:val="50"/>
  </w:num>
  <w:num w:numId="56" w16cid:durableId="31733104">
    <w:abstractNumId w:val="59"/>
  </w:num>
  <w:num w:numId="57" w16cid:durableId="1112356126">
    <w:abstractNumId w:val="83"/>
  </w:num>
  <w:num w:numId="58" w16cid:durableId="717357118">
    <w:abstractNumId w:val="22"/>
  </w:num>
  <w:num w:numId="59" w16cid:durableId="1204756507">
    <w:abstractNumId w:val="27"/>
  </w:num>
  <w:num w:numId="60" w16cid:durableId="1945965092">
    <w:abstractNumId w:val="31"/>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1" w16cid:durableId="262081683">
    <w:abstractNumId w:val="31"/>
    <w:lvlOverride w:ilvl="0">
      <w:lvl w:ilvl="0">
        <w:start w:val="1"/>
        <w:numFmt w:val="decimal"/>
        <w:pStyle w:val="ECCNumberedList0"/>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62" w16cid:durableId="742340418">
    <w:abstractNumId w:val="52"/>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63" w16cid:durableId="150026934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6013608">
    <w:abstractNumId w:val="45"/>
  </w:num>
  <w:num w:numId="65" w16cid:durableId="1508792721">
    <w:abstractNumId w:val="23"/>
    <w:lvlOverride w:ilvl="0">
      <w:startOverride w:val="1"/>
    </w:lvlOverride>
  </w:num>
  <w:num w:numId="66" w16cid:durableId="375469324">
    <w:abstractNumId w:val="74"/>
  </w:num>
  <w:num w:numId="67" w16cid:durableId="900218543">
    <w:abstractNumId w:val="77"/>
  </w:num>
  <w:num w:numId="68" w16cid:durableId="181821059">
    <w:abstractNumId w:val="84"/>
  </w:num>
  <w:num w:numId="69" w16cid:durableId="977957864">
    <w:abstractNumId w:val="29"/>
  </w:num>
  <w:num w:numId="70" w16cid:durableId="453671808">
    <w:abstractNumId w:val="72"/>
  </w:num>
  <w:num w:numId="71" w16cid:durableId="1776318607">
    <w:abstractNumId w:val="28"/>
  </w:num>
  <w:num w:numId="72" w16cid:durableId="160971913">
    <w:abstractNumId w:val="81"/>
  </w:num>
  <w:num w:numId="73" w16cid:durableId="1686714003">
    <w:abstractNumId w:val="80"/>
  </w:num>
  <w:num w:numId="74" w16cid:durableId="2140761918">
    <w:abstractNumId w:val="38"/>
  </w:num>
  <w:num w:numId="75" w16cid:durableId="258291394">
    <w:abstractNumId w:val="35"/>
  </w:num>
  <w:num w:numId="76" w16cid:durableId="2018337062">
    <w:abstractNumId w:val="54"/>
  </w:num>
  <w:num w:numId="77" w16cid:durableId="806512881">
    <w:abstractNumId w:val="2"/>
  </w:num>
  <w:num w:numId="78" w16cid:durableId="2131389307">
    <w:abstractNumId w:val="21"/>
  </w:num>
  <w:num w:numId="79" w16cid:durableId="319575187">
    <w:abstractNumId w:val="38"/>
  </w:num>
  <w:num w:numId="80" w16cid:durableId="1098252439">
    <w:abstractNumId w:val="47"/>
  </w:num>
  <w:num w:numId="81" w16cid:durableId="1366714416">
    <w:abstractNumId w:val="67"/>
  </w:num>
  <w:num w:numId="82" w16cid:durableId="620841807">
    <w:abstractNumId w:val="38"/>
  </w:num>
  <w:num w:numId="83" w16cid:durableId="855576918">
    <w:abstractNumId w:val="78"/>
  </w:num>
  <w:num w:numId="84" w16cid:durableId="1780567576">
    <w:abstractNumId w:val="79"/>
  </w:num>
  <w:num w:numId="85" w16cid:durableId="735319864">
    <w:abstractNumId w:val="76"/>
  </w:num>
  <w:num w:numId="86" w16cid:durableId="1260720871">
    <w:abstractNumId w:val="62"/>
  </w:num>
  <w:num w:numId="87" w16cid:durableId="239678463">
    <w:abstractNumId w:val="13"/>
  </w:num>
  <w:num w:numId="88" w16cid:durableId="631250559">
    <w:abstractNumId w:val="34"/>
  </w:num>
  <w:num w:numId="89" w16cid:durableId="1946616153">
    <w:abstractNumId w:val="0"/>
  </w:num>
  <w:num w:numId="90" w16cid:durableId="1836603480">
    <w:abstractNumId w:val="13"/>
  </w:num>
  <w:num w:numId="91" w16cid:durableId="922959019">
    <w:abstractNumId w:val="15"/>
  </w:num>
  <w:num w:numId="92" w16cid:durableId="855340666">
    <w:abstractNumId w:val="58"/>
  </w:num>
  <w:num w:numId="93" w16cid:durableId="483816502">
    <w:abstractNumId w:val="38"/>
  </w:num>
  <w:num w:numId="94" w16cid:durableId="1192960695">
    <w:abstractNumId w:val="38"/>
  </w:num>
  <w:num w:numId="95" w16cid:durableId="1103576183">
    <w:abstractNumId w:val="71"/>
  </w:num>
  <w:num w:numId="96" w16cid:durableId="1885408966">
    <w:abstractNumId w:val="0"/>
  </w:num>
  <w:num w:numId="97" w16cid:durableId="629632986">
    <w:abstractNumId w:val="5"/>
  </w:num>
  <w:num w:numId="98" w16cid:durableId="2030909684">
    <w:abstractNumId w:val="56"/>
    <w:lvlOverride w:ilvl="0">
      <w:startOverride w:val="1"/>
    </w:lvlOverride>
  </w:num>
  <w:num w:numId="99" w16cid:durableId="1247613513">
    <w:abstractNumId w:val="20"/>
  </w:num>
  <w:num w:numId="100" w16cid:durableId="1957179432">
    <w:abstractNumId w:val="9"/>
  </w:num>
  <w:num w:numId="101" w16cid:durableId="730226588">
    <w:abstractNumId w:val="10"/>
  </w:num>
  <w:num w:numId="102" w16cid:durableId="1725640135">
    <w:abstractNumId w:val="16"/>
  </w:num>
  <w:num w:numId="103" w16cid:durableId="2019964421">
    <w:abstractNumId w:val="38"/>
  </w:num>
  <w:num w:numId="104" w16cid:durableId="613247213">
    <w:abstractNumId w:val="3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7"/>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8F1"/>
    <w:rsid w:val="00000793"/>
    <w:rsid w:val="000008D8"/>
    <w:rsid w:val="00003DC4"/>
    <w:rsid w:val="000064F0"/>
    <w:rsid w:val="0000673C"/>
    <w:rsid w:val="00006A9D"/>
    <w:rsid w:val="00014082"/>
    <w:rsid w:val="00014EBB"/>
    <w:rsid w:val="00016F77"/>
    <w:rsid w:val="00025872"/>
    <w:rsid w:val="00025CB4"/>
    <w:rsid w:val="00026095"/>
    <w:rsid w:val="0003336A"/>
    <w:rsid w:val="00036E57"/>
    <w:rsid w:val="00037961"/>
    <w:rsid w:val="000429A1"/>
    <w:rsid w:val="0004429B"/>
    <w:rsid w:val="0004558A"/>
    <w:rsid w:val="00046F5E"/>
    <w:rsid w:val="000504DC"/>
    <w:rsid w:val="00057288"/>
    <w:rsid w:val="00065CA8"/>
    <w:rsid w:val="00065EFE"/>
    <w:rsid w:val="00071375"/>
    <w:rsid w:val="000728AA"/>
    <w:rsid w:val="000731E0"/>
    <w:rsid w:val="000746D0"/>
    <w:rsid w:val="0007572D"/>
    <w:rsid w:val="000759A0"/>
    <w:rsid w:val="00076C16"/>
    <w:rsid w:val="00080AF2"/>
    <w:rsid w:val="00082723"/>
    <w:rsid w:val="0008577A"/>
    <w:rsid w:val="0009035A"/>
    <w:rsid w:val="000A47B2"/>
    <w:rsid w:val="000A5AFD"/>
    <w:rsid w:val="000A60A8"/>
    <w:rsid w:val="000A62E3"/>
    <w:rsid w:val="000A79A9"/>
    <w:rsid w:val="000B47A5"/>
    <w:rsid w:val="000B60BF"/>
    <w:rsid w:val="000B72AE"/>
    <w:rsid w:val="000C196E"/>
    <w:rsid w:val="000C2478"/>
    <w:rsid w:val="000C30BC"/>
    <w:rsid w:val="000C52B6"/>
    <w:rsid w:val="000D3B7A"/>
    <w:rsid w:val="000D6087"/>
    <w:rsid w:val="000D7BF3"/>
    <w:rsid w:val="000E1AEA"/>
    <w:rsid w:val="000E2629"/>
    <w:rsid w:val="000E53C4"/>
    <w:rsid w:val="000F4273"/>
    <w:rsid w:val="000F52CE"/>
    <w:rsid w:val="000F5DAF"/>
    <w:rsid w:val="000F6CFC"/>
    <w:rsid w:val="000F79D4"/>
    <w:rsid w:val="001062B8"/>
    <w:rsid w:val="00107A8C"/>
    <w:rsid w:val="00111181"/>
    <w:rsid w:val="00111F56"/>
    <w:rsid w:val="00113313"/>
    <w:rsid w:val="00113DD5"/>
    <w:rsid w:val="0011547E"/>
    <w:rsid w:val="00115A9E"/>
    <w:rsid w:val="001175D3"/>
    <w:rsid w:val="00124636"/>
    <w:rsid w:val="001250BA"/>
    <w:rsid w:val="00125442"/>
    <w:rsid w:val="0012555A"/>
    <w:rsid w:val="0012652A"/>
    <w:rsid w:val="00143362"/>
    <w:rsid w:val="00143BED"/>
    <w:rsid w:val="00146C97"/>
    <w:rsid w:val="00147612"/>
    <w:rsid w:val="001511C8"/>
    <w:rsid w:val="0015471D"/>
    <w:rsid w:val="00157094"/>
    <w:rsid w:val="00160F9E"/>
    <w:rsid w:val="00162F6F"/>
    <w:rsid w:val="00163D0F"/>
    <w:rsid w:val="001657C5"/>
    <w:rsid w:val="00166803"/>
    <w:rsid w:val="00175317"/>
    <w:rsid w:val="0018100F"/>
    <w:rsid w:val="001A0FA5"/>
    <w:rsid w:val="001A4CBF"/>
    <w:rsid w:val="001A6061"/>
    <w:rsid w:val="001B0239"/>
    <w:rsid w:val="001B259E"/>
    <w:rsid w:val="001B5010"/>
    <w:rsid w:val="001B53E5"/>
    <w:rsid w:val="001B6E4B"/>
    <w:rsid w:val="001C210B"/>
    <w:rsid w:val="001C50A3"/>
    <w:rsid w:val="001C6B6B"/>
    <w:rsid w:val="001D04F9"/>
    <w:rsid w:val="001D289F"/>
    <w:rsid w:val="001D514F"/>
    <w:rsid w:val="001D5FC9"/>
    <w:rsid w:val="001D65BC"/>
    <w:rsid w:val="001E0BBB"/>
    <w:rsid w:val="001E0F99"/>
    <w:rsid w:val="001E219F"/>
    <w:rsid w:val="001F0FB1"/>
    <w:rsid w:val="001F2310"/>
    <w:rsid w:val="001F39DE"/>
    <w:rsid w:val="001F4368"/>
    <w:rsid w:val="0020049F"/>
    <w:rsid w:val="00200681"/>
    <w:rsid w:val="00202121"/>
    <w:rsid w:val="00204FCA"/>
    <w:rsid w:val="002056AA"/>
    <w:rsid w:val="00205F7C"/>
    <w:rsid w:val="00210444"/>
    <w:rsid w:val="00210987"/>
    <w:rsid w:val="00212628"/>
    <w:rsid w:val="002138E2"/>
    <w:rsid w:val="002146C7"/>
    <w:rsid w:val="00216637"/>
    <w:rsid w:val="00216A24"/>
    <w:rsid w:val="00216BE1"/>
    <w:rsid w:val="002206C4"/>
    <w:rsid w:val="002209A7"/>
    <w:rsid w:val="0022144D"/>
    <w:rsid w:val="002229D7"/>
    <w:rsid w:val="0022328E"/>
    <w:rsid w:val="0022547D"/>
    <w:rsid w:val="0022588A"/>
    <w:rsid w:val="0022636E"/>
    <w:rsid w:val="00226EE7"/>
    <w:rsid w:val="0023035F"/>
    <w:rsid w:val="00231B29"/>
    <w:rsid w:val="0023322F"/>
    <w:rsid w:val="00236CD6"/>
    <w:rsid w:val="002426D3"/>
    <w:rsid w:val="0024305D"/>
    <w:rsid w:val="00243B0F"/>
    <w:rsid w:val="00243C95"/>
    <w:rsid w:val="002478F1"/>
    <w:rsid w:val="0025048B"/>
    <w:rsid w:val="002516E3"/>
    <w:rsid w:val="002519F8"/>
    <w:rsid w:val="00260606"/>
    <w:rsid w:val="002617AE"/>
    <w:rsid w:val="00261FA8"/>
    <w:rsid w:val="00263579"/>
    <w:rsid w:val="00265877"/>
    <w:rsid w:val="00281EC1"/>
    <w:rsid w:val="002827F3"/>
    <w:rsid w:val="0028382C"/>
    <w:rsid w:val="002854F5"/>
    <w:rsid w:val="002867F9"/>
    <w:rsid w:val="00286FFD"/>
    <w:rsid w:val="00293CDC"/>
    <w:rsid w:val="00296455"/>
    <w:rsid w:val="0029792D"/>
    <w:rsid w:val="002A2E17"/>
    <w:rsid w:val="002B07E2"/>
    <w:rsid w:val="002B4506"/>
    <w:rsid w:val="002C145E"/>
    <w:rsid w:val="002C333C"/>
    <w:rsid w:val="002C4CF3"/>
    <w:rsid w:val="002C7618"/>
    <w:rsid w:val="002E0CB2"/>
    <w:rsid w:val="002E0F10"/>
    <w:rsid w:val="002F0472"/>
    <w:rsid w:val="002F63B1"/>
    <w:rsid w:val="00302780"/>
    <w:rsid w:val="00303FEE"/>
    <w:rsid w:val="003078C6"/>
    <w:rsid w:val="003079F1"/>
    <w:rsid w:val="0031032E"/>
    <w:rsid w:val="003107FB"/>
    <w:rsid w:val="00311E14"/>
    <w:rsid w:val="003147B3"/>
    <w:rsid w:val="00315639"/>
    <w:rsid w:val="003176A8"/>
    <w:rsid w:val="0032036A"/>
    <w:rsid w:val="00325553"/>
    <w:rsid w:val="0032661B"/>
    <w:rsid w:val="0033444B"/>
    <w:rsid w:val="00334E53"/>
    <w:rsid w:val="00335EA5"/>
    <w:rsid w:val="00340280"/>
    <w:rsid w:val="00340315"/>
    <w:rsid w:val="0034387A"/>
    <w:rsid w:val="00344EFB"/>
    <w:rsid w:val="00345024"/>
    <w:rsid w:val="003472C5"/>
    <w:rsid w:val="00347770"/>
    <w:rsid w:val="003501C8"/>
    <w:rsid w:val="00351E5E"/>
    <w:rsid w:val="00351EA2"/>
    <w:rsid w:val="00356FA7"/>
    <w:rsid w:val="00360E42"/>
    <w:rsid w:val="003611B2"/>
    <w:rsid w:val="00361306"/>
    <w:rsid w:val="0036256C"/>
    <w:rsid w:val="003645F4"/>
    <w:rsid w:val="00366D6E"/>
    <w:rsid w:val="00367136"/>
    <w:rsid w:val="00372F56"/>
    <w:rsid w:val="003736CE"/>
    <w:rsid w:val="00373F36"/>
    <w:rsid w:val="00374581"/>
    <w:rsid w:val="00375E26"/>
    <w:rsid w:val="003800CF"/>
    <w:rsid w:val="00381AFA"/>
    <w:rsid w:val="00381EE0"/>
    <w:rsid w:val="00383C4F"/>
    <w:rsid w:val="00385B01"/>
    <w:rsid w:val="00391ADA"/>
    <w:rsid w:val="00394984"/>
    <w:rsid w:val="003A0FA3"/>
    <w:rsid w:val="003A6640"/>
    <w:rsid w:val="003B00C9"/>
    <w:rsid w:val="003B34A1"/>
    <w:rsid w:val="003B4B7B"/>
    <w:rsid w:val="003B63B5"/>
    <w:rsid w:val="003C2E29"/>
    <w:rsid w:val="003C3EE4"/>
    <w:rsid w:val="003C5B56"/>
    <w:rsid w:val="003C5C5E"/>
    <w:rsid w:val="003D0A5C"/>
    <w:rsid w:val="003D31C1"/>
    <w:rsid w:val="003D3A35"/>
    <w:rsid w:val="003D5699"/>
    <w:rsid w:val="003D6417"/>
    <w:rsid w:val="003E7815"/>
    <w:rsid w:val="003F016C"/>
    <w:rsid w:val="003F0FE2"/>
    <w:rsid w:val="003F17D5"/>
    <w:rsid w:val="003F2304"/>
    <w:rsid w:val="003F3AFB"/>
    <w:rsid w:val="003F721F"/>
    <w:rsid w:val="00400D3A"/>
    <w:rsid w:val="00401BF5"/>
    <w:rsid w:val="004034A3"/>
    <w:rsid w:val="00411C3F"/>
    <w:rsid w:val="00412614"/>
    <w:rsid w:val="0041591C"/>
    <w:rsid w:val="00416118"/>
    <w:rsid w:val="00416301"/>
    <w:rsid w:val="0042000E"/>
    <w:rsid w:val="00420549"/>
    <w:rsid w:val="00420A98"/>
    <w:rsid w:val="00421098"/>
    <w:rsid w:val="004213BB"/>
    <w:rsid w:val="004214E5"/>
    <w:rsid w:val="00421C70"/>
    <w:rsid w:val="00424E9A"/>
    <w:rsid w:val="00426205"/>
    <w:rsid w:val="00426834"/>
    <w:rsid w:val="004300A4"/>
    <w:rsid w:val="00431162"/>
    <w:rsid w:val="004364B8"/>
    <w:rsid w:val="00436895"/>
    <w:rsid w:val="00440123"/>
    <w:rsid w:val="0044226A"/>
    <w:rsid w:val="0044362C"/>
    <w:rsid w:val="004453CF"/>
    <w:rsid w:val="00445B1D"/>
    <w:rsid w:val="00452739"/>
    <w:rsid w:val="00454912"/>
    <w:rsid w:val="00454F39"/>
    <w:rsid w:val="004551B7"/>
    <w:rsid w:val="004553AC"/>
    <w:rsid w:val="0045742B"/>
    <w:rsid w:val="004602BD"/>
    <w:rsid w:val="00464310"/>
    <w:rsid w:val="0046658E"/>
    <w:rsid w:val="004721AE"/>
    <w:rsid w:val="00472C45"/>
    <w:rsid w:val="00476DE3"/>
    <w:rsid w:val="00480510"/>
    <w:rsid w:val="00480AFC"/>
    <w:rsid w:val="00490A8C"/>
    <w:rsid w:val="004927A6"/>
    <w:rsid w:val="004929E1"/>
    <w:rsid w:val="004933B7"/>
    <w:rsid w:val="00495427"/>
    <w:rsid w:val="004A016E"/>
    <w:rsid w:val="004A0AAB"/>
    <w:rsid w:val="004A182B"/>
    <w:rsid w:val="004A6F2C"/>
    <w:rsid w:val="004B4429"/>
    <w:rsid w:val="004C25E3"/>
    <w:rsid w:val="004C51AC"/>
    <w:rsid w:val="004D0730"/>
    <w:rsid w:val="004D19C6"/>
    <w:rsid w:val="004D2D57"/>
    <w:rsid w:val="004D682F"/>
    <w:rsid w:val="004D771C"/>
    <w:rsid w:val="004D7E25"/>
    <w:rsid w:val="004E71EF"/>
    <w:rsid w:val="004E7B02"/>
    <w:rsid w:val="004F014E"/>
    <w:rsid w:val="004F1990"/>
    <w:rsid w:val="004F1C24"/>
    <w:rsid w:val="004F258B"/>
    <w:rsid w:val="004F25DD"/>
    <w:rsid w:val="004F6AE8"/>
    <w:rsid w:val="004F6D72"/>
    <w:rsid w:val="00500170"/>
    <w:rsid w:val="00512677"/>
    <w:rsid w:val="00512957"/>
    <w:rsid w:val="0051420D"/>
    <w:rsid w:val="0052443F"/>
    <w:rsid w:val="00526556"/>
    <w:rsid w:val="005308AE"/>
    <w:rsid w:val="00530959"/>
    <w:rsid w:val="00531CC0"/>
    <w:rsid w:val="00532AFA"/>
    <w:rsid w:val="005336A6"/>
    <w:rsid w:val="0053531D"/>
    <w:rsid w:val="00535AB4"/>
    <w:rsid w:val="00536258"/>
    <w:rsid w:val="0054115C"/>
    <w:rsid w:val="005460A4"/>
    <w:rsid w:val="00546711"/>
    <w:rsid w:val="005519E0"/>
    <w:rsid w:val="005522BF"/>
    <w:rsid w:val="00553D7D"/>
    <w:rsid w:val="0055627D"/>
    <w:rsid w:val="005575EE"/>
    <w:rsid w:val="005609C2"/>
    <w:rsid w:val="00563DDD"/>
    <w:rsid w:val="00570522"/>
    <w:rsid w:val="00570E0E"/>
    <w:rsid w:val="00571822"/>
    <w:rsid w:val="005723E3"/>
    <w:rsid w:val="00573086"/>
    <w:rsid w:val="005738EB"/>
    <w:rsid w:val="005739CB"/>
    <w:rsid w:val="005756BB"/>
    <w:rsid w:val="00581338"/>
    <w:rsid w:val="00583B3A"/>
    <w:rsid w:val="00586C4B"/>
    <w:rsid w:val="0059034C"/>
    <w:rsid w:val="005966DD"/>
    <w:rsid w:val="00597270"/>
    <w:rsid w:val="005A19EE"/>
    <w:rsid w:val="005B2F4B"/>
    <w:rsid w:val="005B6241"/>
    <w:rsid w:val="005B71F9"/>
    <w:rsid w:val="005C1A90"/>
    <w:rsid w:val="005C557F"/>
    <w:rsid w:val="005C62AF"/>
    <w:rsid w:val="005D067C"/>
    <w:rsid w:val="005D3AD1"/>
    <w:rsid w:val="005D4E6D"/>
    <w:rsid w:val="005D5D96"/>
    <w:rsid w:val="005D60E4"/>
    <w:rsid w:val="005E16B2"/>
    <w:rsid w:val="005E7BA4"/>
    <w:rsid w:val="005F1F7E"/>
    <w:rsid w:val="005F43A3"/>
    <w:rsid w:val="005F4AFB"/>
    <w:rsid w:val="005F4F91"/>
    <w:rsid w:val="005F5C6F"/>
    <w:rsid w:val="005F6B1C"/>
    <w:rsid w:val="00604705"/>
    <w:rsid w:val="00605CFF"/>
    <w:rsid w:val="006063B6"/>
    <w:rsid w:val="00620E2B"/>
    <w:rsid w:val="00622EC8"/>
    <w:rsid w:val="006233E4"/>
    <w:rsid w:val="00626936"/>
    <w:rsid w:val="00630C08"/>
    <w:rsid w:val="00631614"/>
    <w:rsid w:val="006316D3"/>
    <w:rsid w:val="00631E02"/>
    <w:rsid w:val="0063297D"/>
    <w:rsid w:val="00632DE6"/>
    <w:rsid w:val="00632E85"/>
    <w:rsid w:val="00634086"/>
    <w:rsid w:val="006354C4"/>
    <w:rsid w:val="006422E1"/>
    <w:rsid w:val="00642F45"/>
    <w:rsid w:val="006449C0"/>
    <w:rsid w:val="00647139"/>
    <w:rsid w:val="00651BE9"/>
    <w:rsid w:val="00654645"/>
    <w:rsid w:val="00656111"/>
    <w:rsid w:val="00657F42"/>
    <w:rsid w:val="0066316E"/>
    <w:rsid w:val="00664E34"/>
    <w:rsid w:val="00667C31"/>
    <w:rsid w:val="0067222B"/>
    <w:rsid w:val="006755F2"/>
    <w:rsid w:val="0067694F"/>
    <w:rsid w:val="00680B1E"/>
    <w:rsid w:val="00681D19"/>
    <w:rsid w:val="006850B4"/>
    <w:rsid w:val="00690155"/>
    <w:rsid w:val="0069138A"/>
    <w:rsid w:val="006948DB"/>
    <w:rsid w:val="00696C3E"/>
    <w:rsid w:val="00696ED0"/>
    <w:rsid w:val="006A2FEC"/>
    <w:rsid w:val="006A3211"/>
    <w:rsid w:val="006A76F0"/>
    <w:rsid w:val="006B5532"/>
    <w:rsid w:val="006B5B3E"/>
    <w:rsid w:val="006B7339"/>
    <w:rsid w:val="006B797E"/>
    <w:rsid w:val="006C0294"/>
    <w:rsid w:val="006C02A8"/>
    <w:rsid w:val="006C2523"/>
    <w:rsid w:val="006C2FC6"/>
    <w:rsid w:val="006C58FF"/>
    <w:rsid w:val="006D3CFC"/>
    <w:rsid w:val="006D6281"/>
    <w:rsid w:val="006D7FE7"/>
    <w:rsid w:val="006E1814"/>
    <w:rsid w:val="006E233A"/>
    <w:rsid w:val="006E3515"/>
    <w:rsid w:val="006E3AFA"/>
    <w:rsid w:val="006E4706"/>
    <w:rsid w:val="006E4732"/>
    <w:rsid w:val="006E5E5A"/>
    <w:rsid w:val="006E5EB7"/>
    <w:rsid w:val="006E690D"/>
    <w:rsid w:val="006F4CF0"/>
    <w:rsid w:val="006F5883"/>
    <w:rsid w:val="006F670F"/>
    <w:rsid w:val="006F7026"/>
    <w:rsid w:val="006F798A"/>
    <w:rsid w:val="007012CD"/>
    <w:rsid w:val="0070167E"/>
    <w:rsid w:val="00711357"/>
    <w:rsid w:val="00712F8D"/>
    <w:rsid w:val="00714CB1"/>
    <w:rsid w:val="00715F78"/>
    <w:rsid w:val="00717C03"/>
    <w:rsid w:val="00720B79"/>
    <w:rsid w:val="0072511D"/>
    <w:rsid w:val="0073079A"/>
    <w:rsid w:val="007308DA"/>
    <w:rsid w:val="00732DE3"/>
    <w:rsid w:val="007341B6"/>
    <w:rsid w:val="0073428B"/>
    <w:rsid w:val="00736374"/>
    <w:rsid w:val="00737D5F"/>
    <w:rsid w:val="007431F8"/>
    <w:rsid w:val="00744893"/>
    <w:rsid w:val="0075687E"/>
    <w:rsid w:val="007579CC"/>
    <w:rsid w:val="00757A23"/>
    <w:rsid w:val="00757EE2"/>
    <w:rsid w:val="00761D27"/>
    <w:rsid w:val="007646C9"/>
    <w:rsid w:val="00766E2A"/>
    <w:rsid w:val="00767447"/>
    <w:rsid w:val="00771DBF"/>
    <w:rsid w:val="00772501"/>
    <w:rsid w:val="00774D3D"/>
    <w:rsid w:val="00781640"/>
    <w:rsid w:val="007835AC"/>
    <w:rsid w:val="0078599B"/>
    <w:rsid w:val="00790F4A"/>
    <w:rsid w:val="007921CC"/>
    <w:rsid w:val="0079290F"/>
    <w:rsid w:val="00793A62"/>
    <w:rsid w:val="00794D51"/>
    <w:rsid w:val="007960EC"/>
    <w:rsid w:val="007A02EF"/>
    <w:rsid w:val="007A24E3"/>
    <w:rsid w:val="007A4617"/>
    <w:rsid w:val="007A6F23"/>
    <w:rsid w:val="007B0C8F"/>
    <w:rsid w:val="007B2417"/>
    <w:rsid w:val="007B2B48"/>
    <w:rsid w:val="007B6A42"/>
    <w:rsid w:val="007C0B4D"/>
    <w:rsid w:val="007C11AF"/>
    <w:rsid w:val="007C67EF"/>
    <w:rsid w:val="007C6C41"/>
    <w:rsid w:val="007C7A51"/>
    <w:rsid w:val="007D2C51"/>
    <w:rsid w:val="007D3CAB"/>
    <w:rsid w:val="007D4DAC"/>
    <w:rsid w:val="007D6386"/>
    <w:rsid w:val="007E1597"/>
    <w:rsid w:val="007E1E4E"/>
    <w:rsid w:val="007E3286"/>
    <w:rsid w:val="007E4444"/>
    <w:rsid w:val="007E4C75"/>
    <w:rsid w:val="007E7386"/>
    <w:rsid w:val="007F1F65"/>
    <w:rsid w:val="007F35F6"/>
    <w:rsid w:val="007F6063"/>
    <w:rsid w:val="007F7702"/>
    <w:rsid w:val="008012D7"/>
    <w:rsid w:val="00801386"/>
    <w:rsid w:val="00802575"/>
    <w:rsid w:val="00806FD9"/>
    <w:rsid w:val="00810966"/>
    <w:rsid w:val="00810E0F"/>
    <w:rsid w:val="008112D7"/>
    <w:rsid w:val="008146BC"/>
    <w:rsid w:val="008160C0"/>
    <w:rsid w:val="00820144"/>
    <w:rsid w:val="0082049B"/>
    <w:rsid w:val="00822680"/>
    <w:rsid w:val="0082321C"/>
    <w:rsid w:val="00823DDD"/>
    <w:rsid w:val="0083411B"/>
    <w:rsid w:val="00836886"/>
    <w:rsid w:val="008372D2"/>
    <w:rsid w:val="00840F24"/>
    <w:rsid w:val="00842E98"/>
    <w:rsid w:val="00843872"/>
    <w:rsid w:val="00844ABD"/>
    <w:rsid w:val="0084551D"/>
    <w:rsid w:val="00847618"/>
    <w:rsid w:val="008517C6"/>
    <w:rsid w:val="008535A7"/>
    <w:rsid w:val="00853D4A"/>
    <w:rsid w:val="00860A3A"/>
    <w:rsid w:val="00860EC4"/>
    <w:rsid w:val="008644B3"/>
    <w:rsid w:val="00864D0F"/>
    <w:rsid w:val="00865BD5"/>
    <w:rsid w:val="00867598"/>
    <w:rsid w:val="0087002F"/>
    <w:rsid w:val="00871FB8"/>
    <w:rsid w:val="00874620"/>
    <w:rsid w:val="00874796"/>
    <w:rsid w:val="00874A49"/>
    <w:rsid w:val="00876443"/>
    <w:rsid w:val="008776DA"/>
    <w:rsid w:val="00880AA2"/>
    <w:rsid w:val="00883AA1"/>
    <w:rsid w:val="00883E73"/>
    <w:rsid w:val="00885615"/>
    <w:rsid w:val="008923E1"/>
    <w:rsid w:val="008937C3"/>
    <w:rsid w:val="0089398D"/>
    <w:rsid w:val="00896104"/>
    <w:rsid w:val="008A179F"/>
    <w:rsid w:val="008A189A"/>
    <w:rsid w:val="008A4F02"/>
    <w:rsid w:val="008B1DC8"/>
    <w:rsid w:val="008B2E77"/>
    <w:rsid w:val="008B6378"/>
    <w:rsid w:val="008B64CF"/>
    <w:rsid w:val="008B7836"/>
    <w:rsid w:val="008C0C2F"/>
    <w:rsid w:val="008C1F73"/>
    <w:rsid w:val="008C58B3"/>
    <w:rsid w:val="008D10CE"/>
    <w:rsid w:val="008D11DC"/>
    <w:rsid w:val="008D1C2F"/>
    <w:rsid w:val="008D4D17"/>
    <w:rsid w:val="008E6007"/>
    <w:rsid w:val="008F12E7"/>
    <w:rsid w:val="008F202D"/>
    <w:rsid w:val="008F3308"/>
    <w:rsid w:val="008F4654"/>
    <w:rsid w:val="0090328D"/>
    <w:rsid w:val="00903D26"/>
    <w:rsid w:val="00907D07"/>
    <w:rsid w:val="009107A5"/>
    <w:rsid w:val="0091188A"/>
    <w:rsid w:val="00912CE4"/>
    <w:rsid w:val="0091360C"/>
    <w:rsid w:val="009141D6"/>
    <w:rsid w:val="00914BDD"/>
    <w:rsid w:val="00914CBC"/>
    <w:rsid w:val="00920C02"/>
    <w:rsid w:val="009212AC"/>
    <w:rsid w:val="00921482"/>
    <w:rsid w:val="00921B26"/>
    <w:rsid w:val="0092344D"/>
    <w:rsid w:val="00923BAB"/>
    <w:rsid w:val="00924661"/>
    <w:rsid w:val="00925A00"/>
    <w:rsid w:val="00925F3B"/>
    <w:rsid w:val="0093038D"/>
    <w:rsid w:val="009313F2"/>
    <w:rsid w:val="00931EE1"/>
    <w:rsid w:val="00932237"/>
    <w:rsid w:val="0093228D"/>
    <w:rsid w:val="009323E4"/>
    <w:rsid w:val="00935C2F"/>
    <w:rsid w:val="00936286"/>
    <w:rsid w:val="0093759F"/>
    <w:rsid w:val="00940A07"/>
    <w:rsid w:val="009446ED"/>
    <w:rsid w:val="00944E75"/>
    <w:rsid w:val="0094573B"/>
    <w:rsid w:val="009507F2"/>
    <w:rsid w:val="00954884"/>
    <w:rsid w:val="00955D8A"/>
    <w:rsid w:val="00957027"/>
    <w:rsid w:val="00966141"/>
    <w:rsid w:val="009663C7"/>
    <w:rsid w:val="009726D6"/>
    <w:rsid w:val="00974D7F"/>
    <w:rsid w:val="00977820"/>
    <w:rsid w:val="0098054D"/>
    <w:rsid w:val="00982AF6"/>
    <w:rsid w:val="0098695D"/>
    <w:rsid w:val="00991363"/>
    <w:rsid w:val="00995839"/>
    <w:rsid w:val="009958C8"/>
    <w:rsid w:val="009974CF"/>
    <w:rsid w:val="009A511F"/>
    <w:rsid w:val="009A7690"/>
    <w:rsid w:val="009A7B1E"/>
    <w:rsid w:val="009B3E06"/>
    <w:rsid w:val="009B75B7"/>
    <w:rsid w:val="009C1932"/>
    <w:rsid w:val="009C2E0B"/>
    <w:rsid w:val="009D3D6D"/>
    <w:rsid w:val="009D5CF3"/>
    <w:rsid w:val="009D5DED"/>
    <w:rsid w:val="009E2092"/>
    <w:rsid w:val="009E2507"/>
    <w:rsid w:val="009E3241"/>
    <w:rsid w:val="009E5D48"/>
    <w:rsid w:val="009F1A63"/>
    <w:rsid w:val="009F2F78"/>
    <w:rsid w:val="009F3A20"/>
    <w:rsid w:val="009F7855"/>
    <w:rsid w:val="009F7BDA"/>
    <w:rsid w:val="00A010F1"/>
    <w:rsid w:val="00A01445"/>
    <w:rsid w:val="00A01CCB"/>
    <w:rsid w:val="00A03576"/>
    <w:rsid w:val="00A038B5"/>
    <w:rsid w:val="00A047C4"/>
    <w:rsid w:val="00A04D02"/>
    <w:rsid w:val="00A05B90"/>
    <w:rsid w:val="00A10B0F"/>
    <w:rsid w:val="00A13D6A"/>
    <w:rsid w:val="00A377EE"/>
    <w:rsid w:val="00A43F7E"/>
    <w:rsid w:val="00A441E5"/>
    <w:rsid w:val="00A4585E"/>
    <w:rsid w:val="00A460D5"/>
    <w:rsid w:val="00A465F7"/>
    <w:rsid w:val="00A46BC1"/>
    <w:rsid w:val="00A46FB7"/>
    <w:rsid w:val="00A47D78"/>
    <w:rsid w:val="00A50E50"/>
    <w:rsid w:val="00A55835"/>
    <w:rsid w:val="00A56FB8"/>
    <w:rsid w:val="00A61D95"/>
    <w:rsid w:val="00A633B3"/>
    <w:rsid w:val="00A6351A"/>
    <w:rsid w:val="00A64692"/>
    <w:rsid w:val="00A74A46"/>
    <w:rsid w:val="00A8167C"/>
    <w:rsid w:val="00A86071"/>
    <w:rsid w:val="00A86325"/>
    <w:rsid w:val="00A87C03"/>
    <w:rsid w:val="00A902D3"/>
    <w:rsid w:val="00A90AB0"/>
    <w:rsid w:val="00A90C24"/>
    <w:rsid w:val="00A925B1"/>
    <w:rsid w:val="00A95D79"/>
    <w:rsid w:val="00AA2749"/>
    <w:rsid w:val="00AB00AF"/>
    <w:rsid w:val="00AB1354"/>
    <w:rsid w:val="00AB297E"/>
    <w:rsid w:val="00AB46DF"/>
    <w:rsid w:val="00AB500A"/>
    <w:rsid w:val="00AB53B2"/>
    <w:rsid w:val="00AB541C"/>
    <w:rsid w:val="00AB7327"/>
    <w:rsid w:val="00AC004D"/>
    <w:rsid w:val="00AC310B"/>
    <w:rsid w:val="00AC7F5E"/>
    <w:rsid w:val="00AD1A66"/>
    <w:rsid w:val="00AD1A8D"/>
    <w:rsid w:val="00AD1F71"/>
    <w:rsid w:val="00AD630A"/>
    <w:rsid w:val="00AD727A"/>
    <w:rsid w:val="00AE2681"/>
    <w:rsid w:val="00AE2699"/>
    <w:rsid w:val="00AE4A92"/>
    <w:rsid w:val="00AF02C8"/>
    <w:rsid w:val="00AF3021"/>
    <w:rsid w:val="00AF57AE"/>
    <w:rsid w:val="00AF5C3A"/>
    <w:rsid w:val="00B015D8"/>
    <w:rsid w:val="00B0215F"/>
    <w:rsid w:val="00B03B6C"/>
    <w:rsid w:val="00B0559A"/>
    <w:rsid w:val="00B06086"/>
    <w:rsid w:val="00B064AA"/>
    <w:rsid w:val="00B12EB6"/>
    <w:rsid w:val="00B13A01"/>
    <w:rsid w:val="00B143C9"/>
    <w:rsid w:val="00B15F2F"/>
    <w:rsid w:val="00B16E08"/>
    <w:rsid w:val="00B22055"/>
    <w:rsid w:val="00B23FDC"/>
    <w:rsid w:val="00B35A92"/>
    <w:rsid w:val="00B37484"/>
    <w:rsid w:val="00B379CD"/>
    <w:rsid w:val="00B45DFD"/>
    <w:rsid w:val="00B4723C"/>
    <w:rsid w:val="00B47A13"/>
    <w:rsid w:val="00B51E4B"/>
    <w:rsid w:val="00B52E84"/>
    <w:rsid w:val="00B53187"/>
    <w:rsid w:val="00B536AD"/>
    <w:rsid w:val="00B56B1C"/>
    <w:rsid w:val="00B578A9"/>
    <w:rsid w:val="00B57AFC"/>
    <w:rsid w:val="00B60F9C"/>
    <w:rsid w:val="00B618B4"/>
    <w:rsid w:val="00B61D09"/>
    <w:rsid w:val="00B6411E"/>
    <w:rsid w:val="00B71C01"/>
    <w:rsid w:val="00B76803"/>
    <w:rsid w:val="00B82BB4"/>
    <w:rsid w:val="00B82C7F"/>
    <w:rsid w:val="00B838CE"/>
    <w:rsid w:val="00B84634"/>
    <w:rsid w:val="00B85486"/>
    <w:rsid w:val="00B865B5"/>
    <w:rsid w:val="00B90DDD"/>
    <w:rsid w:val="00B91432"/>
    <w:rsid w:val="00B91FCA"/>
    <w:rsid w:val="00B93185"/>
    <w:rsid w:val="00B932EF"/>
    <w:rsid w:val="00B95E22"/>
    <w:rsid w:val="00B95E7B"/>
    <w:rsid w:val="00B976D0"/>
    <w:rsid w:val="00BA1E36"/>
    <w:rsid w:val="00BA215B"/>
    <w:rsid w:val="00BA28FB"/>
    <w:rsid w:val="00BB0359"/>
    <w:rsid w:val="00BB659A"/>
    <w:rsid w:val="00BB7239"/>
    <w:rsid w:val="00BC0822"/>
    <w:rsid w:val="00BC4E21"/>
    <w:rsid w:val="00BC5C14"/>
    <w:rsid w:val="00BC73E1"/>
    <w:rsid w:val="00BC7488"/>
    <w:rsid w:val="00BD0177"/>
    <w:rsid w:val="00BD0AF8"/>
    <w:rsid w:val="00BD48AA"/>
    <w:rsid w:val="00BD6713"/>
    <w:rsid w:val="00BE1AFF"/>
    <w:rsid w:val="00BE5074"/>
    <w:rsid w:val="00BE6D38"/>
    <w:rsid w:val="00BF2C11"/>
    <w:rsid w:val="00C079CF"/>
    <w:rsid w:val="00C10088"/>
    <w:rsid w:val="00C1118B"/>
    <w:rsid w:val="00C140C7"/>
    <w:rsid w:val="00C14753"/>
    <w:rsid w:val="00C17560"/>
    <w:rsid w:val="00C1786F"/>
    <w:rsid w:val="00C222FC"/>
    <w:rsid w:val="00C27C39"/>
    <w:rsid w:val="00C308B8"/>
    <w:rsid w:val="00C31B4B"/>
    <w:rsid w:val="00C33632"/>
    <w:rsid w:val="00C46F37"/>
    <w:rsid w:val="00C52768"/>
    <w:rsid w:val="00C52ED1"/>
    <w:rsid w:val="00C615E3"/>
    <w:rsid w:val="00C64B12"/>
    <w:rsid w:val="00C66D0F"/>
    <w:rsid w:val="00C67022"/>
    <w:rsid w:val="00C74FE4"/>
    <w:rsid w:val="00C81566"/>
    <w:rsid w:val="00C838EB"/>
    <w:rsid w:val="00C84D10"/>
    <w:rsid w:val="00C85A40"/>
    <w:rsid w:val="00C95581"/>
    <w:rsid w:val="00C96A9D"/>
    <w:rsid w:val="00CA092A"/>
    <w:rsid w:val="00CA16A3"/>
    <w:rsid w:val="00CA1980"/>
    <w:rsid w:val="00CA338A"/>
    <w:rsid w:val="00CB04DE"/>
    <w:rsid w:val="00CB35AB"/>
    <w:rsid w:val="00CB5FC8"/>
    <w:rsid w:val="00CB7C79"/>
    <w:rsid w:val="00CC229D"/>
    <w:rsid w:val="00CD2CC4"/>
    <w:rsid w:val="00CD38EE"/>
    <w:rsid w:val="00CD649E"/>
    <w:rsid w:val="00CD734A"/>
    <w:rsid w:val="00CE130B"/>
    <w:rsid w:val="00CE154B"/>
    <w:rsid w:val="00CE3ECA"/>
    <w:rsid w:val="00CE5871"/>
    <w:rsid w:val="00CE6518"/>
    <w:rsid w:val="00CE69BB"/>
    <w:rsid w:val="00CF0F36"/>
    <w:rsid w:val="00CF2EE4"/>
    <w:rsid w:val="00CF4E59"/>
    <w:rsid w:val="00D00764"/>
    <w:rsid w:val="00D00DC1"/>
    <w:rsid w:val="00D01671"/>
    <w:rsid w:val="00D02D6F"/>
    <w:rsid w:val="00D1220F"/>
    <w:rsid w:val="00D20E3B"/>
    <w:rsid w:val="00D25ED4"/>
    <w:rsid w:val="00D3016D"/>
    <w:rsid w:val="00D33E37"/>
    <w:rsid w:val="00D35138"/>
    <w:rsid w:val="00D41187"/>
    <w:rsid w:val="00D43DED"/>
    <w:rsid w:val="00D45CD5"/>
    <w:rsid w:val="00D575DE"/>
    <w:rsid w:val="00D579EF"/>
    <w:rsid w:val="00D605E9"/>
    <w:rsid w:val="00D65146"/>
    <w:rsid w:val="00D662DA"/>
    <w:rsid w:val="00D67D96"/>
    <w:rsid w:val="00D73546"/>
    <w:rsid w:val="00D75440"/>
    <w:rsid w:val="00D76E8F"/>
    <w:rsid w:val="00D77261"/>
    <w:rsid w:val="00D83642"/>
    <w:rsid w:val="00D870AE"/>
    <w:rsid w:val="00D87263"/>
    <w:rsid w:val="00D91607"/>
    <w:rsid w:val="00D92DCB"/>
    <w:rsid w:val="00D95866"/>
    <w:rsid w:val="00D96E53"/>
    <w:rsid w:val="00D97DFF"/>
    <w:rsid w:val="00DA06CF"/>
    <w:rsid w:val="00DA1CE3"/>
    <w:rsid w:val="00DA3AEE"/>
    <w:rsid w:val="00DA3B6A"/>
    <w:rsid w:val="00DA3D83"/>
    <w:rsid w:val="00DB0551"/>
    <w:rsid w:val="00DB1F72"/>
    <w:rsid w:val="00DB20CB"/>
    <w:rsid w:val="00DB5707"/>
    <w:rsid w:val="00DC240C"/>
    <w:rsid w:val="00DC3892"/>
    <w:rsid w:val="00DC4DB4"/>
    <w:rsid w:val="00DC77B0"/>
    <w:rsid w:val="00DD1532"/>
    <w:rsid w:val="00DD155F"/>
    <w:rsid w:val="00DD2A29"/>
    <w:rsid w:val="00DD2AED"/>
    <w:rsid w:val="00DD458E"/>
    <w:rsid w:val="00DE58BC"/>
    <w:rsid w:val="00DF092E"/>
    <w:rsid w:val="00DF0F21"/>
    <w:rsid w:val="00DF62FC"/>
    <w:rsid w:val="00E015DA"/>
    <w:rsid w:val="00E04447"/>
    <w:rsid w:val="00E054B5"/>
    <w:rsid w:val="00E07839"/>
    <w:rsid w:val="00E07A54"/>
    <w:rsid w:val="00E10971"/>
    <w:rsid w:val="00E114DF"/>
    <w:rsid w:val="00E121C6"/>
    <w:rsid w:val="00E1490B"/>
    <w:rsid w:val="00E14F6D"/>
    <w:rsid w:val="00E2409D"/>
    <w:rsid w:val="00E27DCA"/>
    <w:rsid w:val="00E32DD0"/>
    <w:rsid w:val="00E3560B"/>
    <w:rsid w:val="00E40E68"/>
    <w:rsid w:val="00E40F47"/>
    <w:rsid w:val="00E44BB7"/>
    <w:rsid w:val="00E45710"/>
    <w:rsid w:val="00E46E52"/>
    <w:rsid w:val="00E4765C"/>
    <w:rsid w:val="00E51C1D"/>
    <w:rsid w:val="00E524BC"/>
    <w:rsid w:val="00E5446A"/>
    <w:rsid w:val="00E55D85"/>
    <w:rsid w:val="00E61ABB"/>
    <w:rsid w:val="00E61E7C"/>
    <w:rsid w:val="00E61F8D"/>
    <w:rsid w:val="00E62AE4"/>
    <w:rsid w:val="00E67F17"/>
    <w:rsid w:val="00E728F4"/>
    <w:rsid w:val="00E73876"/>
    <w:rsid w:val="00E74040"/>
    <w:rsid w:val="00E82CF9"/>
    <w:rsid w:val="00E82F1E"/>
    <w:rsid w:val="00E8681C"/>
    <w:rsid w:val="00E91625"/>
    <w:rsid w:val="00E93C85"/>
    <w:rsid w:val="00E94A22"/>
    <w:rsid w:val="00E95824"/>
    <w:rsid w:val="00E97736"/>
    <w:rsid w:val="00E97BBF"/>
    <w:rsid w:val="00EA0016"/>
    <w:rsid w:val="00EA1819"/>
    <w:rsid w:val="00EA24B9"/>
    <w:rsid w:val="00EA2FA8"/>
    <w:rsid w:val="00EA39A4"/>
    <w:rsid w:val="00EA5D7B"/>
    <w:rsid w:val="00EA6829"/>
    <w:rsid w:val="00EC198C"/>
    <w:rsid w:val="00EC45B0"/>
    <w:rsid w:val="00EC5647"/>
    <w:rsid w:val="00EC75D6"/>
    <w:rsid w:val="00ED080F"/>
    <w:rsid w:val="00ED6F58"/>
    <w:rsid w:val="00EE077B"/>
    <w:rsid w:val="00EE24B4"/>
    <w:rsid w:val="00EE3E8D"/>
    <w:rsid w:val="00EE4259"/>
    <w:rsid w:val="00EE5573"/>
    <w:rsid w:val="00EE6AE8"/>
    <w:rsid w:val="00EF16C1"/>
    <w:rsid w:val="00EF609D"/>
    <w:rsid w:val="00F033DE"/>
    <w:rsid w:val="00F0623F"/>
    <w:rsid w:val="00F1201B"/>
    <w:rsid w:val="00F122EB"/>
    <w:rsid w:val="00F17204"/>
    <w:rsid w:val="00F17C7A"/>
    <w:rsid w:val="00F21E36"/>
    <w:rsid w:val="00F22E8E"/>
    <w:rsid w:val="00F250FD"/>
    <w:rsid w:val="00F27593"/>
    <w:rsid w:val="00F3032B"/>
    <w:rsid w:val="00F3166C"/>
    <w:rsid w:val="00F33EE3"/>
    <w:rsid w:val="00F37586"/>
    <w:rsid w:val="00F37B4A"/>
    <w:rsid w:val="00F4007A"/>
    <w:rsid w:val="00F42996"/>
    <w:rsid w:val="00F473AC"/>
    <w:rsid w:val="00F47F12"/>
    <w:rsid w:val="00F53F5B"/>
    <w:rsid w:val="00F574BD"/>
    <w:rsid w:val="00F6028A"/>
    <w:rsid w:val="00F61EC4"/>
    <w:rsid w:val="00F62B10"/>
    <w:rsid w:val="00F63F14"/>
    <w:rsid w:val="00F64685"/>
    <w:rsid w:val="00F7005D"/>
    <w:rsid w:val="00F728A2"/>
    <w:rsid w:val="00F768CF"/>
    <w:rsid w:val="00F818E6"/>
    <w:rsid w:val="00F84F69"/>
    <w:rsid w:val="00F85C2B"/>
    <w:rsid w:val="00F85F34"/>
    <w:rsid w:val="00F8718B"/>
    <w:rsid w:val="00F8773B"/>
    <w:rsid w:val="00F92BA5"/>
    <w:rsid w:val="00F968B0"/>
    <w:rsid w:val="00F97085"/>
    <w:rsid w:val="00FA25A2"/>
    <w:rsid w:val="00FA4CC2"/>
    <w:rsid w:val="00FB1EAB"/>
    <w:rsid w:val="00FB23EA"/>
    <w:rsid w:val="00FB2FA3"/>
    <w:rsid w:val="00FB4898"/>
    <w:rsid w:val="00FC22D4"/>
    <w:rsid w:val="00FD7FED"/>
    <w:rsid w:val="00FE07D5"/>
    <w:rsid w:val="00FE2BE2"/>
    <w:rsid w:val="00FE4726"/>
    <w:rsid w:val="00FE515D"/>
    <w:rsid w:val="00FE5EB3"/>
    <w:rsid w:val="00FE7246"/>
    <w:rsid w:val="00FE74E8"/>
    <w:rsid w:val="00FF0BC4"/>
    <w:rsid w:val="00FF5EA5"/>
    <w:rsid w:val="00FF5FA4"/>
    <w:rsid w:val="0BC969CC"/>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7b6c58,#887e6e,#b0a696,#828282"/>
    </o:shapedefaults>
    <o:shapelayout v:ext="edit">
      <o:idmap v:ext="edit" data="2"/>
    </o:shapelayout>
  </w:shapeDefaults>
  <w:decimalSymbol w:val=","/>
  <w:listSeparator w:val=","/>
  <w14:docId w14:val="1557E4AB"/>
  <w15:docId w15:val="{388687C4-4062-4295-82C8-F5A96EE05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
    <w:qFormat/>
    <w:rsid w:val="00FE5EB3"/>
    <w:pPr>
      <w:keepNext/>
      <w:pageBreakBefore/>
      <w:numPr>
        <w:numId w:val="2"/>
      </w:numPr>
      <w:spacing w:before="600" w:after="240"/>
      <w:ind w:left="431" w:hanging="431"/>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
    <w:qFormat/>
    <w:rsid w:val="00DD458E"/>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1D65BC"/>
    <w:pPr>
      <w:keepNext/>
      <w:numPr>
        <w:ilvl w:val="2"/>
        <w:numId w:val="2"/>
      </w:numPr>
      <w:spacing w:before="300" w:after="120"/>
      <w:outlineLvl w:val="2"/>
    </w:pPr>
    <w:rPr>
      <w:rFonts w:cs="Arial"/>
      <w:b/>
      <w:bCs/>
      <w:szCs w:val="26"/>
    </w:rPr>
  </w:style>
  <w:style w:type="paragraph" w:styleId="Heading4">
    <w:name w:val="heading 4"/>
    <w:aliases w:val="ECC Heading 4"/>
    <w:basedOn w:val="Normal"/>
    <w:next w:val="ECCParagraph"/>
    <w:autoRedefine/>
    <w:qFormat/>
    <w:rsid w:val="001D65BC"/>
    <w:pPr>
      <w:numPr>
        <w:ilvl w:val="3"/>
        <w:numId w:val="2"/>
      </w:numPr>
      <w:spacing w:before="300" w:after="120"/>
      <w:outlineLvl w:val="3"/>
    </w:pPr>
    <w:rPr>
      <w:rFonts w:cs="Arial"/>
      <w:bCs/>
      <w:i/>
      <w:color w:val="D2232A"/>
      <w:szCs w:val="26"/>
    </w:rPr>
  </w:style>
  <w:style w:type="paragraph" w:styleId="Heading5">
    <w:name w:val="heading 5"/>
    <w:basedOn w:val="Normal"/>
    <w:next w:val="Normal"/>
    <w:qFormat/>
    <w:rsid w:val="00D20E3B"/>
    <w:pPr>
      <w:numPr>
        <w:ilvl w:val="4"/>
        <w:numId w:val="2"/>
      </w:numPr>
      <w:spacing w:before="240" w:after="60"/>
      <w:outlineLvl w:val="4"/>
    </w:pPr>
    <w:rPr>
      <w:b/>
      <w:bCs/>
      <w:i/>
      <w:iCs/>
      <w:sz w:val="26"/>
      <w:szCs w:val="26"/>
    </w:rPr>
  </w:style>
  <w:style w:type="paragraph" w:styleId="Heading6">
    <w:name w:val="heading 6"/>
    <w:basedOn w:val="Normal"/>
    <w:next w:val="Normal"/>
    <w:qFormat/>
    <w:rsid w:val="00D20E3B"/>
    <w:pPr>
      <w:numPr>
        <w:ilvl w:val="5"/>
        <w:numId w:val="2"/>
      </w:numPr>
      <w:spacing w:before="240" w:after="60"/>
      <w:outlineLvl w:val="5"/>
    </w:pPr>
    <w:rPr>
      <w:b/>
      <w:bCs/>
      <w:sz w:val="22"/>
      <w:szCs w:val="22"/>
    </w:rPr>
  </w:style>
  <w:style w:type="paragraph" w:styleId="Heading7">
    <w:name w:val="heading 7"/>
    <w:basedOn w:val="Normal"/>
    <w:next w:val="Normal"/>
    <w:qFormat/>
    <w:rsid w:val="00D20E3B"/>
    <w:pPr>
      <w:numPr>
        <w:ilvl w:val="6"/>
        <w:numId w:val="2"/>
      </w:numPr>
      <w:spacing w:before="240" w:after="60"/>
      <w:outlineLvl w:val="6"/>
    </w:pPr>
    <w:rPr>
      <w:sz w:val="24"/>
    </w:rPr>
  </w:style>
  <w:style w:type="paragraph" w:styleId="Heading8">
    <w:name w:val="heading 8"/>
    <w:basedOn w:val="Normal"/>
    <w:next w:val="Normal"/>
    <w:qFormat/>
    <w:rsid w:val="00D20E3B"/>
    <w:pPr>
      <w:numPr>
        <w:ilvl w:val="7"/>
        <w:numId w:val="2"/>
      </w:numPr>
      <w:spacing w:before="240" w:after="60"/>
      <w:outlineLvl w:val="7"/>
    </w:pPr>
    <w:rPr>
      <w:i/>
      <w:iCs/>
      <w:sz w:val="24"/>
    </w:rPr>
  </w:style>
  <w:style w:type="paragraph" w:styleId="Heading9">
    <w:name w:val="heading 9"/>
    <w:basedOn w:val="Normal"/>
    <w:next w:val="Normal"/>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6D7FE7"/>
    <w:pPr>
      <w:spacing w:before="240" w:after="60"/>
      <w:jc w:val="both"/>
    </w:pPr>
    <w:rPr>
      <w:lang w:val="en-GB"/>
    </w:r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7"/>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065CA8"/>
    <w:pPr>
      <w:ind w:left="170" w:hanging="170"/>
    </w:pPr>
    <w:rPr>
      <w:sz w:val="16"/>
      <w:lang w:val="en-GB"/>
    </w:rPr>
  </w:style>
  <w:style w:type="paragraph" w:styleId="FootnoteText">
    <w:name w:val="footnote text"/>
    <w:aliases w:val="Footnote Text Char3,Footnote Text Char2 Char,Footnote Text Char Char Char1 Char,Footnote Text Char1 Char1 Char,Footnote Text Char Char Char2,footnote text,ALTS FOOTNOTE"/>
    <w:basedOn w:val="Normal"/>
    <w:link w:val="FootnoteTextChar"/>
    <w:qFormat/>
    <w:rsid w:val="008935B9"/>
    <w:rPr>
      <w:szCs w:val="20"/>
    </w:rPr>
  </w:style>
  <w:style w:type="character" w:styleId="FootnoteReference">
    <w:name w:val="footnote reference"/>
    <w:aliases w:val="ECC Footnote number,Appel note de bas de p,Footnote symbol"/>
    <w:basedOn w:val="DefaultParagraphFont"/>
    <w:qForma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A10B0F"/>
    <w:pPr>
      <w:spacing w:after="0"/>
      <w:ind w:left="567" w:hanging="567"/>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37"/>
      </w:numPr>
    </w:pPr>
  </w:style>
  <w:style w:type="paragraph" w:customStyle="1" w:styleId="ECCNumbered-LetteredList">
    <w:name w:val="ECC Numbered-Lettered List"/>
    <w:basedOn w:val="Normal"/>
    <w:qFormat/>
    <w:rsid w:val="00D20E3B"/>
    <w:pPr>
      <w:numPr>
        <w:numId w:val="49"/>
      </w:numPr>
    </w:pPr>
  </w:style>
  <w:style w:type="paragraph" w:customStyle="1" w:styleId="ECCNumberedBullets">
    <w:name w:val="ECC Numbered Bullets"/>
    <w:basedOn w:val="Normal"/>
    <w:rsid w:val="00D20E3B"/>
    <w:pPr>
      <w:numPr>
        <w:numId w:val="47"/>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47"/>
      </w:numPr>
    </w:pPr>
  </w:style>
  <w:style w:type="numbering" w:customStyle="1" w:styleId="ECCNumbers-Letters">
    <w:name w:val="ECC Numbers-Letters"/>
    <w:uiPriority w:val="99"/>
    <w:rsid w:val="00D20E3B"/>
    <w:pPr>
      <w:numPr>
        <w:numId w:val="49"/>
      </w:numPr>
    </w:pPr>
  </w:style>
  <w:style w:type="paragraph" w:customStyle="1" w:styleId="ECCEditorsNote">
    <w:name w:val="ECC Editor's Note"/>
    <w:next w:val="Normal"/>
    <w:qFormat/>
    <w:rsid w:val="000F6CFC"/>
    <w:pPr>
      <w:numPr>
        <w:numId w:val="51"/>
      </w:numPr>
      <w:shd w:val="solid" w:color="FFFF00" w:fill="auto"/>
      <w:spacing w:before="120" w:after="120" w:line="360" w:lineRule="auto"/>
      <w:jc w:val="both"/>
    </w:pPr>
    <w:rPr>
      <w:rFonts w:ascii="Arial" w:eastAsia="Calibri" w:hAnsi="Arial"/>
      <w:szCs w:val="22"/>
      <w:lang w:val="da-DK" w:eastAsia="de-DE"/>
    </w:rPr>
  </w:style>
  <w:style w:type="character" w:customStyle="1" w:styleId="ECCHLbold">
    <w:name w:val="ECC HL bold"/>
    <w:uiPriority w:val="1"/>
    <w:qFormat/>
    <w:rsid w:val="000F6CFC"/>
    <w:rPr>
      <w:b/>
      <w:bCs w:val="0"/>
    </w:rPr>
  </w:style>
  <w:style w:type="character" w:styleId="CommentReference">
    <w:name w:val="annotation reference"/>
    <w:basedOn w:val="DefaultParagraphFont"/>
    <w:uiPriority w:val="99"/>
    <w:semiHidden/>
    <w:unhideWhenUsed/>
    <w:rsid w:val="00E10971"/>
    <w:rPr>
      <w:sz w:val="16"/>
      <w:szCs w:val="16"/>
    </w:rPr>
  </w:style>
  <w:style w:type="paragraph" w:styleId="CommentText">
    <w:name w:val="annotation text"/>
    <w:basedOn w:val="Normal"/>
    <w:link w:val="CommentTextChar"/>
    <w:uiPriority w:val="99"/>
    <w:unhideWhenUsed/>
    <w:rsid w:val="00E10971"/>
    <w:rPr>
      <w:szCs w:val="20"/>
    </w:rPr>
  </w:style>
  <w:style w:type="character" w:customStyle="1" w:styleId="CommentTextChar">
    <w:name w:val="Comment Text Char"/>
    <w:basedOn w:val="DefaultParagraphFont"/>
    <w:link w:val="CommentText"/>
    <w:uiPriority w:val="99"/>
    <w:rsid w:val="00E10971"/>
    <w:rPr>
      <w:rFonts w:ascii="Arial" w:hAnsi="Arial"/>
      <w:lang w:val="en-US"/>
    </w:rPr>
  </w:style>
  <w:style w:type="paragraph" w:styleId="CommentSubject">
    <w:name w:val="annotation subject"/>
    <w:basedOn w:val="CommentText"/>
    <w:next w:val="CommentText"/>
    <w:link w:val="CommentSubjectChar"/>
    <w:uiPriority w:val="99"/>
    <w:semiHidden/>
    <w:unhideWhenUsed/>
    <w:rsid w:val="00E10971"/>
    <w:rPr>
      <w:b/>
      <w:bCs/>
    </w:rPr>
  </w:style>
  <w:style w:type="character" w:customStyle="1" w:styleId="CommentSubjectChar">
    <w:name w:val="Comment Subject Char"/>
    <w:basedOn w:val="CommentTextChar"/>
    <w:link w:val="CommentSubject"/>
    <w:uiPriority w:val="99"/>
    <w:semiHidden/>
    <w:rsid w:val="00E10971"/>
    <w:rPr>
      <w:rFonts w:ascii="Arial" w:hAnsi="Arial"/>
      <w:b/>
      <w:bCs/>
      <w:lang w:val="en-US"/>
    </w:rPr>
  </w:style>
  <w:style w:type="paragraph" w:styleId="BodyText">
    <w:name w:val="Body Text"/>
    <w:basedOn w:val="Normal"/>
    <w:link w:val="BodyTextChar"/>
    <w:rsid w:val="00B865B5"/>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B865B5"/>
    <w:rPr>
      <w:sz w:val="24"/>
      <w:szCs w:val="24"/>
      <w:lang w:eastAsia="nl-NL"/>
    </w:rPr>
  </w:style>
  <w:style w:type="paragraph" w:customStyle="1" w:styleId="ECCHLboldanditalics">
    <w:name w:val="ECC HL bold and italics"/>
    <w:basedOn w:val="Normal"/>
    <w:qFormat/>
    <w:rsid w:val="00B865B5"/>
    <w:pPr>
      <w:spacing w:before="240" w:after="60"/>
      <w:jc w:val="both"/>
    </w:pPr>
    <w:rPr>
      <w:rFonts w:eastAsia="Calibri"/>
      <w:b/>
      <w:bCs/>
      <w:i/>
      <w:szCs w:val="30"/>
      <w:lang w:val="en-GB"/>
    </w:rPr>
  </w:style>
  <w:style w:type="paragraph" w:customStyle="1" w:styleId="ECCBulletsLv1">
    <w:name w:val="ECC Bullets Lv1"/>
    <w:basedOn w:val="Normal"/>
    <w:qFormat/>
    <w:rsid w:val="00DC77B0"/>
    <w:pPr>
      <w:numPr>
        <w:numId w:val="52"/>
      </w:numPr>
      <w:tabs>
        <w:tab w:val="left" w:pos="340"/>
      </w:tabs>
      <w:spacing w:before="60"/>
      <w:ind w:left="340" w:hanging="340"/>
      <w:jc w:val="both"/>
    </w:pPr>
    <w:rPr>
      <w:rFonts w:eastAsia="Calibri"/>
      <w:szCs w:val="22"/>
      <w:lang w:val="en-GB"/>
    </w:rPr>
  </w:style>
  <w:style w:type="paragraph" w:styleId="Caption">
    <w:name w:val="caption"/>
    <w:aliases w:val="ECC Figure Caption,ECC Caption,cap,cap Char,Caption Char,Caption Char1 Char,cap Char Char1,Caption Char Char1 Char,cap Char2 Char,Ca,RptCaption,cap1,cap2,cap11,Caption Char Char Char,cap Char Char Char,Figure Lable"/>
    <w:next w:val="Normal"/>
    <w:link w:val="CaptionChar1"/>
    <w:uiPriority w:val="35"/>
    <w:qFormat/>
    <w:rsid w:val="00DC77B0"/>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DC77B0"/>
    <w:pPr>
      <w:tabs>
        <w:tab w:val="clear" w:pos="340"/>
        <w:tab w:val="left" w:pos="680"/>
      </w:tabs>
      <w:ind w:left="680"/>
    </w:pPr>
  </w:style>
  <w:style w:type="paragraph" w:customStyle="1" w:styleId="ECCBulletsLv3">
    <w:name w:val="ECC Bullets Lv3"/>
    <w:basedOn w:val="ECCBulletsLv1"/>
    <w:rsid w:val="00DC77B0"/>
    <w:pPr>
      <w:tabs>
        <w:tab w:val="clear" w:pos="340"/>
        <w:tab w:val="left" w:pos="1021"/>
      </w:tabs>
      <w:ind w:left="1020"/>
    </w:pPr>
  </w:style>
  <w:style w:type="paragraph" w:customStyle="1" w:styleId="ECCLetteredList">
    <w:name w:val="ECC Lettered List"/>
    <w:qFormat/>
    <w:rsid w:val="00DC77B0"/>
    <w:pPr>
      <w:numPr>
        <w:numId w:val="53"/>
      </w:numPr>
      <w:spacing w:before="240"/>
      <w:jc w:val="both"/>
    </w:pPr>
    <w:rPr>
      <w:rFonts w:ascii="Arial" w:hAnsi="Arial"/>
    </w:rPr>
  </w:style>
  <w:style w:type="paragraph" w:customStyle="1" w:styleId="ECCNumberedList0">
    <w:name w:val="ECC Numbered List"/>
    <w:basedOn w:val="Normal"/>
    <w:qFormat/>
    <w:rsid w:val="00DC77B0"/>
    <w:pPr>
      <w:numPr>
        <w:numId w:val="54"/>
      </w:numPr>
      <w:spacing w:before="240"/>
      <w:jc w:val="both"/>
    </w:pPr>
    <w:rPr>
      <w:rFonts w:eastAsia="Calibri"/>
      <w:szCs w:val="20"/>
      <w:lang w:val="en-GB"/>
    </w:rPr>
  </w:style>
  <w:style w:type="paragraph" w:customStyle="1" w:styleId="ECCReference">
    <w:name w:val="ECC Reference"/>
    <w:basedOn w:val="Normal"/>
    <w:qFormat/>
    <w:rsid w:val="00DC77B0"/>
    <w:pPr>
      <w:tabs>
        <w:tab w:val="num" w:pos="397"/>
      </w:tabs>
      <w:spacing w:after="120"/>
      <w:ind w:left="397" w:hanging="397"/>
      <w:jc w:val="both"/>
    </w:pPr>
    <w:rPr>
      <w:rFonts w:eastAsia="Calibri"/>
      <w:szCs w:val="22"/>
      <w:lang w:val="en-GB" w:eastAsia="ja-JP"/>
    </w:rPr>
  </w:style>
  <w:style w:type="paragraph" w:customStyle="1" w:styleId="ECCFiguregraphcentred">
    <w:name w:val="ECC Figure/graph centred"/>
    <w:next w:val="Normal"/>
    <w:qFormat/>
    <w:rsid w:val="00DC77B0"/>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DC77B0"/>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DC77B0"/>
    <w:pPr>
      <w:keepNext/>
      <w:spacing w:after="60"/>
    </w:pPr>
    <w:rPr>
      <w:rFonts w:eastAsia="Calibri"/>
      <w:szCs w:val="22"/>
      <w:lang w:val="en-GB"/>
    </w:rPr>
  </w:style>
  <w:style w:type="paragraph" w:styleId="ListParagraph">
    <w:name w:val="List Paragraph"/>
    <w:basedOn w:val="Normal"/>
    <w:uiPriority w:val="1"/>
    <w:qFormat/>
    <w:rsid w:val="00DC77B0"/>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DC77B0"/>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DC77B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1">
    <w:name w:val="Caption Char1"/>
    <w:aliases w:val="ECC Figure Caption Char,ECC Caption Char,cap Char1,cap Char Char,Caption Char Char,Caption Char1 Char Char,cap Char Char1 Char,Caption Char Char1 Char Char,cap Char2 Char Char,Ca Char,RptCaption Char,cap1 Char,cap2 Char,cap11 Char"/>
    <w:link w:val="Caption"/>
    <w:qFormat/>
    <w:rsid w:val="00DC77B0"/>
    <w:rPr>
      <w:rFonts w:ascii="Arial" w:hAnsi="Arial"/>
      <w:b/>
      <w:bCs/>
      <w:color w:val="D2232A"/>
      <w:lang w:val="da-DK"/>
    </w:rPr>
  </w:style>
  <w:style w:type="paragraph" w:styleId="NormalWeb">
    <w:name w:val="Normal (Web)"/>
    <w:basedOn w:val="Normal"/>
    <w:uiPriority w:val="99"/>
    <w:semiHidden/>
    <w:unhideWhenUsed/>
    <w:rsid w:val="00DC77B0"/>
    <w:pPr>
      <w:spacing w:before="240" w:after="60"/>
      <w:jc w:val="both"/>
    </w:pPr>
    <w:rPr>
      <w:rFonts w:ascii="Times New Roman" w:eastAsia="Calibri" w:hAnsi="Times New Roman"/>
      <w:sz w:val="24"/>
      <w:lang w:val="en-GB"/>
    </w:rPr>
  </w:style>
  <w:style w:type="paragraph" w:styleId="Subtitle">
    <w:name w:val="Subtitle"/>
    <w:basedOn w:val="Normal"/>
    <w:next w:val="Normal"/>
    <w:link w:val="SubtitleChar"/>
    <w:uiPriority w:val="11"/>
    <w:qFormat/>
    <w:rsid w:val="00DC77B0"/>
    <w:pPr>
      <w:numPr>
        <w:ilvl w:val="1"/>
      </w:numPr>
      <w:spacing w:before="240" w:after="160"/>
      <w:jc w:val="both"/>
    </w:pPr>
    <w:rPr>
      <w:rFonts w:asciiTheme="minorHAnsi" w:eastAsiaTheme="minorEastAsia" w:hAnsiTheme="minorHAnsi" w:cstheme="minorBidi"/>
      <w:color w:val="5A5A5A" w:themeColor="text1" w:themeTint="A5"/>
      <w:spacing w:val="15"/>
      <w:sz w:val="22"/>
      <w:szCs w:val="22"/>
      <w:lang w:val="en-GB"/>
    </w:rPr>
  </w:style>
  <w:style w:type="character" w:customStyle="1" w:styleId="SubtitleChar">
    <w:name w:val="Subtitle Char"/>
    <w:basedOn w:val="DefaultParagraphFont"/>
    <w:link w:val="Subtitle"/>
    <w:uiPriority w:val="11"/>
    <w:rsid w:val="00DC77B0"/>
    <w:rPr>
      <w:rFonts w:asciiTheme="minorHAnsi" w:eastAsiaTheme="minorEastAsia" w:hAnsiTheme="minorHAnsi" w:cstheme="minorBidi"/>
      <w:color w:val="5A5A5A" w:themeColor="text1" w:themeTint="A5"/>
      <w:spacing w:val="15"/>
      <w:sz w:val="22"/>
      <w:szCs w:val="22"/>
    </w:rPr>
  </w:style>
  <w:style w:type="paragraph" w:customStyle="1" w:styleId="ECCNumberedlist">
    <w:name w:val="ECC Numbered list"/>
    <w:aliases w:val="level 2"/>
    <w:basedOn w:val="ECCAnnexheading3"/>
    <w:qFormat/>
    <w:rsid w:val="00DC77B0"/>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DC77B0"/>
    <w:pPr>
      <w:numPr>
        <w:ilvl w:val="1"/>
      </w:numPr>
    </w:pPr>
  </w:style>
  <w:style w:type="paragraph" w:customStyle="1" w:styleId="ECCLetteredListLevel2">
    <w:name w:val="ECC Lettered List Level 2"/>
    <w:basedOn w:val="ECCLetteredList"/>
    <w:qFormat/>
    <w:rsid w:val="00DC77B0"/>
    <w:pPr>
      <w:numPr>
        <w:ilvl w:val="1"/>
      </w:numPr>
    </w:pPr>
  </w:style>
  <w:style w:type="paragraph" w:styleId="Revision">
    <w:name w:val="Revision"/>
    <w:hidden/>
    <w:uiPriority w:val="99"/>
    <w:semiHidden/>
    <w:rsid w:val="00163D0F"/>
    <w:rPr>
      <w:rFonts w:ascii="Arial" w:hAnsi="Arial"/>
      <w:szCs w:val="24"/>
      <w:lang w:val="en-US"/>
    </w:rPr>
  </w:style>
  <w:style w:type="character" w:customStyle="1" w:styleId="FootnoteTextChar">
    <w:name w:val="Footnote Text Char"/>
    <w:aliases w:val="Footnote Text Char3 Char,Footnote Text Char2 Char Char,Footnote Text Char Char Char1 Char Char,Footnote Text Char1 Char1 Char Char,Footnote Text Char Char Char2 Char,footnote text Char,ALTS FOOTNOTE Char"/>
    <w:basedOn w:val="DefaultParagraphFont"/>
    <w:link w:val="FootnoteText"/>
    <w:qFormat/>
    <w:rsid w:val="00B064AA"/>
    <w:rPr>
      <w:rFonts w:ascii="Arial" w:hAnsi="Arial"/>
      <w:lang w:val="en-US"/>
    </w:rPr>
  </w:style>
  <w:style w:type="paragraph" w:customStyle="1" w:styleId="ECCParBulleted">
    <w:name w:val="ECC Par Bulleted"/>
    <w:basedOn w:val="ECCParagraph"/>
    <w:rsid w:val="001A4CBF"/>
    <w:pPr>
      <w:numPr>
        <w:numId w:val="64"/>
      </w:numPr>
      <w:spacing w:after="120"/>
    </w:pPr>
  </w:style>
  <w:style w:type="paragraph" w:customStyle="1" w:styleId="ECCAnnex-heading1">
    <w:name w:val="ECC Annex - heading1"/>
    <w:basedOn w:val="Heading1"/>
    <w:next w:val="ECCParagraph"/>
    <w:rsid w:val="001A4CBF"/>
    <w:pPr>
      <w:numPr>
        <w:numId w:val="0"/>
      </w:numPr>
      <w:spacing w:before="400"/>
    </w:pPr>
  </w:style>
  <w:style w:type="paragraph" w:customStyle="1" w:styleId="Text1">
    <w:name w:val="Text 1"/>
    <w:basedOn w:val="Normal"/>
    <w:rsid w:val="009107A5"/>
    <w:pPr>
      <w:spacing w:after="240"/>
      <w:ind w:left="482"/>
      <w:jc w:val="both"/>
    </w:pPr>
    <w:rPr>
      <w:rFonts w:ascii="Times New Roman" w:hAnsi="Times New Roman"/>
      <w:sz w:val="24"/>
      <w:szCs w:val="20"/>
      <w:lang w:val="en-GB" w:eastAsia="fr-BE"/>
    </w:rPr>
  </w:style>
  <w:style w:type="paragraph" w:customStyle="1" w:styleId="NumberedList">
    <w:name w:val="Numbered List"/>
    <w:basedOn w:val="ECCParagraph"/>
    <w:rsid w:val="00F63F14"/>
    <w:pPr>
      <w:numPr>
        <w:numId w:val="70"/>
      </w:numPr>
    </w:pPr>
  </w:style>
  <w:style w:type="paragraph" w:styleId="ListBullet">
    <w:name w:val="List Bullet"/>
    <w:basedOn w:val="Normal"/>
    <w:uiPriority w:val="99"/>
    <w:unhideWhenUsed/>
    <w:rsid w:val="00311E14"/>
    <w:pPr>
      <w:numPr>
        <w:numId w:val="89"/>
      </w:numPr>
      <w:contextualSpacing/>
    </w:pPr>
  </w:style>
  <w:style w:type="character" w:customStyle="1" w:styleId="Heading1Char">
    <w:name w:val="Heading 1 Char"/>
    <w:aliases w:val="ECC Heading 1 Char"/>
    <w:link w:val="Heading1"/>
    <w:uiPriority w:val="9"/>
    <w:rsid w:val="004929E1"/>
    <w:rPr>
      <w:rFonts w:ascii="Arial" w:hAnsi="Arial" w:cs="Arial"/>
      <w:b/>
      <w:bCs/>
      <w:caps/>
      <w:color w:val="D2232A"/>
      <w:kern w:val="32"/>
      <w:szCs w:val="32"/>
    </w:rPr>
  </w:style>
  <w:style w:type="character" w:customStyle="1" w:styleId="Heading2Char">
    <w:name w:val="Heading 2 Char"/>
    <w:aliases w:val="ECC Heading 2 Char"/>
    <w:link w:val="Heading2"/>
    <w:uiPriority w:val="9"/>
    <w:rsid w:val="00921482"/>
    <w:rPr>
      <w:rFonts w:ascii="Arial" w:hAnsi="Arial" w:cs="Arial"/>
      <w:b/>
      <w:bCs/>
      <w:iCs/>
      <w:caps/>
      <w:szCs w:val="28"/>
      <w:lang w:val="en-US"/>
    </w:rPr>
  </w:style>
  <w:style w:type="paragraph" w:customStyle="1" w:styleId="footnotedescription">
    <w:name w:val="footnote description"/>
    <w:next w:val="Normal"/>
    <w:link w:val="footnotedescriptionChar"/>
    <w:hidden/>
    <w:rsid w:val="00921482"/>
    <w:pPr>
      <w:spacing w:after="226" w:line="252" w:lineRule="auto"/>
      <w:ind w:left="1139" w:right="717" w:hanging="358"/>
      <w:jc w:val="both"/>
    </w:pPr>
    <w:rPr>
      <w:color w:val="000000"/>
      <w:kern w:val="2"/>
      <w:szCs w:val="24"/>
      <w14:ligatures w14:val="standardContextual"/>
    </w:rPr>
  </w:style>
  <w:style w:type="character" w:customStyle="1" w:styleId="footnotedescriptionChar">
    <w:name w:val="footnote description Char"/>
    <w:link w:val="footnotedescription"/>
    <w:rsid w:val="00921482"/>
    <w:rPr>
      <w:color w:val="000000"/>
      <w:kern w:val="2"/>
      <w:szCs w:val="24"/>
      <w14:ligatures w14:val="standardContextual"/>
    </w:rPr>
  </w:style>
  <w:style w:type="character" w:customStyle="1" w:styleId="footnotemark">
    <w:name w:val="footnote mark"/>
    <w:hidden/>
    <w:rsid w:val="00921482"/>
    <w:rPr>
      <w:rFonts w:ascii="Times New Roman" w:eastAsia="Times New Roman" w:hAnsi="Times New Roman" w:cs="Times New Roman"/>
      <w:color w:val="000000"/>
      <w:sz w:val="20"/>
      <w:vertAlign w:val="superscript"/>
    </w:rPr>
  </w:style>
  <w:style w:type="table" w:customStyle="1" w:styleId="TableGrid0">
    <w:name w:val="TableGrid"/>
    <w:rsid w:val="00921482"/>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character" w:customStyle="1" w:styleId="FootnoteCharacters">
    <w:name w:val="Footnote Characters"/>
    <w:basedOn w:val="DefaultParagraphFont"/>
    <w:uiPriority w:val="99"/>
    <w:qFormat/>
    <w:rsid w:val="000C52B6"/>
    <w:rPr>
      <w:vertAlign w:val="superscript"/>
    </w:rPr>
  </w:style>
  <w:style w:type="paragraph" w:customStyle="1" w:styleId="TableParagraph">
    <w:name w:val="Table Paragraph"/>
    <w:basedOn w:val="Normal"/>
    <w:uiPriority w:val="1"/>
    <w:qFormat/>
    <w:rsid w:val="004213BB"/>
    <w:pPr>
      <w:widowControl w:val="0"/>
      <w:autoSpaceDE w:val="0"/>
      <w:autoSpaceDN w:val="0"/>
      <w:spacing w:before="119"/>
      <w:ind w:left="43"/>
    </w:pPr>
    <w:rPr>
      <w:rFonts w:ascii="Times New Roman" w:hAnsi="Times New Roman"/>
      <w:sz w:val="22"/>
      <w:szCs w:val="22"/>
    </w:rPr>
  </w:style>
  <w:style w:type="character" w:styleId="FollowedHyperlink">
    <w:name w:val="FollowedHyperlink"/>
    <w:basedOn w:val="DefaultParagraphFont"/>
    <w:uiPriority w:val="99"/>
    <w:semiHidden/>
    <w:unhideWhenUsed/>
    <w:rsid w:val="00AB00AF"/>
    <w:rPr>
      <w:color w:val="800080" w:themeColor="followedHyperlink"/>
      <w:u w:val="single"/>
    </w:rPr>
  </w:style>
  <w:style w:type="character" w:styleId="Mention">
    <w:name w:val="Mention"/>
    <w:basedOn w:val="DefaultParagraphFont"/>
    <w:uiPriority w:val="99"/>
    <w:unhideWhenUsed/>
    <w:rsid w:val="009E324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952034">
      <w:bodyDiv w:val="1"/>
      <w:marLeft w:val="0"/>
      <w:marRight w:val="0"/>
      <w:marTop w:val="0"/>
      <w:marBottom w:val="0"/>
      <w:divBdr>
        <w:top w:val="none" w:sz="0" w:space="0" w:color="auto"/>
        <w:left w:val="none" w:sz="0" w:space="0" w:color="auto"/>
        <w:bottom w:val="none" w:sz="0" w:space="0" w:color="auto"/>
        <w:right w:val="none" w:sz="0" w:space="0" w:color="auto"/>
      </w:divBdr>
      <w:divsChild>
        <w:div w:id="1664238754">
          <w:marLeft w:val="0"/>
          <w:marRight w:val="0"/>
          <w:marTop w:val="0"/>
          <w:marBottom w:val="0"/>
          <w:divBdr>
            <w:top w:val="none" w:sz="0" w:space="0" w:color="auto"/>
            <w:left w:val="none" w:sz="0" w:space="0" w:color="auto"/>
            <w:bottom w:val="none" w:sz="0" w:space="0" w:color="auto"/>
            <w:right w:val="none" w:sz="0" w:space="0" w:color="auto"/>
          </w:divBdr>
          <w:divsChild>
            <w:div w:id="171870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50474">
      <w:bodyDiv w:val="1"/>
      <w:marLeft w:val="0"/>
      <w:marRight w:val="0"/>
      <w:marTop w:val="0"/>
      <w:marBottom w:val="0"/>
      <w:divBdr>
        <w:top w:val="none" w:sz="0" w:space="0" w:color="auto"/>
        <w:left w:val="none" w:sz="0" w:space="0" w:color="auto"/>
        <w:bottom w:val="none" w:sz="0" w:space="0" w:color="auto"/>
        <w:right w:val="none" w:sz="0" w:space="0" w:color="auto"/>
      </w:divBdr>
    </w:div>
    <w:div w:id="1428620438">
      <w:bodyDiv w:val="1"/>
      <w:marLeft w:val="0"/>
      <w:marRight w:val="0"/>
      <w:marTop w:val="0"/>
      <w:marBottom w:val="0"/>
      <w:divBdr>
        <w:top w:val="none" w:sz="0" w:space="0" w:color="auto"/>
        <w:left w:val="none" w:sz="0" w:space="0" w:color="auto"/>
        <w:bottom w:val="none" w:sz="0" w:space="0" w:color="auto"/>
        <w:right w:val="none" w:sz="0" w:space="0" w:color="auto"/>
      </w:divBdr>
    </w:div>
    <w:div w:id="1657949808">
      <w:bodyDiv w:val="1"/>
      <w:marLeft w:val="0"/>
      <w:marRight w:val="0"/>
      <w:marTop w:val="0"/>
      <w:marBottom w:val="0"/>
      <w:divBdr>
        <w:top w:val="none" w:sz="0" w:space="0" w:color="auto"/>
        <w:left w:val="none" w:sz="0" w:space="0" w:color="auto"/>
        <w:bottom w:val="none" w:sz="0" w:space="0" w:color="auto"/>
        <w:right w:val="none" w:sz="0" w:space="0" w:color="auto"/>
      </w:divBdr>
    </w:div>
    <w:div w:id="1838377038">
      <w:bodyDiv w:val="1"/>
      <w:marLeft w:val="0"/>
      <w:marRight w:val="0"/>
      <w:marTop w:val="0"/>
      <w:marBottom w:val="0"/>
      <w:divBdr>
        <w:top w:val="none" w:sz="0" w:space="0" w:color="auto"/>
        <w:left w:val="none" w:sz="0" w:space="0" w:color="auto"/>
        <w:bottom w:val="none" w:sz="0" w:space="0" w:color="auto"/>
        <w:right w:val="none" w:sz="0" w:space="0" w:color="auto"/>
      </w:divBdr>
    </w:div>
    <w:div w:id="200948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s://api.cept.org/documents/ecc/74302/ecc-22-057-annex-07_ls-from-ecc-to-etsi-on-aerial-ue"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054BF-A8E3-4BCE-AA3B-E17F92302AE7}">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Standard format - CEPT Report_June_2012</Template>
  <TotalTime>1</TotalTime>
  <Pages>20</Pages>
  <Words>6165</Words>
  <Characters>37170</Characters>
  <Application>Microsoft Office Word</Application>
  <DocSecurity>0</DocSecurity>
  <Lines>758</Lines>
  <Paragraphs>397</Paragraphs>
  <ScaleCrop>false</ScaleCrop>
  <HeadingPairs>
    <vt:vector size="2" baseType="variant">
      <vt:variant>
        <vt:lpstr>Title</vt:lpstr>
      </vt:variant>
      <vt:variant>
        <vt:i4>1</vt:i4>
      </vt:variant>
    </vt:vector>
  </HeadingPairs>
  <TitlesOfParts>
    <vt:vector size="1" baseType="lpstr">
      <vt:lpstr>Draft CEPT Report 89</vt:lpstr>
    </vt:vector>
  </TitlesOfParts>
  <Company>ECO</Company>
  <LinksUpToDate>false</LinksUpToDate>
  <CharactersWithSpaces>42938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89</dc:title>
  <dc:subject/>
  <dc:creator>ECC</dc:creator>
  <cp:keywords>CEPT Report 89</cp:keywords>
  <dc:description/>
  <cp:lastModifiedBy>ECO</cp:lastModifiedBy>
  <cp:revision>5</cp:revision>
  <cp:lastPrinted>2024-12-05T05:02:00Z</cp:lastPrinted>
  <dcterms:created xsi:type="dcterms:W3CDTF">2025-03-14T06:58:00Z</dcterms:created>
  <dcterms:modified xsi:type="dcterms:W3CDTF">2025-03-14T07:03:00Z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MSIP_Label_5a50d26f-5c2c-4137-8396-1b24eb24286c_Enabled">
    <vt:lpwstr>true</vt:lpwstr>
  </property>
  <property fmtid="{D5CDD505-2E9C-101B-9397-08002B2CF9AE}" pid="4" name="MSIP_Label_5a50d26f-5c2c-4137-8396-1b24eb24286c_SetDate">
    <vt:lpwstr>2024-10-26T15:35:42Z</vt:lpwstr>
  </property>
  <property fmtid="{D5CDD505-2E9C-101B-9397-08002B2CF9AE}" pid="5" name="MSIP_Label_5a50d26f-5c2c-4137-8396-1b24eb24286c_Method">
    <vt:lpwstr>Privileged</vt:lpwstr>
  </property>
  <property fmtid="{D5CDD505-2E9C-101B-9397-08002B2CF9AE}" pid="6" name="MSIP_Label_5a50d26f-5c2c-4137-8396-1b24eb24286c_Name">
    <vt:lpwstr>5a50d26f-5c2c-4137-8396-1b24eb24286c</vt:lpwstr>
  </property>
  <property fmtid="{D5CDD505-2E9C-101B-9397-08002B2CF9AE}" pid="7" name="MSIP_Label_5a50d26f-5c2c-4137-8396-1b24eb24286c_SiteId">
    <vt:lpwstr>0af648de-310c-4068-8ae4-f9418bae24cc</vt:lpwstr>
  </property>
  <property fmtid="{D5CDD505-2E9C-101B-9397-08002B2CF9AE}" pid="8" name="MSIP_Label_5a50d26f-5c2c-4137-8396-1b24eb24286c_ActionId">
    <vt:lpwstr>b14bfe42-55b7-4c71-a197-5819cdc7cf33</vt:lpwstr>
  </property>
  <property fmtid="{D5CDD505-2E9C-101B-9397-08002B2CF9AE}" pid="9" name="MSIP_Label_5a50d26f-5c2c-4137-8396-1b24eb24286c_ContentBits">
    <vt:lpwstr>0</vt:lpwstr>
  </property>
</Properties>
</file>