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E6107" w14:textId="77777777" w:rsidR="00C74BE6" w:rsidRDefault="00C74BE6"/>
    <w:p w14:paraId="38ED4028" w14:textId="77777777" w:rsidR="00C74BE6" w:rsidRPr="0010769E" w:rsidRDefault="00C74BE6" w:rsidP="00C74BE6">
      <w:pPr>
        <w:jc w:val="center"/>
      </w:pPr>
    </w:p>
    <w:p w14:paraId="00C306B1" w14:textId="77777777" w:rsidR="00C74BE6" w:rsidRPr="0010769E" w:rsidRDefault="00C74BE6" w:rsidP="00C74BE6">
      <w:pPr>
        <w:jc w:val="center"/>
      </w:pPr>
    </w:p>
    <w:p w14:paraId="54E464B4" w14:textId="77777777" w:rsidR="00C74BE6" w:rsidRPr="0010769E" w:rsidRDefault="00C74BE6" w:rsidP="00C74BE6"/>
    <w:p w14:paraId="58F83444" w14:textId="77777777" w:rsidR="00C74BE6" w:rsidRPr="0010769E" w:rsidRDefault="00C74BE6" w:rsidP="00C74BE6"/>
    <w:p w14:paraId="44FA0911" w14:textId="0B19CEF5" w:rsidR="00C74BE6" w:rsidRPr="0010769E" w:rsidRDefault="00FD3FA4" w:rsidP="00C74BE6">
      <w:pPr>
        <w:jc w:val="center"/>
        <w:rPr>
          <w:b/>
          <w:sz w:val="24"/>
        </w:rPr>
      </w:pPr>
      <w:r>
        <w:rPr>
          <w:b/>
          <w:noProof/>
          <w:sz w:val="24"/>
          <w:szCs w:val="20"/>
          <w:lang w:val="en-GB" w:eastAsia="en-GB"/>
        </w:rPr>
        <mc:AlternateContent>
          <mc:Choice Requires="wpg">
            <w:drawing>
              <wp:anchor distT="0" distB="0" distL="114300" distR="114300" simplePos="0" relativeHeight="251658240" behindDoc="0" locked="0" layoutInCell="1" allowOverlap="1" wp14:anchorId="0FD5C381" wp14:editId="16B9EACE">
                <wp:simplePos x="0" y="0"/>
                <wp:positionH relativeFrom="column">
                  <wp:posOffset>-720090</wp:posOffset>
                </wp:positionH>
                <wp:positionV relativeFrom="paragraph">
                  <wp:posOffset>69850</wp:posOffset>
                </wp:positionV>
                <wp:extent cx="7564120" cy="8268970"/>
                <wp:effectExtent l="0" t="0" r="5080" b="0"/>
                <wp:wrapNone/>
                <wp:docPr id="4"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8268970"/>
                          <a:chOff x="0" y="2700"/>
                          <a:chExt cx="11912" cy="13022"/>
                        </a:xfrm>
                      </wpg:grpSpPr>
                      <wps:wsp>
                        <wps:cNvPr id="5" name="Rectangle 8"/>
                        <wps:cNvSpPr>
                          <a:spLocks noChangeArrowheads="1"/>
                        </wps:cNvSpPr>
                        <wps:spPr bwMode="auto">
                          <a:xfrm>
                            <a:off x="6" y="15439"/>
                            <a:ext cx="11906" cy="283"/>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6" name="Text Box 9"/>
                        <wps:cNvSpPr txBox="1">
                          <a:spLocks noChangeArrowheads="1"/>
                        </wps:cNvSpPr>
                        <wps:spPr bwMode="auto">
                          <a:xfrm>
                            <a:off x="0" y="2700"/>
                            <a:ext cx="11906" cy="2564"/>
                          </a:xfrm>
                          <a:prstGeom prst="rect">
                            <a:avLst/>
                          </a:prstGeom>
                          <a:solidFill>
                            <a:srgbClr val="57433E"/>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5B75C" w14:textId="2354905C" w:rsidR="00203E66" w:rsidRPr="00C95C7C" w:rsidRDefault="00203E66" w:rsidP="00C74BE6">
                              <w:pPr>
                                <w:rPr>
                                  <w:color w:val="FFFFFF"/>
                                  <w:sz w:val="68"/>
                                </w:rPr>
                              </w:pPr>
                              <w:r w:rsidRPr="00C95C7C">
                                <w:rPr>
                                  <w:color w:val="FFFFFF"/>
                                  <w:sz w:val="68"/>
                                </w:rPr>
                                <w:t xml:space="preserve">ECC Recommendation </w:t>
                              </w:r>
                              <w:r w:rsidRPr="002C6AA9">
                                <w:rPr>
                                  <w:color w:val="887E6E"/>
                                  <w:sz w:val="68"/>
                                </w:rPr>
                                <w:t>(</w:t>
                              </w:r>
                              <w:r w:rsidR="002B24A2">
                                <w:rPr>
                                  <w:color w:val="887E6E"/>
                                  <w:sz w:val="68"/>
                                </w:rPr>
                                <w:t>08</w:t>
                              </w:r>
                              <w:r w:rsidRPr="002C6AA9">
                                <w:rPr>
                                  <w:color w:val="887E6E"/>
                                  <w:sz w:val="68"/>
                                </w:rPr>
                                <w:t>)</w:t>
                              </w:r>
                              <w:r w:rsidR="002B24A2">
                                <w:rPr>
                                  <w:color w:val="887E6E"/>
                                  <w:sz w:val="68"/>
                                </w:rPr>
                                <w:t>01</w:t>
                              </w:r>
                            </w:p>
                            <w:p w14:paraId="59B839AF" w14:textId="77777777" w:rsidR="00203E66" w:rsidRPr="00C95C7C" w:rsidRDefault="00203E66" w:rsidP="00C74BE6">
                              <w:pPr>
                                <w:rPr>
                                  <w:color w:val="887E6E"/>
                                  <w:sz w:val="44"/>
                                </w:rPr>
                              </w:pPr>
                            </w:p>
                          </w:txbxContent>
                        </wps:txbx>
                        <wps:bodyPr rot="0" vert="horz" wrap="square" lIns="2880000" tIns="360000" rIns="91440" bIns="45720" anchor="t" anchorCtr="0" upright="1">
                          <a:noAutofit/>
                        </wps:bodyPr>
                      </wps:wsp>
                      <wpg:grpSp>
                        <wpg:cNvPr id="7" name="Group 28"/>
                        <wpg:cNvGrpSpPr>
                          <a:grpSpLocks/>
                        </wpg:cNvGrpSpPr>
                        <wpg:grpSpPr bwMode="auto">
                          <a:xfrm>
                            <a:off x="1674" y="3087"/>
                            <a:ext cx="1790" cy="1790"/>
                            <a:chOff x="964" y="3424"/>
                            <a:chExt cx="1457" cy="1457"/>
                          </a:xfrm>
                        </wpg:grpSpPr>
                        <wps:wsp>
                          <wps:cNvPr id="8" name="Rectangle 29"/>
                          <wps:cNvSpPr>
                            <a:spLocks noChangeAspect="1" noChangeArrowheads="1"/>
                          </wps:cNvSpPr>
                          <wps:spPr bwMode="auto">
                            <a:xfrm rot="2700000">
                              <a:off x="964" y="3424"/>
                              <a:ext cx="1457" cy="1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s:wsp>
                          <wps:cNvPr id="9" name="AutoShape 30"/>
                          <wps:cNvSpPr>
                            <a:spLocks noChangeArrowheads="1"/>
                          </wps:cNvSpPr>
                          <wps:spPr bwMode="auto">
                            <a:xfrm rot="5400000">
                              <a:off x="1338" y="3781"/>
                              <a:ext cx="1429" cy="737"/>
                            </a:xfrm>
                            <a:prstGeom prst="triangle">
                              <a:avLst>
                                <a:gd name="adj" fmla="val 50000"/>
                              </a:avLst>
                            </a:prstGeom>
                            <a:solidFill>
                              <a:srgbClr val="D2232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36000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FD5C381" id="Group 31" o:spid="_x0000_s1026" style="position:absolute;left:0;text-align:left;margin-left:-56.7pt;margin-top:5.5pt;width:595.6pt;height:651.1pt;z-index:251658240" coordorigin=",2700" coordsize="11912,130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">
                <v:rect id="Rectangle 8" o:spid="_x0000_s1027" style="position:absolute;left:6;top:15439;width:11906;height: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" fillcolor="#57433e" stroked="f">
                  <v:textbox inset=",10mm"/>
                </v:rect>
                <v:shapetype id="_x0000_t202" coordsize="21600,21600" o:spt="202" path="m,l,21600r21600,l21600,xe">
                  <v:stroke joinstyle="miter"/>
                  <v:path gradientshapeok="t" o:connecttype="rect"/>
                </v:shapetype>
                <v:shape id="Text Box 9" o:spid="_x0000_s1028" type="#_x0000_t202" style="position:absolute;top:2700;width:11906;height:2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" fillcolor="#57433e" stroked="f">
                  <v:textbox inset="80mm,10mm">
                    <w:txbxContent>
                      <w:p w14:paraId="7AE5B75C" w14:textId="2354905C" w:rsidR="00203E66" w:rsidRPr="00C95C7C" w:rsidRDefault="00203E66" w:rsidP="00C74BE6">
                        <w:pPr>
                          <w:rPr>
                            <w:color w:val="FFFFFF"/>
                            <w:sz w:val="68"/>
                          </w:rPr>
                        </w:pPr>
                        <w:r w:rsidRPr="00C95C7C">
                          <w:rPr>
                            <w:color w:val="FFFFFF"/>
                            <w:sz w:val="68"/>
                          </w:rPr>
                          <w:t xml:space="preserve">ECC Recommendation </w:t>
                        </w:r>
                        <w:r w:rsidRPr="002C6AA9">
                          <w:rPr>
                            <w:color w:val="887E6E"/>
                            <w:sz w:val="68"/>
                          </w:rPr>
                          <w:t>(</w:t>
                        </w:r>
                        <w:r w:rsidR="002B24A2">
                          <w:rPr>
                            <w:color w:val="887E6E"/>
                            <w:sz w:val="68"/>
                          </w:rPr>
                          <w:t>08</w:t>
                        </w:r>
                        <w:r w:rsidRPr="002C6AA9">
                          <w:rPr>
                            <w:color w:val="887E6E"/>
                            <w:sz w:val="68"/>
                          </w:rPr>
                          <w:t>)</w:t>
                        </w:r>
                        <w:r w:rsidR="002B24A2">
                          <w:rPr>
                            <w:color w:val="887E6E"/>
                            <w:sz w:val="68"/>
                          </w:rPr>
                          <w:t>01</w:t>
                        </w:r>
                      </w:p>
                      <w:p w14:paraId="59B839AF" w14:textId="77777777" w:rsidR="00203E66" w:rsidRPr="00C95C7C" w:rsidRDefault="00203E66" w:rsidP="00C74BE6">
                        <w:pPr>
                          <w:rPr>
                            <w:color w:val="887E6E"/>
                            <w:sz w:val="44"/>
                          </w:rPr>
                        </w:pPr>
                      </w:p>
                    </w:txbxContent>
                  </v:textbox>
                </v:shape>
                <v:group id="Group 28" o:spid="_x0000_s1029" style="position:absolute;left:1674;top:3087;width:1790;height:1790" coordorigin="964,3424" coordsize="1457,14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29" o:spid="_x0000_s1030" style="position:absolute;left:964;top:3424;width:1457;height:1457;rotation: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" stroked="f">
                    <o:lock v:ext="edit" aspectratio="t"/>
                    <v:textbox inset=",10mm"/>
                  </v:re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30" o:spid="_x0000_s1031" type="#_x0000_t5" style="position:absolute;left:1338;top:3781;width:1429;height:73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" fillcolor="#d2232a" stroked="f">
                    <v:textbox inset=",10mm"/>
                  </v:shape>
                </v:group>
              </v:group>
            </w:pict>
          </mc:Fallback>
        </mc:AlternateContent>
      </w:r>
    </w:p>
    <w:p w14:paraId="473AAE63" w14:textId="77777777" w:rsidR="00C74BE6" w:rsidRPr="0010769E" w:rsidRDefault="00C74BE6" w:rsidP="00C74BE6">
      <w:pPr>
        <w:jc w:val="center"/>
        <w:rPr>
          <w:b/>
          <w:sz w:val="24"/>
        </w:rPr>
      </w:pPr>
    </w:p>
    <w:p w14:paraId="3140E44E" w14:textId="77777777" w:rsidR="00C74BE6" w:rsidRPr="0010769E" w:rsidRDefault="00C74BE6" w:rsidP="00C74BE6">
      <w:pPr>
        <w:jc w:val="center"/>
        <w:rPr>
          <w:b/>
          <w:sz w:val="24"/>
        </w:rPr>
      </w:pPr>
    </w:p>
    <w:p w14:paraId="21836419" w14:textId="77777777" w:rsidR="00C74BE6" w:rsidRPr="0010769E" w:rsidRDefault="00C74BE6" w:rsidP="00C74BE6">
      <w:pPr>
        <w:jc w:val="center"/>
        <w:rPr>
          <w:b/>
          <w:sz w:val="24"/>
        </w:rPr>
      </w:pPr>
    </w:p>
    <w:p w14:paraId="48A3CBCD" w14:textId="77777777" w:rsidR="00C74BE6" w:rsidRPr="0010769E" w:rsidRDefault="00C74BE6" w:rsidP="00C74BE6">
      <w:pPr>
        <w:jc w:val="center"/>
        <w:rPr>
          <w:b/>
          <w:sz w:val="24"/>
        </w:rPr>
      </w:pPr>
    </w:p>
    <w:p w14:paraId="4ECE6491" w14:textId="77777777" w:rsidR="00C74BE6" w:rsidRPr="0010769E" w:rsidRDefault="00C74BE6" w:rsidP="00C74BE6">
      <w:pPr>
        <w:jc w:val="center"/>
        <w:rPr>
          <w:b/>
          <w:sz w:val="24"/>
        </w:rPr>
      </w:pPr>
    </w:p>
    <w:p w14:paraId="5EF4FA7F" w14:textId="77777777" w:rsidR="00C74BE6" w:rsidRPr="0010769E" w:rsidRDefault="00C74BE6" w:rsidP="00C74BE6">
      <w:pPr>
        <w:jc w:val="center"/>
        <w:rPr>
          <w:b/>
          <w:sz w:val="24"/>
        </w:rPr>
      </w:pPr>
    </w:p>
    <w:p w14:paraId="773AC295" w14:textId="77777777" w:rsidR="00C74BE6" w:rsidRPr="0010769E" w:rsidRDefault="00C74BE6" w:rsidP="00C74BE6">
      <w:pPr>
        <w:jc w:val="center"/>
        <w:rPr>
          <w:b/>
          <w:sz w:val="24"/>
        </w:rPr>
      </w:pPr>
    </w:p>
    <w:p w14:paraId="2447D647" w14:textId="77777777" w:rsidR="00C74BE6" w:rsidRPr="0010769E" w:rsidRDefault="00C74BE6" w:rsidP="00C74BE6">
      <w:pPr>
        <w:jc w:val="center"/>
        <w:rPr>
          <w:b/>
          <w:sz w:val="24"/>
        </w:rPr>
      </w:pPr>
    </w:p>
    <w:p w14:paraId="72F416EA" w14:textId="77777777" w:rsidR="00C74BE6" w:rsidRPr="0010769E" w:rsidRDefault="00C74BE6" w:rsidP="00C74BE6">
      <w:pPr>
        <w:jc w:val="center"/>
        <w:rPr>
          <w:b/>
          <w:sz w:val="24"/>
        </w:rPr>
      </w:pPr>
    </w:p>
    <w:p w14:paraId="192006E5" w14:textId="77777777" w:rsidR="00C74BE6" w:rsidRPr="0010769E" w:rsidRDefault="00C74BE6" w:rsidP="00C74BE6">
      <w:pPr>
        <w:jc w:val="center"/>
        <w:rPr>
          <w:b/>
          <w:sz w:val="24"/>
        </w:rPr>
      </w:pPr>
    </w:p>
    <w:p w14:paraId="7CB54AA4" w14:textId="77777777" w:rsidR="00C74BE6" w:rsidRPr="0010769E" w:rsidRDefault="00C74BE6" w:rsidP="00C74BE6">
      <w:pPr>
        <w:rPr>
          <w:b/>
          <w:sz w:val="24"/>
        </w:rPr>
      </w:pPr>
    </w:p>
    <w:p w14:paraId="51FD7268" w14:textId="77777777" w:rsidR="00C74BE6" w:rsidRPr="0010769E" w:rsidRDefault="00C74BE6" w:rsidP="00C74BE6">
      <w:pPr>
        <w:jc w:val="center"/>
        <w:rPr>
          <w:b/>
          <w:sz w:val="24"/>
        </w:rPr>
      </w:pPr>
    </w:p>
    <w:p w14:paraId="031AF14D" w14:textId="068692B4" w:rsidR="00C74BE6" w:rsidRPr="005A00E5" w:rsidRDefault="00FD4B42" w:rsidP="00C74BE6">
      <w:pPr>
        <w:pStyle w:val="Reporttitledescription"/>
      </w:pPr>
      <w:r w:rsidRPr="00FD4B42">
        <w:t xml:space="preserve">Use of the band 5855-5875 MHz for </w:t>
      </w:r>
      <w:r>
        <w:rPr>
          <w:sz w:val="22"/>
          <w:szCs w:val="22"/>
          <w:lang w:val="en-GB"/>
        </w:rPr>
        <w:t>non-</w:t>
      </w:r>
      <w:r w:rsidRPr="007B7CAB">
        <w:rPr>
          <w:sz w:val="22"/>
          <w:szCs w:val="22"/>
          <w:lang w:val="en-GB"/>
        </w:rPr>
        <w:t>safety</w:t>
      </w:r>
      <w:r w:rsidR="00DF6F91">
        <w:rPr>
          <w:sz w:val="22"/>
          <w:szCs w:val="22"/>
          <w:lang w:val="en-GB"/>
        </w:rPr>
        <w:t xml:space="preserve"> related</w:t>
      </w:r>
      <w:r>
        <w:rPr>
          <w:sz w:val="22"/>
          <w:szCs w:val="22"/>
          <w:lang w:val="en-GB"/>
        </w:rPr>
        <w:t xml:space="preserve"> Road</w:t>
      </w:r>
      <w:r w:rsidRPr="00FD4B42">
        <w:t xml:space="preserve"> Intelligent Transport Systems (ITS)</w:t>
      </w:r>
      <w:r w:rsidRPr="00FD4B42">
        <w:rPr>
          <w:sz w:val="22"/>
          <w:szCs w:val="22"/>
          <w:lang w:val="en-GB"/>
        </w:rPr>
        <w:t xml:space="preserve"> </w:t>
      </w:r>
    </w:p>
    <w:p w14:paraId="3BA7D191" w14:textId="46BACC0B" w:rsidR="00C74BE6" w:rsidRPr="005A00E5" w:rsidRDefault="00CB5128" w:rsidP="00C74BE6">
      <w:pPr>
        <w:pStyle w:val="Reporttitledescription"/>
        <w:rPr>
          <w:b/>
          <w:sz w:val="18"/>
        </w:rPr>
      </w:pPr>
      <w:r>
        <w:rPr>
          <w:b/>
          <w:sz w:val="18"/>
        </w:rPr>
        <w:fldChar w:fldCharType="begin">
          <w:ffData>
            <w:name w:val="Text8"/>
            <w:enabled/>
            <w:calcOnExit w:val="0"/>
            <w:textInput>
              <w:default w:val="approved 21 February 2008"/>
            </w:textInput>
          </w:ffData>
        </w:fldChar>
      </w:r>
      <w:bookmarkStart w:id="0" w:name="Text8"/>
      <w:r>
        <w:rPr>
          <w:b/>
          <w:sz w:val="18"/>
        </w:rPr>
        <w:instrText xml:space="preserve"> FORMTEXT </w:instrText>
      </w:r>
      <w:r>
        <w:rPr>
          <w:b/>
          <w:sz w:val="18"/>
        </w:rPr>
      </w:r>
      <w:r>
        <w:rPr>
          <w:b/>
          <w:sz w:val="18"/>
        </w:rPr>
        <w:fldChar w:fldCharType="separate"/>
      </w:r>
      <w:r>
        <w:rPr>
          <w:b/>
          <w:noProof/>
          <w:sz w:val="18"/>
        </w:rPr>
        <w:t>approved 21 February 2008</w:t>
      </w:r>
      <w:r>
        <w:rPr>
          <w:b/>
          <w:sz w:val="18"/>
        </w:rPr>
        <w:fldChar w:fldCharType="end"/>
      </w:r>
      <w:bookmarkEnd w:id="0"/>
      <w:r w:rsidR="00C74BE6">
        <w:rPr>
          <w:b/>
          <w:sz w:val="18"/>
        </w:rPr>
        <w:tab/>
      </w:r>
    </w:p>
    <w:p w14:paraId="77F00A48" w14:textId="165CF831" w:rsidR="003710CE" w:rsidRPr="008F5538" w:rsidRDefault="00404FD4" w:rsidP="00C74BE6">
      <w:pPr>
        <w:pStyle w:val="Lastupdated"/>
        <w:rPr>
          <w:bCs w:val="0"/>
        </w:rPr>
      </w:pPr>
      <w:r>
        <w:rPr>
          <w:bCs w:val="0"/>
        </w:rPr>
        <w:fldChar w:fldCharType="begin">
          <w:ffData>
            <w:name w:val="Text3"/>
            <w:enabled/>
            <w:calcOnExit w:val="0"/>
            <w:textInput>
              <w:default w:val="latest amended 6 June 2025"/>
            </w:textInput>
          </w:ffData>
        </w:fldChar>
      </w:r>
      <w:bookmarkStart w:id="1" w:name="Text3"/>
      <w:r>
        <w:rPr>
          <w:bCs w:val="0"/>
        </w:rPr>
        <w:instrText xml:space="preserve"> FORMTEXT </w:instrText>
      </w:r>
      <w:r>
        <w:rPr>
          <w:bCs w:val="0"/>
        </w:rPr>
      </w:r>
      <w:r>
        <w:rPr>
          <w:bCs w:val="0"/>
        </w:rPr>
        <w:fldChar w:fldCharType="separate"/>
      </w:r>
      <w:r>
        <w:rPr>
          <w:bCs w:val="0"/>
          <w:noProof/>
        </w:rPr>
        <w:t>latest amended 6 June 2025</w:t>
      </w:r>
      <w:r>
        <w:rPr>
          <w:bCs w:val="0"/>
        </w:rPr>
        <w:fldChar w:fldCharType="end"/>
      </w:r>
      <w:bookmarkEnd w:id="1"/>
    </w:p>
    <w:p w14:paraId="43F7CAC8" w14:textId="77777777" w:rsidR="00C74BE6" w:rsidRPr="00413616" w:rsidRDefault="00C74BE6"/>
    <w:p w14:paraId="142B4369" w14:textId="77777777" w:rsidR="00203E66" w:rsidRDefault="00203E66">
      <w:pPr>
        <w:rPr>
          <w:lang w:val="en-GB"/>
        </w:rPr>
        <w:sectPr w:rsidR="00203E66">
          <w:headerReference w:type="even" r:id="rId8"/>
          <w:headerReference w:type="default" r:id="rId9"/>
          <w:footerReference w:type="even" r:id="rId10"/>
          <w:footerReference w:type="default" r:id="rId11"/>
          <w:headerReference w:type="first" r:id="rId12"/>
          <w:footerReference w:type="first" r:id="rId13"/>
          <w:pgSz w:w="11907" w:h="16840" w:code="9"/>
          <w:pgMar w:top="1440" w:right="1134" w:bottom="1440" w:left="1134" w:header="709" w:footer="709" w:gutter="0"/>
          <w:cols w:space="708"/>
          <w:titlePg/>
          <w:docGrid w:linePitch="360"/>
        </w:sectPr>
      </w:pPr>
    </w:p>
    <w:p w14:paraId="5AC5C412" w14:textId="33B9D9CD" w:rsidR="00C74BE6" w:rsidRDefault="00835C5B" w:rsidP="00B85957">
      <w:pPr>
        <w:pStyle w:val="Heading1"/>
      </w:pPr>
      <w:r>
        <w:lastRenderedPageBreak/>
        <w:t>introduction</w:t>
      </w:r>
    </w:p>
    <w:p w14:paraId="2AF876E4" w14:textId="521296BE" w:rsidR="00CB5128" w:rsidRPr="00B322AC" w:rsidRDefault="00CB5128" w:rsidP="00FC593C">
      <w:pPr>
        <w:pStyle w:val="ECCParagraph"/>
        <w:spacing w:after="200"/>
      </w:pPr>
      <w:r w:rsidRPr="00B322AC">
        <w:t xml:space="preserve">This Recommendation addresses frequency usage for non-safety </w:t>
      </w:r>
      <w:r w:rsidR="001A21C2">
        <w:t xml:space="preserve">related </w:t>
      </w:r>
      <w:r w:rsidR="00616A3A">
        <w:t>road</w:t>
      </w:r>
      <w:r w:rsidRPr="00B322AC">
        <w:t xml:space="preserve"> Intelligent Transport Systems (ITS) in the band 5855-5875 MHz.</w:t>
      </w:r>
    </w:p>
    <w:p w14:paraId="7D5C7308" w14:textId="33591DCA" w:rsidR="008A3A78" w:rsidRPr="00AC504F" w:rsidRDefault="008A3A78" w:rsidP="00FC593C">
      <w:pPr>
        <w:pStyle w:val="ECCParagraph"/>
        <w:spacing w:after="200"/>
      </w:pPr>
      <w:r w:rsidRPr="00AC504F">
        <w:t>Non-safety</w:t>
      </w:r>
      <w:r w:rsidR="00427A6B">
        <w:t xml:space="preserve"> related</w:t>
      </w:r>
      <w:r w:rsidRPr="00AC504F">
        <w:t xml:space="preserve"> </w:t>
      </w:r>
      <w:r w:rsidR="00BA7494">
        <w:t>R</w:t>
      </w:r>
      <w:r w:rsidRPr="00AC504F">
        <w:t>oad ITS encompass Infrastructure to Vehicle (I2V) and Vehicle to Vehicle (V2V) communications between ITS stations. Throughout this ECC Recommendation, portable ITS stations are also covered by the terminology “vehicle”, when V2V or I2V is addressed.</w:t>
      </w:r>
    </w:p>
    <w:p w14:paraId="230FF99D" w14:textId="11447B70" w:rsidR="005F2720" w:rsidRDefault="005F2720" w:rsidP="00FC593C">
      <w:pPr>
        <w:pStyle w:val="ECCParagraph"/>
        <w:spacing w:after="200"/>
      </w:pPr>
      <w:r w:rsidRPr="00AC504F">
        <w:t>The V2V non-safety</w:t>
      </w:r>
      <w:r w:rsidR="00C07B2A">
        <w:t xml:space="preserve"> related</w:t>
      </w:r>
      <w:r w:rsidRPr="00AC504F">
        <w:t xml:space="preserve"> </w:t>
      </w:r>
      <w:r w:rsidR="00BA7494">
        <w:t>R</w:t>
      </w:r>
      <w:r>
        <w:t xml:space="preserve">oad </w:t>
      </w:r>
      <w:r w:rsidRPr="00AC504F">
        <w:t>ITS within the band 5855-5875 MHz are typically short</w:t>
      </w:r>
      <w:r w:rsidR="00C477AA">
        <w:t>-</w:t>
      </w:r>
      <w:r w:rsidRPr="00AC504F">
        <w:t>range communication</w:t>
      </w:r>
      <w:r w:rsidR="00FC2D14">
        <w:t>s</w:t>
      </w:r>
      <w:r w:rsidRPr="00AC504F">
        <w:t xml:space="preserve"> between vehicles on the roads and thus the interference potential</w:t>
      </w:r>
      <w:r w:rsidR="00C44DF1">
        <w:t xml:space="preserve"> is limited</w:t>
      </w:r>
      <w:r w:rsidR="00C07B2A">
        <w:t xml:space="preserve"> </w:t>
      </w:r>
      <w:r w:rsidRPr="00AC504F">
        <w:t>by the operational conditions</w:t>
      </w:r>
      <w:r w:rsidR="00C07B2A">
        <w:t xml:space="preserve"> </w:t>
      </w:r>
      <w:r w:rsidR="00C07B2A" w:rsidRPr="00AC504F">
        <w:t xml:space="preserve">with </w:t>
      </w:r>
      <w:r w:rsidR="00C07B2A">
        <w:t>short range devices (</w:t>
      </w:r>
      <w:r w:rsidR="00C07B2A" w:rsidRPr="00AC504F">
        <w:t>SRD</w:t>
      </w:r>
      <w:r w:rsidR="00C07B2A">
        <w:t>)</w:t>
      </w:r>
      <w:r w:rsidR="00C07B2A" w:rsidRPr="00AC504F">
        <w:t xml:space="preserve"> and </w:t>
      </w:r>
      <w:r w:rsidR="00C07B2A">
        <w:t>Broadband Fixed Wireless Access (</w:t>
      </w:r>
      <w:r w:rsidR="00C07B2A" w:rsidRPr="00AC504F">
        <w:t>BFWA</w:t>
      </w:r>
      <w:r w:rsidR="00C07B2A">
        <w:t>)</w:t>
      </w:r>
      <w:r w:rsidRPr="00AC504F">
        <w:t>. SRD within this band would typically be used indoor for devices such as home automation systems and BFWA used with highly directional antennas which would provide further mitigation of potential interference problems. The non-safety</w:t>
      </w:r>
      <w:r w:rsidR="00427A6B">
        <w:t xml:space="preserve"> related</w:t>
      </w:r>
      <w:r w:rsidRPr="00AC504F">
        <w:t xml:space="preserve"> </w:t>
      </w:r>
      <w:r w:rsidR="00BA7494">
        <w:t>R</w:t>
      </w:r>
      <w:r w:rsidRPr="00AC504F">
        <w:t xml:space="preserve">oad ITS would not suffer from extensive interference from </w:t>
      </w:r>
      <w:r w:rsidR="00FC2D14">
        <w:t>SRD</w:t>
      </w:r>
      <w:r w:rsidRPr="00AC504F">
        <w:t xml:space="preserve"> or BFWA within the band as there is no need for low latency communication for the non-safety</w:t>
      </w:r>
      <w:r w:rsidR="00427A6B">
        <w:t xml:space="preserve"> related</w:t>
      </w:r>
      <w:r w:rsidRPr="00AC504F">
        <w:t xml:space="preserve"> </w:t>
      </w:r>
      <w:r w:rsidR="00BA7494">
        <w:t>R</w:t>
      </w:r>
      <w:r w:rsidRPr="00AC504F">
        <w:t>oad ITS.</w:t>
      </w:r>
    </w:p>
    <w:p w14:paraId="5BFA7642" w14:textId="79609F03" w:rsidR="009228B8" w:rsidRPr="00AC504F" w:rsidRDefault="009228B8" w:rsidP="00FC593C">
      <w:pPr>
        <w:pStyle w:val="ECCParagraph"/>
        <w:spacing w:after="200"/>
      </w:pPr>
      <w:r w:rsidRPr="00AC504F">
        <w:t>In 2006, ETSI System Reference Document TR 102</w:t>
      </w:r>
      <w:r>
        <w:t xml:space="preserve"> </w:t>
      </w:r>
      <w:r w:rsidRPr="00AC504F">
        <w:t xml:space="preserve">492-2 </w:t>
      </w:r>
      <w:r w:rsidRPr="00AC504F">
        <w:fldChar w:fldCharType="begin"/>
      </w:r>
      <w:r w:rsidRPr="00AC504F">
        <w:instrText xml:space="preserve"> REF _Ref34831937 \r \h </w:instrText>
      </w:r>
      <w:r>
        <w:instrText xml:space="preserve"> \* MERGEFORMAT </w:instrText>
      </w:r>
      <w:r w:rsidRPr="00AC504F">
        <w:fldChar w:fldCharType="separate"/>
      </w:r>
      <w:r w:rsidR="00221787">
        <w:t>[2]</w:t>
      </w:r>
      <w:r w:rsidRPr="00AC504F">
        <w:fldChar w:fldCharType="end"/>
      </w:r>
      <w:r w:rsidRPr="00AC504F">
        <w:t xml:space="preserve"> requested 20 MHz of spectrum for non-safety related ITS based on </w:t>
      </w:r>
      <w:r w:rsidR="005D2AA1">
        <w:t>V2V</w:t>
      </w:r>
      <w:r w:rsidRPr="00AC504F">
        <w:t xml:space="preserve"> and</w:t>
      </w:r>
      <w:r>
        <w:t xml:space="preserve"> </w:t>
      </w:r>
      <w:r w:rsidR="000E3C86">
        <w:t>I2V</w:t>
      </w:r>
      <w:r w:rsidRPr="00AC504F">
        <w:t xml:space="preserve"> communications.</w:t>
      </w:r>
    </w:p>
    <w:p w14:paraId="3297BB49" w14:textId="6C034D6E" w:rsidR="009228B8" w:rsidRPr="00AC504F" w:rsidRDefault="009228B8" w:rsidP="00FC593C">
      <w:pPr>
        <w:pStyle w:val="ECCParagraph"/>
        <w:spacing w:after="200"/>
      </w:pPr>
      <w:r w:rsidRPr="00AC504F">
        <w:t>In 2023, ETSI provided a System Reference Document TR 103 853</w:t>
      </w:r>
      <w:r w:rsidR="004D2B44" w:rsidRPr="00AC504F">
        <w:t xml:space="preserve"> </w:t>
      </w:r>
      <w:r w:rsidR="004D2B44">
        <w:fldChar w:fldCharType="begin"/>
      </w:r>
      <w:r w:rsidR="004D2B44">
        <w:instrText xml:space="preserve"> REF _Ref189739508 \r \h </w:instrText>
      </w:r>
      <w:r w:rsidR="004D2B44">
        <w:fldChar w:fldCharType="separate"/>
      </w:r>
      <w:r w:rsidR="004D2B44">
        <w:t>[15]</w:t>
      </w:r>
      <w:r w:rsidR="004D2B44">
        <w:fldChar w:fldCharType="end"/>
      </w:r>
      <w:r w:rsidRPr="00AC504F">
        <w:t xml:space="preserve"> requesting a revision of radio spectrum regulation for Road ITS operating in 5.9 GHz enabling channels with 20 MHz bandwidth.</w:t>
      </w:r>
    </w:p>
    <w:p w14:paraId="37015921" w14:textId="4C17E46A" w:rsidR="00CB5128" w:rsidRPr="00B322AC" w:rsidRDefault="00CB5128" w:rsidP="00FC593C">
      <w:pPr>
        <w:pStyle w:val="ECCParagraph"/>
        <w:spacing w:after="200"/>
      </w:pPr>
      <w:r w:rsidRPr="00B322AC">
        <w:t xml:space="preserve">The use of the band 5855-5875 MHz for non-safety </w:t>
      </w:r>
      <w:r w:rsidR="00427A6B">
        <w:t xml:space="preserve">related </w:t>
      </w:r>
      <w:r w:rsidR="001121BC">
        <w:t>R</w:t>
      </w:r>
      <w:r w:rsidR="009228B8">
        <w:t xml:space="preserve">oad </w:t>
      </w:r>
      <w:r w:rsidRPr="00B322AC">
        <w:t xml:space="preserve">ITS has been considered within the general compatibility studies for ITS applications in the band 5855-5925 MHz </w:t>
      </w:r>
      <w:r w:rsidR="0072379E">
        <w:t xml:space="preserve">documented </w:t>
      </w:r>
      <w:r w:rsidR="004D2B44" w:rsidRPr="00B322AC">
        <w:t xml:space="preserve">in ECC Report 101 </w:t>
      </w:r>
      <w:r w:rsidR="004D2B44">
        <w:fldChar w:fldCharType="begin"/>
      </w:r>
      <w:r w:rsidR="004D2B44">
        <w:instrText xml:space="preserve"> REF _Ref34831971 \r \h </w:instrText>
      </w:r>
      <w:r w:rsidR="004D2B44">
        <w:fldChar w:fldCharType="separate"/>
      </w:r>
      <w:r w:rsidR="004D2B44">
        <w:t>[3]</w:t>
      </w:r>
      <w:r w:rsidR="004D2B44">
        <w:fldChar w:fldCharType="end"/>
      </w:r>
      <w:r w:rsidR="004D2B44">
        <w:t>,</w:t>
      </w:r>
      <w:r w:rsidR="004D2B44" w:rsidRPr="00B322AC">
        <w:t xml:space="preserve"> in ECC Report 228 </w:t>
      </w:r>
      <w:r w:rsidR="004D2B44">
        <w:fldChar w:fldCharType="begin"/>
      </w:r>
      <w:r w:rsidR="004D2B44">
        <w:instrText xml:space="preserve"> REF _Ref34832027 \r \h </w:instrText>
      </w:r>
      <w:r w:rsidR="004D2B44">
        <w:fldChar w:fldCharType="separate"/>
      </w:r>
      <w:r w:rsidR="004D2B44">
        <w:t>[4]</w:t>
      </w:r>
      <w:r w:rsidR="004D2B44">
        <w:fldChar w:fldCharType="end"/>
      </w:r>
      <w:r w:rsidR="004D2B44">
        <w:t xml:space="preserve">, </w:t>
      </w:r>
      <w:r w:rsidR="004D2B44" w:rsidRPr="00AC504F">
        <w:t xml:space="preserve">ECC Report 290 </w:t>
      </w:r>
      <w:r w:rsidR="004D2B44">
        <w:fldChar w:fldCharType="begin"/>
      </w:r>
      <w:r w:rsidR="004D2B44">
        <w:instrText xml:space="preserve"> REF _Ref189845270 \r \h </w:instrText>
      </w:r>
      <w:r w:rsidR="004D2B44">
        <w:fldChar w:fldCharType="separate"/>
      </w:r>
      <w:r w:rsidR="004D2B44">
        <w:t>[5]</w:t>
      </w:r>
      <w:r w:rsidR="004D2B44">
        <w:fldChar w:fldCharType="end"/>
      </w:r>
      <w:r w:rsidR="004D2B44" w:rsidRPr="00AC504F">
        <w:t xml:space="preserve"> and ECC Report 291 </w:t>
      </w:r>
      <w:r w:rsidR="004D2B44">
        <w:fldChar w:fldCharType="begin"/>
      </w:r>
      <w:r w:rsidR="004D2B44">
        <w:instrText xml:space="preserve"> REF _Ref189845280 \r \h </w:instrText>
      </w:r>
      <w:r w:rsidR="004D2B44">
        <w:fldChar w:fldCharType="separate"/>
      </w:r>
      <w:r w:rsidR="004D2B44">
        <w:t>[6]</w:t>
      </w:r>
      <w:r w:rsidR="004D2B44">
        <w:fldChar w:fldCharType="end"/>
      </w:r>
      <w:r w:rsidR="004D2B44" w:rsidRPr="00B322AC">
        <w:t>.</w:t>
      </w:r>
      <w:r w:rsidRPr="00B322AC">
        <w:t xml:space="preserve"> </w:t>
      </w:r>
    </w:p>
    <w:p w14:paraId="49C51A02" w14:textId="5AD7A3E6" w:rsidR="00CB5128" w:rsidRPr="00B322AC" w:rsidRDefault="00CB5128" w:rsidP="00FC593C">
      <w:pPr>
        <w:pStyle w:val="ECCParagraph"/>
        <w:spacing w:after="200"/>
      </w:pPr>
      <w:r w:rsidRPr="00701554">
        <w:t>ECC Report 228</w:t>
      </w:r>
      <w:r w:rsidRPr="00B322AC">
        <w:t xml:space="preserve"> </w:t>
      </w:r>
      <w:r w:rsidR="00F26292">
        <w:t>addressed</w:t>
      </w:r>
      <w:r w:rsidRPr="00701554">
        <w:t xml:space="preserve"> compatibility studies between ITS in the frequency band 5855-5925</w:t>
      </w:r>
      <w:r w:rsidR="00F26292">
        <w:t xml:space="preserve"> </w:t>
      </w:r>
      <w:r w:rsidRPr="00701554">
        <w:t>MHz and other systems in adjacent bands</w:t>
      </w:r>
      <w:r w:rsidR="00F26292">
        <w:t>.</w:t>
      </w:r>
      <w:r w:rsidR="007B0922" w:rsidRPr="0031294D">
        <w:t xml:space="preserve"> The Report concluded that protection of road tolling in the 5795-5815 MHz band is achieved if Road</w:t>
      </w:r>
      <w:r w:rsidRPr="00701554">
        <w:t xml:space="preserve"> </w:t>
      </w:r>
      <w:r w:rsidRPr="00B322AC">
        <w:t xml:space="preserve">ITS </w:t>
      </w:r>
      <w:r w:rsidRPr="00701554">
        <w:t xml:space="preserve">unwanted emissions </w:t>
      </w:r>
      <w:r w:rsidR="007B0922">
        <w:t>remain below</w:t>
      </w:r>
      <w:r w:rsidRPr="00701554">
        <w:t xml:space="preserve"> -65</w:t>
      </w:r>
      <w:r w:rsidR="00CA797D">
        <w:t xml:space="preserve"> </w:t>
      </w:r>
      <w:r w:rsidRPr="00701554">
        <w:t xml:space="preserve">dBm/MHz </w:t>
      </w:r>
      <w:r w:rsidRPr="0066447D">
        <w:t>e.i.r.p.</w:t>
      </w:r>
      <w:r w:rsidRPr="00701554">
        <w:t xml:space="preserve"> </w:t>
      </w:r>
      <w:r w:rsidR="007B0922" w:rsidRPr="0031294D">
        <w:t>inside a defined zone. Alternatively, higher unwanted emissions could be allowed together with mitigation techniques equivalent to those described in ETSI TS 102 792 v1.1.1</w:t>
      </w:r>
      <w:r w:rsidR="004D2B44" w:rsidRPr="0031294D">
        <w:t xml:space="preserve"> </w:t>
      </w:r>
      <w:r w:rsidR="004D2B44" w:rsidRPr="00AC504F">
        <w:fldChar w:fldCharType="begin"/>
      </w:r>
      <w:r w:rsidR="004D2B44" w:rsidRPr="00AC504F">
        <w:instrText xml:space="preserve"> REF _Ref34832424 \r \h </w:instrText>
      </w:r>
      <w:r w:rsidR="004D2B44">
        <w:instrText xml:space="preserve"> \* MERGEFORMAT </w:instrText>
      </w:r>
      <w:r w:rsidR="004D2B44" w:rsidRPr="00AC504F">
        <w:fldChar w:fldCharType="separate"/>
      </w:r>
      <w:r w:rsidR="004D2B44">
        <w:t>[12]</w:t>
      </w:r>
      <w:r w:rsidR="004D2B44" w:rsidRPr="00AC504F">
        <w:fldChar w:fldCharType="end"/>
      </w:r>
      <w:r w:rsidR="007B0922" w:rsidRPr="00AC504F">
        <w:t>.</w:t>
      </w:r>
    </w:p>
    <w:p w14:paraId="0887BA38" w14:textId="7B577891" w:rsidR="007B0922" w:rsidRDefault="007B0922" w:rsidP="00FC593C">
      <w:pPr>
        <w:pStyle w:val="ECCParagraph"/>
        <w:spacing w:after="200"/>
      </w:pPr>
      <w:r w:rsidRPr="00AC504F">
        <w:t xml:space="preserve">ECC Report 290 </w:t>
      </w:r>
      <w:r w:rsidRPr="0031294D">
        <w:t xml:space="preserve">addressed compatibility studies to examine the applicability of ECC Report 101 and </w:t>
      </w:r>
      <w:r w:rsidR="00F70DCB">
        <w:t xml:space="preserve">ECC Report </w:t>
      </w:r>
      <w:r w:rsidRPr="0031294D">
        <w:t xml:space="preserve">228 for various ITS technologies. </w:t>
      </w:r>
      <w:r w:rsidRPr="00AC504F">
        <w:t>However, coordination may be required between Urban Rail and road tolling when the separation distance is below 40</w:t>
      </w:r>
      <w:r w:rsidR="00204784">
        <w:t xml:space="preserve"> </w:t>
      </w:r>
      <w:r w:rsidRPr="00AC504F">
        <w:t>m.</w:t>
      </w:r>
      <w:r w:rsidRPr="0031294D">
        <w:t xml:space="preserve"> The outcomes of ECC Report 101 related to the compatibility of ITS with FSS were considered valid</w:t>
      </w:r>
      <w:r w:rsidRPr="00AC504F">
        <w:t>.</w:t>
      </w:r>
    </w:p>
    <w:p w14:paraId="33CCD933" w14:textId="0C1540BF" w:rsidR="00CB5128" w:rsidRPr="00B322AC" w:rsidRDefault="00CB5128" w:rsidP="00FC593C">
      <w:pPr>
        <w:pStyle w:val="ECCParagraph"/>
        <w:spacing w:after="200"/>
      </w:pPr>
      <w:r w:rsidRPr="00B322AC">
        <w:t xml:space="preserve">ECC Report 291 </w:t>
      </w:r>
      <w:r w:rsidR="00F06A26">
        <w:t>addressed</w:t>
      </w:r>
      <w:r w:rsidRPr="00B322AC">
        <w:t xml:space="preserve"> the compatibility between smart tachograph, weight and dimension applications and systems operating in the band 5795-5815 MHz and in the adjacent bands</w:t>
      </w:r>
      <w:r w:rsidR="00F06A26" w:rsidRPr="0031294D">
        <w:t xml:space="preserve">, and concluded that it is only close to the remote early detection communication reader (REDCR) where Road ITS unwanted emissions may cause interference. Compatibility with ITS was feasible with an unwanted emissions limit of -30 dBm/MHz </w:t>
      </w:r>
      <w:r w:rsidR="00F06A26" w:rsidRPr="00E56769">
        <w:t>e.i.r.p.</w:t>
      </w:r>
      <w:r w:rsidR="00F06A26" w:rsidRPr="0031294D">
        <w:t>, also assuming ITS message generation equivalent to those described in ETSI EN 302 637-2</w:t>
      </w:r>
      <w:r w:rsidR="00E56769" w:rsidRPr="0031294D">
        <w:t xml:space="preserve"> </w:t>
      </w:r>
      <w:r w:rsidR="00E56769" w:rsidRPr="0031294D">
        <w:fldChar w:fldCharType="begin"/>
      </w:r>
      <w:r w:rsidR="00E56769" w:rsidRPr="0031294D">
        <w:instrText xml:space="preserve"> REF _Ref189154348 \r \h </w:instrText>
      </w:r>
      <w:r w:rsidR="00E56769">
        <w:instrText xml:space="preserve"> \* MERGEFORMAT </w:instrText>
      </w:r>
      <w:r w:rsidR="00E56769" w:rsidRPr="0031294D">
        <w:fldChar w:fldCharType="separate"/>
      </w:r>
      <w:r w:rsidR="00E56769">
        <w:t>[13]</w:t>
      </w:r>
      <w:r w:rsidR="00E56769" w:rsidRPr="0031294D">
        <w:fldChar w:fldCharType="end"/>
      </w:r>
      <w:r w:rsidRPr="00B322AC">
        <w:t>.</w:t>
      </w:r>
    </w:p>
    <w:p w14:paraId="1E466E6D" w14:textId="4BA84FC1" w:rsidR="008B30A6" w:rsidRPr="00AC504F" w:rsidRDefault="008B30A6" w:rsidP="00FC593C">
      <w:pPr>
        <w:pStyle w:val="ECCParagraph"/>
        <w:spacing w:after="200"/>
      </w:pPr>
      <w:r w:rsidRPr="0031294D">
        <w:t xml:space="preserve">ECC Report 228, ECC Report 290 and ECC Report 291 assumed a typical Road ITS duty cycle when transmitting </w:t>
      </w:r>
      <w:r w:rsidR="00496753">
        <w:t>Cooperative Awareness Message</w:t>
      </w:r>
      <w:r w:rsidR="00670BCD">
        <w:t xml:space="preserve"> (</w:t>
      </w:r>
      <w:r w:rsidRPr="0031294D">
        <w:t>CAM</w:t>
      </w:r>
      <w:r w:rsidR="00670BCD">
        <w:t>)</w:t>
      </w:r>
      <w:r w:rsidRPr="0031294D">
        <w:t xml:space="preserve"> of 1% over 1 hour, with a duty cycle of 2% over 1 hour in some studies where message retransmissions (one retransmission of a CAM) are implementation specific.</w:t>
      </w:r>
    </w:p>
    <w:p w14:paraId="48832EE5" w14:textId="72FBBF00" w:rsidR="00CB5128" w:rsidRPr="00B322AC" w:rsidRDefault="00CB5128" w:rsidP="00FC593C">
      <w:pPr>
        <w:pStyle w:val="ECCParagraph"/>
        <w:spacing w:after="200"/>
      </w:pPr>
      <w:r w:rsidRPr="00B322AC">
        <w:t xml:space="preserve">ECC Report </w:t>
      </w:r>
      <w:r w:rsidR="00C72323" w:rsidRPr="00B322AC">
        <w:t xml:space="preserve">109 </w:t>
      </w:r>
      <w:r w:rsidR="00C72323">
        <w:fldChar w:fldCharType="begin"/>
      </w:r>
      <w:r w:rsidR="00C72323">
        <w:instrText xml:space="preserve"> REF _Ref34832217 \r \h </w:instrText>
      </w:r>
      <w:r w:rsidR="00C72323">
        <w:fldChar w:fldCharType="separate"/>
      </w:r>
      <w:r w:rsidR="00C72323">
        <w:t>[7]</w:t>
      </w:r>
      <w:r w:rsidR="00C72323">
        <w:fldChar w:fldCharType="end"/>
      </w:r>
      <w:r w:rsidR="00C72323" w:rsidRPr="00B322AC">
        <w:t xml:space="preserve"> </w:t>
      </w:r>
      <w:r w:rsidR="00C72323" w:rsidRPr="0031294D">
        <w:rPr>
          <w:rFonts w:cs="Arial"/>
        </w:rPr>
        <w:t>consider</w:t>
      </w:r>
      <w:r w:rsidR="00C72323">
        <w:rPr>
          <w:rFonts w:cs="Arial"/>
        </w:rPr>
        <w:t>ed</w:t>
      </w:r>
      <w:r w:rsidR="006949EA" w:rsidRPr="0031294D">
        <w:rPr>
          <w:rFonts w:cs="Arial"/>
        </w:rPr>
        <w:t xml:space="preserve"> the potential aggregate impact of ITS, </w:t>
      </w:r>
      <w:r w:rsidR="006949EA" w:rsidRPr="00AC504F">
        <w:t xml:space="preserve">Broadband Disaster Relief </w:t>
      </w:r>
      <w:r w:rsidR="006949EA">
        <w:t>(</w:t>
      </w:r>
      <w:r w:rsidR="006949EA" w:rsidRPr="0031294D">
        <w:rPr>
          <w:rFonts w:cs="Arial"/>
        </w:rPr>
        <w:t>BBDR</w:t>
      </w:r>
      <w:r w:rsidR="006949EA">
        <w:rPr>
          <w:rFonts w:cs="Arial"/>
        </w:rPr>
        <w:t>)</w:t>
      </w:r>
      <w:r w:rsidR="006949EA" w:rsidRPr="0031294D">
        <w:rPr>
          <w:rFonts w:cs="Arial"/>
        </w:rPr>
        <w:t xml:space="preserve"> and BFWA applications into the other systems/services operating in the band 5725-5925 MHz, and</w:t>
      </w:r>
      <w:r w:rsidR="006949EA">
        <w:rPr>
          <w:rFonts w:cs="Arial"/>
        </w:rPr>
        <w:t xml:space="preserve"> </w:t>
      </w:r>
      <w:r w:rsidRPr="00B322AC">
        <w:t>conclude</w:t>
      </w:r>
      <w:r w:rsidR="006949EA">
        <w:t>d</w:t>
      </w:r>
      <w:r w:rsidRPr="00B322AC">
        <w:t xml:space="preserve"> that the existing results of the different compatibility studies </w:t>
      </w:r>
      <w:r w:rsidR="006949EA" w:rsidRPr="0031294D">
        <w:t>(</w:t>
      </w:r>
      <w:r w:rsidR="006949EA" w:rsidRPr="0031294D">
        <w:rPr>
          <w:color w:val="000000"/>
          <w:szCs w:val="20"/>
        </w:rPr>
        <w:t xml:space="preserve">ECC Report </w:t>
      </w:r>
      <w:r w:rsidR="00D7734C" w:rsidRPr="0031294D">
        <w:rPr>
          <w:color w:val="000000"/>
          <w:szCs w:val="20"/>
        </w:rPr>
        <w:t xml:space="preserve">68 </w:t>
      </w:r>
      <w:r w:rsidR="00D7734C" w:rsidRPr="00AC504F">
        <w:fldChar w:fldCharType="begin"/>
      </w:r>
      <w:r w:rsidR="00D7734C" w:rsidRPr="00AC504F">
        <w:instrText xml:space="preserve"> REF _Ref189154429 \r \h </w:instrText>
      </w:r>
      <w:r w:rsidR="00D7734C">
        <w:instrText xml:space="preserve"> \* MERGEFORMAT </w:instrText>
      </w:r>
      <w:r w:rsidR="00D7734C" w:rsidRPr="00AC504F">
        <w:fldChar w:fldCharType="separate"/>
      </w:r>
      <w:r w:rsidR="00D7734C">
        <w:t>[14]</w:t>
      </w:r>
      <w:r w:rsidR="00D7734C" w:rsidRPr="00AC504F">
        <w:fldChar w:fldCharType="end"/>
      </w:r>
      <w:r w:rsidR="00D7734C" w:rsidRPr="0031294D">
        <w:rPr>
          <w:color w:val="000000"/>
          <w:szCs w:val="20"/>
        </w:rPr>
        <w:t>, ECC Report 101</w:t>
      </w:r>
      <w:r w:rsidR="009D0F16">
        <w:rPr>
          <w:color w:val="000000"/>
          <w:szCs w:val="20"/>
        </w:rPr>
        <w:t xml:space="preserve"> </w:t>
      </w:r>
      <w:r w:rsidR="009D0F16">
        <w:rPr>
          <w:color w:val="000000"/>
          <w:szCs w:val="20"/>
        </w:rPr>
        <w:fldChar w:fldCharType="begin"/>
      </w:r>
      <w:r w:rsidR="009D0F16">
        <w:rPr>
          <w:color w:val="000000"/>
          <w:szCs w:val="20"/>
        </w:rPr>
        <w:instrText xml:space="preserve"> REF _Ref189845433 \r \h </w:instrText>
      </w:r>
      <w:r w:rsidR="009D0F16">
        <w:rPr>
          <w:color w:val="000000"/>
          <w:szCs w:val="20"/>
        </w:rPr>
      </w:r>
      <w:r w:rsidR="009D0F16">
        <w:rPr>
          <w:color w:val="000000"/>
          <w:szCs w:val="20"/>
        </w:rPr>
        <w:fldChar w:fldCharType="separate"/>
      </w:r>
      <w:r w:rsidR="009D0F16">
        <w:rPr>
          <w:color w:val="000000"/>
          <w:szCs w:val="20"/>
        </w:rPr>
        <w:t>[3]</w:t>
      </w:r>
      <w:r w:rsidR="009D0F16">
        <w:rPr>
          <w:color w:val="000000"/>
          <w:szCs w:val="20"/>
        </w:rPr>
        <w:fldChar w:fldCharType="end"/>
      </w:r>
      <w:r w:rsidR="00D7734C" w:rsidRPr="0031294D">
        <w:rPr>
          <w:color w:val="000000"/>
          <w:szCs w:val="20"/>
        </w:rPr>
        <w:t xml:space="preserve"> and ECC Report 110 </w:t>
      </w:r>
      <w:r w:rsidR="00D7734C">
        <w:rPr>
          <w:color w:val="000000"/>
          <w:szCs w:val="20"/>
        </w:rPr>
        <w:fldChar w:fldCharType="begin"/>
      </w:r>
      <w:r w:rsidR="00D7734C">
        <w:rPr>
          <w:color w:val="000000"/>
          <w:szCs w:val="20"/>
        </w:rPr>
        <w:instrText xml:space="preserve"> REF _Ref189845357 \r \h </w:instrText>
      </w:r>
      <w:r w:rsidR="00D7734C">
        <w:rPr>
          <w:color w:val="000000"/>
          <w:szCs w:val="20"/>
        </w:rPr>
      </w:r>
      <w:r w:rsidR="00D7734C">
        <w:rPr>
          <w:color w:val="000000"/>
          <w:szCs w:val="20"/>
        </w:rPr>
        <w:fldChar w:fldCharType="separate"/>
      </w:r>
      <w:r w:rsidR="00D7734C">
        <w:rPr>
          <w:color w:val="000000"/>
          <w:szCs w:val="20"/>
        </w:rPr>
        <w:t>[8]</w:t>
      </w:r>
      <w:r w:rsidR="00D7734C">
        <w:rPr>
          <w:color w:val="000000"/>
          <w:szCs w:val="20"/>
        </w:rPr>
        <w:fldChar w:fldCharType="end"/>
      </w:r>
      <w:r w:rsidR="006949EA" w:rsidRPr="0031294D">
        <w:rPr>
          <w:color w:val="000000"/>
          <w:szCs w:val="20"/>
        </w:rPr>
        <w:t>)</w:t>
      </w:r>
      <w:r w:rsidR="006949EA" w:rsidRPr="00AC504F">
        <w:t xml:space="preserve"> </w:t>
      </w:r>
      <w:r w:rsidRPr="00B322AC">
        <w:t>between each of the systems will not be significantly changed by the aggregate impact of BFWA, BBDR and ITS.</w:t>
      </w:r>
    </w:p>
    <w:p w14:paraId="6BAAD2CB" w14:textId="7AF7D21D" w:rsidR="00CB5128" w:rsidRPr="00B322AC" w:rsidRDefault="00CB5128" w:rsidP="00CB5128">
      <w:pPr>
        <w:pStyle w:val="ECCParagraph"/>
      </w:pPr>
      <w:r w:rsidRPr="00B322AC">
        <w:t xml:space="preserve">ECC Report 110 </w:t>
      </w:r>
      <w:r w:rsidR="00B707FE" w:rsidRPr="0031294D">
        <w:t>addresse</w:t>
      </w:r>
      <w:r w:rsidR="00B707FE">
        <w:t>d</w:t>
      </w:r>
      <w:r w:rsidR="00B707FE" w:rsidRPr="0031294D">
        <w:t xml:space="preserve"> compatibility and sharing issues between BBDR and the other systems/services identified within the possible frequency bands under consideration for BBDR. The Report</w:t>
      </w:r>
      <w:r w:rsidR="00B707FE" w:rsidRPr="00AC504F">
        <w:t xml:space="preserve"> </w:t>
      </w:r>
      <w:r w:rsidRPr="00B322AC">
        <w:t>conclude</w:t>
      </w:r>
      <w:r w:rsidR="000913D5">
        <w:t>d</w:t>
      </w:r>
      <w:r w:rsidRPr="00B322AC">
        <w:t xml:space="preserve"> that, if the band 5855-5875 MHz is used for BBDR radio applications, protection distances between ITS and BBDR could exceed several kilometres in both directions in rural areas but limited to hundreds of metres in urban and suburban cases. Mitigation techniques integrated in BBDR devices may improve the compatibility further in that case. </w:t>
      </w:r>
    </w:p>
    <w:p w14:paraId="7A92D4F2" w14:textId="7C0B13F0" w:rsidR="00CB5128" w:rsidRPr="00B322AC" w:rsidRDefault="00CB5128" w:rsidP="00B85957">
      <w:pPr>
        <w:pStyle w:val="Heading1"/>
      </w:pPr>
      <w:bookmarkStart w:id="3" w:name="Text4"/>
      <w:r w:rsidRPr="00B322AC">
        <w:lastRenderedPageBreak/>
        <w:t>ECC recommendation 08</w:t>
      </w:r>
      <w:bookmarkEnd w:id="3"/>
      <w:r w:rsidRPr="00B322AC">
        <w:t>(01) of 21 February 2008 on use of the band 5855-5875 MH</w:t>
      </w:r>
      <w:r w:rsidRPr="00B322AC">
        <w:rPr>
          <w:sz w:val="16"/>
        </w:rPr>
        <w:t>z</w:t>
      </w:r>
      <w:r w:rsidRPr="00B322AC">
        <w:t xml:space="preserve"> for </w:t>
      </w:r>
      <w:r w:rsidR="00B85957">
        <w:t>non-safety related road</w:t>
      </w:r>
      <w:r w:rsidR="00DF6F91">
        <w:t xml:space="preserve"> </w:t>
      </w:r>
      <w:r w:rsidRPr="00B322AC">
        <w:t>intelligent transport systems (ITS) amended 3 july 2015</w:t>
      </w:r>
      <w:r w:rsidR="003E3146">
        <w:t>,</w:t>
      </w:r>
      <w:r w:rsidRPr="00B322AC">
        <w:t xml:space="preserve"> </w:t>
      </w:r>
      <w:r w:rsidR="000333D5">
        <w:t xml:space="preserve">amended </w:t>
      </w:r>
      <w:r>
        <w:t>6</w:t>
      </w:r>
      <w:r w:rsidRPr="00B322AC">
        <w:t xml:space="preserve"> March 2020</w:t>
      </w:r>
      <w:r w:rsidR="00D07C86">
        <w:t>,</w:t>
      </w:r>
      <w:r w:rsidR="003E3146">
        <w:t xml:space="preserve"> updated 18 November 2022</w:t>
      </w:r>
      <w:r w:rsidR="00D07C86">
        <w:t xml:space="preserve"> </w:t>
      </w:r>
      <w:r w:rsidR="0089093A">
        <w:t>and</w:t>
      </w:r>
      <w:r w:rsidR="00F265DD">
        <w:t xml:space="preserve"> amended </w:t>
      </w:r>
      <w:r w:rsidR="007B0737" w:rsidRPr="008B7A65">
        <w:rPr>
          <w:szCs w:val="20"/>
          <w:lang w:val="da-DK"/>
        </w:rPr>
        <w:t>6 June 2025</w:t>
      </w:r>
    </w:p>
    <w:p w14:paraId="5820ADE3" w14:textId="6AF40B5D" w:rsidR="00C74BE6" w:rsidRDefault="00835C5B" w:rsidP="00CB5128">
      <w:pPr>
        <w:pStyle w:val="ECCParagraph"/>
      </w:pPr>
      <w:r>
        <w:t xml:space="preserve">“The European Conference of Postal and Telecommunications Administrations, </w:t>
      </w:r>
    </w:p>
    <w:p w14:paraId="54EF8E65" w14:textId="77777777" w:rsidR="00CB5128" w:rsidRDefault="00835C5B" w:rsidP="00CB5128">
      <w:pPr>
        <w:pStyle w:val="ECCParagraph"/>
        <w:rPr>
          <w:i/>
          <w:color w:val="D2232A"/>
        </w:rPr>
      </w:pPr>
      <w:r w:rsidRPr="006C4FBD">
        <w:rPr>
          <w:i/>
          <w:color w:val="D2232A"/>
        </w:rPr>
        <w:t xml:space="preserve">considering </w:t>
      </w:r>
    </w:p>
    <w:p w14:paraId="4DE33C36" w14:textId="25CED9BB" w:rsidR="00CB5128" w:rsidRPr="00FF59C2" w:rsidRDefault="00CB5128" w:rsidP="00CB5128">
      <w:pPr>
        <w:pStyle w:val="LetteredList"/>
        <w:spacing w:after="240"/>
        <w:ind w:left="357" w:hanging="357"/>
        <w:rPr>
          <w:lang w:val="en-GB"/>
        </w:rPr>
      </w:pPr>
      <w:r w:rsidRPr="00B322AC">
        <w:rPr>
          <w:lang w:val="en-GB"/>
        </w:rPr>
        <w:t xml:space="preserve">that </w:t>
      </w:r>
      <w:r w:rsidRPr="00B322AC">
        <w:rPr>
          <w:lang w:val="en-GB" w:bidi="he-IL"/>
        </w:rPr>
        <w:t xml:space="preserve">non-safety </w:t>
      </w:r>
      <w:r w:rsidR="00427A6B">
        <w:rPr>
          <w:lang w:val="en-GB" w:bidi="he-IL"/>
        </w:rPr>
        <w:t xml:space="preserve">related </w:t>
      </w:r>
      <w:r w:rsidR="001121BC">
        <w:rPr>
          <w:lang w:val="en-GB" w:bidi="he-IL"/>
        </w:rPr>
        <w:t>R</w:t>
      </w:r>
      <w:r w:rsidR="000412F7">
        <w:rPr>
          <w:lang w:val="en-GB" w:bidi="he-IL"/>
        </w:rPr>
        <w:t xml:space="preserve">oad </w:t>
      </w:r>
      <w:r w:rsidRPr="00B322AC">
        <w:rPr>
          <w:lang w:val="en-GB" w:bidi="he-IL"/>
        </w:rPr>
        <w:t xml:space="preserve">ITS </w:t>
      </w:r>
      <w:r w:rsidRPr="00B322AC">
        <w:rPr>
          <w:lang w:val="en-GB"/>
        </w:rPr>
        <w:t>in the frequency band 5855-5875</w:t>
      </w:r>
      <w:r w:rsidR="000412F7">
        <w:rPr>
          <w:lang w:val="en-GB"/>
        </w:rPr>
        <w:t xml:space="preserve"> </w:t>
      </w:r>
      <w:r w:rsidRPr="00B322AC">
        <w:rPr>
          <w:lang w:val="en-GB"/>
        </w:rPr>
        <w:t xml:space="preserve">MHz can provide services that would enhance the ITS safety concept for in particular </w:t>
      </w:r>
      <w:r w:rsidR="000412F7">
        <w:rPr>
          <w:lang w:val="en-GB"/>
        </w:rPr>
        <w:t>vehicle to</w:t>
      </w:r>
      <w:r w:rsidRPr="00B322AC">
        <w:rPr>
          <w:lang w:val="en-GB"/>
        </w:rPr>
        <w:t xml:space="preserve"> vehicle communication (V2V) and infrastructure to vehicle (I2V) communication;</w:t>
      </w:r>
    </w:p>
    <w:p w14:paraId="3CF69A83" w14:textId="469850C9" w:rsidR="00CB5128" w:rsidRPr="00B322AC" w:rsidRDefault="00CB5128" w:rsidP="00CB5128">
      <w:pPr>
        <w:pStyle w:val="LetteredList"/>
        <w:rPr>
          <w:lang w:val="en-GB"/>
        </w:rPr>
      </w:pPr>
      <w:r w:rsidRPr="00B322AC">
        <w:rPr>
          <w:lang w:val="en-GB"/>
        </w:rPr>
        <w:t xml:space="preserve">that ECC Decision (08)01 </w:t>
      </w:r>
      <w:r>
        <w:rPr>
          <w:lang w:val="en-GB"/>
        </w:rPr>
        <w:fldChar w:fldCharType="begin"/>
      </w:r>
      <w:r>
        <w:rPr>
          <w:lang w:val="en-GB"/>
        </w:rPr>
        <w:instrText xml:space="preserve"> REF _Ref34831855 \r \h </w:instrText>
      </w:r>
      <w:r>
        <w:rPr>
          <w:lang w:val="en-GB"/>
        </w:rPr>
      </w:r>
      <w:r>
        <w:rPr>
          <w:lang w:val="en-GB"/>
        </w:rPr>
        <w:fldChar w:fldCharType="separate"/>
      </w:r>
      <w:r w:rsidR="00221787">
        <w:rPr>
          <w:lang w:val="en-GB"/>
        </w:rPr>
        <w:t>[1]</w:t>
      </w:r>
      <w:r>
        <w:rPr>
          <w:lang w:val="en-GB"/>
        </w:rPr>
        <w:fldChar w:fldCharType="end"/>
      </w:r>
      <w:r w:rsidRPr="00B322AC">
        <w:rPr>
          <w:lang w:val="en-GB"/>
        </w:rPr>
        <w:t xml:space="preserve"> </w:t>
      </w:r>
      <w:r w:rsidR="000412F7">
        <w:rPr>
          <w:lang w:val="en-GB"/>
        </w:rPr>
        <w:t>harmonises the use</w:t>
      </w:r>
      <w:r w:rsidRPr="00B322AC">
        <w:rPr>
          <w:lang w:val="en-GB"/>
        </w:rPr>
        <w:t xml:space="preserve"> of </w:t>
      </w:r>
      <w:r w:rsidR="000412F7">
        <w:rPr>
          <w:lang w:val="en-GB"/>
        </w:rPr>
        <w:t xml:space="preserve">safety-related </w:t>
      </w:r>
      <w:r w:rsidRPr="00B322AC">
        <w:rPr>
          <w:lang w:val="en-GB"/>
        </w:rPr>
        <w:t>ITS within the frequency band 5875-5935 MHz;</w:t>
      </w:r>
    </w:p>
    <w:p w14:paraId="5B926569" w14:textId="49E6A7D9" w:rsidR="00CB5128" w:rsidRPr="00B322AC" w:rsidRDefault="00CB5128" w:rsidP="00CB5128">
      <w:pPr>
        <w:pStyle w:val="LetteredList"/>
        <w:rPr>
          <w:lang w:val="en-GB"/>
        </w:rPr>
      </w:pPr>
      <w:r w:rsidRPr="00B322AC">
        <w:rPr>
          <w:lang w:val="en-GB"/>
        </w:rPr>
        <w:t xml:space="preserve">that a harmonised approach </w:t>
      </w:r>
      <w:r w:rsidR="002C1CB8">
        <w:rPr>
          <w:lang w:val="en-GB"/>
        </w:rPr>
        <w:t>of the use</w:t>
      </w:r>
      <w:r w:rsidRPr="00B322AC">
        <w:rPr>
          <w:lang w:val="en-GB"/>
        </w:rPr>
        <w:t xml:space="preserve"> of the band 5855-5875 MHz for </w:t>
      </w:r>
      <w:r w:rsidRPr="00B322AC">
        <w:rPr>
          <w:lang w:val="en-GB" w:bidi="he-IL"/>
        </w:rPr>
        <w:t>non-safety</w:t>
      </w:r>
      <w:r w:rsidR="00427A6B">
        <w:rPr>
          <w:lang w:val="en-GB" w:bidi="he-IL"/>
        </w:rPr>
        <w:t xml:space="preserve"> related</w:t>
      </w:r>
      <w:r w:rsidRPr="00B322AC">
        <w:rPr>
          <w:lang w:val="en-GB" w:bidi="he-IL"/>
        </w:rPr>
        <w:t xml:space="preserve"> </w:t>
      </w:r>
      <w:r w:rsidR="001121BC">
        <w:rPr>
          <w:lang w:val="en-GB" w:bidi="he-IL"/>
        </w:rPr>
        <w:t>R</w:t>
      </w:r>
      <w:r w:rsidR="002C1CB8">
        <w:rPr>
          <w:lang w:val="en-GB" w:bidi="he-IL"/>
        </w:rPr>
        <w:t xml:space="preserve">oad </w:t>
      </w:r>
      <w:r w:rsidRPr="00B322AC">
        <w:rPr>
          <w:lang w:val="en-GB" w:bidi="he-IL"/>
        </w:rPr>
        <w:t xml:space="preserve">ITS </w:t>
      </w:r>
      <w:r w:rsidRPr="00B322AC">
        <w:rPr>
          <w:lang w:val="en-GB"/>
        </w:rPr>
        <w:t>within the CEPT administrations is beneficial;</w:t>
      </w:r>
    </w:p>
    <w:p w14:paraId="0A3A6BF2" w14:textId="415F7215" w:rsidR="00CB5128" w:rsidRPr="00B322AC" w:rsidRDefault="00CB5128" w:rsidP="00CB5128">
      <w:pPr>
        <w:pStyle w:val="LetteredList"/>
        <w:rPr>
          <w:lang w:val="en-GB"/>
        </w:rPr>
      </w:pPr>
      <w:r w:rsidRPr="00B322AC">
        <w:rPr>
          <w:lang w:val="en-GB"/>
        </w:rPr>
        <w:t xml:space="preserve">that the frequency band </w:t>
      </w:r>
      <w:r w:rsidR="002C1CB8" w:rsidRPr="00AC504F">
        <w:rPr>
          <w:lang w:val="en-GB"/>
        </w:rPr>
        <w:t xml:space="preserve">5855-5875 MHz </w:t>
      </w:r>
      <w:r w:rsidRPr="00B322AC">
        <w:rPr>
          <w:lang w:val="en-GB"/>
        </w:rPr>
        <w:t>is also part of the ISM band 5725-5875 MHz in accordance with ITU RR 5.150;</w:t>
      </w:r>
    </w:p>
    <w:p w14:paraId="7E4BC90D" w14:textId="3F3AD2F7" w:rsidR="00CB5128" w:rsidRPr="00B322AC" w:rsidRDefault="00CB5128" w:rsidP="00CB5128">
      <w:pPr>
        <w:pStyle w:val="LetteredList"/>
        <w:rPr>
          <w:lang w:val="en-GB"/>
        </w:rPr>
      </w:pPr>
      <w:r w:rsidRPr="00B322AC">
        <w:rPr>
          <w:lang w:val="en-GB"/>
        </w:rPr>
        <w:t xml:space="preserve">that the frequency band 5725-5875 MHz is designated for non-specific SRD by ERC Recommendation 70-03 </w:t>
      </w:r>
      <w:r w:rsidR="000333D5">
        <w:rPr>
          <w:lang w:val="en-GB"/>
        </w:rPr>
        <w:fldChar w:fldCharType="begin"/>
      </w:r>
      <w:r w:rsidR="000333D5">
        <w:rPr>
          <w:lang w:val="en-GB"/>
        </w:rPr>
        <w:instrText xml:space="preserve"> REF _Ref34832359 \r \h </w:instrText>
      </w:r>
      <w:r w:rsidR="000333D5">
        <w:rPr>
          <w:lang w:val="en-GB"/>
        </w:rPr>
      </w:r>
      <w:r w:rsidR="000333D5">
        <w:rPr>
          <w:lang w:val="en-GB"/>
        </w:rPr>
        <w:fldChar w:fldCharType="separate"/>
      </w:r>
      <w:r w:rsidR="00221787">
        <w:rPr>
          <w:lang w:val="en-GB"/>
        </w:rPr>
        <w:t>[10]</w:t>
      </w:r>
      <w:r w:rsidR="000333D5">
        <w:rPr>
          <w:lang w:val="en-GB"/>
        </w:rPr>
        <w:fldChar w:fldCharType="end"/>
      </w:r>
      <w:r w:rsidRPr="00B322AC">
        <w:rPr>
          <w:lang w:val="en-GB"/>
        </w:rPr>
        <w:t>;</w:t>
      </w:r>
    </w:p>
    <w:p w14:paraId="3C6CE305" w14:textId="03990FEE" w:rsidR="00CB5128" w:rsidRPr="00B322AC" w:rsidRDefault="00CB5128" w:rsidP="00CB5128">
      <w:pPr>
        <w:pStyle w:val="LetteredList"/>
        <w:rPr>
          <w:lang w:val="en-GB"/>
        </w:rPr>
      </w:pPr>
      <w:r w:rsidRPr="00B322AC">
        <w:rPr>
          <w:lang w:val="en-GB"/>
        </w:rPr>
        <w:t>that the frequency band 5795-5815</w:t>
      </w:r>
      <w:r w:rsidR="002C1CB8">
        <w:rPr>
          <w:lang w:val="en-GB"/>
        </w:rPr>
        <w:t xml:space="preserve"> </w:t>
      </w:r>
      <w:r w:rsidRPr="00B322AC">
        <w:rPr>
          <w:lang w:val="en-GB"/>
        </w:rPr>
        <w:t>MHz is designated for Transport and Traffic Telematics (TTT) applications by ERC Recommendation 70-03;</w:t>
      </w:r>
    </w:p>
    <w:p w14:paraId="384E14DA" w14:textId="2F124A60" w:rsidR="00CB5128" w:rsidRPr="00B322AC" w:rsidRDefault="00CB5128" w:rsidP="00CB5128">
      <w:pPr>
        <w:pStyle w:val="LetteredList"/>
        <w:rPr>
          <w:lang w:val="en-GB"/>
        </w:rPr>
      </w:pPr>
      <w:r w:rsidRPr="00B322AC">
        <w:rPr>
          <w:lang w:val="en-GB"/>
        </w:rPr>
        <w:t>that the frequency band 5725-5875 MHz</w:t>
      </w:r>
      <w:r w:rsidR="002C1CB8">
        <w:rPr>
          <w:lang w:val="en-GB"/>
        </w:rPr>
        <w:t>, or parts of it, is also available</w:t>
      </w:r>
      <w:r w:rsidRPr="00B322AC">
        <w:rPr>
          <w:lang w:val="en-GB"/>
        </w:rPr>
        <w:t xml:space="preserve"> for BFWA in accordance with ECC</w:t>
      </w:r>
      <w:r w:rsidR="000333D5">
        <w:rPr>
          <w:lang w:val="en-GB"/>
        </w:rPr>
        <w:t xml:space="preserve"> </w:t>
      </w:r>
      <w:r w:rsidRPr="00B322AC">
        <w:rPr>
          <w:lang w:val="en-GB"/>
        </w:rPr>
        <w:t>R</w:t>
      </w:r>
      <w:r w:rsidR="000333D5">
        <w:rPr>
          <w:lang w:val="en-GB"/>
        </w:rPr>
        <w:t xml:space="preserve">ecommendation </w:t>
      </w:r>
      <w:r w:rsidRPr="00B322AC">
        <w:rPr>
          <w:lang w:val="en-GB"/>
        </w:rPr>
        <w:t xml:space="preserve">(06)04 </w:t>
      </w:r>
      <w:r w:rsidR="000333D5">
        <w:rPr>
          <w:lang w:val="en-GB"/>
        </w:rPr>
        <w:fldChar w:fldCharType="begin"/>
      </w:r>
      <w:r w:rsidR="000333D5">
        <w:rPr>
          <w:lang w:val="en-GB"/>
        </w:rPr>
        <w:instrText xml:space="preserve"> REF _Ref34832373 \r \h </w:instrText>
      </w:r>
      <w:r w:rsidR="000333D5">
        <w:rPr>
          <w:lang w:val="en-GB"/>
        </w:rPr>
      </w:r>
      <w:r w:rsidR="000333D5">
        <w:rPr>
          <w:lang w:val="en-GB"/>
        </w:rPr>
        <w:fldChar w:fldCharType="separate"/>
      </w:r>
      <w:r w:rsidR="00221787">
        <w:rPr>
          <w:lang w:val="en-GB"/>
        </w:rPr>
        <w:t>[11]</w:t>
      </w:r>
      <w:r w:rsidR="000333D5">
        <w:rPr>
          <w:lang w:val="en-GB"/>
        </w:rPr>
        <w:fldChar w:fldCharType="end"/>
      </w:r>
      <w:r w:rsidRPr="00B322AC">
        <w:rPr>
          <w:lang w:val="en-GB"/>
        </w:rPr>
        <w:t>;</w:t>
      </w:r>
    </w:p>
    <w:p w14:paraId="12D35369" w14:textId="10B4E254" w:rsidR="007B4EF5" w:rsidRPr="0031294D" w:rsidRDefault="007B4EF5" w:rsidP="007B4EF5">
      <w:pPr>
        <w:pStyle w:val="LetteredList"/>
        <w:rPr>
          <w:lang w:val="en-GB"/>
        </w:rPr>
      </w:pPr>
      <w:r w:rsidRPr="0031294D">
        <w:t>that the radiolocation service in 5250-5850 MHz operates immediately adjacent to Wireless Access Systems including Radio Local Area Networks (WAS/RLAN</w:t>
      </w:r>
      <w:r w:rsidR="0006493C">
        <w:t>s</w:t>
      </w:r>
      <w:r w:rsidRPr="0031294D">
        <w:t xml:space="preserve">), which means that the much lower unwanted emissions from ITS are negligible in </w:t>
      </w:r>
      <w:proofErr w:type="gramStart"/>
      <w:r w:rsidRPr="0031294D">
        <w:t>comparison;</w:t>
      </w:r>
      <w:proofErr w:type="gramEnd"/>
    </w:p>
    <w:p w14:paraId="3B5D2CBB" w14:textId="0F0DD30B" w:rsidR="0024306D" w:rsidRPr="00AC504F" w:rsidRDefault="0024306D" w:rsidP="0024306D">
      <w:pPr>
        <w:pStyle w:val="LetteredList"/>
        <w:rPr>
          <w:lang w:val="en-GB"/>
        </w:rPr>
      </w:pPr>
      <w:r w:rsidRPr="0031294D">
        <w:t>that studies</w:t>
      </w:r>
      <w:r>
        <w:t xml:space="preserve"> in </w:t>
      </w:r>
      <w:r w:rsidRPr="0031294D">
        <w:t xml:space="preserve">ECC Report 101 </w:t>
      </w:r>
      <w:r>
        <w:fldChar w:fldCharType="begin"/>
      </w:r>
      <w:r>
        <w:instrText xml:space="preserve"> REF _Ref189845433 \r \h </w:instrText>
      </w:r>
      <w:r>
        <w:fldChar w:fldCharType="separate"/>
      </w:r>
      <w:r>
        <w:t>[3]</w:t>
      </w:r>
      <w:r>
        <w:fldChar w:fldCharType="end"/>
      </w:r>
      <w:r w:rsidRPr="0031294D">
        <w:t xml:space="preserve"> and ECC Report 290 </w:t>
      </w:r>
      <w:r>
        <w:fldChar w:fldCharType="begin"/>
      </w:r>
      <w:r>
        <w:instrText xml:space="preserve"> REF _Ref189845270 \r \h </w:instrText>
      </w:r>
      <w:r>
        <w:fldChar w:fldCharType="separate"/>
      </w:r>
      <w:r>
        <w:t>[5]</w:t>
      </w:r>
      <w:r>
        <w:fldChar w:fldCharType="end"/>
      </w:r>
      <w:r w:rsidRPr="0031294D">
        <w:t xml:space="preserve"> concluded that in-band compatibility between ITS and </w:t>
      </w:r>
      <w:r>
        <w:t>Fixed-Satellite Service (</w:t>
      </w:r>
      <w:r w:rsidRPr="0031294D">
        <w:t>FSS</w:t>
      </w:r>
      <w:r>
        <w:t>)</w:t>
      </w:r>
      <w:r w:rsidRPr="0031294D">
        <w:t xml:space="preserve"> is feasible, taking into account the limited number of ITS devices that transmit at the same time;</w:t>
      </w:r>
    </w:p>
    <w:p w14:paraId="0089D2DC" w14:textId="77777777" w:rsidR="0024306D" w:rsidRDefault="0024306D" w:rsidP="0024306D">
      <w:pPr>
        <w:pStyle w:val="LetteredList"/>
      </w:pPr>
      <w:r w:rsidRPr="006E032C">
        <w:t xml:space="preserve">that the message generation rules of Road ITS can contribute to </w:t>
      </w:r>
      <w:proofErr w:type="gramStart"/>
      <w:r w:rsidRPr="006E032C">
        <w:t>mitigate</w:t>
      </w:r>
      <w:proofErr w:type="gramEnd"/>
      <w:r w:rsidRPr="006E032C">
        <w:t xml:space="preserve"> interference from </w:t>
      </w:r>
      <w:proofErr w:type="gramStart"/>
      <w:r w:rsidRPr="006E032C">
        <w:t>ITS;</w:t>
      </w:r>
      <w:proofErr w:type="gramEnd"/>
    </w:p>
    <w:p w14:paraId="426AFBFE" w14:textId="4DBD5A5A" w:rsidR="0024306D" w:rsidRDefault="0024306D" w:rsidP="0024306D">
      <w:pPr>
        <w:pStyle w:val="LetteredList"/>
      </w:pPr>
      <w:r w:rsidRPr="00CD59E2">
        <w:t xml:space="preserve">that technical coexistence studies </w:t>
      </w:r>
      <w:r>
        <w:t xml:space="preserve">in </w:t>
      </w:r>
      <w:r w:rsidRPr="00601E2D">
        <w:t xml:space="preserve">ECC Report 228 </w:t>
      </w:r>
      <w:r>
        <w:fldChar w:fldCharType="begin"/>
      </w:r>
      <w:r>
        <w:instrText xml:space="preserve"> REF _Ref189845484 \r \h </w:instrText>
      </w:r>
      <w:r>
        <w:fldChar w:fldCharType="separate"/>
      </w:r>
      <w:r>
        <w:t>[4]</w:t>
      </w:r>
      <w:r>
        <w:fldChar w:fldCharType="end"/>
      </w:r>
      <w:r>
        <w:t xml:space="preserve"> </w:t>
      </w:r>
      <w:r w:rsidRPr="00601E2D">
        <w:t>and ECC Report 290</w:t>
      </w:r>
      <w:r>
        <w:t xml:space="preserve"> </w:t>
      </w:r>
      <w:r>
        <w:fldChar w:fldCharType="begin"/>
      </w:r>
      <w:r>
        <w:instrText xml:space="preserve"> REF _Ref189845270 \r \h </w:instrText>
      </w:r>
      <w:r>
        <w:fldChar w:fldCharType="separate"/>
      </w:r>
      <w:r>
        <w:t>[5]</w:t>
      </w:r>
      <w:r>
        <w:fldChar w:fldCharType="end"/>
      </w:r>
      <w:r>
        <w:t xml:space="preserve"> </w:t>
      </w:r>
      <w:r w:rsidRPr="00CD59E2">
        <w:t>concluded that compatibility with road tolling operating in 5795-5815</w:t>
      </w:r>
      <w:r>
        <w:t xml:space="preserve"> </w:t>
      </w:r>
      <w:r w:rsidRPr="00CD59E2">
        <w:t xml:space="preserve">MHz within a defined “protection zone” was achieved with an ITS unwanted emissions below -65 dBm/MHz </w:t>
      </w:r>
      <w:r w:rsidRPr="00704475">
        <w:t>e.i.r.p.</w:t>
      </w:r>
      <w:r w:rsidRPr="00CD59E2">
        <w:t xml:space="preserve"> without mitigation techniques, or alternatively -45 dBm/MHz </w:t>
      </w:r>
      <w:r w:rsidRPr="00704475">
        <w:t>e.i.r.p.</w:t>
      </w:r>
      <w:r w:rsidRPr="00CD59E2">
        <w:t xml:space="preserve"> together with mitigation techniques equivalent to those in described in ETSI TS 102 792 v1.1.1 </w:t>
      </w:r>
      <w:r w:rsidRPr="00CD59E2">
        <w:fldChar w:fldCharType="begin"/>
      </w:r>
      <w:r w:rsidRPr="00CD59E2">
        <w:instrText xml:space="preserve"> REF _Ref34828558 \r \h  \* MERGEFORMAT </w:instrText>
      </w:r>
      <w:r w:rsidRPr="00CD59E2">
        <w:fldChar w:fldCharType="separate"/>
      </w:r>
      <w:r>
        <w:t>[13]</w:t>
      </w:r>
      <w:r w:rsidRPr="00CD59E2">
        <w:fldChar w:fldCharType="end"/>
      </w:r>
      <w:r w:rsidRPr="00CD59E2">
        <w:t>;</w:t>
      </w:r>
    </w:p>
    <w:p w14:paraId="1D521059" w14:textId="52B1ABF6" w:rsidR="0024306D" w:rsidRPr="00AC504F" w:rsidRDefault="0024306D" w:rsidP="0024306D">
      <w:pPr>
        <w:pStyle w:val="LetteredList"/>
        <w:rPr>
          <w:lang w:val="en-GB"/>
        </w:rPr>
      </w:pPr>
      <w:r w:rsidRPr="00AC504F">
        <w:rPr>
          <w:lang w:val="en-GB"/>
        </w:rPr>
        <w:t xml:space="preserve">that </w:t>
      </w:r>
      <w:r w:rsidRPr="0031294D">
        <w:t xml:space="preserve">studies </w:t>
      </w:r>
      <w:r>
        <w:t xml:space="preserve">in </w:t>
      </w:r>
      <w:r w:rsidRPr="0031294D">
        <w:t xml:space="preserve">ECC Report 291 </w:t>
      </w:r>
      <w:r>
        <w:fldChar w:fldCharType="begin"/>
      </w:r>
      <w:r>
        <w:instrText xml:space="preserve"> REF _Ref189845280 \r \h </w:instrText>
      </w:r>
      <w:r>
        <w:fldChar w:fldCharType="separate"/>
      </w:r>
      <w:r>
        <w:t>[6]</w:t>
      </w:r>
      <w:r>
        <w:fldChar w:fldCharType="end"/>
      </w:r>
      <w:r>
        <w:t xml:space="preserve"> </w:t>
      </w:r>
      <w:r w:rsidRPr="0031294D">
        <w:t>concluded compatibility between Road ITS and smart tachograph, weight &amp; dimension applications, but in certain conditions unwanted emissions from Road ITS may affect these applications</w:t>
      </w:r>
      <w:r w:rsidRPr="00AC504F">
        <w:rPr>
          <w:lang w:val="en-GB"/>
        </w:rPr>
        <w:t>;</w:t>
      </w:r>
    </w:p>
    <w:p w14:paraId="16B5A3A7" w14:textId="77777777" w:rsidR="00601403" w:rsidRPr="00AC504F" w:rsidRDefault="00601403" w:rsidP="00601403">
      <w:pPr>
        <w:pStyle w:val="LetteredList"/>
        <w:rPr>
          <w:lang w:val="en-GB"/>
        </w:rPr>
      </w:pPr>
      <w:r w:rsidRPr="0031294D">
        <w:t xml:space="preserve">that for Road ITS the unwanted emissions, the total power and the power spectral density (PSD) limits applicable for a 10 MHz channel bandwidth are also applicable to a 20 MHz channel bandwidth, and that the conclusions on compatibility of Road ITS with other services and applications in the band as well as in adjacent bands also remain valid for a 20 MHz channel </w:t>
      </w:r>
      <w:proofErr w:type="gramStart"/>
      <w:r w:rsidRPr="0031294D">
        <w:t>bandwidth;</w:t>
      </w:r>
      <w:proofErr w:type="gramEnd"/>
    </w:p>
    <w:p w14:paraId="6D15CC13" w14:textId="22A61028" w:rsidR="00863138" w:rsidRPr="006E032C" w:rsidRDefault="00863138" w:rsidP="00C30B50">
      <w:pPr>
        <w:pStyle w:val="LetteredList"/>
      </w:pPr>
      <w:r w:rsidRPr="006E032C">
        <w:t xml:space="preserve">that ETSI EN 302 571 </w:t>
      </w:r>
      <w:r w:rsidR="00221787">
        <w:fldChar w:fldCharType="begin"/>
      </w:r>
      <w:r w:rsidR="00221787">
        <w:instrText xml:space="preserve"> REF _Ref34832270 \r \h </w:instrText>
      </w:r>
      <w:r w:rsidR="00221787">
        <w:fldChar w:fldCharType="separate"/>
      </w:r>
      <w:r w:rsidR="00221787">
        <w:t>[9]</w:t>
      </w:r>
      <w:r w:rsidR="00221787">
        <w:fldChar w:fldCharType="end"/>
      </w:r>
      <w:r w:rsidRPr="006E032C">
        <w:t xml:space="preserve"> </w:t>
      </w:r>
      <w:r w:rsidR="00A05A2C">
        <w:t>including</w:t>
      </w:r>
      <w:r w:rsidRPr="006E032C">
        <w:t xml:space="preserve"> Road ITS equipment </w:t>
      </w:r>
      <w:r w:rsidR="00A05A2C">
        <w:t>s</w:t>
      </w:r>
      <w:r w:rsidR="00565004">
        <w:t>et</w:t>
      </w:r>
      <w:r w:rsidR="00A05A2C">
        <w:t>s</w:t>
      </w:r>
      <w:r w:rsidRPr="006E032C">
        <w:t xml:space="preserve"> requirements regarding the protection of existing services in 5855-5925 MHz and in adjacent </w:t>
      </w:r>
      <w:proofErr w:type="gramStart"/>
      <w:r w:rsidRPr="006E032C">
        <w:t>bands;</w:t>
      </w:r>
      <w:proofErr w:type="gramEnd"/>
    </w:p>
    <w:p w14:paraId="58AC40BF" w14:textId="77777777" w:rsidR="00CB5128" w:rsidRPr="001F0AB5" w:rsidRDefault="00CB5128" w:rsidP="00CB5128">
      <w:pPr>
        <w:rPr>
          <w:sz w:val="14"/>
          <w:szCs w:val="14"/>
          <w:lang w:val="en-GB"/>
        </w:rPr>
      </w:pPr>
    </w:p>
    <w:p w14:paraId="633CD09A" w14:textId="77777777" w:rsidR="00CB5128" w:rsidRDefault="00CB5128" w:rsidP="00CB5128">
      <w:pPr>
        <w:rPr>
          <w:i/>
          <w:color w:val="D2232A"/>
        </w:rPr>
      </w:pPr>
      <w:proofErr w:type="gramStart"/>
      <w:r w:rsidRPr="00893FFA">
        <w:rPr>
          <w:i/>
          <w:color w:val="D2232A"/>
        </w:rPr>
        <w:t>recommends</w:t>
      </w:r>
      <w:proofErr w:type="gramEnd"/>
    </w:p>
    <w:p w14:paraId="44EE4B75" w14:textId="77777777" w:rsidR="00EF7F6F" w:rsidRPr="001F0AB5" w:rsidRDefault="00EF7F6F" w:rsidP="00EF7F6F">
      <w:pPr>
        <w:rPr>
          <w:sz w:val="14"/>
          <w:szCs w:val="14"/>
          <w:lang w:val="en-GB"/>
        </w:rPr>
      </w:pPr>
    </w:p>
    <w:p w14:paraId="4F58DB4D" w14:textId="6A475EFD" w:rsidR="00CB5128" w:rsidRPr="00B322AC" w:rsidRDefault="00CB5128" w:rsidP="00CB5128">
      <w:pPr>
        <w:pStyle w:val="ECCParagraph"/>
        <w:numPr>
          <w:ilvl w:val="0"/>
          <w:numId w:val="41"/>
        </w:numPr>
        <w:ind w:left="357" w:hanging="357"/>
      </w:pPr>
      <w:r w:rsidRPr="00B322AC">
        <w:rPr>
          <w:rFonts w:cs="Arial"/>
        </w:rPr>
        <w:t>that administrations should make the frequency band 5855-5875 MHz available for non-safety</w:t>
      </w:r>
      <w:r w:rsidR="00C07B2A">
        <w:rPr>
          <w:rFonts w:cs="Arial"/>
        </w:rPr>
        <w:t xml:space="preserve"> related</w:t>
      </w:r>
      <w:r w:rsidRPr="00B322AC">
        <w:rPr>
          <w:rFonts w:cs="Arial"/>
        </w:rPr>
        <w:t xml:space="preserve"> </w:t>
      </w:r>
      <w:r w:rsidR="001121BC">
        <w:rPr>
          <w:rFonts w:cs="Arial"/>
        </w:rPr>
        <w:t>R</w:t>
      </w:r>
      <w:r w:rsidR="00341307">
        <w:rPr>
          <w:rFonts w:cs="Arial"/>
        </w:rPr>
        <w:t>oad ITS</w:t>
      </w:r>
      <w:r w:rsidRPr="00B322AC">
        <w:rPr>
          <w:rFonts w:cs="Arial"/>
        </w:rPr>
        <w:t xml:space="preserve"> in order to support and enhance ITS within CEPT;</w:t>
      </w:r>
    </w:p>
    <w:p w14:paraId="6A699639" w14:textId="4DBFA112" w:rsidR="005967C2" w:rsidRDefault="005967C2" w:rsidP="00CB5128">
      <w:pPr>
        <w:pStyle w:val="ECCParagraph"/>
        <w:numPr>
          <w:ilvl w:val="0"/>
          <w:numId w:val="41"/>
        </w:numPr>
      </w:pPr>
      <w:r>
        <w:t>that</w:t>
      </w:r>
      <w:r w:rsidRPr="00833B5E">
        <w:t xml:space="preserve"> the frequency arrangement defined in </w:t>
      </w:r>
      <w:r w:rsidR="00C5293C">
        <w:fldChar w:fldCharType="begin"/>
      </w:r>
      <w:r w:rsidR="00C5293C">
        <w:instrText xml:space="preserve"> REF _Ref190424493 \r \h </w:instrText>
      </w:r>
      <w:r w:rsidR="00C5293C">
        <w:fldChar w:fldCharType="separate"/>
      </w:r>
      <w:r w:rsidR="00C5293C">
        <w:t>Annex 1</w:t>
      </w:r>
      <w:r w:rsidR="00C5293C">
        <w:fldChar w:fldCharType="end"/>
      </w:r>
      <w:r w:rsidRPr="00833B5E">
        <w:t xml:space="preserve"> </w:t>
      </w:r>
      <w:r w:rsidR="00CE20E9">
        <w:t xml:space="preserve">should </w:t>
      </w:r>
      <w:r w:rsidRPr="00833B5E">
        <w:t>appl</w:t>
      </w:r>
      <w:r w:rsidR="00CE20E9">
        <w:t>y</w:t>
      </w:r>
      <w:r>
        <w:t xml:space="preserve"> to non-</w:t>
      </w:r>
      <w:r w:rsidRPr="00833B5E">
        <w:t>safety</w:t>
      </w:r>
      <w:r>
        <w:t xml:space="preserve"> </w:t>
      </w:r>
      <w:r w:rsidR="00C07B2A">
        <w:t xml:space="preserve">related </w:t>
      </w:r>
      <w:r w:rsidR="001121BC">
        <w:t>R</w:t>
      </w:r>
      <w:r>
        <w:t>oad</w:t>
      </w:r>
      <w:r w:rsidRPr="00833B5E">
        <w:t xml:space="preserve"> ITS</w:t>
      </w:r>
      <w:r>
        <w:t>;</w:t>
      </w:r>
    </w:p>
    <w:p w14:paraId="25FB8E4E" w14:textId="4B930AE0" w:rsidR="005967C2" w:rsidRPr="005967C2" w:rsidRDefault="005967C2" w:rsidP="00CB5128">
      <w:pPr>
        <w:pStyle w:val="ECCParagraph"/>
        <w:numPr>
          <w:ilvl w:val="0"/>
          <w:numId w:val="41"/>
        </w:numPr>
      </w:pPr>
      <w:r w:rsidRPr="00A568FF">
        <w:t xml:space="preserve">that the technical conditions in </w:t>
      </w:r>
      <w:r w:rsidR="00C5293C">
        <w:fldChar w:fldCharType="begin"/>
      </w:r>
      <w:r w:rsidR="00C5293C">
        <w:instrText xml:space="preserve"> REF _Ref190424513 \r \h </w:instrText>
      </w:r>
      <w:r w:rsidR="00C5293C">
        <w:fldChar w:fldCharType="separate"/>
      </w:r>
      <w:r w:rsidR="00C5293C">
        <w:t>Annex 2</w:t>
      </w:r>
      <w:r w:rsidR="00C5293C">
        <w:fldChar w:fldCharType="end"/>
      </w:r>
      <w:r w:rsidRPr="00A568FF">
        <w:t xml:space="preserve"> </w:t>
      </w:r>
      <w:r w:rsidR="00CE20E9">
        <w:t xml:space="preserve">should </w:t>
      </w:r>
      <w:r w:rsidRPr="00A568FF">
        <w:t>apply</w:t>
      </w:r>
      <w:r>
        <w:t xml:space="preserve"> to non-</w:t>
      </w:r>
      <w:r w:rsidRPr="00A568FF">
        <w:t>safety</w:t>
      </w:r>
      <w:r>
        <w:t xml:space="preserve"> </w:t>
      </w:r>
      <w:r w:rsidR="00C07B2A">
        <w:t xml:space="preserve">related </w:t>
      </w:r>
      <w:r w:rsidR="001121BC">
        <w:t>R</w:t>
      </w:r>
      <w:r>
        <w:t>oad</w:t>
      </w:r>
      <w:r w:rsidRPr="00A568FF">
        <w:t xml:space="preserve"> ITS devices;</w:t>
      </w:r>
    </w:p>
    <w:p w14:paraId="30A79283" w14:textId="266BBD6A" w:rsidR="00CB5128" w:rsidRPr="00B322AC" w:rsidRDefault="00CB5128" w:rsidP="00CB5128">
      <w:pPr>
        <w:pStyle w:val="NumberedList"/>
        <w:numPr>
          <w:ilvl w:val="0"/>
          <w:numId w:val="41"/>
        </w:numPr>
        <w:ind w:left="357" w:hanging="357"/>
      </w:pPr>
      <w:r w:rsidRPr="00701554">
        <w:lastRenderedPageBreak/>
        <w:t>that CEPT administrations should permit free circulation and use of</w:t>
      </w:r>
      <w:r w:rsidR="00427A6B">
        <w:t xml:space="preserve"> non-safety related Road</w:t>
      </w:r>
      <w:r w:rsidRPr="00701554">
        <w:t xml:space="preserve"> ITS equipment subject to the provisions of this Recommendation;</w:t>
      </w:r>
    </w:p>
    <w:p w14:paraId="27AC6F1A" w14:textId="0EEF4E1D" w:rsidR="00CB5128" w:rsidRPr="00B322AC" w:rsidRDefault="00CB5128" w:rsidP="00CB5128">
      <w:pPr>
        <w:pStyle w:val="NumberedList"/>
        <w:numPr>
          <w:ilvl w:val="0"/>
          <w:numId w:val="41"/>
        </w:numPr>
      </w:pPr>
      <w:r w:rsidRPr="00B322AC">
        <w:rPr>
          <w:rFonts w:cs="Arial"/>
          <w:iCs/>
          <w:szCs w:val="20"/>
        </w:rPr>
        <w:t xml:space="preserve">that CEPT administrations should exempt </w:t>
      </w:r>
      <w:r w:rsidR="00427A6B">
        <w:rPr>
          <w:rFonts w:cs="Arial"/>
          <w:iCs/>
          <w:szCs w:val="20"/>
        </w:rPr>
        <w:t>non-safety relate</w:t>
      </w:r>
      <w:r w:rsidR="004147DF">
        <w:rPr>
          <w:rFonts w:cs="Arial"/>
          <w:iCs/>
          <w:szCs w:val="20"/>
        </w:rPr>
        <w:t>d</w:t>
      </w:r>
      <w:r w:rsidR="00427A6B">
        <w:rPr>
          <w:rFonts w:cs="Arial"/>
          <w:iCs/>
          <w:szCs w:val="20"/>
        </w:rPr>
        <w:t xml:space="preserve"> Road </w:t>
      </w:r>
      <w:r w:rsidRPr="00B322AC">
        <w:rPr>
          <w:rFonts w:cs="Arial"/>
          <w:iCs/>
          <w:szCs w:val="20"/>
        </w:rPr>
        <w:t>ITS equipment falling under this Recommendation from individual licensing;</w:t>
      </w:r>
    </w:p>
    <w:p w14:paraId="1D2F052D" w14:textId="7B18F964" w:rsidR="00CB5128" w:rsidRPr="00B322AC" w:rsidRDefault="00CB5128" w:rsidP="00CB5128">
      <w:pPr>
        <w:pStyle w:val="NumberedList"/>
        <w:numPr>
          <w:ilvl w:val="0"/>
          <w:numId w:val="41"/>
        </w:numPr>
      </w:pPr>
      <w:r w:rsidRPr="00B322AC">
        <w:t xml:space="preserve">that non-safety </w:t>
      </w:r>
      <w:r w:rsidR="00427A6B">
        <w:rPr>
          <w:lang w:bidi="he-IL"/>
        </w:rPr>
        <w:t>related</w:t>
      </w:r>
      <w:r w:rsidR="00427A6B">
        <w:t xml:space="preserve"> </w:t>
      </w:r>
      <w:r w:rsidR="001121BC">
        <w:t>R</w:t>
      </w:r>
      <w:r w:rsidR="0035190C">
        <w:t xml:space="preserve">oad </w:t>
      </w:r>
      <w:r w:rsidRPr="00B322AC">
        <w:t>ITS should be deployed on a non-protected and non-interference basis;</w:t>
      </w:r>
    </w:p>
    <w:p w14:paraId="2FE642D3" w14:textId="77777777" w:rsidR="00CB5128" w:rsidRPr="00B322AC" w:rsidRDefault="00CB5128" w:rsidP="00CB5128">
      <w:pPr>
        <w:pStyle w:val="NumberedList"/>
        <w:numPr>
          <w:ilvl w:val="0"/>
          <w:numId w:val="41"/>
        </w:numPr>
      </w:pPr>
      <w:r w:rsidRPr="00B322AC">
        <w:t>that CEPT administrations shall communicate the national measures implementing this Recommendation to the Office when the Recommendation is nationally implemented.”</w:t>
      </w:r>
    </w:p>
    <w:p w14:paraId="7B317711" w14:textId="77777777" w:rsidR="00A2604A" w:rsidRPr="00FE1795" w:rsidRDefault="00A2604A" w:rsidP="00A2604A">
      <w:pPr>
        <w:pStyle w:val="ECCParagraph"/>
        <w:rPr>
          <w:i/>
          <w:color w:val="D2232A"/>
        </w:rPr>
      </w:pPr>
      <w:r w:rsidRPr="00FE1795">
        <w:rPr>
          <w:i/>
          <w:color w:val="D2232A"/>
        </w:rPr>
        <w:t xml:space="preserve">Note: </w:t>
      </w:r>
    </w:p>
    <w:p w14:paraId="27AF33B6" w14:textId="77777777" w:rsidR="00D1697B" w:rsidRDefault="00A2604A" w:rsidP="00A2604A">
      <w:pPr>
        <w:rPr>
          <w:i/>
          <w:szCs w:val="20"/>
          <w:lang w:val="en-GB"/>
        </w:rPr>
      </w:pPr>
      <w:r w:rsidRPr="00E80C5C">
        <w:rPr>
          <w:i/>
          <w:szCs w:val="20"/>
          <w:lang w:val="en-GB"/>
        </w:rPr>
        <w:t xml:space="preserve">Please check the Office </w:t>
      </w:r>
      <w:r>
        <w:rPr>
          <w:i/>
          <w:szCs w:val="20"/>
          <w:lang w:val="en-GB"/>
        </w:rPr>
        <w:t xml:space="preserve">documentation database </w:t>
      </w:r>
      <w:hyperlink r:id="rId14" w:history="1">
        <w:r w:rsidR="006525C3" w:rsidRPr="00017B43">
          <w:rPr>
            <w:rStyle w:val="Hyperlink"/>
            <w:i/>
            <w:szCs w:val="20"/>
            <w:lang w:val="en-GB"/>
          </w:rPr>
          <w:t>https://docdb.cept.org/</w:t>
        </w:r>
      </w:hyperlink>
      <w:r>
        <w:rPr>
          <w:i/>
          <w:szCs w:val="20"/>
          <w:lang w:val="en-GB"/>
        </w:rPr>
        <w:t xml:space="preserve"> for</w:t>
      </w:r>
      <w:r w:rsidRPr="00E80C5C">
        <w:rPr>
          <w:i/>
          <w:szCs w:val="20"/>
          <w:lang w:val="en-GB"/>
        </w:rPr>
        <w:t xml:space="preserve"> the up to date position on the implementation of this and other </w:t>
      </w:r>
      <w:smartTag w:uri="urn:schemas-microsoft-com:office:smarttags" w:element="stockticker">
        <w:r w:rsidRPr="00E80C5C">
          <w:rPr>
            <w:i/>
            <w:szCs w:val="20"/>
            <w:lang w:val="en-GB"/>
          </w:rPr>
          <w:t>ECC</w:t>
        </w:r>
      </w:smartTag>
      <w:r w:rsidRPr="00E80C5C">
        <w:rPr>
          <w:i/>
          <w:szCs w:val="20"/>
          <w:lang w:val="en-GB"/>
        </w:rPr>
        <w:t xml:space="preserve"> </w:t>
      </w:r>
      <w:r>
        <w:rPr>
          <w:i/>
          <w:szCs w:val="20"/>
          <w:lang w:val="en-GB"/>
        </w:rPr>
        <w:t>Recommendation</w:t>
      </w:r>
      <w:r w:rsidRPr="00E80C5C">
        <w:rPr>
          <w:i/>
          <w:szCs w:val="20"/>
          <w:lang w:val="en-GB"/>
        </w:rPr>
        <w:t>s.</w:t>
      </w:r>
    </w:p>
    <w:p w14:paraId="3AE09E74" w14:textId="075F902F" w:rsidR="00CB5128" w:rsidRPr="00B322AC" w:rsidRDefault="00CB5128" w:rsidP="00CB5128">
      <w:pPr>
        <w:keepNext/>
        <w:pageBreakBefore/>
        <w:numPr>
          <w:ilvl w:val="0"/>
          <w:numId w:val="7"/>
        </w:numPr>
        <w:spacing w:before="400" w:after="240" w:line="276" w:lineRule="auto"/>
        <w:outlineLvl w:val="0"/>
        <w:rPr>
          <w:rFonts w:cs="Arial"/>
          <w:b/>
          <w:bCs/>
          <w:caps/>
          <w:color w:val="D2232A"/>
          <w:kern w:val="32"/>
          <w:szCs w:val="32"/>
          <w:lang w:val="en-GB"/>
        </w:rPr>
      </w:pPr>
      <w:bookmarkStart w:id="4" w:name="_Ref190424493"/>
      <w:r w:rsidRPr="00B322AC">
        <w:rPr>
          <w:rFonts w:cs="Arial"/>
          <w:b/>
          <w:bCs/>
          <w:caps/>
          <w:color w:val="D2232A"/>
          <w:kern w:val="32"/>
          <w:szCs w:val="32"/>
          <w:lang w:val="en-GB"/>
        </w:rPr>
        <w:lastRenderedPageBreak/>
        <w:t>Frequency arrangement</w:t>
      </w:r>
      <w:bookmarkEnd w:id="4"/>
    </w:p>
    <w:p w14:paraId="562BA8F2" w14:textId="10280A6A" w:rsidR="00CB5128" w:rsidRPr="00B322AC" w:rsidRDefault="00CB5128" w:rsidP="00CB5128">
      <w:pPr>
        <w:spacing w:after="240" w:line="276" w:lineRule="auto"/>
        <w:jc w:val="both"/>
        <w:rPr>
          <w:iCs/>
          <w:lang w:val="en-GB"/>
        </w:rPr>
      </w:pPr>
      <w:r w:rsidRPr="00B322AC">
        <w:rPr>
          <w:iCs/>
          <w:lang w:val="en-GB"/>
        </w:rPr>
        <w:t>The frequency arrangement is based on a block size of 10 MHz starting at the lower edge of the band at 5855 MHz.</w:t>
      </w:r>
    </w:p>
    <w:p w14:paraId="058681C9" w14:textId="77777777" w:rsidR="00CB5128" w:rsidRPr="00B322AC" w:rsidRDefault="00CB5128" w:rsidP="00B26CF4">
      <w:pPr>
        <w:spacing w:after="240" w:line="276" w:lineRule="auto"/>
        <w:jc w:val="center"/>
        <w:rPr>
          <w:iCs/>
          <w:lang w:val="en-GB"/>
        </w:rPr>
      </w:pPr>
      <w:r w:rsidRPr="00B322AC">
        <w:rPr>
          <w:iCs/>
          <w:noProof/>
          <w:lang w:val="en-GB" w:eastAsia="en-GB"/>
        </w:rPr>
        <w:drawing>
          <wp:inline distT="0" distB="0" distL="0" distR="0" wp14:anchorId="4375C65C" wp14:editId="31DA3FCB">
            <wp:extent cx="4154400" cy="579600"/>
            <wp:effectExtent l="0" t="0" r="0" b="0"/>
            <wp:docPr id="3" name="Bild 1" descr="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T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154400" cy="579600"/>
                    </a:xfrm>
                    <a:prstGeom prst="rect">
                      <a:avLst/>
                    </a:prstGeom>
                    <a:noFill/>
                    <a:ln>
                      <a:noFill/>
                    </a:ln>
                  </pic:spPr>
                </pic:pic>
              </a:graphicData>
            </a:graphic>
          </wp:inline>
        </w:drawing>
      </w:r>
    </w:p>
    <w:p w14:paraId="142DA05D" w14:textId="32B79AC0" w:rsidR="00CB5128" w:rsidRPr="00B322AC" w:rsidRDefault="00CB5128" w:rsidP="00CB5128">
      <w:pPr>
        <w:spacing w:after="240" w:line="276" w:lineRule="auto"/>
        <w:jc w:val="both"/>
        <w:rPr>
          <w:iCs/>
          <w:lang w:val="en-GB"/>
        </w:rPr>
      </w:pPr>
      <w:r w:rsidRPr="00B322AC">
        <w:rPr>
          <w:iCs/>
          <w:lang w:val="en-GB"/>
        </w:rPr>
        <w:t xml:space="preserve">In 5855-5875 MHz, </w:t>
      </w:r>
      <w:r w:rsidR="00AF213B">
        <w:rPr>
          <w:iCs/>
          <w:lang w:val="en-GB"/>
        </w:rPr>
        <w:t xml:space="preserve">non-safety related </w:t>
      </w:r>
      <w:r w:rsidR="003710CE">
        <w:rPr>
          <w:iCs/>
          <w:lang w:val="en-GB"/>
        </w:rPr>
        <w:t xml:space="preserve">Road </w:t>
      </w:r>
      <w:r w:rsidRPr="00B322AC">
        <w:rPr>
          <w:iCs/>
          <w:lang w:val="en-GB"/>
        </w:rPr>
        <w:t>ITS shall use channels within the boundaries of each 10 MHz block. Channel bandwidth may be lower than 10 MHz.</w:t>
      </w:r>
    </w:p>
    <w:p w14:paraId="78FDD267" w14:textId="77777777" w:rsidR="0016765E" w:rsidRPr="0031294D" w:rsidRDefault="0016765E" w:rsidP="0016765E">
      <w:pPr>
        <w:suppressAutoHyphens/>
        <w:spacing w:after="120"/>
        <w:rPr>
          <w:rFonts w:cs="Arial"/>
          <w:szCs w:val="22"/>
          <w:lang w:val="en-GB"/>
        </w:rPr>
      </w:pPr>
      <w:bookmarkStart w:id="5" w:name="_Toc280099660"/>
      <w:r w:rsidRPr="0031294D">
        <w:t>Two blocks can be combined to one contiguous 20 MHz channel.</w:t>
      </w:r>
    </w:p>
    <w:p w14:paraId="18F829E8" w14:textId="77777777" w:rsidR="0016765E" w:rsidRPr="00FF7641" w:rsidRDefault="0016765E" w:rsidP="00B85957">
      <w:pPr>
        <w:pStyle w:val="ECCAnnex-heading1"/>
      </w:pPr>
      <w:bookmarkStart w:id="6" w:name="_Ref190424513"/>
      <w:r>
        <w:lastRenderedPageBreak/>
        <w:t>Technical conditions</w:t>
      </w:r>
      <w:bookmarkEnd w:id="6"/>
    </w:p>
    <w:p w14:paraId="6E7A384B" w14:textId="667F4311" w:rsidR="0016765E" w:rsidRPr="00F65AD5" w:rsidRDefault="0016765E" w:rsidP="0016765E">
      <w:pPr>
        <w:spacing w:after="200" w:line="276" w:lineRule="auto"/>
        <w:jc w:val="center"/>
        <w:rPr>
          <w:rFonts w:eastAsia="Calibri" w:cs="Arial"/>
          <w:b/>
          <w:color w:val="C00000"/>
          <w:szCs w:val="22"/>
          <w:lang w:val="en-GB"/>
        </w:rPr>
      </w:pPr>
      <w:bookmarkStart w:id="7" w:name="_Hlk171696766"/>
      <w:r w:rsidRPr="00F65AD5">
        <w:rPr>
          <w:rFonts w:eastAsia="Calibri" w:cs="Arial"/>
          <w:b/>
          <w:bCs/>
          <w:color w:val="C00000"/>
          <w:szCs w:val="22"/>
          <w:lang w:val="en-GB"/>
        </w:rPr>
        <w:t xml:space="preserve">Table </w:t>
      </w:r>
      <w:r w:rsidRPr="00F65AD5">
        <w:rPr>
          <w:rFonts w:eastAsia="Calibri" w:cs="Arial"/>
          <w:b/>
          <w:bCs/>
          <w:color w:val="C00000"/>
          <w:szCs w:val="22"/>
          <w:lang w:val="en-GB"/>
        </w:rPr>
        <w:fldChar w:fldCharType="begin"/>
      </w:r>
      <w:r w:rsidRPr="00F65AD5">
        <w:rPr>
          <w:rFonts w:eastAsia="Calibri" w:cs="Arial"/>
          <w:b/>
          <w:bCs/>
          <w:color w:val="C00000"/>
          <w:szCs w:val="22"/>
          <w:lang w:val="en-GB"/>
        </w:rPr>
        <w:instrText xml:space="preserve"> SEQ Table \* ARABIC </w:instrText>
      </w:r>
      <w:r w:rsidRPr="00F65AD5">
        <w:rPr>
          <w:rFonts w:eastAsia="Calibri" w:cs="Arial"/>
          <w:b/>
          <w:bCs/>
          <w:color w:val="C00000"/>
          <w:szCs w:val="22"/>
          <w:lang w:val="en-GB"/>
        </w:rPr>
        <w:fldChar w:fldCharType="separate"/>
      </w:r>
      <w:r w:rsidRPr="00F65AD5">
        <w:rPr>
          <w:rFonts w:eastAsia="Calibri" w:cs="Arial"/>
          <w:b/>
          <w:bCs/>
          <w:color w:val="C00000"/>
          <w:szCs w:val="22"/>
          <w:lang w:val="en-GB"/>
        </w:rPr>
        <w:t>1</w:t>
      </w:r>
      <w:r w:rsidRPr="00F65AD5">
        <w:rPr>
          <w:rFonts w:eastAsia="Calibri" w:cs="Arial"/>
          <w:b/>
          <w:color w:val="C00000"/>
          <w:szCs w:val="22"/>
          <w:lang w:val="en-GB"/>
        </w:rPr>
        <w:fldChar w:fldCharType="end"/>
      </w:r>
      <w:r w:rsidRPr="00F65AD5">
        <w:rPr>
          <w:rFonts w:eastAsia="Calibri" w:cs="Arial"/>
          <w:b/>
          <w:bCs/>
          <w:color w:val="C00000"/>
          <w:szCs w:val="22"/>
          <w:lang w:val="en-GB"/>
        </w:rPr>
        <w:t xml:space="preserve">: </w:t>
      </w:r>
      <w:r w:rsidR="00B72B99" w:rsidRPr="00AC504F">
        <w:rPr>
          <w:rFonts w:eastAsia="Calibri" w:cs="Arial"/>
          <w:b/>
          <w:color w:val="C00000"/>
          <w:szCs w:val="22"/>
          <w:lang w:val="en-GB"/>
        </w:rPr>
        <w:t>Technical conditions</w:t>
      </w:r>
      <w:r w:rsidRPr="00F65AD5">
        <w:rPr>
          <w:rFonts w:eastAsia="Calibri" w:cs="Arial"/>
          <w:b/>
          <w:color w:val="C00000"/>
          <w:szCs w:val="22"/>
          <w:lang w:val="en-GB"/>
        </w:rPr>
        <w:t xml:space="preserve"> </w:t>
      </w:r>
      <w:r w:rsidR="003710CE">
        <w:rPr>
          <w:rFonts w:eastAsia="Calibri" w:cs="Arial"/>
          <w:b/>
          <w:color w:val="C00000"/>
          <w:szCs w:val="22"/>
          <w:lang w:val="en-GB"/>
        </w:rPr>
        <w:t>for</w:t>
      </w:r>
      <w:r w:rsidRPr="00F65AD5">
        <w:rPr>
          <w:rFonts w:eastAsia="Calibri" w:cs="Arial"/>
          <w:b/>
          <w:color w:val="C00000"/>
          <w:szCs w:val="22"/>
          <w:lang w:val="en-GB"/>
        </w:rPr>
        <w:t xml:space="preserve"> </w:t>
      </w:r>
      <w:r w:rsidR="003710CE">
        <w:rPr>
          <w:rFonts w:eastAsia="Calibri" w:cs="Arial"/>
          <w:b/>
          <w:color w:val="C00000"/>
          <w:szCs w:val="22"/>
          <w:lang w:val="en-GB"/>
        </w:rPr>
        <w:t xml:space="preserve">non-safety related </w:t>
      </w:r>
      <w:r w:rsidR="007A753A">
        <w:rPr>
          <w:rFonts w:eastAsia="Calibri" w:cs="Arial"/>
          <w:b/>
          <w:color w:val="C00000"/>
          <w:szCs w:val="22"/>
          <w:lang w:val="en-GB"/>
        </w:rPr>
        <w:t>Road</w:t>
      </w:r>
      <w:r w:rsidRPr="00F65AD5">
        <w:rPr>
          <w:rFonts w:eastAsia="Calibri" w:cs="Arial"/>
          <w:b/>
          <w:color w:val="C00000"/>
          <w:szCs w:val="22"/>
          <w:lang w:val="en-GB"/>
        </w:rPr>
        <w:t xml:space="preserve"> ITS devices in the </w:t>
      </w:r>
      <w:r w:rsidR="007A753A">
        <w:rPr>
          <w:rFonts w:eastAsia="Calibri" w:cs="Arial"/>
          <w:b/>
          <w:color w:val="C00000"/>
          <w:szCs w:val="22"/>
          <w:lang w:val="en-GB"/>
        </w:rPr>
        <w:t>5855-</w:t>
      </w:r>
      <w:r w:rsidRPr="00F65AD5">
        <w:rPr>
          <w:rFonts w:eastAsia="Calibri" w:cs="Arial"/>
          <w:b/>
          <w:color w:val="C00000"/>
          <w:szCs w:val="22"/>
          <w:lang w:val="en-GB"/>
        </w:rPr>
        <w:t>5875 MHz</w:t>
      </w:r>
      <w:r>
        <w:rPr>
          <w:rFonts w:eastAsia="Calibri" w:cs="Arial"/>
          <w:b/>
          <w:color w:val="C00000"/>
          <w:szCs w:val="22"/>
          <w:lang w:val="en-GB"/>
        </w:rPr>
        <w:t xml:space="preserve"> band</w:t>
      </w:r>
    </w:p>
    <w:tbl>
      <w:tblPr>
        <w:tblStyle w:val="ECCTable-redheader"/>
        <w:tblW w:w="4561" w:type="pct"/>
        <w:tblInd w:w="0" w:type="dxa"/>
        <w:tblLook w:val="04A0" w:firstRow="1" w:lastRow="0" w:firstColumn="1" w:lastColumn="0" w:noHBand="0" w:noVBand="1"/>
      </w:tblPr>
      <w:tblGrid>
        <w:gridCol w:w="1555"/>
        <w:gridCol w:w="7229"/>
      </w:tblGrid>
      <w:tr w:rsidR="0016765E" w:rsidRPr="00F65AD5" w14:paraId="0CCED694" w14:textId="77777777" w:rsidTr="00F46572">
        <w:trPr>
          <w:cnfStyle w:val="100000000000" w:firstRow="1" w:lastRow="0" w:firstColumn="0" w:lastColumn="0" w:oddVBand="0" w:evenVBand="0" w:oddHBand="0" w:evenHBand="0" w:firstRowFirstColumn="0" w:firstRowLastColumn="0" w:lastRowFirstColumn="0" w:lastRowLastColumn="0"/>
        </w:trPr>
        <w:tc>
          <w:tcPr>
            <w:tcW w:w="885" w:type="pct"/>
          </w:tcPr>
          <w:p w14:paraId="61CE8C15" w14:textId="77777777" w:rsidR="0016765E" w:rsidRPr="00F65AD5" w:rsidRDefault="0016765E">
            <w:pPr>
              <w:rPr>
                <w:b w:val="0"/>
              </w:rPr>
            </w:pPr>
          </w:p>
        </w:tc>
        <w:tc>
          <w:tcPr>
            <w:tcW w:w="4115" w:type="pct"/>
          </w:tcPr>
          <w:p w14:paraId="4BE0DEC4" w14:textId="77777777" w:rsidR="0016765E" w:rsidRPr="00F65AD5" w:rsidRDefault="0016765E">
            <w:pPr>
              <w:rPr>
                <w:b w:val="0"/>
              </w:rPr>
            </w:pPr>
            <w:r w:rsidRPr="00F65AD5">
              <w:rPr>
                <w:rFonts w:cs="Arial"/>
                <w:color w:val="FFFFFF"/>
                <w:szCs w:val="20"/>
                <w:lang w:val="en-GB"/>
              </w:rPr>
              <w:t>Technical conditions</w:t>
            </w:r>
          </w:p>
        </w:tc>
      </w:tr>
      <w:tr w:rsidR="0016765E" w:rsidRPr="00F65AD5" w14:paraId="19D9C7E8" w14:textId="77777777" w:rsidTr="00F46572">
        <w:tc>
          <w:tcPr>
            <w:tcW w:w="885" w:type="pct"/>
          </w:tcPr>
          <w:p w14:paraId="760AA947" w14:textId="77777777" w:rsidR="0016765E" w:rsidRPr="00F65AD5" w:rsidRDefault="0016765E">
            <w:pPr>
              <w:jc w:val="left"/>
            </w:pPr>
            <w:r>
              <w:t>Power spectral density</w:t>
            </w:r>
          </w:p>
        </w:tc>
        <w:tc>
          <w:tcPr>
            <w:tcW w:w="4115" w:type="pct"/>
          </w:tcPr>
          <w:p w14:paraId="120D0DDE" w14:textId="77777777" w:rsidR="0016765E" w:rsidRPr="00F65AD5" w:rsidRDefault="0016765E">
            <w:pPr>
              <w:suppressAutoHyphens/>
              <w:spacing w:after="120"/>
              <w:jc w:val="left"/>
              <w:rPr>
                <w:rFonts w:cs="Arial"/>
                <w:szCs w:val="20"/>
                <w:lang w:val="en-GB"/>
              </w:rPr>
            </w:pPr>
            <w:r w:rsidRPr="00F65AD5">
              <w:rPr>
                <w:rFonts w:cs="Arial"/>
                <w:szCs w:val="20"/>
                <w:lang w:val="en-GB"/>
              </w:rPr>
              <w:t xml:space="preserve">≤ 23 dBm/MHz </w:t>
            </w:r>
            <w:r w:rsidRPr="00F46572">
              <w:rPr>
                <w:rFonts w:cs="Arial"/>
                <w:i/>
                <w:iCs/>
                <w:szCs w:val="20"/>
                <w:lang w:val="en-GB"/>
              </w:rPr>
              <w:t>e.i.r.p.</w:t>
            </w:r>
          </w:p>
        </w:tc>
      </w:tr>
      <w:tr w:rsidR="0016765E" w:rsidRPr="00F65AD5" w14:paraId="40438353" w14:textId="77777777" w:rsidTr="00F46572">
        <w:tc>
          <w:tcPr>
            <w:tcW w:w="885" w:type="pct"/>
          </w:tcPr>
          <w:p w14:paraId="52D6C2FB" w14:textId="77777777" w:rsidR="0016765E" w:rsidRPr="00F65AD5" w:rsidRDefault="0016765E">
            <w:pPr>
              <w:jc w:val="left"/>
            </w:pPr>
            <w:r w:rsidRPr="00F65AD5">
              <w:t>Transmit power</w:t>
            </w:r>
          </w:p>
        </w:tc>
        <w:tc>
          <w:tcPr>
            <w:tcW w:w="4115" w:type="pct"/>
          </w:tcPr>
          <w:p w14:paraId="645189FF" w14:textId="02E34E1E" w:rsidR="0016765E" w:rsidRDefault="0016765E" w:rsidP="008B5E89">
            <w:pPr>
              <w:suppressAutoHyphens/>
              <w:spacing w:after="120"/>
              <w:jc w:val="left"/>
              <w:rPr>
                <w:rFonts w:cs="Arial"/>
                <w:szCs w:val="20"/>
                <w:lang w:val="en-GB"/>
              </w:rPr>
            </w:pPr>
            <w:r w:rsidRPr="00F65AD5">
              <w:rPr>
                <w:rFonts w:cs="Arial"/>
                <w:szCs w:val="20"/>
                <w:lang w:val="en-GB"/>
              </w:rPr>
              <w:t xml:space="preserve">≤ 33 dBm </w:t>
            </w:r>
            <w:r w:rsidRPr="00F46572">
              <w:rPr>
                <w:rFonts w:cs="Arial"/>
                <w:i/>
                <w:iCs/>
                <w:szCs w:val="20"/>
                <w:lang w:val="en-GB"/>
              </w:rPr>
              <w:t>e.i.r.p.</w:t>
            </w:r>
            <w:r>
              <w:rPr>
                <w:rFonts w:cs="Arial"/>
                <w:szCs w:val="20"/>
                <w:lang w:val="en-GB"/>
              </w:rPr>
              <w:t xml:space="preserve"> with </w:t>
            </w:r>
            <w:r w:rsidRPr="00F65AD5">
              <w:rPr>
                <w:rFonts w:cs="Arial"/>
                <w:szCs w:val="20"/>
                <w:lang w:val="en-GB"/>
              </w:rPr>
              <w:t>Transmit Power Control (TPC)</w:t>
            </w:r>
          </w:p>
          <w:p w14:paraId="2727E331" w14:textId="012E9006" w:rsidR="0016765E" w:rsidRPr="00F65AD5" w:rsidRDefault="0016765E">
            <w:pPr>
              <w:jc w:val="left"/>
            </w:pPr>
            <w:r>
              <w:rPr>
                <w:rFonts w:cs="Arial"/>
                <w:szCs w:val="20"/>
                <w:lang w:val="en-GB"/>
              </w:rPr>
              <w:t>TPC</w:t>
            </w:r>
            <w:r w:rsidRPr="00F65AD5">
              <w:rPr>
                <w:rFonts w:cs="Arial"/>
                <w:szCs w:val="20"/>
                <w:lang w:val="en-GB"/>
              </w:rPr>
              <w:t xml:space="preserve"> shall be able to reduce the total power from its maximum to 3 dBm </w:t>
            </w:r>
            <w:r w:rsidRPr="00F46572">
              <w:rPr>
                <w:rFonts w:cs="Arial"/>
                <w:i/>
                <w:iCs/>
                <w:szCs w:val="20"/>
                <w:lang w:val="en-GB"/>
              </w:rPr>
              <w:t>e.i.r.p.</w:t>
            </w:r>
          </w:p>
        </w:tc>
      </w:tr>
      <w:bookmarkEnd w:id="7"/>
    </w:tbl>
    <w:p w14:paraId="7911EDA7" w14:textId="77777777" w:rsidR="0016765E" w:rsidRPr="00451080" w:rsidRDefault="0016765E" w:rsidP="0016765E">
      <w:pPr>
        <w:pStyle w:val="ECCParagraph"/>
        <w:rPr>
          <w:iCs/>
        </w:rPr>
      </w:pPr>
    </w:p>
    <w:p w14:paraId="356DC6EF" w14:textId="77777777" w:rsidR="00CB5128" w:rsidRPr="00B322AC" w:rsidRDefault="00CB5128" w:rsidP="00B85957">
      <w:pPr>
        <w:pStyle w:val="ECCAnnex-heading1"/>
      </w:pPr>
      <w:r w:rsidRPr="00B322AC">
        <w:lastRenderedPageBreak/>
        <w:t>List of reference</w:t>
      </w:r>
      <w:bookmarkEnd w:id="5"/>
      <w:r>
        <w:t>s</w:t>
      </w:r>
    </w:p>
    <w:bookmarkStart w:id="8" w:name="_Ref23177315"/>
    <w:bookmarkStart w:id="9" w:name="_Ref34831855"/>
    <w:p w14:paraId="57B2BDD8" w14:textId="058409B7" w:rsidR="00CB5128" w:rsidRPr="00B322AC" w:rsidRDefault="001A50A6" w:rsidP="005E4F5F">
      <w:pPr>
        <w:numPr>
          <w:ilvl w:val="0"/>
          <w:numId w:val="6"/>
        </w:numPr>
        <w:spacing w:before="60" w:after="60"/>
        <w:rPr>
          <w:lang w:val="en-GB" w:eastAsia="ja-JP"/>
        </w:rPr>
      </w:pPr>
      <w:r>
        <w:rPr>
          <w:lang w:val="en-GB" w:eastAsia="ja-JP"/>
        </w:rPr>
        <w:fldChar w:fldCharType="begin"/>
      </w:r>
      <w:r>
        <w:rPr>
          <w:lang w:val="en-GB" w:eastAsia="ja-JP"/>
        </w:rPr>
        <w:instrText>HYPERLINK "https://docdb.cept.org/document/412"</w:instrText>
      </w:r>
      <w:r>
        <w:rPr>
          <w:lang w:val="en-GB" w:eastAsia="ja-JP"/>
        </w:rPr>
      </w:r>
      <w:r>
        <w:rPr>
          <w:lang w:val="en-GB" w:eastAsia="ja-JP"/>
        </w:rPr>
        <w:fldChar w:fldCharType="separate"/>
      </w:r>
      <w:r>
        <w:rPr>
          <w:rStyle w:val="Hyperlink"/>
          <w:lang w:val="en-GB" w:eastAsia="ja-JP"/>
        </w:rPr>
        <w:t>ECC Decision (08)01</w:t>
      </w:r>
      <w:r>
        <w:rPr>
          <w:lang w:val="en-GB" w:eastAsia="ja-JP"/>
        </w:rPr>
        <w:fldChar w:fldCharType="end"/>
      </w:r>
      <w:r w:rsidR="00CB5128">
        <w:rPr>
          <w:lang w:val="en-GB" w:eastAsia="ja-JP"/>
        </w:rPr>
        <w:t>:</w:t>
      </w:r>
      <w:bookmarkEnd w:id="8"/>
      <w:r w:rsidR="00CB5128" w:rsidRPr="00B322AC">
        <w:rPr>
          <w:lang w:val="en-GB" w:eastAsia="ja-JP"/>
        </w:rPr>
        <w:t xml:space="preserve"> “</w:t>
      </w:r>
      <w:r w:rsidR="00CC086B">
        <w:rPr>
          <w:lang w:val="en-GB" w:eastAsia="ja-JP"/>
        </w:rPr>
        <w:t>T</w:t>
      </w:r>
      <w:r w:rsidR="00CB5128" w:rsidRPr="00B322AC">
        <w:t xml:space="preserve">he </w:t>
      </w:r>
      <w:proofErr w:type="spellStart"/>
      <w:r w:rsidR="00CB5128" w:rsidRPr="00B322AC">
        <w:t>harmonised</w:t>
      </w:r>
      <w:proofErr w:type="spellEnd"/>
      <w:r w:rsidR="00CB5128" w:rsidRPr="00B322AC">
        <w:t xml:space="preserve"> use of </w:t>
      </w:r>
      <w:r w:rsidR="00BA15A9" w:rsidRPr="00DF2029">
        <w:t xml:space="preserve">Safety-Related Intelligent Transport Systems (ITS) in </w:t>
      </w:r>
      <w:r w:rsidR="00CB5128" w:rsidRPr="00B322AC">
        <w:t>the 5875-5925 MHz frequency band”</w:t>
      </w:r>
      <w:bookmarkEnd w:id="9"/>
      <w:r w:rsidR="000333D5">
        <w:t xml:space="preserve">, </w:t>
      </w:r>
      <w:r w:rsidR="007116CB">
        <w:t xml:space="preserve">approved </w:t>
      </w:r>
      <w:r w:rsidR="000333D5">
        <w:t>March 2020</w:t>
      </w:r>
      <w:r w:rsidR="007116CB">
        <w:t xml:space="preserve">, </w:t>
      </w:r>
      <w:r w:rsidR="004E5AF5">
        <w:t xml:space="preserve">latest </w:t>
      </w:r>
      <w:r w:rsidR="00ED3964" w:rsidRPr="00ED3964">
        <w:t xml:space="preserve">amended </w:t>
      </w:r>
      <w:proofErr w:type="gramStart"/>
      <w:r w:rsidR="00ED3964" w:rsidRPr="00ED3964">
        <w:t>on</w:t>
      </w:r>
      <w:proofErr w:type="gramEnd"/>
      <w:r w:rsidR="00ED3964" w:rsidRPr="00ED3964">
        <w:t xml:space="preserve"> March 2025</w:t>
      </w:r>
    </w:p>
    <w:p w14:paraId="7F29E68D" w14:textId="503FD988" w:rsidR="00CB5128" w:rsidRPr="00B322AC" w:rsidRDefault="00CB5128" w:rsidP="005E4F5F">
      <w:pPr>
        <w:pStyle w:val="reference"/>
        <w:tabs>
          <w:tab w:val="left" w:pos="397"/>
        </w:tabs>
        <w:spacing w:before="60" w:after="60"/>
        <w:rPr>
          <w:lang w:val="en-GB"/>
        </w:rPr>
      </w:pPr>
      <w:bookmarkStart w:id="10" w:name="_Ref34831937"/>
      <w:bookmarkStart w:id="11" w:name="_Ref23174906"/>
      <w:r w:rsidRPr="00B322AC">
        <w:rPr>
          <w:lang w:val="en-GB"/>
        </w:rPr>
        <w:t>ETSI TR 102 492-2</w:t>
      </w:r>
      <w:r>
        <w:rPr>
          <w:lang w:val="en-GB"/>
        </w:rPr>
        <w:t>:</w:t>
      </w:r>
      <w:r w:rsidRPr="00B322AC">
        <w:rPr>
          <w:lang w:val="en-GB"/>
        </w:rPr>
        <w:t xml:space="preserve"> ETSI System Reference Document on “Intelligent Transport System;</w:t>
      </w:r>
      <w:bookmarkEnd w:id="10"/>
    </w:p>
    <w:p w14:paraId="653FBB3F" w14:textId="77777777" w:rsidR="00CB5128" w:rsidRPr="00B322AC" w:rsidRDefault="00CB5128" w:rsidP="005E4F5F">
      <w:pPr>
        <w:pStyle w:val="reference"/>
        <w:numPr>
          <w:ilvl w:val="0"/>
          <w:numId w:val="0"/>
        </w:numPr>
        <w:spacing w:before="60" w:after="60"/>
        <w:ind w:left="397"/>
        <w:rPr>
          <w:lang w:val="en-GB"/>
        </w:rPr>
      </w:pPr>
      <w:r>
        <w:rPr>
          <w:lang w:val="en-GB"/>
        </w:rPr>
        <w:t>“</w:t>
      </w:r>
      <w:r w:rsidRPr="00B322AC">
        <w:rPr>
          <w:lang w:val="en-GB"/>
        </w:rPr>
        <w:t>Part 2: Technical characteristics for pan European harmonized communications equipment operating in the 5 GHz frequency range intended for road safety and traffic management, and for non-safety related ITS applications”</w:t>
      </w:r>
    </w:p>
    <w:bookmarkStart w:id="12" w:name="_Ref34827920"/>
    <w:bookmarkStart w:id="13" w:name="_Ref189845433"/>
    <w:bookmarkStart w:id="14" w:name="_Ref34831971"/>
    <w:p w14:paraId="54FE9308" w14:textId="6087811A" w:rsidR="003B7B30" w:rsidRPr="00FF7641" w:rsidRDefault="003B7B30" w:rsidP="00397EF3">
      <w:pPr>
        <w:pStyle w:val="reference"/>
        <w:tabs>
          <w:tab w:val="left" w:pos="397"/>
        </w:tabs>
        <w:spacing w:before="60" w:after="60"/>
        <w:rPr>
          <w:lang w:val="en-GB"/>
        </w:rPr>
      </w:pPr>
      <w:r w:rsidRPr="00FF7641">
        <w:rPr>
          <w:lang w:val="en-GB"/>
        </w:rPr>
        <w:fldChar w:fldCharType="begin"/>
      </w:r>
      <w:r w:rsidRPr="00FF7641">
        <w:rPr>
          <w:lang w:val="en-GB"/>
        </w:rPr>
        <w:instrText xml:space="preserve"> HYPERLINK "https://docdb.cept.org/document/209" </w:instrText>
      </w:r>
      <w:r w:rsidRPr="00FF7641">
        <w:rPr>
          <w:lang w:val="en-GB"/>
        </w:rPr>
      </w:r>
      <w:r w:rsidRPr="00FF7641">
        <w:rPr>
          <w:lang w:val="en-GB"/>
        </w:rPr>
        <w:fldChar w:fldCharType="separate"/>
      </w:r>
      <w:r w:rsidRPr="00FF7641">
        <w:rPr>
          <w:rStyle w:val="Hyperlink"/>
          <w:lang w:val="en-GB"/>
        </w:rPr>
        <w:t>ECC Report 101</w:t>
      </w:r>
      <w:r w:rsidRPr="00FF7641">
        <w:rPr>
          <w:lang w:val="en-GB"/>
        </w:rPr>
        <w:fldChar w:fldCharType="end"/>
      </w:r>
      <w:r w:rsidRPr="00FF7641">
        <w:rPr>
          <w:lang w:val="en-GB"/>
        </w:rPr>
        <w:t>: “Compatibility studies in the band 5855</w:t>
      </w:r>
      <w:r w:rsidR="00CE37FA">
        <w:rPr>
          <w:lang w:val="en-GB"/>
        </w:rPr>
        <w:t>-</w:t>
      </w:r>
      <w:r w:rsidRPr="00FF7641">
        <w:rPr>
          <w:lang w:val="en-GB"/>
        </w:rPr>
        <w:t>5925 MHz between Intelligent Transport Systems (ITS) and other systems”</w:t>
      </w:r>
      <w:bookmarkEnd w:id="12"/>
      <w:r w:rsidRPr="00FF7641">
        <w:rPr>
          <w:lang w:val="en-GB"/>
        </w:rPr>
        <w:t xml:space="preserve">, </w:t>
      </w:r>
      <w:r>
        <w:rPr>
          <w:lang w:val="en-GB"/>
        </w:rPr>
        <w:t>approved</w:t>
      </w:r>
      <w:r w:rsidRPr="00FF7641">
        <w:rPr>
          <w:lang w:val="en-GB"/>
        </w:rPr>
        <w:t xml:space="preserve"> February 2007</w:t>
      </w:r>
      <w:bookmarkEnd w:id="13"/>
    </w:p>
    <w:bookmarkStart w:id="15" w:name="_Ref34828000"/>
    <w:bookmarkStart w:id="16" w:name="_Ref189845484"/>
    <w:bookmarkStart w:id="17" w:name="_Ref23174979"/>
    <w:bookmarkStart w:id="18" w:name="_Ref34832027"/>
    <w:bookmarkEnd w:id="11"/>
    <w:bookmarkEnd w:id="14"/>
    <w:p w14:paraId="44E03529" w14:textId="2A5EABBB" w:rsidR="00B75999" w:rsidRPr="00FF7641" w:rsidRDefault="00B75999" w:rsidP="005E4F5F">
      <w:pPr>
        <w:pStyle w:val="reference"/>
        <w:spacing w:before="60" w:after="60"/>
        <w:rPr>
          <w:lang w:val="en-GB"/>
        </w:rPr>
      </w:pPr>
      <w:r w:rsidRPr="00FF7641">
        <w:rPr>
          <w:lang w:val="en-GB"/>
        </w:rPr>
        <w:fldChar w:fldCharType="begin"/>
      </w:r>
      <w:r w:rsidRPr="00FF7641">
        <w:rPr>
          <w:lang w:val="en-GB"/>
        </w:rPr>
        <w:instrText xml:space="preserve"> HYPERLINK "https://docdb.cept.org/document/334" </w:instrText>
      </w:r>
      <w:r w:rsidRPr="00FF7641">
        <w:rPr>
          <w:lang w:val="en-GB"/>
        </w:rPr>
      </w:r>
      <w:r w:rsidRPr="00FF7641">
        <w:rPr>
          <w:lang w:val="en-GB"/>
        </w:rPr>
        <w:fldChar w:fldCharType="separate"/>
      </w:r>
      <w:r w:rsidRPr="00FF7641">
        <w:rPr>
          <w:rStyle w:val="Hyperlink"/>
          <w:lang w:val="en-GB"/>
        </w:rPr>
        <w:t>ECC Report 228</w:t>
      </w:r>
      <w:r w:rsidRPr="00FF7641">
        <w:rPr>
          <w:lang w:val="en-GB"/>
        </w:rPr>
        <w:fldChar w:fldCharType="end"/>
      </w:r>
      <w:r w:rsidRPr="00FF7641">
        <w:rPr>
          <w:lang w:val="en-GB"/>
        </w:rPr>
        <w:t>: “Compatibility studies between Intelligent Transport Systems (ITS) in the band 5855</w:t>
      </w:r>
      <w:r w:rsidR="00CC086B">
        <w:rPr>
          <w:lang w:val="en-GB"/>
        </w:rPr>
        <w:t> </w:t>
      </w:r>
      <w:r w:rsidRPr="00FF7641">
        <w:rPr>
          <w:lang w:val="en-GB"/>
        </w:rPr>
        <w:t>-</w:t>
      </w:r>
      <w:r w:rsidR="00CC086B">
        <w:rPr>
          <w:lang w:val="en-GB"/>
        </w:rPr>
        <w:t> </w:t>
      </w:r>
      <w:r w:rsidRPr="00FF7641">
        <w:rPr>
          <w:lang w:val="en-GB"/>
        </w:rPr>
        <w:t>5925 MHz and other systems in adjacent bands”</w:t>
      </w:r>
      <w:bookmarkEnd w:id="15"/>
      <w:r w:rsidRPr="00FF7641">
        <w:rPr>
          <w:lang w:val="en-GB"/>
        </w:rPr>
        <w:t xml:space="preserve">, </w:t>
      </w:r>
      <w:r>
        <w:rPr>
          <w:lang w:val="en-GB"/>
        </w:rPr>
        <w:t>approved</w:t>
      </w:r>
      <w:r w:rsidRPr="00FF7641">
        <w:rPr>
          <w:lang w:val="en-GB"/>
        </w:rPr>
        <w:t xml:space="preserve"> January 2015</w:t>
      </w:r>
      <w:bookmarkEnd w:id="16"/>
    </w:p>
    <w:bookmarkStart w:id="19" w:name="_Ref34828086"/>
    <w:bookmarkStart w:id="20" w:name="_Ref189845270"/>
    <w:bookmarkStart w:id="21" w:name="_Ref23175128"/>
    <w:bookmarkStart w:id="22" w:name="_Ref34832155"/>
    <w:bookmarkEnd w:id="17"/>
    <w:bookmarkEnd w:id="18"/>
    <w:p w14:paraId="165BC04E" w14:textId="77777777" w:rsidR="005E0E95" w:rsidRPr="00943393" w:rsidRDefault="005E0E95" w:rsidP="008D75DB">
      <w:pPr>
        <w:pStyle w:val="reference"/>
        <w:tabs>
          <w:tab w:val="left" w:pos="397"/>
          <w:tab w:val="num" w:pos="426"/>
        </w:tabs>
        <w:spacing w:before="60" w:after="60"/>
        <w:rPr>
          <w:lang w:val="en-GB"/>
        </w:rPr>
      </w:pPr>
      <w:r w:rsidRPr="00943393">
        <w:rPr>
          <w:lang w:val="en-GB"/>
        </w:rPr>
        <w:fldChar w:fldCharType="begin"/>
      </w:r>
      <w:r w:rsidRPr="00943393">
        <w:rPr>
          <w:lang w:val="en-GB"/>
        </w:rPr>
        <w:instrText xml:space="preserve"> HYPERLINK "https://docdb.cept.org/document/8210" </w:instrText>
      </w:r>
      <w:r w:rsidRPr="00943393">
        <w:rPr>
          <w:lang w:val="en-GB"/>
        </w:rPr>
      </w:r>
      <w:r w:rsidRPr="00943393">
        <w:rPr>
          <w:lang w:val="en-GB"/>
        </w:rPr>
        <w:fldChar w:fldCharType="separate"/>
      </w:r>
      <w:r w:rsidRPr="00943393">
        <w:rPr>
          <w:rStyle w:val="Hyperlink"/>
          <w:lang w:val="en-GB"/>
        </w:rPr>
        <w:t>ECC Report 290</w:t>
      </w:r>
      <w:r w:rsidRPr="00943393">
        <w:rPr>
          <w:lang w:val="en-GB"/>
        </w:rPr>
        <w:fldChar w:fldCharType="end"/>
      </w:r>
      <w:r w:rsidRPr="00943393">
        <w:rPr>
          <w:lang w:val="en-GB"/>
        </w:rPr>
        <w:t>: “Studies to examine the applicability of ECC Reports 101 and 228 for various Intelligent Transport Systems (ITS) technologies under EC Mandate (RSCOM 17-26Rev.3)”</w:t>
      </w:r>
      <w:bookmarkEnd w:id="19"/>
      <w:r w:rsidRPr="00943393">
        <w:rPr>
          <w:lang w:val="en-GB"/>
        </w:rPr>
        <w:t>, approved January 2019</w:t>
      </w:r>
      <w:bookmarkEnd w:id="20"/>
    </w:p>
    <w:bookmarkStart w:id="23" w:name="_Ref34828136"/>
    <w:bookmarkStart w:id="24" w:name="_Ref189845280"/>
    <w:bookmarkStart w:id="25" w:name="_Ref23175471"/>
    <w:bookmarkStart w:id="26" w:name="_Ref34832188"/>
    <w:bookmarkEnd w:id="21"/>
    <w:bookmarkEnd w:id="22"/>
    <w:p w14:paraId="797094C0" w14:textId="77777777" w:rsidR="00147761" w:rsidRPr="00FF7641" w:rsidRDefault="00147761" w:rsidP="00EC7EA2">
      <w:pPr>
        <w:pStyle w:val="reference"/>
        <w:tabs>
          <w:tab w:val="left" w:pos="397"/>
          <w:tab w:val="num" w:pos="426"/>
        </w:tabs>
        <w:spacing w:before="60" w:after="60"/>
        <w:rPr>
          <w:lang w:val="en-GB"/>
        </w:rPr>
      </w:pPr>
      <w:r w:rsidRPr="00FF7641">
        <w:rPr>
          <w:lang w:val="en-GB"/>
        </w:rPr>
        <w:fldChar w:fldCharType="begin"/>
      </w:r>
      <w:r w:rsidRPr="00FF7641">
        <w:rPr>
          <w:lang w:val="en-GB"/>
        </w:rPr>
        <w:instrText xml:space="preserve"> HYPERLINK "https://docdb.cept.org/document/8212" </w:instrText>
      </w:r>
      <w:r w:rsidRPr="00FF7641">
        <w:rPr>
          <w:lang w:val="en-GB"/>
        </w:rPr>
      </w:r>
      <w:r w:rsidRPr="00FF7641">
        <w:rPr>
          <w:lang w:val="en-GB"/>
        </w:rPr>
        <w:fldChar w:fldCharType="separate"/>
      </w:r>
      <w:r w:rsidRPr="00FF7641">
        <w:rPr>
          <w:rStyle w:val="Hyperlink"/>
          <w:lang w:val="en-GB"/>
        </w:rPr>
        <w:t>ECC Report 291</w:t>
      </w:r>
      <w:r w:rsidRPr="00FF7641">
        <w:rPr>
          <w:lang w:val="en-GB"/>
        </w:rPr>
        <w:fldChar w:fldCharType="end"/>
      </w:r>
      <w:r w:rsidRPr="00FF7641">
        <w:rPr>
          <w:lang w:val="en-GB"/>
        </w:rPr>
        <w:t>: “Compatibility studies between smart tachograph, weight&amp;dimension applications and systems operating in the band 5795-5815 MHz and in the adjacent bands”</w:t>
      </w:r>
      <w:bookmarkEnd w:id="23"/>
      <w:r w:rsidRPr="00FF7641">
        <w:rPr>
          <w:lang w:val="en-GB"/>
        </w:rPr>
        <w:t xml:space="preserve">, </w:t>
      </w:r>
      <w:r>
        <w:rPr>
          <w:lang w:val="en-GB"/>
        </w:rPr>
        <w:t>approved</w:t>
      </w:r>
      <w:r w:rsidRPr="00FF7641">
        <w:rPr>
          <w:lang w:val="en-GB"/>
        </w:rPr>
        <w:t xml:space="preserve"> January 2019</w:t>
      </w:r>
      <w:bookmarkEnd w:id="24"/>
    </w:p>
    <w:bookmarkStart w:id="27" w:name="_Ref34828232"/>
    <w:bookmarkStart w:id="28" w:name="_Ref23176228"/>
    <w:bookmarkStart w:id="29" w:name="_Ref34832217"/>
    <w:bookmarkEnd w:id="25"/>
    <w:bookmarkEnd w:id="26"/>
    <w:p w14:paraId="296DE035" w14:textId="77777777" w:rsidR="006525C3" w:rsidRDefault="008F65FE" w:rsidP="005E4F5F">
      <w:pPr>
        <w:pStyle w:val="reference"/>
        <w:spacing w:before="60" w:after="60"/>
        <w:rPr>
          <w:lang w:val="en-GB"/>
        </w:rPr>
      </w:pPr>
      <w:r w:rsidRPr="00FF7641">
        <w:rPr>
          <w:lang w:val="en-GB"/>
        </w:rPr>
        <w:fldChar w:fldCharType="begin"/>
      </w:r>
      <w:r w:rsidRPr="00FF7641">
        <w:rPr>
          <w:lang w:val="en-GB"/>
        </w:rPr>
        <w:instrText xml:space="preserve"> HYPERLINK "https://docdb.cept.org/document/217" </w:instrText>
      </w:r>
      <w:r w:rsidRPr="00FF7641">
        <w:rPr>
          <w:lang w:val="en-GB"/>
        </w:rPr>
      </w:r>
      <w:r w:rsidRPr="00FF7641">
        <w:rPr>
          <w:lang w:val="en-GB"/>
        </w:rPr>
        <w:fldChar w:fldCharType="separate"/>
      </w:r>
      <w:r w:rsidRPr="00FF7641">
        <w:rPr>
          <w:rStyle w:val="Hyperlink"/>
          <w:lang w:val="en-GB"/>
        </w:rPr>
        <w:t>ECC Report 109</w:t>
      </w:r>
      <w:r w:rsidRPr="00FF7641">
        <w:rPr>
          <w:lang w:val="en-GB"/>
        </w:rPr>
        <w:fldChar w:fldCharType="end"/>
      </w:r>
      <w:r w:rsidRPr="00FF7641">
        <w:rPr>
          <w:lang w:val="en-GB"/>
        </w:rPr>
        <w:t>: “The aggregate impact from the proposed new systems (ITS, BBDR and BFWA) in the 5725-5925 MHz band on the other services/systems currently operating in this band”</w:t>
      </w:r>
      <w:bookmarkEnd w:id="27"/>
      <w:r w:rsidRPr="00FF7641">
        <w:rPr>
          <w:lang w:val="en-GB"/>
        </w:rPr>
        <w:t xml:space="preserve">, </w:t>
      </w:r>
      <w:r>
        <w:rPr>
          <w:lang w:val="en-GB"/>
        </w:rPr>
        <w:t>approved</w:t>
      </w:r>
      <w:r w:rsidRPr="00FF7641">
        <w:rPr>
          <w:lang w:val="en-GB"/>
        </w:rPr>
        <w:t xml:space="preserve"> September 2009</w:t>
      </w:r>
      <w:bookmarkStart w:id="30" w:name="_Ref34828264"/>
      <w:bookmarkStart w:id="31" w:name="_Ref23176320"/>
      <w:bookmarkStart w:id="32" w:name="_Ref34832225"/>
      <w:bookmarkEnd w:id="28"/>
      <w:bookmarkEnd w:id="29"/>
    </w:p>
    <w:bookmarkStart w:id="33" w:name="_Ref189845357"/>
    <w:p w14:paraId="703A5028" w14:textId="1415F53D" w:rsidR="003229C7" w:rsidRPr="00FF7641" w:rsidRDefault="00CB7532" w:rsidP="005E4F5F">
      <w:pPr>
        <w:pStyle w:val="reference"/>
        <w:spacing w:before="60" w:after="60"/>
        <w:rPr>
          <w:lang w:val="en-GB"/>
        </w:rPr>
      </w:pPr>
      <w:r>
        <w:fldChar w:fldCharType="begin"/>
      </w:r>
      <w:r>
        <w:instrText xml:space="preserve"> HYPERLINK "https://docdb.cept.org/document/218" </w:instrText>
      </w:r>
      <w:r>
        <w:fldChar w:fldCharType="separate"/>
      </w:r>
      <w:r w:rsidR="003229C7" w:rsidRPr="00FF7641">
        <w:rPr>
          <w:rStyle w:val="Hyperlink"/>
          <w:lang w:val="en-GB"/>
        </w:rPr>
        <w:t>ECC Report 110</w:t>
      </w:r>
      <w:r>
        <w:rPr>
          <w:rStyle w:val="Hyperlink"/>
          <w:lang w:val="en-GB"/>
        </w:rPr>
        <w:fldChar w:fldCharType="end"/>
      </w:r>
      <w:r w:rsidR="003229C7" w:rsidRPr="00FF7641">
        <w:rPr>
          <w:lang w:val="en-GB"/>
        </w:rPr>
        <w:t>: “Compatibility studies between Broad-Band Disaster Relief (BBDR) and other systems”</w:t>
      </w:r>
      <w:bookmarkEnd w:id="30"/>
      <w:r w:rsidR="003229C7" w:rsidRPr="00FF7641">
        <w:rPr>
          <w:lang w:val="en-GB"/>
        </w:rPr>
        <w:t xml:space="preserve">, </w:t>
      </w:r>
      <w:r w:rsidR="003229C7">
        <w:rPr>
          <w:lang w:val="en-GB"/>
        </w:rPr>
        <w:t>approved</w:t>
      </w:r>
      <w:r w:rsidR="003229C7" w:rsidRPr="00FF7641">
        <w:rPr>
          <w:lang w:val="en-GB"/>
        </w:rPr>
        <w:t xml:space="preserve"> September 2009</w:t>
      </w:r>
      <w:bookmarkEnd w:id="33"/>
    </w:p>
    <w:p w14:paraId="32172988" w14:textId="77777777" w:rsidR="00CB5128" w:rsidRPr="00B322AC" w:rsidRDefault="00CB5128" w:rsidP="005E4F5F">
      <w:pPr>
        <w:pStyle w:val="reference"/>
        <w:spacing w:before="60" w:after="60"/>
        <w:rPr>
          <w:lang w:val="en-GB"/>
        </w:rPr>
      </w:pPr>
      <w:bookmarkStart w:id="34" w:name="_Ref23176645"/>
      <w:bookmarkStart w:id="35" w:name="_Ref34832270"/>
      <w:bookmarkEnd w:id="31"/>
      <w:bookmarkEnd w:id="32"/>
      <w:r w:rsidRPr="00B322AC">
        <w:rPr>
          <w:lang w:val="en-GB"/>
        </w:rPr>
        <w:t>ETSI EN 302 571</w:t>
      </w:r>
      <w:r>
        <w:rPr>
          <w:lang w:val="en-GB"/>
        </w:rPr>
        <w:t>: “</w:t>
      </w:r>
      <w:r w:rsidRPr="00B322AC">
        <w:rPr>
          <w:lang w:val="en-GB"/>
        </w:rPr>
        <w:t>Harmonised European Standard on</w:t>
      </w:r>
      <w:bookmarkEnd w:id="34"/>
      <w:r w:rsidRPr="00B322AC">
        <w:rPr>
          <w:lang w:val="en-GB"/>
        </w:rPr>
        <w:t xml:space="preserve"> “Intelligent Transport Systems (ITS);Radiocommunications equipment operating  in the 5 855 MHz to 5 925 MHz frequency band; Harmonised Standard covering the essential requirements of article 3.2 of Directive 2014/53/EU</w:t>
      </w:r>
      <w:r>
        <w:rPr>
          <w:lang w:val="en-GB"/>
        </w:rPr>
        <w:t>”</w:t>
      </w:r>
      <w:bookmarkEnd w:id="35"/>
    </w:p>
    <w:bookmarkStart w:id="36" w:name="_Ref34832359"/>
    <w:p w14:paraId="39AA5253" w14:textId="79FA5DAD" w:rsidR="00CB5128" w:rsidRPr="00B322AC" w:rsidRDefault="00790BED" w:rsidP="005E4F5F">
      <w:pPr>
        <w:pStyle w:val="reference"/>
        <w:spacing w:before="60" w:after="60"/>
        <w:rPr>
          <w:lang w:val="en-GB"/>
        </w:rPr>
      </w:pPr>
      <w:r>
        <w:rPr>
          <w:lang w:val="en-GB"/>
        </w:rPr>
        <w:fldChar w:fldCharType="begin"/>
      </w:r>
      <w:r>
        <w:rPr>
          <w:lang w:val="en-GB"/>
        </w:rPr>
        <w:instrText>HYPERLINK "https://docdb.cept.org/document/845"</w:instrText>
      </w:r>
      <w:r>
        <w:rPr>
          <w:lang w:val="en-GB"/>
        </w:rPr>
      </w:r>
      <w:r>
        <w:rPr>
          <w:lang w:val="en-GB"/>
        </w:rPr>
        <w:fldChar w:fldCharType="separate"/>
      </w:r>
      <w:r>
        <w:rPr>
          <w:rStyle w:val="Hyperlink"/>
          <w:lang w:val="en-GB"/>
        </w:rPr>
        <w:t>ERC Recommendation 70-03</w:t>
      </w:r>
      <w:r>
        <w:rPr>
          <w:lang w:val="en-GB"/>
        </w:rPr>
        <w:fldChar w:fldCharType="end"/>
      </w:r>
      <w:r w:rsidR="00CB5128">
        <w:rPr>
          <w:lang w:val="en-GB"/>
        </w:rPr>
        <w:t>:</w:t>
      </w:r>
      <w:r w:rsidR="00CB5128" w:rsidRPr="00B322AC">
        <w:rPr>
          <w:lang w:val="en-GB"/>
        </w:rPr>
        <w:t xml:space="preserve"> “</w:t>
      </w:r>
      <w:r w:rsidR="00CB5128" w:rsidRPr="00B322AC">
        <w:t>Relating to the use of Short Range Devices (SRD)”</w:t>
      </w:r>
      <w:bookmarkEnd w:id="36"/>
      <w:r w:rsidR="00EE02F8">
        <w:t>, approved 1997</w:t>
      </w:r>
      <w:r w:rsidR="003B1A61">
        <w:t xml:space="preserve">, </w:t>
      </w:r>
      <w:r w:rsidR="003B1A61" w:rsidRPr="003B1A61">
        <w:t xml:space="preserve">, </w:t>
      </w:r>
      <w:r w:rsidR="00487F0B">
        <w:t>latest amended February 2025</w:t>
      </w:r>
    </w:p>
    <w:bookmarkStart w:id="37" w:name="_Ref34832373"/>
    <w:p w14:paraId="56250A1A" w14:textId="14C1A830" w:rsidR="00CB5128" w:rsidRPr="00B322AC" w:rsidRDefault="00943393" w:rsidP="005E4F5F">
      <w:pPr>
        <w:pStyle w:val="reference"/>
        <w:spacing w:before="60" w:after="60"/>
        <w:rPr>
          <w:lang w:val="en-GB"/>
        </w:rPr>
      </w:pPr>
      <w:r>
        <w:rPr>
          <w:lang w:val="en-GB"/>
        </w:rPr>
        <w:fldChar w:fldCharType="begin"/>
      </w:r>
      <w:r>
        <w:rPr>
          <w:lang w:val="en-GB"/>
        </w:rPr>
        <w:instrText>HYPERLINK "https://docdb.cept.org/document/484"</w:instrText>
      </w:r>
      <w:r>
        <w:rPr>
          <w:lang w:val="en-GB"/>
        </w:rPr>
      </w:r>
      <w:r>
        <w:rPr>
          <w:lang w:val="en-GB"/>
        </w:rPr>
        <w:fldChar w:fldCharType="separate"/>
      </w:r>
      <w:r>
        <w:rPr>
          <w:rStyle w:val="Hyperlink"/>
          <w:lang w:val="en-GB"/>
        </w:rPr>
        <w:t>ECC Recommendation (06)04</w:t>
      </w:r>
      <w:r>
        <w:rPr>
          <w:lang w:val="en-GB"/>
        </w:rPr>
        <w:fldChar w:fldCharType="end"/>
      </w:r>
      <w:r w:rsidR="00CB5128">
        <w:rPr>
          <w:lang w:val="en-GB"/>
        </w:rPr>
        <w:t>:</w:t>
      </w:r>
      <w:r w:rsidR="00CB5128" w:rsidRPr="00B322AC">
        <w:rPr>
          <w:lang w:val="en-GB"/>
        </w:rPr>
        <w:t xml:space="preserve"> “</w:t>
      </w:r>
      <w:r w:rsidR="00CB5128" w:rsidRPr="00B322AC">
        <w:t>Use of the band 5725-5875 MHz for Broadband Fixed Wireless Access (BFWA)”</w:t>
      </w:r>
      <w:bookmarkEnd w:id="37"/>
      <w:r w:rsidR="00EB1EA2">
        <w:t xml:space="preserve">, </w:t>
      </w:r>
      <w:r>
        <w:t xml:space="preserve">approved </w:t>
      </w:r>
      <w:r w:rsidR="00EB1EA2">
        <w:t>December 2006</w:t>
      </w:r>
    </w:p>
    <w:p w14:paraId="66015A04" w14:textId="77777777" w:rsidR="00CB5128" w:rsidRPr="00B322AC" w:rsidRDefault="00CB5128" w:rsidP="005E4F5F">
      <w:pPr>
        <w:pStyle w:val="reference"/>
        <w:spacing w:before="60" w:after="60"/>
        <w:rPr>
          <w:lang w:val="en-GB"/>
        </w:rPr>
      </w:pPr>
      <w:bookmarkStart w:id="38" w:name="_Ref23178811"/>
      <w:bookmarkStart w:id="39" w:name="_Ref34832424"/>
      <w:r w:rsidRPr="00B322AC">
        <w:rPr>
          <w:lang w:val="en-GB"/>
        </w:rPr>
        <w:t>ETSI TS 102 792</w:t>
      </w:r>
      <w:r>
        <w:rPr>
          <w:lang w:val="en-GB"/>
        </w:rPr>
        <w:t>:”</w:t>
      </w:r>
      <w:bookmarkEnd w:id="38"/>
      <w:r w:rsidRPr="00B322AC">
        <w:rPr>
          <w:lang w:val="en-GB"/>
        </w:rPr>
        <w:t>Technical Specification on “Intelligent Transport Systems (ITS);Mitigation techniques to avoid interference between European CEN Dedicated Short Range Communication (CEN DSRC) equipment and Intelligent Transport Systems (ITS) operating in the 5 GHz frequency range”</w:t>
      </w:r>
      <w:bookmarkEnd w:id="39"/>
    </w:p>
    <w:p w14:paraId="2356EEFE" w14:textId="2DED9C6E" w:rsidR="00487F0B" w:rsidRPr="00930B52" w:rsidRDefault="00487F0B" w:rsidP="00487F0B">
      <w:pPr>
        <w:pStyle w:val="reference"/>
        <w:rPr>
          <w:lang w:val="en-GB"/>
        </w:rPr>
      </w:pPr>
      <w:bookmarkStart w:id="40" w:name="_Ref189154348"/>
      <w:r w:rsidRPr="00930B52">
        <w:t>ETSI EN 302 637-2</w:t>
      </w:r>
      <w:bookmarkEnd w:id="40"/>
      <w:r>
        <w:t xml:space="preserve"> “Intelligent Transport Systems (ITS); Vehicular Communications; Basic Set of Applications; Part 2: Specification of Cooperative Awareness Basic Service”</w:t>
      </w:r>
    </w:p>
    <w:bookmarkStart w:id="41" w:name="_Ref189154429"/>
    <w:p w14:paraId="591B48F5" w14:textId="1B6BB561" w:rsidR="00487F0B" w:rsidRPr="00114DA1" w:rsidRDefault="00487F0B" w:rsidP="00487F0B">
      <w:pPr>
        <w:pStyle w:val="reference"/>
        <w:tabs>
          <w:tab w:val="left" w:pos="397"/>
        </w:tabs>
        <w:spacing w:before="60" w:after="60"/>
        <w:rPr>
          <w:lang w:val="en-GB"/>
        </w:rPr>
      </w:pPr>
      <w:r w:rsidRPr="00582CBE">
        <w:fldChar w:fldCharType="begin"/>
      </w:r>
      <w:r>
        <w:instrText>HYPERLINK "https://docdb.cept.org/document/178"</w:instrText>
      </w:r>
      <w:r w:rsidRPr="00582CBE">
        <w:fldChar w:fldCharType="separate"/>
      </w:r>
      <w:r>
        <w:rPr>
          <w:rStyle w:val="Hyperlink"/>
        </w:rPr>
        <w:t>ECC Report 68</w:t>
      </w:r>
      <w:r w:rsidRPr="00582CBE">
        <w:rPr>
          <w:lang w:val="en-GB"/>
        </w:rPr>
        <w:fldChar w:fldCharType="end"/>
      </w:r>
      <w:bookmarkEnd w:id="41"/>
      <w:r w:rsidR="003F1313">
        <w:t xml:space="preserve">: </w:t>
      </w:r>
      <w:r>
        <w:t>“</w:t>
      </w:r>
      <w:r w:rsidRPr="00930B52">
        <w:t>Compatibility studies in the band 5725-5875 MHz between Fixed Wireless Access (FWA) systems and other systems</w:t>
      </w:r>
      <w:r>
        <w:t>”, approved June 2005</w:t>
      </w:r>
    </w:p>
    <w:p w14:paraId="39DDDE8B" w14:textId="356C498C" w:rsidR="00487F0B" w:rsidRDefault="00487F0B" w:rsidP="00487F0B">
      <w:pPr>
        <w:pStyle w:val="reference"/>
        <w:tabs>
          <w:tab w:val="left" w:pos="397"/>
        </w:tabs>
        <w:spacing w:before="60" w:after="60"/>
        <w:rPr>
          <w:lang w:val="en-GB"/>
        </w:rPr>
      </w:pPr>
      <w:bookmarkStart w:id="42" w:name="_Ref189739508"/>
      <w:r>
        <w:t xml:space="preserve">ETSI </w:t>
      </w:r>
      <w:r w:rsidRPr="0031294D">
        <w:t>TR 103 853</w:t>
      </w:r>
      <w:bookmarkEnd w:id="42"/>
      <w:r>
        <w:t>:</w:t>
      </w:r>
      <w:r w:rsidRPr="00643BE2">
        <w:t xml:space="preserve"> </w:t>
      </w:r>
      <w:r>
        <w:t>“</w:t>
      </w:r>
      <w:r w:rsidRPr="0015017B">
        <w:t>System Reference document (SRdoc); Road ITS equipment operating in the 5,9 GHz band with channel bandwidths larger than 10 MHz”</w:t>
      </w:r>
    </w:p>
    <w:p w14:paraId="510FFDC5" w14:textId="77777777" w:rsidR="00487F0B" w:rsidRPr="000D3E32" w:rsidRDefault="00487F0B" w:rsidP="00487F0B">
      <w:pPr>
        <w:pStyle w:val="reference"/>
        <w:numPr>
          <w:ilvl w:val="0"/>
          <w:numId w:val="0"/>
        </w:numPr>
        <w:spacing w:before="60" w:after="60"/>
        <w:ind w:left="397" w:hanging="397"/>
        <w:rPr>
          <w:lang w:val="en-GB"/>
        </w:rPr>
      </w:pPr>
    </w:p>
    <w:sectPr w:rsidR="00487F0B" w:rsidRPr="000D3E32" w:rsidSect="00C74BE6">
      <w:footerReference w:type="even" r:id="rId16"/>
      <w:pgSz w:w="11907" w:h="16840" w:code="9"/>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5E137" w14:textId="77777777" w:rsidR="002C4F31" w:rsidRDefault="002C4F31" w:rsidP="00C74BE6">
      <w:r>
        <w:separator/>
      </w:r>
    </w:p>
  </w:endnote>
  <w:endnote w:type="continuationSeparator" w:id="0">
    <w:p w14:paraId="6E08FE2E" w14:textId="77777777" w:rsidR="002C4F31" w:rsidRDefault="002C4F31" w:rsidP="00C74BE6">
      <w:r>
        <w:continuationSeparator/>
      </w:r>
    </w:p>
  </w:endnote>
  <w:endnote w:type="continuationNotice" w:id="1">
    <w:p w14:paraId="6F2AAC83" w14:textId="77777777" w:rsidR="002C4F31" w:rsidRDefault="002C4F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731B4" w14:textId="1EBCEA91" w:rsidR="00203E66" w:rsidRDefault="00203E66">
    <w:pPr>
      <w:pStyle w:val="Footer"/>
    </w:pPr>
    <w:r w:rsidRPr="00822AE0">
      <w:rPr>
        <w:sz w:val="18"/>
        <w:szCs w:val="18"/>
        <w:lang w:val="da-DK"/>
      </w:rPr>
      <w:t>Edition</w:t>
    </w:r>
    <w:r w:rsidR="002B24A2">
      <w:rPr>
        <w:sz w:val="18"/>
        <w:szCs w:val="18"/>
        <w:lang w:val="da-DK"/>
      </w:rPr>
      <w:t xml:space="preserve"> 6 March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A908" w14:textId="297F05D4" w:rsidR="00203E66" w:rsidRDefault="00203E66">
    <w:pPr>
      <w:pStyle w:val="Footer"/>
    </w:pPr>
    <w:r w:rsidRPr="00822AE0">
      <w:rPr>
        <w:sz w:val="18"/>
        <w:szCs w:val="18"/>
        <w:lang w:val="da-DK"/>
      </w:rPr>
      <w:t>Edition</w:t>
    </w:r>
    <w:r w:rsidR="00CB5128">
      <w:rPr>
        <w:sz w:val="18"/>
        <w:szCs w:val="18"/>
        <w:lang w:val="da-DK"/>
      </w:rPr>
      <w:t xml:space="preserve"> </w:t>
    </w:r>
    <w:r w:rsidR="00404FD4">
      <w:rPr>
        <w:sz w:val="18"/>
        <w:szCs w:val="18"/>
        <w:lang w:val="da-DK"/>
      </w:rPr>
      <w:t>6 June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8706D" w14:textId="62C5E929" w:rsidR="00203E66" w:rsidRPr="00822AE0" w:rsidRDefault="00203E66">
    <w:pPr>
      <w:pStyle w:val="Footer"/>
      <w:rPr>
        <w:sz w:val="18"/>
        <w:szCs w:val="18"/>
        <w:lang w:val="da-DK"/>
      </w:rPr>
    </w:pPr>
    <w:r w:rsidRPr="00822AE0">
      <w:rPr>
        <w:sz w:val="18"/>
        <w:szCs w:val="18"/>
        <w:lang w:val="da-DK"/>
      </w:rPr>
      <w:t>Edition</w:t>
    </w:r>
    <w:r w:rsidR="00CB5128">
      <w:rPr>
        <w:sz w:val="18"/>
        <w:szCs w:val="18"/>
        <w:lang w:val="da-DK"/>
      </w:rPr>
      <w:t xml:space="preserve"> </w:t>
    </w:r>
    <w:r w:rsidR="00404FD4">
      <w:rPr>
        <w:sz w:val="18"/>
        <w:szCs w:val="18"/>
        <w:lang w:val="da-DK"/>
      </w:rPr>
      <w:t>6 June 2025</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CFD8" w14:textId="59727377" w:rsidR="00D1697B" w:rsidRDefault="00D1697B">
    <w:pPr>
      <w:pStyle w:val="Footer"/>
    </w:pPr>
    <w:r w:rsidRPr="00822AE0">
      <w:rPr>
        <w:sz w:val="18"/>
        <w:szCs w:val="18"/>
        <w:lang w:val="da-DK"/>
      </w:rPr>
      <w:t>Edition</w:t>
    </w:r>
    <w:r>
      <w:rPr>
        <w:sz w:val="18"/>
        <w:szCs w:val="18"/>
        <w:lang w:val="da-DK"/>
      </w:rPr>
      <w:t xml:space="preserve"> </w:t>
    </w:r>
    <w:r w:rsidR="00404FD4">
      <w:rPr>
        <w:sz w:val="18"/>
        <w:szCs w:val="18"/>
        <w:lang w:val="da-DK"/>
      </w:rPr>
      <w:t>6 June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1C68D" w14:textId="77777777" w:rsidR="002C4F31" w:rsidRDefault="002C4F31" w:rsidP="00C74BE6">
      <w:r>
        <w:separator/>
      </w:r>
    </w:p>
  </w:footnote>
  <w:footnote w:type="continuationSeparator" w:id="0">
    <w:p w14:paraId="04304C74" w14:textId="77777777" w:rsidR="002C4F31" w:rsidRDefault="002C4F31" w:rsidP="00C74BE6">
      <w:r>
        <w:continuationSeparator/>
      </w:r>
    </w:p>
  </w:footnote>
  <w:footnote w:type="continuationNotice" w:id="1">
    <w:p w14:paraId="104F220F" w14:textId="77777777" w:rsidR="002C4F31" w:rsidRDefault="002C4F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9DD63" w14:textId="35D0F6F0" w:rsidR="00203E66" w:rsidRPr="003C5DCA" w:rsidRDefault="00203E66">
    <w:pPr>
      <w:pStyle w:val="Header"/>
      <w:rPr>
        <w:szCs w:val="16"/>
        <w:lang w:val="en-GB"/>
      </w:rPr>
    </w:pPr>
    <w:bookmarkStart w:id="2" w:name="_Hlk190424197"/>
    <w:r w:rsidRPr="003C5DCA">
      <w:rPr>
        <w:bCs/>
        <w:lang w:val="en-GB"/>
      </w:rPr>
      <w:t>ECC</w:t>
    </w:r>
    <w:r w:rsidR="005415AA" w:rsidRPr="003C5DCA">
      <w:rPr>
        <w:bCs/>
        <w:lang w:val="en-GB"/>
      </w:rPr>
      <w:t>/REC/(08)01</w:t>
    </w:r>
    <w:bookmarkEnd w:id="2"/>
    <w:r w:rsidRPr="003C5DCA">
      <w:rPr>
        <w:b w:val="0"/>
        <w:lang w:val="en-GB"/>
      </w:rPr>
      <w:t xml:space="preserve"> </w:t>
    </w:r>
    <w:r w:rsidRPr="003C5DCA">
      <w:rPr>
        <w:szCs w:val="16"/>
        <w:lang w:val="en-GB"/>
      </w:rPr>
      <w:t xml:space="preserve">Page </w:t>
    </w:r>
    <w:r>
      <w:fldChar w:fldCharType="begin"/>
    </w:r>
    <w:r>
      <w:instrText xml:space="preserve"> PAGE  \* Arabic  \* MERGEFORMAT </w:instrText>
    </w:r>
    <w:r>
      <w:fldChar w:fldCharType="separate"/>
    </w:r>
    <w:r w:rsidRPr="003C5DCA">
      <w:rPr>
        <w:noProof/>
        <w:szCs w:val="16"/>
        <w:lang w:val="en-GB"/>
      </w:rPr>
      <w:t>2</w:t>
    </w:r>
    <w:r>
      <w:rPr>
        <w:noProof/>
        <w:szCs w:val="16"/>
        <w:lang w:val="da-DK"/>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30955" w14:textId="7251F207" w:rsidR="00203E66" w:rsidRPr="003C5DCA" w:rsidRDefault="007C7236" w:rsidP="00C74BE6">
    <w:pPr>
      <w:pStyle w:val="Header"/>
      <w:jc w:val="right"/>
      <w:rPr>
        <w:szCs w:val="16"/>
        <w:lang w:val="en-GB"/>
      </w:rPr>
    </w:pPr>
    <w:r w:rsidRPr="00821BFF">
      <w:rPr>
        <w:bCs/>
        <w:lang w:val="en-GB"/>
      </w:rPr>
      <w:t>ECC/REC/(08)01</w:t>
    </w:r>
    <w:r w:rsidR="00203E66" w:rsidRPr="003C5DCA">
      <w:rPr>
        <w:b w:val="0"/>
        <w:lang w:val="en-GB"/>
      </w:rPr>
      <w:t xml:space="preserve"> </w:t>
    </w:r>
    <w:r w:rsidR="00203E66" w:rsidRPr="003C5DCA">
      <w:rPr>
        <w:szCs w:val="16"/>
        <w:lang w:val="en-GB"/>
      </w:rPr>
      <w:t xml:space="preserve">Page </w:t>
    </w:r>
    <w:r w:rsidR="00203E66">
      <w:fldChar w:fldCharType="begin"/>
    </w:r>
    <w:r w:rsidR="00203E66">
      <w:instrText xml:space="preserve"> PAGE  \* Arabic  \* MERGEFORMAT </w:instrText>
    </w:r>
    <w:r w:rsidR="00203E66">
      <w:fldChar w:fldCharType="separate"/>
    </w:r>
    <w:r w:rsidR="00203E66" w:rsidRPr="003C5DCA">
      <w:rPr>
        <w:noProof/>
        <w:szCs w:val="16"/>
        <w:lang w:val="en-GB"/>
      </w:rPr>
      <w:t>3</w:t>
    </w:r>
    <w:r w:rsidR="00203E66">
      <w:rPr>
        <w:noProof/>
        <w:szCs w:val="16"/>
        <w:lang w:val="da-DK"/>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F270A" w14:textId="72245E43" w:rsidR="00203E66" w:rsidRDefault="00203E66">
    <w:pPr>
      <w:pStyle w:val="Header"/>
    </w:pPr>
    <w:r>
      <w:rPr>
        <w:noProof/>
        <w:szCs w:val="20"/>
        <w:lang w:val="en-GB" w:eastAsia="en-GB"/>
      </w:rPr>
      <w:drawing>
        <wp:anchor distT="0" distB="0" distL="114300" distR="114300" simplePos="0" relativeHeight="251658241" behindDoc="0" locked="0" layoutInCell="1" allowOverlap="1" wp14:anchorId="43849339" wp14:editId="5010CC4B">
          <wp:simplePos x="0" y="0"/>
          <wp:positionH relativeFrom="page">
            <wp:posOffset>5717540</wp:posOffset>
          </wp:positionH>
          <wp:positionV relativeFrom="page">
            <wp:posOffset>648335</wp:posOffset>
          </wp:positionV>
          <wp:extent cx="1461770" cy="546100"/>
          <wp:effectExtent l="25400" t="0" r="11430" b="0"/>
          <wp:wrapNone/>
          <wp:docPr id="2" name="Picture 2" descr="ec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_logo"/>
                  <pic:cNvPicPr>
                    <a:picLocks noChangeAspect="1" noChangeArrowheads="1"/>
                  </pic:cNvPicPr>
                </pic:nvPicPr>
                <pic:blipFill>
                  <a:blip r:embed="rId1"/>
                  <a:srcRect/>
                  <a:stretch>
                    <a:fillRect/>
                  </a:stretch>
                </pic:blipFill>
                <pic:spPr bwMode="auto">
                  <a:xfrm>
                    <a:off x="0" y="0"/>
                    <a:ext cx="1461770" cy="546100"/>
                  </a:xfrm>
                  <a:prstGeom prst="rect">
                    <a:avLst/>
                  </a:prstGeom>
                  <a:noFill/>
                </pic:spPr>
              </pic:pic>
            </a:graphicData>
          </a:graphic>
        </wp:anchor>
      </w:drawing>
    </w:r>
    <w:r>
      <w:rPr>
        <w:noProof/>
        <w:szCs w:val="20"/>
        <w:lang w:val="en-GB" w:eastAsia="en-GB"/>
      </w:rPr>
      <w:drawing>
        <wp:anchor distT="0" distB="0" distL="114300" distR="114300" simplePos="0" relativeHeight="251658240" behindDoc="0" locked="0" layoutInCell="1" allowOverlap="1" wp14:anchorId="2F7A4A3D" wp14:editId="017EDCB5">
          <wp:simplePos x="0" y="0"/>
          <wp:positionH relativeFrom="page">
            <wp:posOffset>572770</wp:posOffset>
          </wp:positionH>
          <wp:positionV relativeFrom="page">
            <wp:posOffset>457200</wp:posOffset>
          </wp:positionV>
          <wp:extent cx="889000" cy="889000"/>
          <wp:effectExtent l="25400" t="0" r="0" b="0"/>
          <wp:wrapNone/>
          <wp:docPr id="1" name="Picture 1" descr="cep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pt logo"/>
                  <pic:cNvPicPr>
                    <a:picLocks noChangeAspect="1" noChangeArrowheads="1"/>
                  </pic:cNvPicPr>
                </pic:nvPicPr>
                <pic:blipFill>
                  <a:blip r:embed="rId2"/>
                  <a:srcRect/>
                  <a:stretch>
                    <a:fillRect/>
                  </a:stretch>
                </pic:blipFill>
                <pic:spPr bwMode="auto">
                  <a:xfrm>
                    <a:off x="0" y="0"/>
                    <a:ext cx="889000" cy="8890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492C"/>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11AD498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13321170"/>
    <w:multiLevelType w:val="multilevel"/>
    <w:tmpl w:val="3466827E"/>
    <w:lvl w:ilvl="0">
      <w:start w:val="1"/>
      <w:numFmt w:val="decimal"/>
      <w:lvlText w:val="[%1]"/>
      <w:lvlJc w:val="left"/>
      <w:pPr>
        <w:tabs>
          <w:tab w:val="num" w:pos="397"/>
        </w:tabs>
        <w:ind w:left="397" w:hanging="397"/>
      </w:pPr>
      <w:rPr>
        <w:rFonts w:ascii="Arial" w:hAnsi="Arial" w:hint="default"/>
        <w:b w:val="0"/>
        <w:i w:val="0"/>
        <w:color w:val="FF0000"/>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A64190E"/>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 w15:restartNumberingAfterBreak="0">
    <w:nsid w:val="1E060383"/>
    <w:multiLevelType w:val="multilevel"/>
    <w:tmpl w:val="83B0944C"/>
    <w:lvl w:ilvl="0">
      <w:start w:val="1"/>
      <w:numFmt w:val="lowerLetter"/>
      <w:pStyle w:val="LetteredList"/>
      <w:lvlText w:val="%1)"/>
      <w:lvlJc w:val="left"/>
      <w:pPr>
        <w:ind w:left="360" w:hanging="360"/>
      </w:pPr>
      <w:rPr>
        <w:rFonts w:ascii="Arial" w:hAnsi="Arial" w:hint="default"/>
        <w:b w:val="0"/>
        <w:bCs w:val="0"/>
        <w:i w:val="0"/>
        <w:iCs w:val="0"/>
        <w:color w:val="D2232A"/>
        <w:sz w:val="20"/>
        <w:szCs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5" w15:restartNumberingAfterBreak="0">
    <w:nsid w:val="20A87A02"/>
    <w:multiLevelType w:val="hybridMultilevel"/>
    <w:tmpl w:val="C696EAB8"/>
    <w:lvl w:ilvl="0" w:tplc="AD46037E">
      <w:start w:val="1"/>
      <w:numFmt w:val="bullet"/>
      <w:pStyle w:val="ECCParBulleted"/>
      <w:lvlText w:val=""/>
      <w:lvlJc w:val="left"/>
      <w:pPr>
        <w:tabs>
          <w:tab w:val="num" w:pos="360"/>
        </w:tabs>
        <w:ind w:left="36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Arial Bold"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Bold"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Bold"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2F4188"/>
    <w:multiLevelType w:val="multilevel"/>
    <w:tmpl w:val="BF1AD4A4"/>
    <w:lvl w:ilvl="0">
      <w:start w:val="1"/>
      <w:numFmt w:val="decimal"/>
      <w:pStyle w:val="ECCAnnex-heading1"/>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ECCAnnexheading2"/>
      <w:suff w:val="space"/>
      <w:lvlText w:val="A%1.%2"/>
      <w:lvlJc w:val="left"/>
      <w:pPr>
        <w:ind w:left="576" w:hanging="576"/>
      </w:pPr>
      <w:rPr>
        <w:rFonts w:hint="default"/>
      </w:rPr>
    </w:lvl>
    <w:lvl w:ilvl="2">
      <w:start w:val="1"/>
      <w:numFmt w:val="decimal"/>
      <w:pStyle w:val="ECCAnnexheading3"/>
      <w:lvlText w:val="A%1.%2.%3"/>
      <w:lvlJc w:val="left"/>
      <w:pPr>
        <w:tabs>
          <w:tab w:val="num" w:pos="720"/>
        </w:tabs>
        <w:ind w:left="720" w:hanging="720"/>
      </w:pPr>
      <w:rPr>
        <w:rFonts w:hint="default"/>
      </w:rPr>
    </w:lvl>
    <w:lvl w:ilvl="3">
      <w:start w:val="1"/>
      <w:numFmt w:val="decimal"/>
      <w:pStyle w:val="ECCAnnexheading4"/>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13F2504"/>
    <w:multiLevelType w:val="multilevel"/>
    <w:tmpl w:val="B7782DC4"/>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9A1340F"/>
    <w:multiLevelType w:val="multilevel"/>
    <w:tmpl w:val="34562E8A"/>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AAF2372"/>
    <w:multiLevelType w:val="multilevel"/>
    <w:tmpl w:val="88FE1592"/>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Bold" w:hAnsi="Arial Bold"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2B2448E4"/>
    <w:multiLevelType w:val="multilevel"/>
    <w:tmpl w:val="C0449AC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B4F312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ascii="Arial" w:hAnsi="Arial" w:hint="default"/>
        <w:b/>
        <w:i w:val="0"/>
        <w:caps w:val="0"/>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2D0B46CA"/>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3" w15:restartNumberingAfterBreak="0">
    <w:nsid w:val="2DF95636"/>
    <w:multiLevelType w:val="multilevel"/>
    <w:tmpl w:val="2FFE94E8"/>
    <w:lvl w:ilvl="0">
      <w:start w:val="1"/>
      <w:numFmt w:val="decimal"/>
      <w:lvlText w:val="[%1]"/>
      <w:lvlJc w:val="left"/>
      <w:pPr>
        <w:tabs>
          <w:tab w:val="num" w:pos="720"/>
        </w:tabs>
        <w:ind w:left="720" w:hanging="720"/>
      </w:pPr>
      <w:rPr>
        <w:rFonts w:ascii="Times New Roman" w:hAnsi="Times New Roman" w:hint="default"/>
        <w:b w:val="0"/>
        <w:i w:val="0"/>
        <w:sz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2A77A34"/>
    <w:multiLevelType w:val="hybridMultilevel"/>
    <w:tmpl w:val="31DAC7DE"/>
    <w:lvl w:ilvl="0" w:tplc="3A02A90A">
      <w:start w:val="1"/>
      <w:numFmt w:val="bullet"/>
      <w:pStyle w:val="WGNNA-bulleted"/>
      <w:lvlText w:val=""/>
      <w:lvlJc w:val="left"/>
      <w:pPr>
        <w:tabs>
          <w:tab w:val="num" w:pos="372"/>
        </w:tabs>
        <w:ind w:left="372" w:hanging="372"/>
      </w:pPr>
      <w:rPr>
        <w:rFonts w:ascii="Wingdings" w:hAnsi="Wingdings" w:hint="default"/>
        <w:color w:val="auto"/>
      </w:rPr>
    </w:lvl>
    <w:lvl w:ilvl="1" w:tplc="8D403736">
      <w:start w:val="1"/>
      <w:numFmt w:val="bullet"/>
      <w:lvlText w:val="o"/>
      <w:lvlJc w:val="left"/>
      <w:pPr>
        <w:tabs>
          <w:tab w:val="num" w:pos="306"/>
        </w:tabs>
        <w:ind w:left="306" w:hanging="360"/>
      </w:pPr>
      <w:rPr>
        <w:rFonts w:ascii="Courier New" w:hAnsi="Courier New" w:hint="default"/>
      </w:rPr>
    </w:lvl>
    <w:lvl w:ilvl="2" w:tplc="5BD807E8">
      <w:start w:val="1"/>
      <w:numFmt w:val="bullet"/>
      <w:lvlText w:val=""/>
      <w:lvlJc w:val="left"/>
      <w:pPr>
        <w:tabs>
          <w:tab w:val="num" w:pos="1026"/>
        </w:tabs>
        <w:ind w:left="1026" w:hanging="360"/>
      </w:pPr>
      <w:rPr>
        <w:rFonts w:ascii="Wingdings" w:hAnsi="Wingdings" w:hint="default"/>
      </w:rPr>
    </w:lvl>
    <w:lvl w:ilvl="3" w:tplc="981C1218">
      <w:start w:val="1"/>
      <w:numFmt w:val="bullet"/>
      <w:lvlText w:val=""/>
      <w:lvlJc w:val="left"/>
      <w:pPr>
        <w:tabs>
          <w:tab w:val="num" w:pos="1746"/>
        </w:tabs>
        <w:ind w:left="1746" w:hanging="360"/>
      </w:pPr>
      <w:rPr>
        <w:rFonts w:ascii="Symbol" w:hAnsi="Symbol" w:hint="default"/>
      </w:rPr>
    </w:lvl>
    <w:lvl w:ilvl="4" w:tplc="8FCAD614">
      <w:start w:val="1"/>
      <w:numFmt w:val="bullet"/>
      <w:lvlText w:val="o"/>
      <w:lvlJc w:val="left"/>
      <w:pPr>
        <w:tabs>
          <w:tab w:val="num" w:pos="2466"/>
        </w:tabs>
        <w:ind w:left="2466" w:hanging="360"/>
      </w:pPr>
      <w:rPr>
        <w:rFonts w:ascii="Courier New" w:hAnsi="Courier New" w:hint="default"/>
      </w:rPr>
    </w:lvl>
    <w:lvl w:ilvl="5" w:tplc="7DCA0EC2">
      <w:start w:val="1"/>
      <w:numFmt w:val="bullet"/>
      <w:lvlText w:val=""/>
      <w:lvlJc w:val="left"/>
      <w:pPr>
        <w:tabs>
          <w:tab w:val="num" w:pos="3186"/>
        </w:tabs>
        <w:ind w:left="3186" w:hanging="360"/>
      </w:pPr>
      <w:rPr>
        <w:rFonts w:ascii="Wingdings" w:hAnsi="Wingdings" w:hint="default"/>
      </w:rPr>
    </w:lvl>
    <w:lvl w:ilvl="6" w:tplc="9FECB932">
      <w:start w:val="1"/>
      <w:numFmt w:val="bullet"/>
      <w:lvlText w:val=""/>
      <w:lvlJc w:val="left"/>
      <w:pPr>
        <w:tabs>
          <w:tab w:val="num" w:pos="3906"/>
        </w:tabs>
        <w:ind w:left="3906" w:hanging="360"/>
      </w:pPr>
      <w:rPr>
        <w:rFonts w:ascii="Symbol" w:hAnsi="Symbol" w:hint="default"/>
      </w:rPr>
    </w:lvl>
    <w:lvl w:ilvl="7" w:tplc="4D062F30">
      <w:start w:val="1"/>
      <w:numFmt w:val="bullet"/>
      <w:lvlText w:val="o"/>
      <w:lvlJc w:val="left"/>
      <w:pPr>
        <w:tabs>
          <w:tab w:val="num" w:pos="4626"/>
        </w:tabs>
        <w:ind w:left="4626" w:hanging="360"/>
      </w:pPr>
      <w:rPr>
        <w:rFonts w:ascii="Courier New" w:hAnsi="Courier New" w:hint="default"/>
      </w:rPr>
    </w:lvl>
    <w:lvl w:ilvl="8" w:tplc="AE00BD02">
      <w:start w:val="1"/>
      <w:numFmt w:val="bullet"/>
      <w:lvlText w:val=""/>
      <w:lvlJc w:val="left"/>
      <w:pPr>
        <w:tabs>
          <w:tab w:val="num" w:pos="5346"/>
        </w:tabs>
        <w:ind w:left="5346" w:hanging="360"/>
      </w:pPr>
      <w:rPr>
        <w:rFonts w:ascii="Wingdings" w:hAnsi="Wingdings" w:hint="default"/>
      </w:rPr>
    </w:lvl>
  </w:abstractNum>
  <w:abstractNum w:abstractNumId="15" w15:restartNumberingAfterBreak="0">
    <w:nsid w:val="361343C0"/>
    <w:multiLevelType w:val="multilevel"/>
    <w:tmpl w:val="294220AC"/>
    <w:styleLink w:val="Letteredlist0"/>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6" w15:restartNumberingAfterBreak="0">
    <w:nsid w:val="36C25D0E"/>
    <w:multiLevelType w:val="multilevel"/>
    <w:tmpl w:val="25EC305E"/>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17" w15:restartNumberingAfterBreak="0">
    <w:nsid w:val="39151866"/>
    <w:multiLevelType w:val="multilevel"/>
    <w:tmpl w:val="BDD8AD68"/>
    <w:lvl w:ilvl="0">
      <w:start w:val="1"/>
      <w:numFmt w:val="decimal"/>
      <w:pStyle w:val="NumberedList"/>
      <w:lvlText w:val="%1."/>
      <w:lvlJc w:val="left"/>
      <w:pPr>
        <w:tabs>
          <w:tab w:val="num" w:pos="397"/>
        </w:tabs>
        <w:ind w:left="397" w:hanging="397"/>
      </w:pPr>
      <w:rPr>
        <w:rFonts w:ascii="Arial" w:hAnsi="Arial" w:hint="default"/>
        <w:b w:val="0"/>
        <w:i w:val="0"/>
        <w:color w:val="D2232A"/>
        <w:sz w:val="20"/>
      </w:rPr>
    </w:lvl>
    <w:lvl w:ilvl="1">
      <w:start w:val="1"/>
      <w:numFmt w:val="lowerLetter"/>
      <w:lvlText w:val="%2)"/>
      <w:lvlJc w:val="left"/>
      <w:pPr>
        <w:tabs>
          <w:tab w:val="num" w:pos="397"/>
        </w:tabs>
        <w:ind w:left="737" w:hanging="340"/>
      </w:pPr>
      <w:rPr>
        <w:rFonts w:ascii="Arial" w:hAnsi="Arial" w:hint="default"/>
        <w:b w:val="0"/>
        <w:i w:val="0"/>
        <w:color w:val="D2232A"/>
        <w:sz w:val="20"/>
      </w:rPr>
    </w:lvl>
    <w:lvl w:ilvl="2">
      <w:start w:val="1"/>
      <w:numFmt w:val="none"/>
      <w:lvlText w:val=""/>
      <w:lvlJc w:val="left"/>
      <w:pPr>
        <w:tabs>
          <w:tab w:val="num" w:pos="720"/>
        </w:tabs>
        <w:ind w:left="720" w:hanging="720"/>
      </w:pPr>
      <w:rPr>
        <w:rFonts w:ascii="Arial Bold" w:hAnsi="Arial Bold" w:hint="default"/>
        <w:b/>
        <w:i w:val="0"/>
        <w:sz w:val="20"/>
      </w:rPr>
    </w:lvl>
    <w:lvl w:ilvl="3">
      <w:start w:val="1"/>
      <w:numFmt w:val="none"/>
      <w:lvlText w:val=""/>
      <w:lvlJc w:val="left"/>
      <w:pPr>
        <w:tabs>
          <w:tab w:val="num" w:pos="864"/>
        </w:tabs>
        <w:ind w:left="864" w:hanging="864"/>
      </w:pPr>
      <w:rPr>
        <w:rFonts w:ascii="Arial" w:hAnsi="Arial" w:hint="default"/>
        <w:b w:val="0"/>
        <w:i/>
        <w:color w:val="2F2E79"/>
        <w:sz w:val="20"/>
      </w:rPr>
    </w:lvl>
    <w:lvl w:ilvl="4">
      <w:start w:val="1"/>
      <w:numFmt w:val="none"/>
      <w:lvlText w:val=""/>
      <w:lvlJc w:val="left"/>
      <w:pPr>
        <w:tabs>
          <w:tab w:val="num" w:pos="1008"/>
        </w:tabs>
        <w:ind w:left="1008" w:hanging="1008"/>
      </w:pPr>
      <w:rPr>
        <w:rFonts w:hint="default"/>
        <w:sz w:val="24"/>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 w15:restartNumberingAfterBreak="0">
    <w:nsid w:val="3B880D6D"/>
    <w:multiLevelType w:val="multilevel"/>
    <w:tmpl w:val="ADCC13A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3BCE08D9"/>
    <w:multiLevelType w:val="multilevel"/>
    <w:tmpl w:val="00144118"/>
    <w:lvl w:ilvl="0">
      <w:start w:val="1"/>
      <w:numFmt w:val="decimal"/>
      <w:suff w:val="space"/>
      <w:lvlText w:val="ANNEX %1:"/>
      <w:lvlJc w:val="left"/>
      <w:pPr>
        <w:ind w:left="0" w:firstLine="0"/>
      </w:pPr>
      <w:rPr>
        <w:rFonts w:ascii="Arial Bold" w:hAnsi="Arial Bold"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D163F7A"/>
    <w:multiLevelType w:val="multilevel"/>
    <w:tmpl w:val="8378011E"/>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pStyle w:val="Heading2"/>
      <w:lvlText w:val="%1.%2"/>
      <w:lvlJc w:val="left"/>
      <w:pPr>
        <w:tabs>
          <w:tab w:val="num" w:pos="576"/>
        </w:tabs>
        <w:ind w:left="576" w:hanging="576"/>
      </w:pPr>
      <w:rPr>
        <w:rFonts w:ascii="Arial" w:hAnsi="Arial" w:hint="default"/>
        <w:b/>
        <w:i w:val="0"/>
        <w:sz w:val="20"/>
      </w:rPr>
    </w:lvl>
    <w:lvl w:ilvl="2">
      <w:start w:val="1"/>
      <w:numFmt w:val="decimal"/>
      <w:pStyle w:val="Heading3"/>
      <w:lvlText w:val="%1.%2.%3"/>
      <w:lvlJc w:val="left"/>
      <w:pPr>
        <w:tabs>
          <w:tab w:val="num" w:pos="720"/>
        </w:tabs>
        <w:ind w:left="720" w:hanging="720"/>
      </w:pPr>
      <w:rPr>
        <w:rFonts w:ascii="Arial" w:hAnsi="Arial" w:hint="default"/>
        <w:b/>
        <w:i w:val="0"/>
        <w:caps w:val="0"/>
        <w:sz w:val="20"/>
        <w:szCs w:val="20"/>
      </w:rPr>
    </w:lvl>
    <w:lvl w:ilvl="3">
      <w:start w:val="1"/>
      <w:numFmt w:val="decimal"/>
      <w:pStyle w:val="Heading4"/>
      <w:lvlText w:val="%1.%2.%3.%4"/>
      <w:lvlJc w:val="left"/>
      <w:pPr>
        <w:tabs>
          <w:tab w:val="num" w:pos="864"/>
        </w:tabs>
        <w:ind w:left="864" w:hanging="864"/>
      </w:pPr>
      <w:rPr>
        <w:rFonts w:ascii="Times New Roman" w:hAnsi="Times New Roman" w:hint="default"/>
        <w:b w:val="0"/>
        <w:i/>
        <w:sz w:val="20"/>
      </w:rPr>
    </w:lvl>
    <w:lvl w:ilvl="4">
      <w:start w:val="1"/>
      <w:numFmt w:val="decimal"/>
      <w:pStyle w:val="Heading5"/>
      <w:lvlText w:val="%1.%2.%3.%4.%5"/>
      <w:lvlJc w:val="left"/>
      <w:pPr>
        <w:tabs>
          <w:tab w:val="num" w:pos="1008"/>
        </w:tabs>
        <w:ind w:left="1008" w:hanging="1008"/>
      </w:pPr>
      <w:rPr>
        <w:rFonts w:hint="default"/>
        <w:sz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1" w15:restartNumberingAfterBreak="0">
    <w:nsid w:val="3D7329F1"/>
    <w:multiLevelType w:val="multilevel"/>
    <w:tmpl w:val="23689E52"/>
    <w:lvl w:ilvl="0">
      <w:start w:val="1"/>
      <w:numFmt w:val="decimal"/>
      <w:suff w:val="space"/>
      <w:lvlText w:val="Figure %1:"/>
      <w:lvlJc w:val="left"/>
      <w:pPr>
        <w:ind w:left="360" w:hanging="360"/>
      </w:pPr>
      <w:rPr>
        <w:rFonts w:ascii="Times New Roman Bold" w:hAnsi="Times New Roman Bold"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DE11B9E"/>
    <w:multiLevelType w:val="multilevel"/>
    <w:tmpl w:val="FB5EDC84"/>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3EEE7FB8"/>
    <w:multiLevelType w:val="multilevel"/>
    <w:tmpl w:val="4F027B32"/>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418957A2"/>
    <w:multiLevelType w:val="multilevel"/>
    <w:tmpl w:val="08AE7DB4"/>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46E6242A"/>
    <w:multiLevelType w:val="hybridMultilevel"/>
    <w:tmpl w:val="2C004C02"/>
    <w:lvl w:ilvl="0" w:tplc="BE681012">
      <w:start w:val="1"/>
      <w:numFmt w:val="decimal"/>
      <w:pStyle w:val="reference"/>
      <w:lvlText w:val="[%1]"/>
      <w:lvlJc w:val="left"/>
      <w:pPr>
        <w:tabs>
          <w:tab w:val="num" w:pos="397"/>
        </w:tabs>
        <w:ind w:left="397" w:hanging="397"/>
      </w:pPr>
      <w:rPr>
        <w:rFonts w:ascii="Arial" w:hAnsi="Arial" w:hint="default"/>
        <w:b w:val="0"/>
        <w:i w:val="0"/>
        <w:color w:val="D2232A"/>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7C819E9"/>
    <w:multiLevelType w:val="multilevel"/>
    <w:tmpl w:val="D8721228"/>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7" w15:restartNumberingAfterBreak="0">
    <w:nsid w:val="499B11C1"/>
    <w:multiLevelType w:val="multilevel"/>
    <w:tmpl w:val="CF28CB36"/>
    <w:lvl w:ilvl="0">
      <w:start w:val="1"/>
      <w:numFmt w:val="decimal"/>
      <w:pStyle w:val="ECCFiguretitle"/>
      <w:suff w:val="space"/>
      <w:lvlText w:val="Figure %1:"/>
      <w:lvlJc w:val="left"/>
      <w:pPr>
        <w:ind w:left="360" w:hanging="360"/>
      </w:pPr>
      <w:rPr>
        <w:rFonts w:ascii="Arial" w:hAnsi="Arial" w:hint="default"/>
        <w:b/>
        <w:i w:val="0"/>
        <w:color w:val="D2232A"/>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4BA83BD6"/>
    <w:multiLevelType w:val="multilevel"/>
    <w:tmpl w:val="0FA475FC"/>
    <w:lvl w:ilvl="0">
      <w:start w:val="1"/>
      <w:numFmt w:val="decimal"/>
      <w:suff w:val="space"/>
      <w:lvlText w:val="ANNEX %1:"/>
      <w:lvlJc w:val="left"/>
      <w:pPr>
        <w:ind w:left="360" w:hanging="360"/>
      </w:pPr>
      <w:rPr>
        <w:rFonts w:ascii="Times New Roman Bold" w:hAnsi="Times New Roman Bold" w:hint="default"/>
        <w:b/>
        <w:i w:val="0"/>
        <w:sz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4F74682D"/>
    <w:multiLevelType w:val="multilevel"/>
    <w:tmpl w:val="FF0640BA"/>
    <w:lvl w:ilvl="0">
      <w:start w:val="1"/>
      <w:numFmt w:val="decimal"/>
      <w:suff w:val="space"/>
      <w:lvlText w:val="ANNEX %1:"/>
      <w:lvlJc w:val="left"/>
      <w:pPr>
        <w:ind w:left="0" w:firstLine="0"/>
      </w:pPr>
      <w:rPr>
        <w:rFonts w:ascii="Arial" w:hAnsi="Arial" w:hint="default"/>
        <w:b/>
        <w:bCs w:val="0"/>
        <w:i w:val="0"/>
        <w:iCs w:val="0"/>
        <w:smallCaps w:val="0"/>
        <w:strike w:val="0"/>
        <w:dstrike w:val="0"/>
        <w:vanish w:val="0"/>
        <w:color w:val="D2232A"/>
        <w:spacing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B3128C3"/>
    <w:multiLevelType w:val="multilevel"/>
    <w:tmpl w:val="FB26665A"/>
    <w:lvl w:ilvl="0">
      <w:start w:val="1"/>
      <w:numFmt w:val="decimal"/>
      <w:suff w:val="space"/>
      <w:lvlText w:val="ANNEX %1"/>
      <w:lvlJc w:val="left"/>
      <w:pPr>
        <w:ind w:left="0" w:firstLine="0"/>
      </w:pPr>
      <w:rPr>
        <w:rFonts w:cs="Times New Roman" w:hint="default"/>
        <w:b w:val="0"/>
        <w:bCs w:val="0"/>
        <w:i w:val="0"/>
        <w:iCs w:val="0"/>
        <w:small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A.%1.%2"/>
      <w:lvlJc w:val="left"/>
      <w:pPr>
        <w:ind w:left="576" w:hanging="576"/>
      </w:pPr>
      <w:rPr>
        <w:rFonts w:hint="default"/>
      </w:rPr>
    </w:lvl>
    <w:lvl w:ilvl="2">
      <w:start w:val="1"/>
      <w:numFmt w:val="decimal"/>
      <w:lvlText w:val="A.%1.%2.%3"/>
      <w:lvlJc w:val="left"/>
      <w:pPr>
        <w:tabs>
          <w:tab w:val="num" w:pos="720"/>
        </w:tabs>
        <w:ind w:left="720" w:hanging="720"/>
      </w:pPr>
      <w:rPr>
        <w:rFonts w:hint="default"/>
      </w:rPr>
    </w:lvl>
    <w:lvl w:ilvl="3">
      <w:start w:val="1"/>
      <w:numFmt w:val="decimal"/>
      <w:lvlText w:val="A.%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5B866EC8"/>
    <w:multiLevelType w:val="hybridMultilevel"/>
    <w:tmpl w:val="DAD49698"/>
    <w:lvl w:ilvl="0" w:tplc="D4CAD106">
      <w:start w:val="1"/>
      <w:numFmt w:val="decimal"/>
      <w:lvlText w:val="%1."/>
      <w:lvlJc w:val="left"/>
      <w:pPr>
        <w:ind w:left="360" w:hanging="360"/>
      </w:pPr>
      <w:rPr>
        <w:color w:val="C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5FBC077E"/>
    <w:multiLevelType w:val="multilevel"/>
    <w:tmpl w:val="8E609E68"/>
    <w:lvl w:ilvl="0">
      <w:numFmt w:val="decimal"/>
      <w:lvlText w:val="%1"/>
      <w:lvlJc w:val="left"/>
      <w:pPr>
        <w:tabs>
          <w:tab w:val="num" w:pos="432"/>
        </w:tabs>
        <w:ind w:left="432" w:hanging="432"/>
      </w:pPr>
      <w:rPr>
        <w:rFonts w:ascii="Arial" w:hAnsi="Arial" w:hint="default"/>
        <w:b/>
        <w:i w:val="0"/>
        <w:color w:val="D2232A"/>
        <w:sz w:val="20"/>
        <w:szCs w:val="20"/>
      </w:rPr>
    </w:lvl>
    <w:lvl w:ilvl="1">
      <w:start w:val="1"/>
      <w:numFmt w:val="decimal"/>
      <w:lvlText w:val="%1.%2"/>
      <w:lvlJc w:val="left"/>
      <w:pPr>
        <w:tabs>
          <w:tab w:val="num" w:pos="576"/>
        </w:tabs>
        <w:ind w:left="576" w:hanging="576"/>
      </w:pPr>
      <w:rPr>
        <w:rFonts w:ascii="Arial" w:hAnsi="Arial" w:hint="default"/>
        <w:b/>
        <w:i w:val="0"/>
        <w:sz w:val="20"/>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5FCC657C"/>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0EC121D"/>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64002AD3"/>
    <w:multiLevelType w:val="multilevel"/>
    <w:tmpl w:val="72D85F6E"/>
    <w:lvl w:ilvl="0">
      <w:numFmt w:val="decimal"/>
      <w:lvlText w:val="%1"/>
      <w:lvlJc w:val="left"/>
      <w:pPr>
        <w:tabs>
          <w:tab w:val="num" w:pos="432"/>
        </w:tabs>
        <w:ind w:left="432" w:hanging="432"/>
      </w:pPr>
      <w:rPr>
        <w:rFonts w:ascii="Times New Roman Bold" w:hAnsi="Times New Roman Bold" w:hint="default"/>
        <w:b/>
        <w:i w:val="0"/>
        <w:sz w:val="20"/>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65803DCD"/>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7" w15:restartNumberingAfterBreak="0">
    <w:nsid w:val="66575489"/>
    <w:multiLevelType w:val="multilevel"/>
    <w:tmpl w:val="4B4E4BCA"/>
    <w:lvl w:ilvl="0">
      <w:start w:val="1"/>
      <w:numFmt w:val="decimal"/>
      <w:suff w:val="space"/>
      <w:lvlText w:val="Table %1:"/>
      <w:lvlJc w:val="left"/>
      <w:pPr>
        <w:ind w:left="360" w:hanging="360"/>
      </w:pPr>
      <w:rPr>
        <w:rFonts w:ascii="Times New Roman Bold" w:hAnsi="Times New Roman Bold" w:hint="default"/>
        <w:b/>
        <w:i w:val="0"/>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6CA6796D"/>
    <w:multiLevelType w:val="multilevel"/>
    <w:tmpl w:val="04E62F1A"/>
    <w:lvl w:ilvl="0">
      <w:start w:val="1"/>
      <w:numFmt w:val="lowerLetter"/>
      <w:lvlText w:val="%1)"/>
      <w:lvlJc w:val="left"/>
      <w:pPr>
        <w:tabs>
          <w:tab w:val="num" w:pos="397"/>
        </w:tabs>
        <w:ind w:left="397" w:hanging="397"/>
      </w:pPr>
      <w:rPr>
        <w:rFonts w:ascii="Arial" w:hAnsi="Arial" w:hint="default"/>
        <w:color w:val="D2232A"/>
        <w:sz w:val="20"/>
      </w:rPr>
    </w:lvl>
    <w:lvl w:ilvl="1">
      <w:start w:val="1"/>
      <w:numFmt w:val="none"/>
      <w:lvlText w:val=""/>
      <w:lvlJc w:val="left"/>
      <w:pPr>
        <w:tabs>
          <w:tab w:val="num" w:pos="1080"/>
        </w:tabs>
        <w:ind w:left="1080" w:hanging="360"/>
      </w:pPr>
      <w:rPr>
        <w:rFonts w:hint="default"/>
      </w:rPr>
    </w:lvl>
    <w:lvl w:ilvl="2">
      <w:start w:val="1"/>
      <w:numFmt w:val="none"/>
      <w:lvlText w:val=""/>
      <w:lvlJc w:val="right"/>
      <w:pPr>
        <w:tabs>
          <w:tab w:val="num" w:pos="1800"/>
        </w:tabs>
        <w:ind w:left="1800" w:hanging="180"/>
      </w:pPr>
      <w:rPr>
        <w:rFonts w:hint="default"/>
      </w:rPr>
    </w:lvl>
    <w:lvl w:ilvl="3">
      <w:start w:val="1"/>
      <w:numFmt w:val="none"/>
      <w:lvlText w:val=""/>
      <w:lvlJc w:val="left"/>
      <w:pPr>
        <w:tabs>
          <w:tab w:val="num" w:pos="2520"/>
        </w:tabs>
        <w:ind w:left="2520" w:hanging="360"/>
      </w:pPr>
      <w:rPr>
        <w:rFonts w:hint="default"/>
      </w:rPr>
    </w:lvl>
    <w:lvl w:ilvl="4">
      <w:start w:val="1"/>
      <w:numFmt w:val="none"/>
      <w:lvlText w:val=""/>
      <w:lvlJc w:val="left"/>
      <w:pPr>
        <w:tabs>
          <w:tab w:val="num" w:pos="3240"/>
        </w:tabs>
        <w:ind w:left="3240" w:hanging="360"/>
      </w:pPr>
      <w:rPr>
        <w:rFonts w:hint="default"/>
      </w:rPr>
    </w:lvl>
    <w:lvl w:ilvl="5">
      <w:start w:val="1"/>
      <w:numFmt w:val="none"/>
      <w:lvlText w:val=""/>
      <w:lvlJc w:val="right"/>
      <w:pPr>
        <w:tabs>
          <w:tab w:val="num" w:pos="3960"/>
        </w:tabs>
        <w:ind w:left="3960" w:hanging="180"/>
      </w:pPr>
      <w:rPr>
        <w:rFonts w:hint="default"/>
      </w:rPr>
    </w:lvl>
    <w:lvl w:ilvl="6">
      <w:start w:val="1"/>
      <w:numFmt w:val="none"/>
      <w:lvlText w:val=""/>
      <w:lvlJc w:val="left"/>
      <w:pPr>
        <w:tabs>
          <w:tab w:val="num" w:pos="4680"/>
        </w:tabs>
        <w:ind w:left="4680" w:hanging="360"/>
      </w:pPr>
      <w:rPr>
        <w:rFonts w:hint="default"/>
      </w:rPr>
    </w:lvl>
    <w:lvl w:ilvl="7">
      <w:start w:val="1"/>
      <w:numFmt w:val="none"/>
      <w:lvlText w:val=""/>
      <w:lvlJc w:val="left"/>
      <w:pPr>
        <w:tabs>
          <w:tab w:val="num" w:pos="5400"/>
        </w:tabs>
        <w:ind w:left="5400" w:hanging="360"/>
      </w:pPr>
      <w:rPr>
        <w:rFonts w:hint="default"/>
      </w:rPr>
    </w:lvl>
    <w:lvl w:ilvl="8">
      <w:start w:val="1"/>
      <w:numFmt w:val="none"/>
      <w:lvlText w:val=""/>
      <w:lvlJc w:val="right"/>
      <w:pPr>
        <w:tabs>
          <w:tab w:val="num" w:pos="6120"/>
        </w:tabs>
        <w:ind w:left="6120" w:hanging="180"/>
      </w:pPr>
      <w:rPr>
        <w:rFonts w:hint="default"/>
      </w:rPr>
    </w:lvl>
  </w:abstractNum>
  <w:abstractNum w:abstractNumId="39" w15:restartNumberingAfterBreak="0">
    <w:nsid w:val="6D79036B"/>
    <w:multiLevelType w:val="multilevel"/>
    <w:tmpl w:val="294220AC"/>
    <w:lvl w:ilvl="0">
      <w:start w:val="1"/>
      <w:numFmt w:val="lowerLetter"/>
      <w:lvlText w:val="%1)"/>
      <w:lvlJc w:val="left"/>
      <w:pPr>
        <w:tabs>
          <w:tab w:val="num" w:pos="397"/>
        </w:tabs>
        <w:ind w:left="397" w:hanging="397"/>
      </w:pPr>
      <w:rPr>
        <w:rFonts w:ascii="Arial" w:hAnsi="Arial" w:hint="default"/>
        <w:color w:val="D2232A"/>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40" w15:restartNumberingAfterBreak="0">
    <w:nsid w:val="6ED23438"/>
    <w:multiLevelType w:val="multilevel"/>
    <w:tmpl w:val="D7AA0FE0"/>
    <w:lvl w:ilvl="0">
      <w:numFmt w:val="decimal"/>
      <w:lvlText w:val="%1"/>
      <w:lvlJc w:val="left"/>
      <w:pPr>
        <w:tabs>
          <w:tab w:val="num" w:pos="432"/>
        </w:tabs>
        <w:ind w:left="432" w:hanging="432"/>
      </w:pPr>
      <w:rPr>
        <w:rFonts w:ascii="Times New Roman Bold" w:hAnsi="Times New Roman Bold" w:hint="default"/>
        <w:b/>
        <w:i w:val="0"/>
        <w:sz w:val="24"/>
        <w:szCs w:val="20"/>
      </w:rPr>
    </w:lvl>
    <w:lvl w:ilvl="1">
      <w:start w:val="1"/>
      <w:numFmt w:val="decimal"/>
      <w:lvlText w:val="%1.%2"/>
      <w:lvlJc w:val="left"/>
      <w:pPr>
        <w:tabs>
          <w:tab w:val="num" w:pos="576"/>
        </w:tabs>
        <w:ind w:left="576" w:hanging="576"/>
      </w:pPr>
      <w:rPr>
        <w:rFonts w:ascii="Times New Roman Bold" w:hAnsi="Times New Roman Bold" w:hint="default"/>
        <w:b/>
        <w:i w:val="0"/>
        <w:sz w:val="24"/>
      </w:rPr>
    </w:lvl>
    <w:lvl w:ilvl="2">
      <w:start w:val="1"/>
      <w:numFmt w:val="decimal"/>
      <w:lvlText w:val="%1.%2.%3"/>
      <w:lvlJc w:val="left"/>
      <w:pPr>
        <w:tabs>
          <w:tab w:val="num" w:pos="720"/>
        </w:tabs>
        <w:ind w:left="720" w:hanging="720"/>
      </w:pPr>
      <w:rPr>
        <w:rFonts w:hint="default"/>
        <w:b/>
        <w:i/>
        <w:sz w:val="20"/>
        <w:szCs w:val="20"/>
      </w:rPr>
    </w:lvl>
    <w:lvl w:ilvl="3">
      <w:start w:val="1"/>
      <w:numFmt w:val="decimal"/>
      <w:lvlText w:val="%1.%2.%3.%4"/>
      <w:lvlJc w:val="left"/>
      <w:pPr>
        <w:tabs>
          <w:tab w:val="num" w:pos="864"/>
        </w:tabs>
        <w:ind w:left="864" w:hanging="864"/>
      </w:pPr>
      <w:rPr>
        <w:rFonts w:ascii="Times New Roman" w:hAnsi="Times New Roman" w:hint="default"/>
        <w:b w:val="0"/>
        <w:i/>
        <w:sz w:val="20"/>
      </w:rPr>
    </w:lvl>
    <w:lvl w:ilvl="4">
      <w:start w:val="1"/>
      <w:numFmt w:val="decimal"/>
      <w:lvlText w:val="%1.%2.%3.%4.%5"/>
      <w:lvlJc w:val="left"/>
      <w:pPr>
        <w:tabs>
          <w:tab w:val="num" w:pos="1008"/>
        </w:tabs>
        <w:ind w:left="1008" w:hanging="1008"/>
      </w:pPr>
      <w:rPr>
        <w:rFonts w:hint="default"/>
        <w:sz w:val="24"/>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7172623F"/>
    <w:multiLevelType w:val="multilevel"/>
    <w:tmpl w:val="0409001D"/>
    <w:lvl w:ilvl="0">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7222504B"/>
    <w:multiLevelType w:val="multilevel"/>
    <w:tmpl w:val="A724997C"/>
    <w:lvl w:ilvl="0">
      <w:start w:val="1"/>
      <w:numFmt w:val="decimal"/>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792B4584"/>
    <w:multiLevelType w:val="multilevel"/>
    <w:tmpl w:val="792B4584"/>
    <w:lvl w:ilvl="0">
      <w:start w:val="1"/>
      <w:numFmt w:val="lowerLetter"/>
      <w:lvlText w:val="%1)"/>
      <w:lvlJc w:val="left"/>
      <w:pPr>
        <w:tabs>
          <w:tab w:val="left" w:pos="7449"/>
        </w:tabs>
        <w:ind w:left="7449" w:hanging="360"/>
      </w:pPr>
      <w:rPr>
        <w:rFonts w:ascii="Arial" w:hAnsi="Arial" w:hint="default"/>
        <w:b w:val="0"/>
        <w:bCs w:val="0"/>
        <w:i w:val="0"/>
        <w:iCs w:val="0"/>
        <w:color w:val="D2232A"/>
        <w:sz w:val="20"/>
        <w:szCs w:val="20"/>
      </w:rPr>
    </w:lvl>
    <w:lvl w:ilvl="1">
      <w:start w:val="1"/>
      <w:numFmt w:val="decimal"/>
      <w:lvlText w:val="%2."/>
      <w:lvlJc w:val="left"/>
      <w:pPr>
        <w:tabs>
          <w:tab w:val="left" w:pos="1440"/>
        </w:tabs>
        <w:ind w:left="1440" w:hanging="360"/>
      </w:pPr>
      <w:rPr>
        <w:rFonts w:hint="default"/>
      </w:rPr>
    </w:lvl>
    <w:lvl w:ilvl="2">
      <w:start w:val="1"/>
      <w:numFmt w:val="decimal"/>
      <w:lvlText w:val="%3"/>
      <w:lvlJc w:val="left"/>
      <w:pPr>
        <w:tabs>
          <w:tab w:val="left" w:pos="2700"/>
        </w:tabs>
        <w:ind w:left="2700" w:hanging="72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44" w15:restartNumberingAfterBreak="0">
    <w:nsid w:val="7B3212E4"/>
    <w:multiLevelType w:val="multilevel"/>
    <w:tmpl w:val="A724997C"/>
    <w:lvl w:ilvl="0">
      <w:start w:val="1"/>
      <w:numFmt w:val="decimal"/>
      <w:pStyle w:val="ECCTabletitle"/>
      <w:suff w:val="space"/>
      <w:lvlText w:val="Table %1:"/>
      <w:lvlJc w:val="left"/>
      <w:pPr>
        <w:ind w:left="360" w:hanging="360"/>
      </w:pPr>
      <w:rPr>
        <w:rFonts w:ascii="Arial" w:hAnsi="Arial" w:hint="default"/>
        <w:b/>
        <w:i w:val="0"/>
        <w:color w:val="D2232A"/>
        <w:sz w:val="2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305696948">
    <w:abstractNumId w:val="5"/>
  </w:num>
  <w:num w:numId="2" w16cid:durableId="2134057219">
    <w:abstractNumId w:val="20"/>
  </w:num>
  <w:num w:numId="3" w16cid:durableId="1175263227">
    <w:abstractNumId w:val="44"/>
  </w:num>
  <w:num w:numId="4" w16cid:durableId="1181235161">
    <w:abstractNumId w:val="27"/>
  </w:num>
  <w:num w:numId="5" w16cid:durableId="180945010">
    <w:abstractNumId w:val="28"/>
  </w:num>
  <w:num w:numId="6" w16cid:durableId="497842125">
    <w:abstractNumId w:val="25"/>
  </w:num>
  <w:num w:numId="7" w16cid:durableId="525026497">
    <w:abstractNumId w:val="6"/>
  </w:num>
  <w:num w:numId="8" w16cid:durableId="685591989">
    <w:abstractNumId w:val="40"/>
  </w:num>
  <w:num w:numId="9" w16cid:durableId="2099908309">
    <w:abstractNumId w:val="26"/>
  </w:num>
  <w:num w:numId="10" w16cid:durableId="2126534513">
    <w:abstractNumId w:val="18"/>
  </w:num>
  <w:num w:numId="11" w16cid:durableId="43918361">
    <w:abstractNumId w:val="30"/>
  </w:num>
  <w:num w:numId="12" w16cid:durableId="2096979014">
    <w:abstractNumId w:val="10"/>
  </w:num>
  <w:num w:numId="13" w16cid:durableId="1013411341">
    <w:abstractNumId w:val="1"/>
  </w:num>
  <w:num w:numId="14" w16cid:durableId="332028541">
    <w:abstractNumId w:val="34"/>
  </w:num>
  <w:num w:numId="15" w16cid:durableId="1529492379">
    <w:abstractNumId w:val="35"/>
  </w:num>
  <w:num w:numId="16" w16cid:durableId="1199778516">
    <w:abstractNumId w:val="23"/>
  </w:num>
  <w:num w:numId="17" w16cid:durableId="1210455960">
    <w:abstractNumId w:val="7"/>
  </w:num>
  <w:num w:numId="18" w16cid:durableId="687753284">
    <w:abstractNumId w:val="22"/>
  </w:num>
  <w:num w:numId="19" w16cid:durableId="1457413561">
    <w:abstractNumId w:val="32"/>
  </w:num>
  <w:num w:numId="20" w16cid:durableId="1649937731">
    <w:abstractNumId w:val="21"/>
  </w:num>
  <w:num w:numId="21" w16cid:durableId="1526597508">
    <w:abstractNumId w:val="37"/>
  </w:num>
  <w:num w:numId="22" w16cid:durableId="215355456">
    <w:abstractNumId w:val="42"/>
  </w:num>
  <w:num w:numId="23" w16cid:durableId="723331586">
    <w:abstractNumId w:val="24"/>
  </w:num>
  <w:num w:numId="24" w16cid:durableId="660355513">
    <w:abstractNumId w:val="19"/>
  </w:num>
  <w:num w:numId="25" w16cid:durableId="2033602940">
    <w:abstractNumId w:val="9"/>
  </w:num>
  <w:num w:numId="26" w16cid:durableId="23530028">
    <w:abstractNumId w:val="11"/>
  </w:num>
  <w:num w:numId="27" w16cid:durableId="1184129670">
    <w:abstractNumId w:val="0"/>
  </w:num>
  <w:num w:numId="28" w16cid:durableId="1128276120">
    <w:abstractNumId w:val="36"/>
  </w:num>
  <w:num w:numId="29" w16cid:durableId="1813787530">
    <w:abstractNumId w:val="39"/>
  </w:num>
  <w:num w:numId="30" w16cid:durableId="2082018081">
    <w:abstractNumId w:val="3"/>
  </w:num>
  <w:num w:numId="31" w16cid:durableId="1633558476">
    <w:abstractNumId w:val="8"/>
  </w:num>
  <w:num w:numId="32" w16cid:durableId="905846226">
    <w:abstractNumId w:val="41"/>
  </w:num>
  <w:num w:numId="33" w16cid:durableId="845873301">
    <w:abstractNumId w:val="38"/>
  </w:num>
  <w:num w:numId="34" w16cid:durableId="257447307">
    <w:abstractNumId w:val="33"/>
  </w:num>
  <w:num w:numId="35" w16cid:durableId="638609873">
    <w:abstractNumId w:val="12"/>
  </w:num>
  <w:num w:numId="36" w16cid:durableId="1570309580">
    <w:abstractNumId w:val="16"/>
  </w:num>
  <w:num w:numId="37" w16cid:durableId="1194151542">
    <w:abstractNumId w:val="4"/>
  </w:num>
  <w:num w:numId="38" w16cid:durableId="1255282943">
    <w:abstractNumId w:val="13"/>
  </w:num>
  <w:num w:numId="39" w16cid:durableId="1447458359">
    <w:abstractNumId w:val="2"/>
  </w:num>
  <w:num w:numId="40" w16cid:durableId="390929975">
    <w:abstractNumId w:val="29"/>
  </w:num>
  <w:num w:numId="41" w16cid:durableId="1825315131">
    <w:abstractNumId w:val="31"/>
  </w:num>
  <w:num w:numId="42" w16cid:durableId="461922529">
    <w:abstractNumId w:val="17"/>
  </w:num>
  <w:num w:numId="43" w16cid:durableId="330333440">
    <w:abstractNumId w:val="15"/>
  </w:num>
  <w:num w:numId="44" w16cid:durableId="155613601">
    <w:abstractNumId w:val="43"/>
  </w:num>
  <w:num w:numId="45" w16cid:durableId="1302690181">
    <w:abstractNumId w:val="4"/>
  </w:num>
  <w:num w:numId="46" w16cid:durableId="25102106">
    <w:abstractNumId w:val="4"/>
  </w:num>
  <w:num w:numId="47" w16cid:durableId="1396850618">
    <w:abstractNumId w:val="14"/>
  </w:num>
  <w:num w:numId="48" w16cid:durableId="105515940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7"/>
  <w:proofState w:spelling="clean" w:grammar="clean"/>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trackRevisions/>
  <w:defaultTabStop w:val="720"/>
  <w:hyphenationZone w:val="425"/>
  <w:evenAndOddHeaders/>
  <w:characterSpacingControl w:val="doNotCompress"/>
  <w:hdrShapeDefaults>
    <o:shapedefaults v:ext="edit" spidmax="2050">
      <o:colormru v:ext="edit" colors="#7b6c58,#887e6e,#d2232a,#57433e,#b0a696"/>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5E"/>
    <w:rsid w:val="000001DC"/>
    <w:rsid w:val="00002072"/>
    <w:rsid w:val="000333D5"/>
    <w:rsid w:val="0003346F"/>
    <w:rsid w:val="0003359C"/>
    <w:rsid w:val="00033667"/>
    <w:rsid w:val="000412F7"/>
    <w:rsid w:val="00052038"/>
    <w:rsid w:val="00053E97"/>
    <w:rsid w:val="00056BC8"/>
    <w:rsid w:val="0006493C"/>
    <w:rsid w:val="00073658"/>
    <w:rsid w:val="0007532F"/>
    <w:rsid w:val="00077325"/>
    <w:rsid w:val="000913D5"/>
    <w:rsid w:val="000A0434"/>
    <w:rsid w:val="000A5BBF"/>
    <w:rsid w:val="000B2095"/>
    <w:rsid w:val="000C1C6A"/>
    <w:rsid w:val="000C2BAB"/>
    <w:rsid w:val="000C6E33"/>
    <w:rsid w:val="000C7779"/>
    <w:rsid w:val="000E3C86"/>
    <w:rsid w:val="000E60E0"/>
    <w:rsid w:val="00105DB0"/>
    <w:rsid w:val="001121BC"/>
    <w:rsid w:val="001205A5"/>
    <w:rsid w:val="001213A4"/>
    <w:rsid w:val="0012393A"/>
    <w:rsid w:val="00130BEB"/>
    <w:rsid w:val="00147761"/>
    <w:rsid w:val="0016765E"/>
    <w:rsid w:val="00174C02"/>
    <w:rsid w:val="00177784"/>
    <w:rsid w:val="00183523"/>
    <w:rsid w:val="00187ADB"/>
    <w:rsid w:val="001A21C2"/>
    <w:rsid w:val="001A50A6"/>
    <w:rsid w:val="001B6764"/>
    <w:rsid w:val="001B74FF"/>
    <w:rsid w:val="001C0C41"/>
    <w:rsid w:val="001E2640"/>
    <w:rsid w:val="001E2A6C"/>
    <w:rsid w:val="001F0AB5"/>
    <w:rsid w:val="001F343B"/>
    <w:rsid w:val="001F3554"/>
    <w:rsid w:val="001F3768"/>
    <w:rsid w:val="00202B37"/>
    <w:rsid w:val="00203E66"/>
    <w:rsid w:val="00204784"/>
    <w:rsid w:val="00221787"/>
    <w:rsid w:val="002217EA"/>
    <w:rsid w:val="002337C7"/>
    <w:rsid w:val="002372BD"/>
    <w:rsid w:val="0024306D"/>
    <w:rsid w:val="002435A4"/>
    <w:rsid w:val="00243CD2"/>
    <w:rsid w:val="002617E8"/>
    <w:rsid w:val="00274D3C"/>
    <w:rsid w:val="00287C6B"/>
    <w:rsid w:val="002A1230"/>
    <w:rsid w:val="002A4816"/>
    <w:rsid w:val="002B24A2"/>
    <w:rsid w:val="002B3D71"/>
    <w:rsid w:val="002B57B7"/>
    <w:rsid w:val="002C1CB8"/>
    <w:rsid w:val="002C4F31"/>
    <w:rsid w:val="002E1156"/>
    <w:rsid w:val="002E1935"/>
    <w:rsid w:val="002E3EB6"/>
    <w:rsid w:val="002F3C8F"/>
    <w:rsid w:val="002F45D8"/>
    <w:rsid w:val="002F6B99"/>
    <w:rsid w:val="00311FE1"/>
    <w:rsid w:val="003229C7"/>
    <w:rsid w:val="003368D3"/>
    <w:rsid w:val="00341307"/>
    <w:rsid w:val="0034774B"/>
    <w:rsid w:val="0035190C"/>
    <w:rsid w:val="0035522F"/>
    <w:rsid w:val="0037067D"/>
    <w:rsid w:val="003710CE"/>
    <w:rsid w:val="00376BB2"/>
    <w:rsid w:val="00377DE8"/>
    <w:rsid w:val="00384EA9"/>
    <w:rsid w:val="00392EF8"/>
    <w:rsid w:val="00397EF3"/>
    <w:rsid w:val="003A4A78"/>
    <w:rsid w:val="003B1A61"/>
    <w:rsid w:val="003B7B30"/>
    <w:rsid w:val="003C5DCA"/>
    <w:rsid w:val="003C698D"/>
    <w:rsid w:val="003D04F2"/>
    <w:rsid w:val="003D5F37"/>
    <w:rsid w:val="003E3146"/>
    <w:rsid w:val="003E3938"/>
    <w:rsid w:val="003E58E9"/>
    <w:rsid w:val="003F1313"/>
    <w:rsid w:val="003F732F"/>
    <w:rsid w:val="00401113"/>
    <w:rsid w:val="00404FD4"/>
    <w:rsid w:val="00407680"/>
    <w:rsid w:val="00413616"/>
    <w:rsid w:val="004147DF"/>
    <w:rsid w:val="00427A6B"/>
    <w:rsid w:val="00440C03"/>
    <w:rsid w:val="00444D5F"/>
    <w:rsid w:val="00451080"/>
    <w:rsid w:val="004538E9"/>
    <w:rsid w:val="0045488B"/>
    <w:rsid w:val="00455E62"/>
    <w:rsid w:val="00460BD8"/>
    <w:rsid w:val="00475056"/>
    <w:rsid w:val="00476B73"/>
    <w:rsid w:val="00483203"/>
    <w:rsid w:val="00487F0B"/>
    <w:rsid w:val="00496017"/>
    <w:rsid w:val="00496753"/>
    <w:rsid w:val="004A569F"/>
    <w:rsid w:val="004D2B44"/>
    <w:rsid w:val="004D7B22"/>
    <w:rsid w:val="004E3285"/>
    <w:rsid w:val="004E5AF5"/>
    <w:rsid w:val="004E6D7F"/>
    <w:rsid w:val="004F0E94"/>
    <w:rsid w:val="004F402F"/>
    <w:rsid w:val="00502B29"/>
    <w:rsid w:val="00514789"/>
    <w:rsid w:val="005160DE"/>
    <w:rsid w:val="00516F93"/>
    <w:rsid w:val="0053139C"/>
    <w:rsid w:val="00534906"/>
    <w:rsid w:val="005411D5"/>
    <w:rsid w:val="005415AA"/>
    <w:rsid w:val="0054607F"/>
    <w:rsid w:val="00550CCB"/>
    <w:rsid w:val="00553450"/>
    <w:rsid w:val="0055625C"/>
    <w:rsid w:val="00565004"/>
    <w:rsid w:val="005967C2"/>
    <w:rsid w:val="005979B4"/>
    <w:rsid w:val="005A1165"/>
    <w:rsid w:val="005B0E4C"/>
    <w:rsid w:val="005C5220"/>
    <w:rsid w:val="005D2AA1"/>
    <w:rsid w:val="005D6CFA"/>
    <w:rsid w:val="005E0E95"/>
    <w:rsid w:val="005E4F5F"/>
    <w:rsid w:val="005E6FFD"/>
    <w:rsid w:val="005F2720"/>
    <w:rsid w:val="00601403"/>
    <w:rsid w:val="006029C3"/>
    <w:rsid w:val="006031F4"/>
    <w:rsid w:val="00604107"/>
    <w:rsid w:val="00616A3A"/>
    <w:rsid w:val="006525C3"/>
    <w:rsid w:val="00654B96"/>
    <w:rsid w:val="0066076B"/>
    <w:rsid w:val="00662D6B"/>
    <w:rsid w:val="0066447D"/>
    <w:rsid w:val="00670BCD"/>
    <w:rsid w:val="006949EA"/>
    <w:rsid w:val="006968FF"/>
    <w:rsid w:val="006A4590"/>
    <w:rsid w:val="006B7446"/>
    <w:rsid w:val="006C40C2"/>
    <w:rsid w:val="006D3EAC"/>
    <w:rsid w:val="006F22CD"/>
    <w:rsid w:val="00704475"/>
    <w:rsid w:val="0070719D"/>
    <w:rsid w:val="00710FB0"/>
    <w:rsid w:val="00711355"/>
    <w:rsid w:val="007116CB"/>
    <w:rsid w:val="0072379E"/>
    <w:rsid w:val="00750D5B"/>
    <w:rsid w:val="0078324C"/>
    <w:rsid w:val="00790BED"/>
    <w:rsid w:val="00794C63"/>
    <w:rsid w:val="007A753A"/>
    <w:rsid w:val="007B0737"/>
    <w:rsid w:val="007B0922"/>
    <w:rsid w:val="007B2E42"/>
    <w:rsid w:val="007B304D"/>
    <w:rsid w:val="007B4EF5"/>
    <w:rsid w:val="007C0F33"/>
    <w:rsid w:val="007C7236"/>
    <w:rsid w:val="007F34A6"/>
    <w:rsid w:val="0080290C"/>
    <w:rsid w:val="00806735"/>
    <w:rsid w:val="00822AE0"/>
    <w:rsid w:val="00823887"/>
    <w:rsid w:val="00831B13"/>
    <w:rsid w:val="00835C5B"/>
    <w:rsid w:val="00836A45"/>
    <w:rsid w:val="00844B0D"/>
    <w:rsid w:val="00856088"/>
    <w:rsid w:val="0085642C"/>
    <w:rsid w:val="0086175A"/>
    <w:rsid w:val="00863138"/>
    <w:rsid w:val="00877B8F"/>
    <w:rsid w:val="008868E4"/>
    <w:rsid w:val="0089093A"/>
    <w:rsid w:val="008A3A78"/>
    <w:rsid w:val="008A3C58"/>
    <w:rsid w:val="008A580E"/>
    <w:rsid w:val="008B296B"/>
    <w:rsid w:val="008B30A6"/>
    <w:rsid w:val="008B581E"/>
    <w:rsid w:val="008B5E89"/>
    <w:rsid w:val="008B7A65"/>
    <w:rsid w:val="008C2982"/>
    <w:rsid w:val="008C6065"/>
    <w:rsid w:val="008C6BA0"/>
    <w:rsid w:val="008D75DB"/>
    <w:rsid w:val="008E6929"/>
    <w:rsid w:val="008F22B9"/>
    <w:rsid w:val="008F5538"/>
    <w:rsid w:val="008F65FE"/>
    <w:rsid w:val="00905770"/>
    <w:rsid w:val="00915951"/>
    <w:rsid w:val="0092159F"/>
    <w:rsid w:val="009228B8"/>
    <w:rsid w:val="0093439C"/>
    <w:rsid w:val="00943393"/>
    <w:rsid w:val="00943A0F"/>
    <w:rsid w:val="0094614D"/>
    <w:rsid w:val="009464DE"/>
    <w:rsid w:val="009554AE"/>
    <w:rsid w:val="00957085"/>
    <w:rsid w:val="00963B77"/>
    <w:rsid w:val="00966A91"/>
    <w:rsid w:val="00980F86"/>
    <w:rsid w:val="009A0785"/>
    <w:rsid w:val="009B1605"/>
    <w:rsid w:val="009C0563"/>
    <w:rsid w:val="009C17B3"/>
    <w:rsid w:val="009C2B56"/>
    <w:rsid w:val="009C68D0"/>
    <w:rsid w:val="009D0F16"/>
    <w:rsid w:val="009D3E65"/>
    <w:rsid w:val="009E4933"/>
    <w:rsid w:val="009E62B3"/>
    <w:rsid w:val="009F4380"/>
    <w:rsid w:val="00A02465"/>
    <w:rsid w:val="00A05A2C"/>
    <w:rsid w:val="00A14F99"/>
    <w:rsid w:val="00A2604A"/>
    <w:rsid w:val="00A33C64"/>
    <w:rsid w:val="00A3617D"/>
    <w:rsid w:val="00A44BF9"/>
    <w:rsid w:val="00A663F0"/>
    <w:rsid w:val="00A74C6C"/>
    <w:rsid w:val="00A76DDF"/>
    <w:rsid w:val="00AA0EDB"/>
    <w:rsid w:val="00AB05B9"/>
    <w:rsid w:val="00AB2236"/>
    <w:rsid w:val="00AC2947"/>
    <w:rsid w:val="00AC6C5C"/>
    <w:rsid w:val="00AD1FF4"/>
    <w:rsid w:val="00AD419B"/>
    <w:rsid w:val="00AD561C"/>
    <w:rsid w:val="00AF213B"/>
    <w:rsid w:val="00B02CBB"/>
    <w:rsid w:val="00B1304C"/>
    <w:rsid w:val="00B13AC8"/>
    <w:rsid w:val="00B1446E"/>
    <w:rsid w:val="00B15D52"/>
    <w:rsid w:val="00B21D58"/>
    <w:rsid w:val="00B26031"/>
    <w:rsid w:val="00B26CF4"/>
    <w:rsid w:val="00B504DE"/>
    <w:rsid w:val="00B550D7"/>
    <w:rsid w:val="00B671E0"/>
    <w:rsid w:val="00B707FE"/>
    <w:rsid w:val="00B72B99"/>
    <w:rsid w:val="00B73893"/>
    <w:rsid w:val="00B73B84"/>
    <w:rsid w:val="00B75999"/>
    <w:rsid w:val="00B839FF"/>
    <w:rsid w:val="00B85957"/>
    <w:rsid w:val="00B9795E"/>
    <w:rsid w:val="00BA15A9"/>
    <w:rsid w:val="00BA7494"/>
    <w:rsid w:val="00BA7F05"/>
    <w:rsid w:val="00BB3000"/>
    <w:rsid w:val="00BB58C6"/>
    <w:rsid w:val="00BB635F"/>
    <w:rsid w:val="00BD1BFA"/>
    <w:rsid w:val="00BD2FDC"/>
    <w:rsid w:val="00BD3A91"/>
    <w:rsid w:val="00BD5DD2"/>
    <w:rsid w:val="00BD7E2C"/>
    <w:rsid w:val="00BF1BB5"/>
    <w:rsid w:val="00BF58B5"/>
    <w:rsid w:val="00BF59D0"/>
    <w:rsid w:val="00C07B2A"/>
    <w:rsid w:val="00C102EB"/>
    <w:rsid w:val="00C2650E"/>
    <w:rsid w:val="00C26913"/>
    <w:rsid w:val="00C30B50"/>
    <w:rsid w:val="00C31DF7"/>
    <w:rsid w:val="00C32953"/>
    <w:rsid w:val="00C44DF1"/>
    <w:rsid w:val="00C46915"/>
    <w:rsid w:val="00C477AA"/>
    <w:rsid w:val="00C5293C"/>
    <w:rsid w:val="00C6017E"/>
    <w:rsid w:val="00C66591"/>
    <w:rsid w:val="00C72323"/>
    <w:rsid w:val="00C73D37"/>
    <w:rsid w:val="00C74BE6"/>
    <w:rsid w:val="00C818F9"/>
    <w:rsid w:val="00C90D52"/>
    <w:rsid w:val="00C94603"/>
    <w:rsid w:val="00CA4112"/>
    <w:rsid w:val="00CA797D"/>
    <w:rsid w:val="00CB5128"/>
    <w:rsid w:val="00CB7532"/>
    <w:rsid w:val="00CC086B"/>
    <w:rsid w:val="00CC3766"/>
    <w:rsid w:val="00CE20E9"/>
    <w:rsid w:val="00CE3014"/>
    <w:rsid w:val="00CE37FA"/>
    <w:rsid w:val="00CE3D7E"/>
    <w:rsid w:val="00CE4EC9"/>
    <w:rsid w:val="00CE5DC6"/>
    <w:rsid w:val="00D04B84"/>
    <w:rsid w:val="00D07C86"/>
    <w:rsid w:val="00D12816"/>
    <w:rsid w:val="00D1697B"/>
    <w:rsid w:val="00D3459D"/>
    <w:rsid w:val="00D379FB"/>
    <w:rsid w:val="00D37EE3"/>
    <w:rsid w:val="00D45E8B"/>
    <w:rsid w:val="00D46584"/>
    <w:rsid w:val="00D46B1C"/>
    <w:rsid w:val="00D556A0"/>
    <w:rsid w:val="00D62938"/>
    <w:rsid w:val="00D62E5F"/>
    <w:rsid w:val="00D7734C"/>
    <w:rsid w:val="00D8128D"/>
    <w:rsid w:val="00D96FFD"/>
    <w:rsid w:val="00DA2184"/>
    <w:rsid w:val="00DA27C0"/>
    <w:rsid w:val="00DA3FD9"/>
    <w:rsid w:val="00DA7C0D"/>
    <w:rsid w:val="00DB0F05"/>
    <w:rsid w:val="00DE01A1"/>
    <w:rsid w:val="00DE080E"/>
    <w:rsid w:val="00DE27B7"/>
    <w:rsid w:val="00DE6A4C"/>
    <w:rsid w:val="00DF2029"/>
    <w:rsid w:val="00DF61B7"/>
    <w:rsid w:val="00DF6F91"/>
    <w:rsid w:val="00E06B81"/>
    <w:rsid w:val="00E11015"/>
    <w:rsid w:val="00E131CD"/>
    <w:rsid w:val="00E13249"/>
    <w:rsid w:val="00E13FCE"/>
    <w:rsid w:val="00E17AB7"/>
    <w:rsid w:val="00E2294E"/>
    <w:rsid w:val="00E22D78"/>
    <w:rsid w:val="00E3024D"/>
    <w:rsid w:val="00E3113A"/>
    <w:rsid w:val="00E36F8A"/>
    <w:rsid w:val="00E5140C"/>
    <w:rsid w:val="00E536C6"/>
    <w:rsid w:val="00E540D8"/>
    <w:rsid w:val="00E56769"/>
    <w:rsid w:val="00E76BE9"/>
    <w:rsid w:val="00E81E44"/>
    <w:rsid w:val="00E91D39"/>
    <w:rsid w:val="00EA7174"/>
    <w:rsid w:val="00EB1EA2"/>
    <w:rsid w:val="00EC32F0"/>
    <w:rsid w:val="00EC3866"/>
    <w:rsid w:val="00EC7EA2"/>
    <w:rsid w:val="00ED3964"/>
    <w:rsid w:val="00EE02F8"/>
    <w:rsid w:val="00EE392A"/>
    <w:rsid w:val="00EE56AE"/>
    <w:rsid w:val="00EE6B20"/>
    <w:rsid w:val="00EF7F6F"/>
    <w:rsid w:val="00F03E27"/>
    <w:rsid w:val="00F06A26"/>
    <w:rsid w:val="00F17793"/>
    <w:rsid w:val="00F26292"/>
    <w:rsid w:val="00F265DD"/>
    <w:rsid w:val="00F35D2C"/>
    <w:rsid w:val="00F43E18"/>
    <w:rsid w:val="00F46572"/>
    <w:rsid w:val="00F56E2C"/>
    <w:rsid w:val="00F625D9"/>
    <w:rsid w:val="00F659C7"/>
    <w:rsid w:val="00F70DCB"/>
    <w:rsid w:val="00F71005"/>
    <w:rsid w:val="00F75F7C"/>
    <w:rsid w:val="00F87DA2"/>
    <w:rsid w:val="00F9464A"/>
    <w:rsid w:val="00FA65E9"/>
    <w:rsid w:val="00FC2D14"/>
    <w:rsid w:val="00FC593C"/>
    <w:rsid w:val="00FD38E6"/>
    <w:rsid w:val="00FD3FA4"/>
    <w:rsid w:val="00FD4B4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stockticker"/>
  <w:shapeDefaults>
    <o:shapedefaults v:ext="edit" spidmax="2050">
      <o:colormru v:ext="edit" colors="#7b6c58,#887e6e,#d2232a,#57433e,#b0a696"/>
    </o:shapedefaults>
    <o:shapelayout v:ext="edit">
      <o:idmap v:ext="edit" data="2"/>
    </o:shapelayout>
  </w:shapeDefaults>
  <w:decimalSymbol w:val=","/>
  <w:listSeparator w:val=","/>
  <w14:docId w14:val="1EDA70E1"/>
  <w15:docId w15:val="{0DA274B8-870A-4D10-8161-E9F62D81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C"/>
    <w:rPr>
      <w:rFonts w:ascii="Arial" w:hAnsi="Arial"/>
      <w:szCs w:val="24"/>
      <w:lang w:val="en-US"/>
    </w:rPr>
  </w:style>
  <w:style w:type="paragraph" w:styleId="Heading1">
    <w:name w:val="heading 1"/>
    <w:aliases w:val="ECC Heading 1"/>
    <w:basedOn w:val="Normal"/>
    <w:next w:val="ECCParagraph"/>
    <w:autoRedefine/>
    <w:qFormat/>
    <w:rsid w:val="00B85957"/>
    <w:pPr>
      <w:keepNext/>
      <w:pageBreakBefore/>
      <w:spacing w:before="400" w:after="240"/>
      <w:outlineLvl w:val="0"/>
    </w:pPr>
    <w:rPr>
      <w:rFonts w:cs="Arial"/>
      <w:b/>
      <w:bCs/>
      <w:caps/>
      <w:color w:val="D2232A"/>
      <w:kern w:val="32"/>
      <w:szCs w:val="32"/>
      <w:lang w:val="en-GB"/>
    </w:rPr>
  </w:style>
  <w:style w:type="paragraph" w:styleId="Heading2">
    <w:name w:val="heading 2"/>
    <w:aliases w:val="ECC Heading 2"/>
    <w:basedOn w:val="Normal"/>
    <w:next w:val="ECCParagraph"/>
    <w:autoRedefine/>
    <w:qFormat/>
    <w:rsid w:val="00C95C7C"/>
    <w:pPr>
      <w:keepNext/>
      <w:numPr>
        <w:ilvl w:val="1"/>
        <w:numId w:val="2"/>
      </w:numPr>
      <w:spacing w:before="480" w:after="240"/>
      <w:outlineLvl w:val="1"/>
    </w:pPr>
    <w:rPr>
      <w:rFonts w:cs="Arial"/>
      <w:b/>
      <w:bCs/>
      <w:iCs/>
      <w:caps/>
      <w:szCs w:val="28"/>
    </w:rPr>
  </w:style>
  <w:style w:type="paragraph" w:styleId="Heading3">
    <w:name w:val="heading 3"/>
    <w:aliases w:val="ECC Heading 3"/>
    <w:basedOn w:val="Normal"/>
    <w:next w:val="ECCParagraph"/>
    <w:autoRedefine/>
    <w:qFormat/>
    <w:rsid w:val="00C95C7C"/>
    <w:pPr>
      <w:keepNext/>
      <w:numPr>
        <w:ilvl w:val="2"/>
        <w:numId w:val="2"/>
      </w:numPr>
      <w:spacing w:before="360" w:after="120"/>
      <w:outlineLvl w:val="2"/>
    </w:pPr>
    <w:rPr>
      <w:rFonts w:cs="Arial"/>
      <w:b/>
      <w:bCs/>
      <w:szCs w:val="26"/>
    </w:rPr>
  </w:style>
  <w:style w:type="paragraph" w:styleId="Heading4">
    <w:name w:val="heading 4"/>
    <w:aliases w:val="ECC Heading 4"/>
    <w:basedOn w:val="Normal"/>
    <w:next w:val="ECCParagraph"/>
    <w:autoRedefine/>
    <w:qFormat/>
    <w:rsid w:val="00C95C7C"/>
    <w:pPr>
      <w:numPr>
        <w:ilvl w:val="3"/>
        <w:numId w:val="2"/>
      </w:numPr>
      <w:spacing w:before="360" w:after="120"/>
      <w:outlineLvl w:val="3"/>
    </w:pPr>
    <w:rPr>
      <w:rFonts w:cs="Arial"/>
      <w:bCs/>
      <w:i/>
      <w:color w:val="D2232A"/>
      <w:szCs w:val="26"/>
    </w:rPr>
  </w:style>
  <w:style w:type="paragraph" w:styleId="Heading5">
    <w:name w:val="heading 5"/>
    <w:basedOn w:val="Normal"/>
    <w:next w:val="Normal"/>
    <w:qFormat/>
    <w:rsid w:val="004F32DC"/>
    <w:pPr>
      <w:numPr>
        <w:ilvl w:val="4"/>
        <w:numId w:val="2"/>
      </w:numPr>
      <w:spacing w:before="240" w:after="60"/>
      <w:outlineLvl w:val="4"/>
    </w:pPr>
    <w:rPr>
      <w:b/>
      <w:bCs/>
      <w:i/>
      <w:iCs/>
      <w:sz w:val="26"/>
      <w:szCs w:val="26"/>
    </w:rPr>
  </w:style>
  <w:style w:type="paragraph" w:styleId="Heading6">
    <w:name w:val="heading 6"/>
    <w:basedOn w:val="Normal"/>
    <w:next w:val="Normal"/>
    <w:qFormat/>
    <w:rsid w:val="004F32DC"/>
    <w:pPr>
      <w:numPr>
        <w:ilvl w:val="5"/>
        <w:numId w:val="2"/>
      </w:numPr>
      <w:spacing w:before="240" w:after="60"/>
      <w:outlineLvl w:val="5"/>
    </w:pPr>
    <w:rPr>
      <w:b/>
      <w:bCs/>
      <w:sz w:val="22"/>
      <w:szCs w:val="22"/>
    </w:rPr>
  </w:style>
  <w:style w:type="paragraph" w:styleId="Heading7">
    <w:name w:val="heading 7"/>
    <w:basedOn w:val="Normal"/>
    <w:next w:val="Normal"/>
    <w:qFormat/>
    <w:rsid w:val="004F32DC"/>
    <w:pPr>
      <w:numPr>
        <w:ilvl w:val="6"/>
        <w:numId w:val="2"/>
      </w:numPr>
      <w:spacing w:before="240" w:after="60"/>
      <w:outlineLvl w:val="6"/>
    </w:pPr>
    <w:rPr>
      <w:sz w:val="24"/>
    </w:rPr>
  </w:style>
  <w:style w:type="paragraph" w:styleId="Heading8">
    <w:name w:val="heading 8"/>
    <w:basedOn w:val="Normal"/>
    <w:next w:val="Normal"/>
    <w:qFormat/>
    <w:rsid w:val="004F32DC"/>
    <w:pPr>
      <w:numPr>
        <w:ilvl w:val="7"/>
        <w:numId w:val="2"/>
      </w:numPr>
      <w:spacing w:before="240" w:after="60"/>
      <w:outlineLvl w:val="7"/>
    </w:pPr>
    <w:rPr>
      <w:i/>
      <w:iCs/>
      <w:sz w:val="24"/>
    </w:rPr>
  </w:style>
  <w:style w:type="paragraph" w:styleId="Heading9">
    <w:name w:val="heading 9"/>
    <w:basedOn w:val="Normal"/>
    <w:next w:val="Normal"/>
    <w:qFormat/>
    <w:rsid w:val="004F32DC"/>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CParagraph">
    <w:name w:val="ECC Paragraph"/>
    <w:basedOn w:val="Normal"/>
    <w:qFormat/>
    <w:rsid w:val="004E66F0"/>
    <w:pPr>
      <w:spacing w:after="240"/>
      <w:jc w:val="both"/>
    </w:pPr>
    <w:rPr>
      <w:lang w:val="en-GB"/>
    </w:rPr>
  </w:style>
  <w:style w:type="paragraph" w:customStyle="1" w:styleId="ECCParBulleted">
    <w:name w:val="ECC Par Bulleted"/>
    <w:basedOn w:val="ECCParagraph"/>
    <w:rsid w:val="006F49B0"/>
    <w:pPr>
      <w:numPr>
        <w:numId w:val="1"/>
      </w:numPr>
      <w:spacing w:after="0"/>
      <w:ind w:left="357" w:hanging="357"/>
    </w:pPr>
  </w:style>
  <w:style w:type="paragraph" w:styleId="Header">
    <w:name w:val="header"/>
    <w:basedOn w:val="Normal"/>
    <w:semiHidden/>
    <w:rsid w:val="00C95C7C"/>
    <w:pPr>
      <w:tabs>
        <w:tab w:val="center" w:pos="4320"/>
        <w:tab w:val="right" w:pos="8640"/>
      </w:tabs>
    </w:pPr>
    <w:rPr>
      <w:b/>
      <w:sz w:val="16"/>
    </w:rPr>
  </w:style>
  <w:style w:type="paragraph" w:styleId="Footer">
    <w:name w:val="footer"/>
    <w:basedOn w:val="Normal"/>
    <w:semiHidden/>
    <w:rsid w:val="0077244E"/>
    <w:pPr>
      <w:tabs>
        <w:tab w:val="center" w:pos="4320"/>
        <w:tab w:val="right" w:pos="8640"/>
      </w:tabs>
    </w:pPr>
  </w:style>
  <w:style w:type="paragraph" w:customStyle="1" w:styleId="ECCAnnex-heading1">
    <w:name w:val="ECC Annex - heading1"/>
    <w:basedOn w:val="Heading1"/>
    <w:next w:val="ECCParagraph"/>
    <w:qFormat/>
    <w:rsid w:val="00B671E0"/>
    <w:pPr>
      <w:numPr>
        <w:numId w:val="7"/>
      </w:numPr>
    </w:pPr>
  </w:style>
  <w:style w:type="paragraph" w:styleId="TOC1">
    <w:name w:val="toc 1"/>
    <w:basedOn w:val="Normal"/>
    <w:next w:val="Normal"/>
    <w:autoRedefine/>
    <w:semiHidden/>
    <w:rsid w:val="00EA7A83"/>
    <w:pPr>
      <w:tabs>
        <w:tab w:val="left" w:pos="360"/>
        <w:tab w:val="right" w:leader="dot" w:pos="9629"/>
      </w:tabs>
      <w:spacing w:before="240"/>
    </w:pPr>
    <w:rPr>
      <w:b/>
      <w:caps/>
    </w:rPr>
  </w:style>
  <w:style w:type="character" w:styleId="Hyperlink">
    <w:name w:val="Hyperlink"/>
    <w:basedOn w:val="DefaultParagraphFont"/>
    <w:semiHidden/>
    <w:rsid w:val="00A82384"/>
    <w:rPr>
      <w:color w:val="0000FF"/>
      <w:u w:val="single"/>
    </w:rPr>
  </w:style>
  <w:style w:type="paragraph" w:styleId="TOC2">
    <w:name w:val="toc 2"/>
    <w:basedOn w:val="Normal"/>
    <w:next w:val="Normal"/>
    <w:autoRedefine/>
    <w:semiHidden/>
    <w:rsid w:val="00EA7A83"/>
    <w:pPr>
      <w:tabs>
        <w:tab w:val="left" w:pos="900"/>
        <w:tab w:val="right" w:leader="dot" w:pos="9629"/>
      </w:tabs>
      <w:ind w:left="360"/>
    </w:pPr>
  </w:style>
  <w:style w:type="paragraph" w:styleId="TOC3">
    <w:name w:val="toc 3"/>
    <w:basedOn w:val="Normal"/>
    <w:next w:val="Normal"/>
    <w:autoRedefine/>
    <w:semiHidden/>
    <w:rsid w:val="00CF7259"/>
    <w:pPr>
      <w:tabs>
        <w:tab w:val="left" w:pos="1440"/>
        <w:tab w:val="right" w:leader="dot" w:pos="9629"/>
      </w:tabs>
      <w:ind w:left="900"/>
    </w:pPr>
  </w:style>
  <w:style w:type="paragraph" w:styleId="TOC4">
    <w:name w:val="toc 4"/>
    <w:basedOn w:val="Normal"/>
    <w:next w:val="Normal"/>
    <w:autoRedefine/>
    <w:semiHidden/>
    <w:rsid w:val="007D1E37"/>
    <w:pPr>
      <w:tabs>
        <w:tab w:val="left" w:pos="2340"/>
        <w:tab w:val="right" w:leader="dot" w:pos="9629"/>
      </w:tabs>
      <w:ind w:left="1440"/>
    </w:pPr>
    <w:rPr>
      <w:i/>
    </w:rPr>
  </w:style>
  <w:style w:type="table" w:styleId="TableGrid">
    <w:name w:val="Table Grid"/>
    <w:basedOn w:val="TableNormal"/>
    <w:semiHidden/>
    <w:rsid w:val="006F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CFiguretitle">
    <w:name w:val="ECC Figure title"/>
    <w:basedOn w:val="ECCParagraph"/>
    <w:next w:val="ECCParagraph"/>
    <w:rsid w:val="00C95C7C"/>
    <w:pPr>
      <w:numPr>
        <w:numId w:val="4"/>
      </w:numPr>
      <w:spacing w:before="240" w:after="480"/>
      <w:jc w:val="center"/>
    </w:pPr>
    <w:rPr>
      <w:b/>
      <w:color w:val="D2232A"/>
    </w:rPr>
  </w:style>
  <w:style w:type="paragraph" w:customStyle="1" w:styleId="ECCTabletitle">
    <w:name w:val="ECC Table title"/>
    <w:basedOn w:val="ECCFiguretitle"/>
    <w:next w:val="ECCParagraph"/>
    <w:autoRedefine/>
    <w:rsid w:val="00C95C7C"/>
    <w:pPr>
      <w:numPr>
        <w:numId w:val="3"/>
      </w:numPr>
      <w:spacing w:before="360" w:after="240"/>
    </w:pPr>
  </w:style>
  <w:style w:type="paragraph" w:customStyle="1" w:styleId="ECCFootnote">
    <w:name w:val="ECC Footnote"/>
    <w:basedOn w:val="Normal"/>
    <w:autoRedefine/>
    <w:rsid w:val="008935B9"/>
    <w:pPr>
      <w:ind w:left="454" w:hanging="454"/>
    </w:pPr>
    <w:rPr>
      <w:sz w:val="16"/>
    </w:rPr>
  </w:style>
  <w:style w:type="paragraph" w:styleId="FootnoteText">
    <w:name w:val="footnote text"/>
    <w:aliases w:val="ALTS FOOTNOTE,DNV-FT,Footnote Text Char1,Footnote Text Char Char1,Footnote Text Char4 Char Char,Footnote Text Char1 Char1 Char1 Char,Footnote Text Char Char1 Char1 Char Char"/>
    <w:basedOn w:val="Normal"/>
    <w:link w:val="FootnoteTextChar"/>
    <w:semiHidden/>
    <w:rsid w:val="008935B9"/>
    <w:rPr>
      <w:szCs w:val="20"/>
    </w:rPr>
  </w:style>
  <w:style w:type="character" w:styleId="FootnoteReference">
    <w:name w:val="footnote reference"/>
    <w:aliases w:val="Appel note de bas de p,Footnote Reference/"/>
    <w:basedOn w:val="DefaultParagraphFont"/>
    <w:semiHidden/>
    <w:rsid w:val="006C4FBD"/>
    <w:rPr>
      <w:rFonts w:ascii="Arial" w:hAnsi="Arial"/>
      <w:color w:val="D2232A"/>
      <w:vertAlign w:val="superscript"/>
    </w:rPr>
  </w:style>
  <w:style w:type="paragraph" w:customStyle="1" w:styleId="Text">
    <w:name w:val="Text"/>
    <w:basedOn w:val="Normal"/>
    <w:rsid w:val="001F7826"/>
    <w:pPr>
      <w:widowControl w:val="0"/>
      <w:autoSpaceDE w:val="0"/>
      <w:autoSpaceDN w:val="0"/>
      <w:spacing w:line="252" w:lineRule="auto"/>
      <w:ind w:firstLine="202"/>
      <w:jc w:val="both"/>
    </w:pPr>
    <w:rPr>
      <w:szCs w:val="20"/>
    </w:rPr>
  </w:style>
  <w:style w:type="paragraph" w:customStyle="1" w:styleId="ECCTablenote">
    <w:name w:val="ECC Table note"/>
    <w:basedOn w:val="ECCParagraph"/>
    <w:next w:val="ECCParagraph"/>
    <w:autoRedefine/>
    <w:rsid w:val="0031313E"/>
    <w:pPr>
      <w:spacing w:after="0"/>
      <w:ind w:left="284" w:hanging="284"/>
    </w:pPr>
    <w:rPr>
      <w:sz w:val="16"/>
      <w:szCs w:val="16"/>
    </w:rPr>
  </w:style>
  <w:style w:type="paragraph" w:customStyle="1" w:styleId="reference">
    <w:name w:val="reference"/>
    <w:basedOn w:val="Normal"/>
    <w:qFormat/>
    <w:rsid w:val="00A50B64"/>
    <w:pPr>
      <w:numPr>
        <w:numId w:val="6"/>
      </w:numPr>
    </w:pPr>
    <w:rPr>
      <w:lang w:eastAsia="ja-JP"/>
    </w:rPr>
  </w:style>
  <w:style w:type="paragraph" w:customStyle="1" w:styleId="ECCAnnexheading2">
    <w:name w:val="ECC Annex heading2"/>
    <w:basedOn w:val="Normal"/>
    <w:next w:val="ECCParagraph"/>
    <w:qFormat/>
    <w:rsid w:val="00C95C7C"/>
    <w:pPr>
      <w:numPr>
        <w:ilvl w:val="1"/>
        <w:numId w:val="7"/>
      </w:numPr>
      <w:overflowPunct w:val="0"/>
      <w:autoSpaceDE w:val="0"/>
      <w:autoSpaceDN w:val="0"/>
      <w:adjustRightInd w:val="0"/>
      <w:spacing w:before="480" w:after="240"/>
      <w:textAlignment w:val="baseline"/>
    </w:pPr>
    <w:rPr>
      <w:b/>
      <w:caps/>
    </w:rPr>
  </w:style>
  <w:style w:type="paragraph" w:customStyle="1" w:styleId="ECCAnnexheading3">
    <w:name w:val="ECC Annex heading3"/>
    <w:basedOn w:val="Normal"/>
    <w:next w:val="ECCParagraph"/>
    <w:qFormat/>
    <w:rsid w:val="00B0058C"/>
    <w:pPr>
      <w:numPr>
        <w:ilvl w:val="2"/>
        <w:numId w:val="7"/>
      </w:numPr>
      <w:overflowPunct w:val="0"/>
      <w:autoSpaceDE w:val="0"/>
      <w:autoSpaceDN w:val="0"/>
      <w:adjustRightInd w:val="0"/>
      <w:spacing w:before="360" w:after="120"/>
      <w:textAlignment w:val="baseline"/>
    </w:pPr>
    <w:rPr>
      <w:b/>
    </w:rPr>
  </w:style>
  <w:style w:type="paragraph" w:customStyle="1" w:styleId="ECCAnnexheading4">
    <w:name w:val="ECC Annex heading4"/>
    <w:basedOn w:val="Normal"/>
    <w:next w:val="ECCParagraph"/>
    <w:qFormat/>
    <w:rsid w:val="00C95C7C"/>
    <w:pPr>
      <w:numPr>
        <w:ilvl w:val="3"/>
        <w:numId w:val="7"/>
      </w:numPr>
      <w:overflowPunct w:val="0"/>
      <w:autoSpaceDE w:val="0"/>
      <w:autoSpaceDN w:val="0"/>
      <w:adjustRightInd w:val="0"/>
      <w:spacing w:before="360" w:after="120"/>
      <w:textAlignment w:val="baseline"/>
    </w:pPr>
    <w:rPr>
      <w:i/>
      <w:color w:val="D2232A"/>
    </w:rPr>
  </w:style>
  <w:style w:type="paragraph" w:customStyle="1" w:styleId="Lastupdated">
    <w:name w:val="Last updated"/>
    <w:basedOn w:val="Normal"/>
    <w:rsid w:val="006C4FBD"/>
    <w:pPr>
      <w:spacing w:before="120" w:after="120"/>
      <w:ind w:left="3402"/>
    </w:pPr>
    <w:rPr>
      <w:bCs/>
      <w:sz w:val="18"/>
    </w:rPr>
  </w:style>
  <w:style w:type="paragraph" w:customStyle="1" w:styleId="Reporttitledescription">
    <w:name w:val="Report title/description"/>
    <w:basedOn w:val="Normal"/>
    <w:rsid w:val="00C95C7C"/>
    <w:pPr>
      <w:spacing w:before="600" w:line="288" w:lineRule="auto"/>
      <w:ind w:left="3402"/>
    </w:pPr>
    <w:rPr>
      <w:sz w:val="24"/>
    </w:rPr>
  </w:style>
  <w:style w:type="paragraph" w:customStyle="1" w:styleId="LetteredList">
    <w:name w:val="Lettered List"/>
    <w:basedOn w:val="Normal"/>
    <w:rsid w:val="00E258D0"/>
    <w:pPr>
      <w:numPr>
        <w:numId w:val="37"/>
      </w:numPr>
      <w:spacing w:after="120"/>
      <w:jc w:val="both"/>
    </w:pPr>
  </w:style>
  <w:style w:type="paragraph" w:styleId="BalloonText">
    <w:name w:val="Balloon Text"/>
    <w:basedOn w:val="Normal"/>
    <w:link w:val="BalloonTextChar"/>
    <w:uiPriority w:val="99"/>
    <w:semiHidden/>
    <w:unhideWhenUsed/>
    <w:rsid w:val="00FD3FA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D3FA4"/>
    <w:rPr>
      <w:rFonts w:ascii="Lucida Grande" w:hAnsi="Lucida Grande" w:cs="Lucida Grande"/>
      <w:sz w:val="18"/>
      <w:szCs w:val="18"/>
      <w:lang w:val="en-US"/>
    </w:rPr>
  </w:style>
  <w:style w:type="paragraph" w:customStyle="1" w:styleId="NumberedList">
    <w:name w:val="Numbered List"/>
    <w:basedOn w:val="ECCParagraph"/>
    <w:rsid w:val="00D37EE3"/>
    <w:pPr>
      <w:numPr>
        <w:numId w:val="42"/>
      </w:numPr>
    </w:pPr>
  </w:style>
  <w:style w:type="paragraph" w:styleId="Caption">
    <w:name w:val="caption"/>
    <w:basedOn w:val="Normal"/>
    <w:next w:val="Normal"/>
    <w:uiPriority w:val="35"/>
    <w:semiHidden/>
    <w:unhideWhenUsed/>
    <w:qFormat/>
    <w:rsid w:val="00BD7E2C"/>
    <w:pPr>
      <w:spacing w:before="240" w:after="240"/>
      <w:jc w:val="center"/>
    </w:pPr>
    <w:rPr>
      <w:b/>
      <w:bCs/>
      <w:color w:val="D2232A"/>
      <w:szCs w:val="20"/>
    </w:rPr>
  </w:style>
  <w:style w:type="character" w:customStyle="1" w:styleId="FootnoteTextChar">
    <w:name w:val="Footnote Text Char"/>
    <w:aliases w:val="ALTS FOOTNOTE Char,DNV-FT Char,Footnote Text Char1 Char,Footnote Text Char Char1 Char,Footnote Text Char4 Char Char Char,Footnote Text Char1 Char1 Char1 Char Char,Footnote Text Char Char1 Char1 Char Char Char"/>
    <w:basedOn w:val="DefaultParagraphFont"/>
    <w:link w:val="FootnoteText"/>
    <w:semiHidden/>
    <w:rsid w:val="00CB5128"/>
    <w:rPr>
      <w:rFonts w:ascii="Arial" w:hAnsi="Arial"/>
      <w:lang w:val="en-US"/>
    </w:rPr>
  </w:style>
  <w:style w:type="character" w:styleId="CommentReference">
    <w:name w:val="annotation reference"/>
    <w:basedOn w:val="DefaultParagraphFont"/>
    <w:uiPriority w:val="99"/>
    <w:semiHidden/>
    <w:unhideWhenUsed/>
    <w:rsid w:val="001B74FF"/>
    <w:rPr>
      <w:sz w:val="16"/>
      <w:szCs w:val="16"/>
    </w:rPr>
  </w:style>
  <w:style w:type="paragraph" w:styleId="CommentText">
    <w:name w:val="annotation text"/>
    <w:basedOn w:val="Normal"/>
    <w:link w:val="CommentTextChar"/>
    <w:uiPriority w:val="99"/>
    <w:unhideWhenUsed/>
    <w:rsid w:val="001B74FF"/>
    <w:rPr>
      <w:szCs w:val="20"/>
    </w:rPr>
  </w:style>
  <w:style w:type="character" w:customStyle="1" w:styleId="CommentTextChar">
    <w:name w:val="Comment Text Char"/>
    <w:basedOn w:val="DefaultParagraphFont"/>
    <w:link w:val="CommentText"/>
    <w:uiPriority w:val="99"/>
    <w:rsid w:val="001B74FF"/>
    <w:rPr>
      <w:rFonts w:ascii="Arial" w:hAnsi="Arial"/>
      <w:lang w:val="en-US"/>
    </w:rPr>
  </w:style>
  <w:style w:type="paragraph" w:styleId="CommentSubject">
    <w:name w:val="annotation subject"/>
    <w:basedOn w:val="CommentText"/>
    <w:next w:val="CommentText"/>
    <w:link w:val="CommentSubjectChar"/>
    <w:uiPriority w:val="99"/>
    <w:semiHidden/>
    <w:unhideWhenUsed/>
    <w:rsid w:val="001B74FF"/>
    <w:rPr>
      <w:b/>
      <w:bCs/>
    </w:rPr>
  </w:style>
  <w:style w:type="character" w:customStyle="1" w:styleId="CommentSubjectChar">
    <w:name w:val="Comment Subject Char"/>
    <w:basedOn w:val="CommentTextChar"/>
    <w:link w:val="CommentSubject"/>
    <w:uiPriority w:val="99"/>
    <w:semiHidden/>
    <w:rsid w:val="001B74FF"/>
    <w:rPr>
      <w:rFonts w:ascii="Arial" w:hAnsi="Arial"/>
      <w:b/>
      <w:bCs/>
      <w:lang w:val="en-US"/>
    </w:rPr>
  </w:style>
  <w:style w:type="paragraph" w:styleId="Revision">
    <w:name w:val="Revision"/>
    <w:hidden/>
    <w:uiPriority w:val="99"/>
    <w:semiHidden/>
    <w:rsid w:val="00C94603"/>
    <w:rPr>
      <w:rFonts w:ascii="Arial" w:hAnsi="Arial"/>
      <w:szCs w:val="24"/>
      <w:lang w:val="en-US"/>
    </w:rPr>
  </w:style>
  <w:style w:type="numbering" w:customStyle="1" w:styleId="Letteredlist0">
    <w:name w:val="Lettered list"/>
    <w:rsid w:val="007116CB"/>
    <w:pPr>
      <w:numPr>
        <w:numId w:val="43"/>
      </w:numPr>
    </w:pPr>
  </w:style>
  <w:style w:type="character" w:styleId="UnresolvedMention">
    <w:name w:val="Unresolved Mention"/>
    <w:basedOn w:val="DefaultParagraphFont"/>
    <w:uiPriority w:val="99"/>
    <w:semiHidden/>
    <w:unhideWhenUsed/>
    <w:rsid w:val="001A50A6"/>
    <w:rPr>
      <w:color w:val="605E5C"/>
      <w:shd w:val="clear" w:color="auto" w:fill="E1DFDD"/>
    </w:rPr>
  </w:style>
  <w:style w:type="paragraph" w:customStyle="1" w:styleId="WGNNA-bulleted">
    <w:name w:val="WGNNA-bulleted"/>
    <w:basedOn w:val="Normal"/>
    <w:rsid w:val="0016765E"/>
    <w:pPr>
      <w:numPr>
        <w:numId w:val="47"/>
      </w:numPr>
      <w:spacing w:after="120"/>
      <w:jc w:val="both"/>
    </w:pPr>
    <w:rPr>
      <w:rFonts w:ascii="Times New Roman" w:hAnsi="Times New Roman"/>
      <w:sz w:val="24"/>
      <w:lang w:val="fr-FR" w:eastAsia="fr-FR"/>
    </w:rPr>
  </w:style>
  <w:style w:type="table" w:customStyle="1" w:styleId="ECCTable-redheader">
    <w:name w:val="ECC Table - red header"/>
    <w:basedOn w:val="TableNormal"/>
    <w:uiPriority w:val="99"/>
    <w:qFormat/>
    <w:rsid w:val="0016765E"/>
    <w:pPr>
      <w:spacing w:before="60" w:after="60"/>
      <w:jc w:val="both"/>
    </w:pPr>
    <w:rPr>
      <w:rFonts w:ascii="Arial" w:eastAsia="Calibri" w:hAnsi="Arial"/>
      <w:lang w:val="de-DE" w:eastAsia="de-DE"/>
    </w:rPr>
    <w:tblPr>
      <w:tblStyleRowBandSize w:val="1"/>
      <w:jc w:val="center"/>
      <w:tblInd w:w="0" w:type="nil"/>
      <w:tblBorders>
        <w:top w:val="single" w:sz="4" w:space="0" w:color="D22A23"/>
        <w:left w:val="single" w:sz="4" w:space="0" w:color="D22A23"/>
        <w:bottom w:val="single" w:sz="4" w:space="0" w:color="D22A23"/>
        <w:right w:val="single" w:sz="4" w:space="0" w:color="D22A23"/>
        <w:insideH w:val="single" w:sz="4" w:space="0" w:color="D22A23"/>
        <w:insideV w:val="single" w:sz="4" w:space="0" w:color="D22A23"/>
      </w:tblBorders>
      <w:tblCellMar>
        <w:top w:w="57" w:type="dxa"/>
      </w:tblCellMar>
    </w:tblPr>
    <w:trPr>
      <w:jc w:val="center"/>
    </w:trPr>
    <w:tcPr>
      <w:vAlign w:val="center"/>
    </w:tcPr>
    <w:tblStylePr w:type="firstRow">
      <w:pPr>
        <w:wordWrap/>
        <w:spacing w:beforeLines="0" w:before="120" w:beforeAutospacing="0" w:afterLines="0" w:after="120" w:afterAutospacing="0" w:line="240" w:lineRule="auto"/>
        <w:jc w:val="center"/>
      </w:pPr>
      <w:rPr>
        <w:b/>
        <w:i w:val="0"/>
        <w:color w:val="FFFFFF" w:themeColor="background1"/>
      </w:rPr>
      <w:tblPr/>
      <w:trPr>
        <w:tblHeader/>
      </w:trPr>
      <w:tcPr>
        <w:tcBorders>
          <w:top w:val="single" w:sz="4" w:space="0" w:color="D22A23"/>
          <w:left w:val="single" w:sz="4" w:space="0" w:color="D22A23"/>
          <w:bottom w:val="single" w:sz="4" w:space="0" w:color="D22A23"/>
          <w:right w:val="single" w:sz="4" w:space="0" w:color="D22A23"/>
          <w:insideH w:val="nil"/>
          <w:insideV w:val="single" w:sz="4" w:space="0" w:color="FFFFFF" w:themeColor="background1"/>
          <w:tl2br w:val="nil"/>
          <w:tr2bl w:val="nil"/>
        </w:tcBorders>
        <w:shd w:val="clear" w:color="auto" w:fill="D22A23"/>
      </w:tcPr>
    </w:tblStylePr>
  </w:style>
  <w:style w:type="character" w:styleId="FollowedHyperlink">
    <w:name w:val="FollowedHyperlink"/>
    <w:basedOn w:val="DefaultParagraphFont"/>
    <w:uiPriority w:val="99"/>
    <w:semiHidden/>
    <w:unhideWhenUsed/>
    <w:rsid w:val="00ED3964"/>
    <w:rPr>
      <w:color w:val="800080" w:themeColor="followedHyperlink"/>
      <w:u w:val="single"/>
    </w:rPr>
  </w:style>
  <w:style w:type="character" w:styleId="Mention">
    <w:name w:val="Mention"/>
    <w:basedOn w:val="DefaultParagraphFont"/>
    <w:uiPriority w:val="99"/>
    <w:unhideWhenUsed/>
    <w:rsid w:val="00E2294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cdb.cept.org/"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3A689-C343-47B3-9A0F-622E334AC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2078</Words>
  <Characters>11518</Characters>
  <Application>Microsoft Office Word</Application>
  <DocSecurity>0</DocSecurity>
  <Lines>205</Lines>
  <Paragraphs>93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Draft revision of ECC Recommendation (08)01</vt:lpstr>
      <vt:lpstr>Draft revision of ECC Recommendation (08)01</vt:lpstr>
    </vt:vector>
  </TitlesOfParts>
  <Company/>
  <LinksUpToDate>false</LinksUpToDate>
  <CharactersWithSpaces>13503</CharactersWithSpaces>
  <SharedDoc>false</SharedDoc>
  <HLinks>
    <vt:vector size="168" baseType="variant">
      <vt:variant>
        <vt:i4>3211391</vt:i4>
      </vt:variant>
      <vt:variant>
        <vt:i4>189</vt:i4>
      </vt:variant>
      <vt:variant>
        <vt:i4>0</vt:i4>
      </vt:variant>
      <vt:variant>
        <vt:i4>5</vt:i4>
      </vt:variant>
      <vt:variant>
        <vt:lpwstr>https://docdb.cept.org/document/178</vt:lpwstr>
      </vt:variant>
      <vt:variant>
        <vt:lpwstr/>
      </vt:variant>
      <vt:variant>
        <vt:i4>4063354</vt:i4>
      </vt:variant>
      <vt:variant>
        <vt:i4>186</vt:i4>
      </vt:variant>
      <vt:variant>
        <vt:i4>0</vt:i4>
      </vt:variant>
      <vt:variant>
        <vt:i4>5</vt:i4>
      </vt:variant>
      <vt:variant>
        <vt:lpwstr>https://docdb.cept.org/document/484</vt:lpwstr>
      </vt:variant>
      <vt:variant>
        <vt:lpwstr/>
      </vt:variant>
      <vt:variant>
        <vt:i4>3276918</vt:i4>
      </vt:variant>
      <vt:variant>
        <vt:i4>183</vt:i4>
      </vt:variant>
      <vt:variant>
        <vt:i4>0</vt:i4>
      </vt:variant>
      <vt:variant>
        <vt:i4>5</vt:i4>
      </vt:variant>
      <vt:variant>
        <vt:lpwstr>https://docdb.cept.org/document/845</vt:lpwstr>
      </vt:variant>
      <vt:variant>
        <vt:lpwstr/>
      </vt:variant>
      <vt:variant>
        <vt:i4>3604604</vt:i4>
      </vt:variant>
      <vt:variant>
        <vt:i4>177</vt:i4>
      </vt:variant>
      <vt:variant>
        <vt:i4>0</vt:i4>
      </vt:variant>
      <vt:variant>
        <vt:i4>5</vt:i4>
      </vt:variant>
      <vt:variant>
        <vt:lpwstr>https://docdb.cept.org/document/218</vt:lpwstr>
      </vt:variant>
      <vt:variant>
        <vt:lpwstr/>
      </vt:variant>
      <vt:variant>
        <vt:i4>3604604</vt:i4>
      </vt:variant>
      <vt:variant>
        <vt:i4>174</vt:i4>
      </vt:variant>
      <vt:variant>
        <vt:i4>0</vt:i4>
      </vt:variant>
      <vt:variant>
        <vt:i4>5</vt:i4>
      </vt:variant>
      <vt:variant>
        <vt:lpwstr>https://docdb.cept.org/document/217</vt:lpwstr>
      </vt:variant>
      <vt:variant>
        <vt:lpwstr/>
      </vt:variant>
      <vt:variant>
        <vt:i4>393287</vt:i4>
      </vt:variant>
      <vt:variant>
        <vt:i4>171</vt:i4>
      </vt:variant>
      <vt:variant>
        <vt:i4>0</vt:i4>
      </vt:variant>
      <vt:variant>
        <vt:i4>5</vt:i4>
      </vt:variant>
      <vt:variant>
        <vt:lpwstr>https://docdb.cept.org/document/8212</vt:lpwstr>
      </vt:variant>
      <vt:variant>
        <vt:lpwstr/>
      </vt:variant>
      <vt:variant>
        <vt:i4>262215</vt:i4>
      </vt:variant>
      <vt:variant>
        <vt:i4>168</vt:i4>
      </vt:variant>
      <vt:variant>
        <vt:i4>0</vt:i4>
      </vt:variant>
      <vt:variant>
        <vt:i4>5</vt:i4>
      </vt:variant>
      <vt:variant>
        <vt:lpwstr>https://docdb.cept.org/document/8210</vt:lpwstr>
      </vt:variant>
      <vt:variant>
        <vt:lpwstr/>
      </vt:variant>
      <vt:variant>
        <vt:i4>3473533</vt:i4>
      </vt:variant>
      <vt:variant>
        <vt:i4>165</vt:i4>
      </vt:variant>
      <vt:variant>
        <vt:i4>0</vt:i4>
      </vt:variant>
      <vt:variant>
        <vt:i4>5</vt:i4>
      </vt:variant>
      <vt:variant>
        <vt:lpwstr>https://docdb.cept.org/document/334</vt:lpwstr>
      </vt:variant>
      <vt:variant>
        <vt:lpwstr/>
      </vt:variant>
      <vt:variant>
        <vt:i4>3539068</vt:i4>
      </vt:variant>
      <vt:variant>
        <vt:i4>162</vt:i4>
      </vt:variant>
      <vt:variant>
        <vt:i4>0</vt:i4>
      </vt:variant>
      <vt:variant>
        <vt:i4>5</vt:i4>
      </vt:variant>
      <vt:variant>
        <vt:lpwstr>https://docdb.cept.org/document/209</vt:lpwstr>
      </vt:variant>
      <vt:variant>
        <vt:lpwstr/>
      </vt:variant>
      <vt:variant>
        <vt:i4>3604602</vt:i4>
      </vt:variant>
      <vt:variant>
        <vt:i4>159</vt:i4>
      </vt:variant>
      <vt:variant>
        <vt:i4>0</vt:i4>
      </vt:variant>
      <vt:variant>
        <vt:i4>5</vt:i4>
      </vt:variant>
      <vt:variant>
        <vt:lpwstr>https://docdb.cept.org/document/412</vt:lpwstr>
      </vt:variant>
      <vt:variant>
        <vt:lpwstr/>
      </vt:variant>
      <vt:variant>
        <vt:i4>2949226</vt:i4>
      </vt:variant>
      <vt:variant>
        <vt:i4>150</vt:i4>
      </vt:variant>
      <vt:variant>
        <vt:i4>0</vt:i4>
      </vt:variant>
      <vt:variant>
        <vt:i4>5</vt:i4>
      </vt:variant>
      <vt:variant>
        <vt:lpwstr>https://docdb.cept.org/</vt:lpwstr>
      </vt:variant>
      <vt:variant>
        <vt:lpwstr/>
      </vt:variant>
      <vt:variant>
        <vt:i4>65588</vt:i4>
      </vt:variant>
      <vt:variant>
        <vt:i4>48</vt:i4>
      </vt:variant>
      <vt:variant>
        <vt:i4>0</vt:i4>
      </vt:variant>
      <vt:variant>
        <vt:i4>5</vt:i4>
      </vt:variant>
      <vt:variant>
        <vt:lpwstr>mailto:anne-dorthe.hjelm.christensen@eco.cept.org</vt:lpwstr>
      </vt:variant>
      <vt:variant>
        <vt:lpwstr/>
      </vt:variant>
      <vt:variant>
        <vt:i4>65588</vt:i4>
      </vt:variant>
      <vt:variant>
        <vt:i4>45</vt:i4>
      </vt:variant>
      <vt:variant>
        <vt:i4>0</vt:i4>
      </vt:variant>
      <vt:variant>
        <vt:i4>5</vt:i4>
      </vt:variant>
      <vt:variant>
        <vt:lpwstr>mailto:anne-dorthe.hjelm.christensen@eco.cept.org</vt:lpwstr>
      </vt:variant>
      <vt:variant>
        <vt:lpwstr/>
      </vt:variant>
      <vt:variant>
        <vt:i4>7864402</vt:i4>
      </vt:variant>
      <vt:variant>
        <vt:i4>42</vt:i4>
      </vt:variant>
      <vt:variant>
        <vt:i4>0</vt:i4>
      </vt:variant>
      <vt:variant>
        <vt:i4>5</vt:i4>
      </vt:variant>
      <vt:variant>
        <vt:lpwstr>mailto:Doriana.Guiducci@eco.cept.org</vt:lpwstr>
      </vt:variant>
      <vt:variant>
        <vt:lpwstr/>
      </vt:variant>
      <vt:variant>
        <vt:i4>65588</vt:i4>
      </vt:variant>
      <vt:variant>
        <vt:i4>39</vt:i4>
      </vt:variant>
      <vt:variant>
        <vt:i4>0</vt:i4>
      </vt:variant>
      <vt:variant>
        <vt:i4>5</vt:i4>
      </vt:variant>
      <vt:variant>
        <vt:lpwstr>mailto:anne-dorthe.hjelm.christensen@eco.cept.org</vt:lpwstr>
      </vt:variant>
      <vt:variant>
        <vt:lpwstr/>
      </vt:variant>
      <vt:variant>
        <vt:i4>7864402</vt:i4>
      </vt:variant>
      <vt:variant>
        <vt:i4>36</vt:i4>
      </vt:variant>
      <vt:variant>
        <vt:i4>0</vt:i4>
      </vt:variant>
      <vt:variant>
        <vt:i4>5</vt:i4>
      </vt:variant>
      <vt:variant>
        <vt:lpwstr>mailto:Doriana.Guiducci@eco.cept.org</vt:lpwstr>
      </vt:variant>
      <vt:variant>
        <vt:lpwstr/>
      </vt:variant>
      <vt:variant>
        <vt:i4>65588</vt:i4>
      </vt:variant>
      <vt:variant>
        <vt:i4>33</vt:i4>
      </vt:variant>
      <vt:variant>
        <vt:i4>0</vt:i4>
      </vt:variant>
      <vt:variant>
        <vt:i4>5</vt:i4>
      </vt:variant>
      <vt:variant>
        <vt:lpwstr>mailto:anne-dorthe.hjelm.christensen@eco.cept.org</vt:lpwstr>
      </vt:variant>
      <vt:variant>
        <vt:lpwstr/>
      </vt:variant>
      <vt:variant>
        <vt:i4>7864402</vt:i4>
      </vt:variant>
      <vt:variant>
        <vt:i4>30</vt:i4>
      </vt:variant>
      <vt:variant>
        <vt:i4>0</vt:i4>
      </vt:variant>
      <vt:variant>
        <vt:i4>5</vt:i4>
      </vt:variant>
      <vt:variant>
        <vt:lpwstr>mailto:Doriana.Guiducci@eco.cept.org</vt:lpwstr>
      </vt:variant>
      <vt:variant>
        <vt:lpwstr/>
      </vt:variant>
      <vt:variant>
        <vt:i4>65588</vt:i4>
      </vt:variant>
      <vt:variant>
        <vt:i4>27</vt:i4>
      </vt:variant>
      <vt:variant>
        <vt:i4>0</vt:i4>
      </vt:variant>
      <vt:variant>
        <vt:i4>5</vt:i4>
      </vt:variant>
      <vt:variant>
        <vt:lpwstr>mailto:anne-dorthe.hjelm.christensen@eco.cept.org</vt:lpwstr>
      </vt:variant>
      <vt:variant>
        <vt:lpwstr/>
      </vt:variant>
      <vt:variant>
        <vt:i4>7864402</vt:i4>
      </vt:variant>
      <vt:variant>
        <vt:i4>24</vt:i4>
      </vt:variant>
      <vt:variant>
        <vt:i4>0</vt:i4>
      </vt:variant>
      <vt:variant>
        <vt:i4>5</vt:i4>
      </vt:variant>
      <vt:variant>
        <vt:lpwstr>mailto:Doriana.Guiducci@eco.cept.org</vt:lpwstr>
      </vt:variant>
      <vt:variant>
        <vt:lpwstr/>
      </vt:variant>
      <vt:variant>
        <vt:i4>65588</vt:i4>
      </vt:variant>
      <vt:variant>
        <vt:i4>21</vt:i4>
      </vt:variant>
      <vt:variant>
        <vt:i4>0</vt:i4>
      </vt:variant>
      <vt:variant>
        <vt:i4>5</vt:i4>
      </vt:variant>
      <vt:variant>
        <vt:lpwstr>mailto:anne-dorthe.hjelm.christensen@eco.cept.org</vt:lpwstr>
      </vt:variant>
      <vt:variant>
        <vt:lpwstr/>
      </vt:variant>
      <vt:variant>
        <vt:i4>7864402</vt:i4>
      </vt:variant>
      <vt:variant>
        <vt:i4>18</vt:i4>
      </vt:variant>
      <vt:variant>
        <vt:i4>0</vt:i4>
      </vt:variant>
      <vt:variant>
        <vt:i4>5</vt:i4>
      </vt:variant>
      <vt:variant>
        <vt:lpwstr>mailto:Doriana.Guiducci@eco.cept.org</vt:lpwstr>
      </vt:variant>
      <vt:variant>
        <vt:lpwstr/>
      </vt:variant>
      <vt:variant>
        <vt:i4>65588</vt:i4>
      </vt:variant>
      <vt:variant>
        <vt:i4>15</vt:i4>
      </vt:variant>
      <vt:variant>
        <vt:i4>0</vt:i4>
      </vt:variant>
      <vt:variant>
        <vt:i4>5</vt:i4>
      </vt:variant>
      <vt:variant>
        <vt:lpwstr>mailto:anne-dorthe.hjelm.christensen@eco.cept.org</vt:lpwstr>
      </vt:variant>
      <vt:variant>
        <vt:lpwstr/>
      </vt:variant>
      <vt:variant>
        <vt:i4>7864402</vt:i4>
      </vt:variant>
      <vt:variant>
        <vt:i4>12</vt:i4>
      </vt:variant>
      <vt:variant>
        <vt:i4>0</vt:i4>
      </vt:variant>
      <vt:variant>
        <vt:i4>5</vt:i4>
      </vt:variant>
      <vt:variant>
        <vt:lpwstr>mailto:Doriana.Guiducci@eco.cept.org</vt:lpwstr>
      </vt:variant>
      <vt:variant>
        <vt:lpwstr/>
      </vt:variant>
      <vt:variant>
        <vt:i4>7864402</vt:i4>
      </vt:variant>
      <vt:variant>
        <vt:i4>9</vt:i4>
      </vt:variant>
      <vt:variant>
        <vt:i4>0</vt:i4>
      </vt:variant>
      <vt:variant>
        <vt:i4>5</vt:i4>
      </vt:variant>
      <vt:variant>
        <vt:lpwstr>mailto:Doriana.Guiducci@eco.cept.org</vt:lpwstr>
      </vt:variant>
      <vt:variant>
        <vt:lpwstr/>
      </vt:variant>
      <vt:variant>
        <vt:i4>65588</vt:i4>
      </vt:variant>
      <vt:variant>
        <vt:i4>6</vt:i4>
      </vt:variant>
      <vt:variant>
        <vt:i4>0</vt:i4>
      </vt:variant>
      <vt:variant>
        <vt:i4>5</vt:i4>
      </vt:variant>
      <vt:variant>
        <vt:lpwstr>mailto:anne-dorthe.hjelm.christensen@eco.cept.org</vt:lpwstr>
      </vt:variant>
      <vt:variant>
        <vt:lpwstr/>
      </vt:variant>
      <vt:variant>
        <vt:i4>3538985</vt:i4>
      </vt:variant>
      <vt:variant>
        <vt:i4>3</vt:i4>
      </vt:variant>
      <vt:variant>
        <vt:i4>0</vt:i4>
      </vt:variant>
      <vt:variant>
        <vt:i4>5</vt:i4>
      </vt:variant>
      <vt:variant>
        <vt:lpwstr>https://efis.cept.org/matrixviewer.jsp?annex=8</vt:lpwstr>
      </vt:variant>
      <vt:variant>
        <vt:lpwstr/>
      </vt:variant>
      <vt:variant>
        <vt:i4>4980760</vt:i4>
      </vt:variant>
      <vt:variant>
        <vt:i4>0</vt:i4>
      </vt:variant>
      <vt:variant>
        <vt:i4>0</vt:i4>
      </vt:variant>
      <vt:variant>
        <vt:i4>5</vt:i4>
      </vt:variant>
      <vt:variant>
        <vt:lpwstr>https://docdb.cept.org/implementation/984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 Recommendation (08)01</dc:title>
  <dc:subject/>
  <dc:creator>ECC</dc:creator>
  <cp:keywords>ECC Recommendation (08)01</cp:keywords>
  <dc:description/>
  <cp:lastModifiedBy>ECO</cp:lastModifiedBy>
  <cp:revision>4</cp:revision>
  <dcterms:created xsi:type="dcterms:W3CDTF">2025-07-04T11:34:00Z</dcterms:created>
  <dcterms:modified xsi:type="dcterms:W3CDTF">2025-07-04T11:36:00Z</dcterms:modified>
</cp:coreProperties>
</file>