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1DA" w14:textId="77777777" w:rsidR="00680791" w:rsidRPr="00DB0657" w:rsidRDefault="00680791">
      <w:pPr>
        <w:pStyle w:val="Heading4"/>
        <w:numPr>
          <w:ilvl w:val="0"/>
          <w:numId w:val="0"/>
        </w:numPr>
        <w:rPr>
          <w:lang w:val="en-GB"/>
        </w:rPr>
      </w:pPr>
    </w:p>
    <w:p w14:paraId="38FF7E9B" w14:textId="6196412C" w:rsidR="00680791" w:rsidRPr="00DB0657" w:rsidRDefault="00680791">
      <w:pPr>
        <w:rPr>
          <w:lang w:val="en-GB"/>
        </w:rPr>
      </w:pPr>
    </w:p>
    <w:p w14:paraId="3CA8DABF" w14:textId="77777777" w:rsidR="00680791" w:rsidRPr="009A649A" w:rsidRDefault="00D5116C">
      <w:pPr>
        <w:jc w:val="center"/>
        <w:rPr>
          <w:b/>
          <w:sz w:val="24"/>
          <w:lang w:val="en-GB"/>
        </w:rPr>
      </w:pPr>
      <w:r w:rsidRPr="009A649A">
        <w:rPr>
          <w:b/>
          <w:noProof/>
          <w:sz w:val="24"/>
          <w:lang w:val="en-GB"/>
        </w:rPr>
        <mc:AlternateContent>
          <mc:Choice Requires="wpg">
            <w:drawing>
              <wp:anchor distT="0" distB="0" distL="0" distR="0" simplePos="0" relativeHeight="12" behindDoc="0" locked="0" layoutInCell="1" allowOverlap="1" wp14:anchorId="5C397F9B" wp14:editId="24E14709">
                <wp:simplePos x="0" y="0"/>
                <wp:positionH relativeFrom="column">
                  <wp:posOffset>-720090</wp:posOffset>
                </wp:positionH>
                <wp:positionV relativeFrom="paragraph">
                  <wp:posOffset>69850</wp:posOffset>
                </wp:positionV>
                <wp:extent cx="7562215" cy="8267065"/>
                <wp:effectExtent l="0" t="0" r="0" b="0"/>
                <wp:wrapNone/>
                <wp:docPr id="1" name="Group 31"/>
                <wp:cNvGraphicFramePr/>
                <a:graphic xmlns:a="http://schemas.openxmlformats.org/drawingml/2006/main">
                  <a:graphicData uri="http://schemas.microsoft.com/office/word/2010/wordprocessingGroup">
                    <wpg:wgp>
                      <wpg:cNvGrpSpPr/>
                      <wpg:grpSpPr>
                        <a:xfrm>
                          <a:off x="0" y="0"/>
                          <a:ext cx="7562160" cy="8267040"/>
                          <a:chOff x="0" y="0"/>
                          <a:chExt cx="7562160" cy="8267040"/>
                        </a:xfrm>
                      </wpg:grpSpPr>
                      <wps:wsp>
                        <wps:cNvPr id="2" name="Rectangle 8"/>
                        <wps:cNvSpPr/>
                        <wps:spPr>
                          <a:xfrm>
                            <a:off x="3960" y="8089200"/>
                            <a:ext cx="7558560" cy="177840"/>
                          </a:xfrm>
                          <a:prstGeom prst="rect">
                            <a:avLst/>
                          </a:prstGeom>
                          <a:solidFill>
                            <a:srgbClr val="57433E"/>
                          </a:solidFill>
                          <a:ln w="0">
                            <a:noFill/>
                          </a:ln>
                        </wps:spPr>
                        <wps:style>
                          <a:lnRef idx="0">
                            <a:scrgbClr r="0" g="0" b="0"/>
                          </a:lnRef>
                          <a:fillRef idx="0">
                            <a:scrgbClr r="0" g="0" b="0"/>
                          </a:fillRef>
                          <a:effectRef idx="0">
                            <a:scrgbClr r="0" g="0" b="0"/>
                          </a:effectRef>
                          <a:fontRef idx="minor"/>
                        </wps:style>
                        <wps:bodyPr/>
                      </wps:wsp>
                      <wps:wsp>
                        <wps:cNvPr id="3" name="Text Box 9"/>
                        <wps:cNvSpPr/>
                        <wps:spPr>
                          <a:xfrm>
                            <a:off x="0" y="0"/>
                            <a:ext cx="7558560" cy="1626120"/>
                          </a:xfrm>
                          <a:prstGeom prst="rect">
                            <a:avLst/>
                          </a:prstGeom>
                          <a:solidFill>
                            <a:srgbClr val="57433E"/>
                          </a:solidFill>
                          <a:ln w="0">
                            <a:noFill/>
                          </a:ln>
                        </wps:spPr>
                        <wps:style>
                          <a:lnRef idx="0">
                            <a:scrgbClr r="0" g="0" b="0"/>
                          </a:lnRef>
                          <a:fillRef idx="0">
                            <a:scrgbClr r="0" g="0" b="0"/>
                          </a:fillRef>
                          <a:effectRef idx="0">
                            <a:scrgbClr r="0" g="0" b="0"/>
                          </a:effectRef>
                          <a:fontRef idx="minor"/>
                        </wps:style>
                        <wps:txbx>
                          <w:txbxContent>
                            <w:p w14:paraId="1D1B9EE4" w14:textId="5FA277C2" w:rsidR="00680791" w:rsidRDefault="00D5116C">
                              <w:pPr>
                                <w:rPr>
                                  <w:color w:val="FFFFFF"/>
                                  <w:sz w:val="68"/>
                                </w:rPr>
                              </w:pPr>
                              <w:r>
                                <w:rPr>
                                  <w:color w:val="FFFFFF"/>
                                  <w:sz w:val="68"/>
                                </w:rPr>
                                <w:t xml:space="preserve">ECC Recommendation </w:t>
                              </w:r>
                              <w:r>
                                <w:rPr>
                                  <w:color w:val="887E6E"/>
                                  <w:sz w:val="68"/>
                                </w:rPr>
                                <w:t>(</w:t>
                              </w:r>
                              <w:r w:rsidR="00FD1FB0">
                                <w:rPr>
                                  <w:color w:val="887E6E"/>
                                  <w:sz w:val="68"/>
                                </w:rPr>
                                <w:t>24</w:t>
                              </w:r>
                              <w:r>
                                <w:rPr>
                                  <w:color w:val="887E6E"/>
                                  <w:sz w:val="68"/>
                                </w:rPr>
                                <w:t>)</w:t>
                              </w:r>
                              <w:r w:rsidR="00FD1FB0">
                                <w:rPr>
                                  <w:color w:val="887E6E"/>
                                  <w:sz w:val="68"/>
                                </w:rPr>
                                <w:t>02</w:t>
                              </w:r>
                            </w:p>
                            <w:p w14:paraId="47AB5862" w14:textId="77777777" w:rsidR="00680791" w:rsidRDefault="00680791">
                              <w:pPr>
                                <w:rPr>
                                  <w:color w:val="887E6E"/>
                                  <w:sz w:val="44"/>
                                </w:rPr>
                              </w:pPr>
                            </w:p>
                          </w:txbxContent>
                        </wps:txbx>
                        <wps:bodyPr lIns="2879640" tIns="360000" anchor="t">
                          <a:noAutofit/>
                        </wps:bodyPr>
                      </wps:wsp>
                      <wpg:grpSp>
                        <wpg:cNvPr id="4" name="Gruppieren 4"/>
                        <wpg:cNvGrpSpPr/>
                        <wpg:grpSpPr>
                          <a:xfrm>
                            <a:off x="826920" y="10800"/>
                            <a:ext cx="1605240" cy="1604520"/>
                            <a:chOff x="0" y="0"/>
                            <a:chExt cx="0" cy="0"/>
                          </a:xfrm>
                        </wpg:grpSpPr>
                        <wps:wsp>
                          <wps:cNvPr id="5" name="Rectangle 29"/>
                          <wps:cNvSpPr/>
                          <wps:spPr>
                            <a:xfrm rot="2700000">
                              <a:off x="234720" y="234720"/>
                              <a:ext cx="1134720" cy="113472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wps:wsp>
                          <wps:cNvPr id="6" name="AutoShape 30"/>
                          <wps:cNvSpPr/>
                          <wps:spPr>
                            <a:xfrm rot="5400000">
                              <a:off x="526320" y="513360"/>
                              <a:ext cx="1113120" cy="572760"/>
                            </a:xfrm>
                            <a:prstGeom prst="triangle">
                              <a:avLst>
                                <a:gd name="adj" fmla="val 50000"/>
                              </a:avLst>
                            </a:prstGeom>
                            <a:solidFill>
                              <a:srgbClr val="D2232A"/>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5C397F9B" id="Group 31" o:spid="_x0000_s1026" style="position:absolute;left:0;text-align:left;margin-left:-56.7pt;margin-top:5.5pt;width:595.45pt;height:650.95pt;z-index:12;mso-wrap-distance-left:0;mso-wrap-distance-right:0" coordsize="75621,8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s3ZQMAANsNAAAOAAAAZHJzL2Uyb0RvYy54bWzsV21P2zAQ/j5p/8HK95HGaZI2oiA2oJo0&#10;bQjYDzCJk2ZK7Mg2bfn3O5+dlpcxKGhiH+iH1E7ubN+T55677B+uu5YsudKNFLMg2hsFhItClo2o&#10;Z8HPy9NPk4Bow0TJWin4LLjhOjg8+Phhf9XnnMqFbEuuCCwidL7qZ8HCmD4PQ10seMf0nuy5gIeV&#10;VB0zMFV1WCq2gtW7NqSjURqupCp7JQuuNdw9dg+DA1y/qnhhflSV5oa0swDOZvCq8Hplr+HBPstr&#10;xfpFU/hjsBecomONgE03Sx0zw8i1ah4s1TWFklpWZq+QXSirqik4xgDRRKN70cyVvO4xljpf1f0G&#10;JoD2Hk4vXrb4vpyr/qI/U4DEqq8BC5zZWNaV6uw/nJKsEbKbDWR8bUgBN7MkpVEKyBbwbELTbDT2&#10;oBYLQP6BX7E4ecIzHDYO7xxn1QNB9BYD/ToMLhas5witzgGDM0WachbQgAjWAU3PgThM1C0nE0sR&#10;uzlYbWDSuQbE/oBRPLVYWChGkynw0/FrC1YySQawoiybOKw2EbO8V9rMueyIHcwCBcdAWrHlN23g&#10;IGA6mNjdtWyb8rRpW5yo+upLq8iSAdeTbBzHJ3Z7cLlj1gqysq/RughpnZ1RK8DWBupCw5G5abm1&#10;a8U5rwAhZAHuVfjNXCoBISHsIaFgR3SwhhWsv6Ovd7HeHDN4R/+NE+4vhdn4d42QCjG5FZ0dXsny&#10;BjMAAQCauVf+z/kWD3y7tBT5LNdkuhPdHNf+yrKUphFFi3ea3aHoG9DMrK/WXk0c40j7VYCQ0Uk2&#10;TUELiMFpnI7gFxAmioWEBHMSIOTRtZFVgzKwJa1PWs9Zr99Oyre6Nh54NlfXfd9wxQUZO6bVVtie&#10;WwJA4EHVUOCi0eS+vEEdSKgNw9YCmIwTRzyWP1ULvM9dmr6B/icDTlv9p8/ISKIkiDXN7GtzwupL&#10;Jo3HmcfLD+H1g6z5EhhF/jkC5idOjYfaO6j9qwvCKf7eC0L1XxeEdCCgzXXsUUiMWWET/vEOxBEw&#10;GT8gYELT2BMwiWIQFkuA2wSMYlsdMGOTjGbO4PFKYVSDbdG2KbHL1aVvm1j5KyBV10ILDV0ISTAf&#10;HKGxg9mhgTmmNKZH73x9MV+38oklAr8gEH//tWM/UW7P0Wr7TXbwGwAA//8DAFBLAwQUAAYACAAA&#10;ACEAZYQVr+MAAAANAQAADwAAAGRycy9kb3ducmV2LnhtbEyPQU/CQBCF7yb+h82YeIPtUhGs3RJC&#10;1BMxEUwMt6Ed2obubtNd2vLvHU56m5f35c176Wo0jeip87WzGtQ0AkE2d0VtSw3f+/fJEoQPaAts&#10;nCUNV/Kwyu7vUkwKN9gv6nehFBxifYIaqhDaREqfV2TQT11Llr2T6wwGll0piw4HDjeNnEXRszRY&#10;W/5QYUubivLz7mI0fAw4rGP11m/Pp831sJ9//mwVaf34MK5fQQQawx8Mt/pcHTLudHQXW3jRaJgo&#10;FT8xy47iUTciWizmII58xWr2AjJL5f8V2S8AAAD//wMAUEsBAi0AFAAGAAgAAAAhALaDOJL+AAAA&#10;4QEAABMAAAAAAAAAAAAAAAAAAAAAAFtDb250ZW50X1R5cGVzXS54bWxQSwECLQAUAAYACAAAACEA&#10;OP0h/9YAAACUAQAACwAAAAAAAAAAAAAAAAAvAQAAX3JlbHMvLnJlbHNQSwECLQAUAAYACAAAACEA&#10;iK6bN2UDAADbDQAADgAAAAAAAAAAAAAAAAAuAgAAZHJzL2Uyb0RvYy54bWxQSwECLQAUAAYACAAA&#10;ACEAZYQVr+MAAAANAQAADwAAAAAAAAAAAAAAAAC/BQAAZHJzL2Rvd25yZXYueG1sUEsFBgAAAAAE&#10;AAQA8wAAAM8GAAAAAA==&#10;">
                <v:rect id="Rectangle 8" o:spid="_x0000_s1027" style="position:absolute;left:39;top:80892;width:7558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oDwgAAANoAAAAPAAAAZHJzL2Rvd25yZXYueG1sRI9Bi8Iw&#10;FITvC/6H8ARva6qCrNUoIgoeFNyqB2+P5tlWm5fSRK3/3giCx2FmvmEms8aU4k61Kywr6HUjEMSp&#10;1QVnCg771e8fCOeRNZaWScGTHMymrZ8Jxto++J/uic9EgLCLUUHufRVL6dKcDLqurYiDd7a1QR9k&#10;nUld4yPATSn7UTSUBgsOCzlWtMgpvSY3o2CzXUajNV52l+VxdHWDpNie/EKpTruZj0F4avw3/Gmv&#10;tYI+vK+EGyCnLwAAAP//AwBQSwECLQAUAAYACAAAACEA2+H2y+4AAACFAQAAEwAAAAAAAAAAAAAA&#10;AAAAAAAAW0NvbnRlbnRfVHlwZXNdLnhtbFBLAQItABQABgAIAAAAIQBa9CxbvwAAABUBAAALAAAA&#10;AAAAAAAAAAAAAB8BAABfcmVscy8ucmVsc1BLAQItABQABgAIAAAAIQAUEsoDwgAAANoAAAAPAAAA&#10;AAAAAAAAAAAAAAcCAABkcnMvZG93bnJldi54bWxQSwUGAAAAAAMAAwC3AAAA9gIAAAAA&#10;" fillcolor="#57433e" stroked="f" strokeweight="0"/>
                <v:rect id="Text Box 9" o:spid="_x0000_s1028" style="position:absolute;width:75585;height:1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49hxAAAANoAAAAPAAAAZHJzL2Rvd25yZXYueG1sRI9Ba8JA&#10;FITvgv9heYXezKYtBEldxQqWFqohqR68PbLPJDT7NmS3Jv33XUHwOMzMN8xiNZpWXKh3jWUFT1EM&#10;gri0uuFKweF7O5uDcB5ZY2uZFPyRg9VyOllgqu3AOV0KX4kAYZeigtr7LpXSlTUZdJHtiIN3tr1B&#10;H2RfSd3jEOCmlc9xnEiDDYeFGjva1FT+FL8mUDJ5Pn5+nU7Hfb7jt/fBZcmmVOrxYVy/gvA0+nv4&#10;1v7QCl7geiXcALn8BwAA//8DAFBLAQItABQABgAIAAAAIQDb4fbL7gAAAIUBAAATAAAAAAAAAAAA&#10;AAAAAAAAAABbQ29udGVudF9UeXBlc10ueG1sUEsBAi0AFAAGAAgAAAAhAFr0LFu/AAAAFQEAAAsA&#10;AAAAAAAAAAAAAAAAHwEAAF9yZWxzLy5yZWxzUEsBAi0AFAAGAAgAAAAhALbrj2HEAAAA2gAAAA8A&#10;AAAAAAAAAAAAAAAABwIAAGRycy9kb3ducmV2LnhtbFBLBQYAAAAAAwADALcAAAD4AgAAAAA=&#10;" fillcolor="#57433e" stroked="f" strokeweight="0">
                  <v:textbox inset="79.99mm,10mm">
                    <w:txbxContent>
                      <w:p w14:paraId="1D1B9EE4" w14:textId="5FA277C2" w:rsidR="00680791" w:rsidRDefault="00D5116C">
                        <w:pPr>
                          <w:rPr>
                            <w:color w:val="FFFFFF"/>
                            <w:sz w:val="68"/>
                          </w:rPr>
                        </w:pPr>
                        <w:r>
                          <w:rPr>
                            <w:color w:val="FFFFFF"/>
                            <w:sz w:val="68"/>
                          </w:rPr>
                          <w:t xml:space="preserve">ECC Recommendation </w:t>
                        </w:r>
                        <w:r>
                          <w:rPr>
                            <w:color w:val="887E6E"/>
                            <w:sz w:val="68"/>
                          </w:rPr>
                          <w:t>(</w:t>
                        </w:r>
                        <w:r w:rsidR="00FD1FB0">
                          <w:rPr>
                            <w:color w:val="887E6E"/>
                            <w:sz w:val="68"/>
                          </w:rPr>
                          <w:t>24</w:t>
                        </w:r>
                        <w:r>
                          <w:rPr>
                            <w:color w:val="887E6E"/>
                            <w:sz w:val="68"/>
                          </w:rPr>
                          <w:t>)</w:t>
                        </w:r>
                        <w:r w:rsidR="00FD1FB0">
                          <w:rPr>
                            <w:color w:val="887E6E"/>
                            <w:sz w:val="68"/>
                          </w:rPr>
                          <w:t>02</w:t>
                        </w:r>
                      </w:p>
                      <w:p w14:paraId="47AB5862" w14:textId="77777777" w:rsidR="00680791" w:rsidRDefault="00680791">
                        <w:pPr>
                          <w:rPr>
                            <w:color w:val="887E6E"/>
                            <w:sz w:val="44"/>
                          </w:rPr>
                        </w:pPr>
                      </w:p>
                    </w:txbxContent>
                  </v:textbox>
                </v:rect>
                <v:group id="Gruppieren 4" o:spid="_x0000_s1029" style="position:absolute;left:8269;top:108;width:16052;height:1604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9" o:spid="_x0000_s1030" style="position:absolute;left:234720;top:234720;width:1134720;height:113472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r1vQAAANoAAAAPAAAAZHJzL2Rvd25yZXYueG1sRE/dasIw&#10;FL4f+A7hCLubqcKKVKOIIAxBUOcDHJpjUmxOQpPZ6tObwWCXH9//cj24Vtypi41nBdNJAYK49rph&#10;o+DyvfuYg4gJWWPrmRQ8KMJ6NXpbYqV9zye6n5MROYRjhQpsSqGSMtaWHMaJD8SZu/rOYcqwM1J3&#10;2Odw18pZUZTSYcO5wWKgraX6dv5xeQaW4XDqzXMw+3Dsw3yfNrZU6n08bBYgEg3pX/zn/tIKPuH3&#10;SvaDXL0AAAD//wMAUEsBAi0AFAAGAAgAAAAhANvh9svuAAAAhQEAABMAAAAAAAAAAAAAAAAAAAAA&#10;AFtDb250ZW50X1R5cGVzXS54bWxQSwECLQAUAAYACAAAACEAWvQsW78AAAAVAQAACwAAAAAAAAAA&#10;AAAAAAAfAQAAX3JlbHMvLnJlbHNQSwECLQAUAAYACAAAACEAJiBa9b0AAADaAAAADwAAAAAAAAAA&#10;AAAAAAAHAgAAZHJzL2Rvd25yZXYueG1sUEsFBgAAAAADAAMAtwAAAPECAAAAAA==&#10;" stroked="f" strokeweight="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526320;top:513360;width:1113120;height:5727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jXwAAAANoAAAAPAAAAZHJzL2Rvd25yZXYueG1sRI9Ra8JA&#10;EITfhf6HYwXf9KIWkegpUqhY8KWaH7Dk1iSa20vvVk3/fa9Q6OMwM98w623vWvWgEBvPBqaTDBRx&#10;6W3DlYHi/D5egoqCbLH1TAa+KcJ28zJYY279kz/pcZJKJQjHHA3UIl2udSxrchgnviNO3sUHh5Jk&#10;qLQN+Exw1+pZli20w4bTQo0dvdVU3k53Z+C1864g6edH+1WUYX+0149KjBkN+90KlFAv/+G/9sEa&#10;WMDvlXQD9OYHAAD//wMAUEsBAi0AFAAGAAgAAAAhANvh9svuAAAAhQEAABMAAAAAAAAAAAAAAAAA&#10;AAAAAFtDb250ZW50X1R5cGVzXS54bWxQSwECLQAUAAYACAAAACEAWvQsW78AAAAVAQAACwAAAAAA&#10;AAAAAAAAAAAfAQAAX3JlbHMvLnJlbHNQSwECLQAUAAYACAAAACEA0Xr418AAAADaAAAADwAAAAAA&#10;AAAAAAAAAAAHAgAAZHJzL2Rvd25yZXYueG1sUEsFBgAAAAADAAMAtwAAAPQCAAAAAA==&#10;" fillcolor="#d2232a" stroked="f" strokeweight="0"/>
                </v:group>
              </v:group>
            </w:pict>
          </mc:Fallback>
        </mc:AlternateContent>
      </w:r>
    </w:p>
    <w:p w14:paraId="34DCB471" w14:textId="77777777" w:rsidR="00680791" w:rsidRPr="009A649A" w:rsidRDefault="00680791">
      <w:pPr>
        <w:jc w:val="center"/>
        <w:rPr>
          <w:b/>
          <w:sz w:val="24"/>
          <w:lang w:val="en-GB"/>
        </w:rPr>
      </w:pPr>
    </w:p>
    <w:p w14:paraId="120331D7" w14:textId="77777777" w:rsidR="00680791" w:rsidRPr="009A649A" w:rsidRDefault="00680791">
      <w:pPr>
        <w:jc w:val="center"/>
        <w:rPr>
          <w:b/>
          <w:sz w:val="24"/>
          <w:lang w:val="en-GB"/>
        </w:rPr>
      </w:pPr>
    </w:p>
    <w:p w14:paraId="1F9BAFF7" w14:textId="77777777" w:rsidR="00680791" w:rsidRPr="009A649A" w:rsidRDefault="00680791">
      <w:pPr>
        <w:jc w:val="center"/>
        <w:rPr>
          <w:b/>
          <w:sz w:val="24"/>
          <w:lang w:val="en-GB"/>
        </w:rPr>
      </w:pPr>
    </w:p>
    <w:p w14:paraId="32BA6CAD" w14:textId="77777777" w:rsidR="00680791" w:rsidRPr="009A649A" w:rsidRDefault="00680791">
      <w:pPr>
        <w:jc w:val="center"/>
        <w:rPr>
          <w:b/>
          <w:sz w:val="24"/>
          <w:lang w:val="en-GB"/>
        </w:rPr>
      </w:pPr>
    </w:p>
    <w:p w14:paraId="34E7E970" w14:textId="77777777" w:rsidR="00680791" w:rsidRPr="009A649A" w:rsidRDefault="00680791">
      <w:pPr>
        <w:jc w:val="center"/>
        <w:rPr>
          <w:b/>
          <w:sz w:val="24"/>
          <w:lang w:val="en-GB"/>
        </w:rPr>
      </w:pPr>
    </w:p>
    <w:p w14:paraId="0576630A" w14:textId="77777777" w:rsidR="00680791" w:rsidRPr="009A649A" w:rsidRDefault="00680791">
      <w:pPr>
        <w:jc w:val="center"/>
        <w:rPr>
          <w:b/>
          <w:sz w:val="24"/>
          <w:lang w:val="en-GB"/>
        </w:rPr>
      </w:pPr>
    </w:p>
    <w:p w14:paraId="17EEFD61" w14:textId="18C54A97" w:rsidR="00672C4F" w:rsidRPr="009A649A" w:rsidRDefault="00672C4F">
      <w:pPr>
        <w:pStyle w:val="Reporttitledescription"/>
        <w:jc w:val="both"/>
        <w:rPr>
          <w:lang w:val="en-GB"/>
        </w:rPr>
      </w:pPr>
      <w:r w:rsidRPr="009A649A">
        <w:rPr>
          <w:lang w:val="en-GB"/>
        </w:rPr>
        <w:fldChar w:fldCharType="begin">
          <w:ffData>
            <w:name w:val="Text7"/>
            <w:enabled/>
            <w:calcOnExit w:val="0"/>
            <w:textInput>
              <w:default w:val="On guidance for the use of governmental UAS operating within the frequency bands 1880-1900 MHz and 1910-1920 MHz"/>
            </w:textInput>
          </w:ffData>
        </w:fldChar>
      </w:r>
      <w:bookmarkStart w:id="0" w:name="Text7"/>
      <w:r w:rsidRPr="009A649A">
        <w:rPr>
          <w:lang w:val="en-GB"/>
        </w:rPr>
        <w:instrText xml:space="preserve"> FORMTEXT </w:instrText>
      </w:r>
      <w:r w:rsidRPr="009A649A">
        <w:rPr>
          <w:lang w:val="en-GB"/>
        </w:rPr>
      </w:r>
      <w:r w:rsidRPr="009A649A">
        <w:rPr>
          <w:lang w:val="en-GB"/>
        </w:rPr>
        <w:fldChar w:fldCharType="separate"/>
      </w:r>
      <w:r w:rsidRPr="009A649A">
        <w:rPr>
          <w:noProof/>
          <w:lang w:val="en-GB"/>
        </w:rPr>
        <w:t>On guidance for the use of governmental UAS operating within the frequency bands 1880-1900 MHz and 1910-1920 MHz</w:t>
      </w:r>
      <w:r w:rsidRPr="009A649A">
        <w:rPr>
          <w:lang w:val="en-GB"/>
        </w:rPr>
        <w:fldChar w:fldCharType="end"/>
      </w:r>
      <w:bookmarkEnd w:id="0"/>
    </w:p>
    <w:p w14:paraId="18E4A533" w14:textId="19A3B6F1" w:rsidR="00680791" w:rsidRPr="00415B90" w:rsidRDefault="00415B90">
      <w:pPr>
        <w:pStyle w:val="Reporttitledescription"/>
        <w:rPr>
          <w:b/>
          <w:bCs/>
          <w:sz w:val="18"/>
          <w:szCs w:val="18"/>
          <w:lang w:val="en-GB"/>
        </w:rPr>
      </w:pPr>
      <w:r w:rsidRPr="00415B90">
        <w:rPr>
          <w:sz w:val="18"/>
          <w:szCs w:val="18"/>
        </w:rPr>
        <w:fldChar w:fldCharType="begin">
          <w:ffData>
            <w:name w:val="Text8"/>
            <w:enabled/>
            <w:calcOnExit w:val="0"/>
            <w:textInput>
              <w:default w:val="approved 7 June 2024"/>
            </w:textInput>
          </w:ffData>
        </w:fldChar>
      </w:r>
      <w:r w:rsidRPr="000A0ED9">
        <w:rPr>
          <w:sz w:val="18"/>
          <w:szCs w:val="18"/>
        </w:rPr>
        <w:instrText xml:space="preserve"> </w:instrText>
      </w:r>
      <w:bookmarkStart w:id="1" w:name="Text8"/>
      <w:r w:rsidRPr="000A0ED9">
        <w:rPr>
          <w:sz w:val="18"/>
          <w:szCs w:val="18"/>
        </w:rPr>
        <w:instrText xml:space="preserve">FORMTEXT </w:instrText>
      </w:r>
      <w:r w:rsidRPr="00415B90">
        <w:rPr>
          <w:sz w:val="18"/>
          <w:szCs w:val="18"/>
        </w:rPr>
      </w:r>
      <w:r w:rsidRPr="00415B90">
        <w:rPr>
          <w:sz w:val="18"/>
          <w:szCs w:val="18"/>
        </w:rPr>
        <w:fldChar w:fldCharType="separate"/>
      </w:r>
      <w:r w:rsidRPr="000A0ED9">
        <w:rPr>
          <w:noProof/>
          <w:sz w:val="18"/>
          <w:szCs w:val="18"/>
        </w:rPr>
        <w:t>approved 7 June 2024</w:t>
      </w:r>
      <w:r w:rsidRPr="00415B90">
        <w:rPr>
          <w:sz w:val="18"/>
          <w:szCs w:val="18"/>
        </w:rPr>
        <w:fldChar w:fldCharType="end"/>
      </w:r>
      <w:bookmarkEnd w:id="1"/>
    </w:p>
    <w:p w14:paraId="30B7D3A3" w14:textId="77777777" w:rsidR="00680791" w:rsidRDefault="00566BDA">
      <w:pPr>
        <w:pStyle w:val="Lastupdated"/>
        <w:rPr>
          <w:lang w:val="en-GB"/>
        </w:rPr>
      </w:pPr>
      <w:r w:rsidRPr="009A649A">
        <w:rPr>
          <w:lang w:val="en-GB"/>
        </w:rPr>
        <w:fldChar w:fldCharType="begin">
          <w:ffData>
            <w:name w:val="Text3"/>
            <w:enabled/>
            <w:calcOnExit w:val="0"/>
            <w:textInput/>
          </w:ffData>
        </w:fldChar>
      </w:r>
      <w:bookmarkStart w:id="2" w:name="Text3"/>
      <w:r w:rsidRPr="009A649A">
        <w:rPr>
          <w:lang w:val="en-GB"/>
        </w:rPr>
        <w:instrText xml:space="preserve"> FORMTEXT </w:instrText>
      </w:r>
      <w:r w:rsidRPr="009A649A">
        <w:rPr>
          <w:lang w:val="en-GB"/>
        </w:rPr>
      </w:r>
      <w:r w:rsidRPr="009A649A">
        <w:rPr>
          <w:lang w:val="en-GB"/>
        </w:rPr>
        <w:fldChar w:fldCharType="separate"/>
      </w:r>
      <w:r w:rsidRPr="009A649A">
        <w:rPr>
          <w:noProof/>
          <w:lang w:val="en-GB"/>
        </w:rPr>
        <w:t> </w:t>
      </w:r>
      <w:r w:rsidRPr="009A649A">
        <w:rPr>
          <w:noProof/>
          <w:lang w:val="en-GB"/>
        </w:rPr>
        <w:t> </w:t>
      </w:r>
      <w:r w:rsidRPr="009A649A">
        <w:rPr>
          <w:noProof/>
          <w:lang w:val="en-GB"/>
        </w:rPr>
        <w:t> </w:t>
      </w:r>
      <w:r w:rsidRPr="009A649A">
        <w:rPr>
          <w:noProof/>
          <w:lang w:val="en-GB"/>
        </w:rPr>
        <w:t> </w:t>
      </w:r>
      <w:r w:rsidRPr="009A649A">
        <w:rPr>
          <w:noProof/>
          <w:lang w:val="en-GB"/>
        </w:rPr>
        <w:t> </w:t>
      </w:r>
      <w:r w:rsidRPr="009A649A">
        <w:rPr>
          <w:lang w:val="en-GB"/>
        </w:rPr>
        <w:fldChar w:fldCharType="end"/>
      </w:r>
      <w:bookmarkEnd w:id="2"/>
    </w:p>
    <w:p w14:paraId="16A25A50" w14:textId="5125C307" w:rsidR="000A0ED9" w:rsidRPr="009A649A" w:rsidRDefault="000A0ED9">
      <w:pPr>
        <w:pStyle w:val="Lastupdated"/>
        <w:rPr>
          <w:b/>
          <w:lang w:val="en-GB"/>
        </w:rPr>
        <w:sectPr w:rsidR="000A0ED9" w:rsidRPr="009A649A" w:rsidSect="00B6789F">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20"/>
          <w:formProt w:val="0"/>
          <w:docGrid w:linePitch="360" w:charSpace="16384"/>
        </w:sectPr>
      </w:pPr>
    </w:p>
    <w:p w14:paraId="6D6F7F29" w14:textId="77777777" w:rsidR="00680791" w:rsidRPr="009A649A" w:rsidRDefault="00D5116C">
      <w:pPr>
        <w:pStyle w:val="Heading1"/>
      </w:pPr>
      <w:r w:rsidRPr="009A649A">
        <w:lastRenderedPageBreak/>
        <w:t>Introduction</w:t>
      </w:r>
    </w:p>
    <w:p w14:paraId="696E2866" w14:textId="4FC35405" w:rsidR="00680791" w:rsidRPr="009A649A" w:rsidRDefault="00D5116C" w:rsidP="00C4709F">
      <w:pPr>
        <w:jc w:val="both"/>
        <w:rPr>
          <w:lang w:val="en-GB"/>
        </w:rPr>
      </w:pPr>
      <w:r w:rsidRPr="009A649A">
        <w:rPr>
          <w:lang w:val="en-GB"/>
        </w:rPr>
        <w:t xml:space="preserve">ECC Report 332 </w:t>
      </w:r>
      <w:r w:rsidR="002E5CA4" w:rsidRPr="009A649A">
        <w:rPr>
          <w:lang w:val="en-GB"/>
        </w:rPr>
        <w:fldChar w:fldCharType="begin"/>
      </w:r>
      <w:r w:rsidR="002E5CA4" w:rsidRPr="009A649A">
        <w:rPr>
          <w:lang w:val="en-GB"/>
        </w:rPr>
        <w:instrText xml:space="preserve"> REF _Ref157415259 \r \h </w:instrText>
      </w:r>
      <w:r w:rsidR="000176C4" w:rsidRPr="009A649A">
        <w:rPr>
          <w:lang w:val="en-GB"/>
        </w:rPr>
        <w:instrText xml:space="preserve"> \* MERGEFORMAT </w:instrText>
      </w:r>
      <w:r w:rsidR="002E5CA4" w:rsidRPr="009A649A">
        <w:rPr>
          <w:lang w:val="en-GB"/>
        </w:rPr>
      </w:r>
      <w:r w:rsidR="002E5CA4" w:rsidRPr="009A649A">
        <w:rPr>
          <w:lang w:val="en-GB"/>
        </w:rPr>
        <w:fldChar w:fldCharType="separate"/>
      </w:r>
      <w:r w:rsidR="00A22156" w:rsidRPr="009A649A">
        <w:rPr>
          <w:lang w:val="en-GB"/>
        </w:rPr>
        <w:t>[1]</w:t>
      </w:r>
      <w:r w:rsidR="002E5CA4" w:rsidRPr="009A649A">
        <w:rPr>
          <w:lang w:val="en-GB"/>
        </w:rPr>
        <w:fldChar w:fldCharType="end"/>
      </w:r>
      <w:r w:rsidR="002E5CA4" w:rsidRPr="009A649A">
        <w:rPr>
          <w:lang w:val="en-GB"/>
        </w:rPr>
        <w:t xml:space="preserve"> </w:t>
      </w:r>
      <w:r w:rsidR="00CA2AB7" w:rsidRPr="009A649A">
        <w:rPr>
          <w:lang w:val="en-GB"/>
        </w:rPr>
        <w:t xml:space="preserve">provides the </w:t>
      </w:r>
      <w:r w:rsidRPr="009A649A">
        <w:rPr>
          <w:lang w:val="en-GB"/>
        </w:rPr>
        <w:t xml:space="preserve">results </w:t>
      </w:r>
      <w:r w:rsidR="00CA2AB7" w:rsidRPr="009A649A">
        <w:rPr>
          <w:lang w:val="en-GB"/>
        </w:rPr>
        <w:t>of the studies on</w:t>
      </w:r>
      <w:r w:rsidRPr="009A649A">
        <w:rPr>
          <w:lang w:val="en-GB"/>
        </w:rPr>
        <w:t xml:space="preserve"> the technical compatibility related to the UAS for governmental use of </w:t>
      </w:r>
      <w:proofErr w:type="gramStart"/>
      <w:r w:rsidRPr="009A649A">
        <w:rPr>
          <w:lang w:val="en-GB"/>
        </w:rPr>
        <w:t>command and control</w:t>
      </w:r>
      <w:proofErr w:type="gramEnd"/>
      <w:r w:rsidRPr="009A649A">
        <w:rPr>
          <w:lang w:val="en-GB"/>
        </w:rPr>
        <w:t xml:space="preserve"> links as well as payload links in the 1880-1900 MHz and 1900</w:t>
      </w:r>
      <w:r w:rsidR="009C17B5">
        <w:rPr>
          <w:lang w:val="en-GB"/>
        </w:rPr>
        <w:t> </w:t>
      </w:r>
      <w:r w:rsidRPr="00DB0657">
        <w:rPr>
          <w:lang w:val="en-GB"/>
        </w:rPr>
        <w:t>-</w:t>
      </w:r>
      <w:r w:rsidR="009C17B5">
        <w:rPr>
          <w:lang w:val="en-GB"/>
        </w:rPr>
        <w:t> </w:t>
      </w:r>
      <w:r w:rsidRPr="009A649A">
        <w:rPr>
          <w:lang w:val="en-GB"/>
        </w:rPr>
        <w:t>1920 MHz</w:t>
      </w:r>
      <w:r w:rsidR="00CA2AB7" w:rsidRPr="009A649A">
        <w:rPr>
          <w:lang w:val="en-GB"/>
        </w:rPr>
        <w:t xml:space="preserve"> frequency </w:t>
      </w:r>
      <w:r w:rsidR="00040B72" w:rsidRPr="009A649A">
        <w:rPr>
          <w:lang w:val="en-GB"/>
        </w:rPr>
        <w:t>bands</w:t>
      </w:r>
      <w:r w:rsidRPr="009A649A">
        <w:rPr>
          <w:lang w:val="en-GB"/>
        </w:rPr>
        <w:t>.</w:t>
      </w:r>
    </w:p>
    <w:p w14:paraId="19F3A5C1" w14:textId="38B08B95" w:rsidR="00680791" w:rsidRPr="009A649A" w:rsidRDefault="00D5116C" w:rsidP="00C4709F">
      <w:pPr>
        <w:jc w:val="both"/>
        <w:rPr>
          <w:lang w:val="en-GB"/>
        </w:rPr>
      </w:pPr>
      <w:r w:rsidRPr="009A649A">
        <w:rPr>
          <w:lang w:val="en-GB"/>
        </w:rPr>
        <w:t xml:space="preserve">ECC Report 352 </w:t>
      </w:r>
      <w:r w:rsidR="00B258B7" w:rsidRPr="009A649A">
        <w:rPr>
          <w:lang w:val="en-GB"/>
        </w:rPr>
        <w:fldChar w:fldCharType="begin"/>
      </w:r>
      <w:r w:rsidR="00B258B7" w:rsidRPr="009A649A">
        <w:rPr>
          <w:lang w:val="en-GB"/>
        </w:rPr>
        <w:instrText xml:space="preserve"> REF _Ref157415309 \r \h </w:instrText>
      </w:r>
      <w:r w:rsidR="000176C4" w:rsidRPr="009A649A">
        <w:rPr>
          <w:lang w:val="en-GB"/>
        </w:rPr>
        <w:instrText xml:space="preserve"> \* MERGEFORMAT </w:instrText>
      </w:r>
      <w:r w:rsidR="00B258B7" w:rsidRPr="009A649A">
        <w:rPr>
          <w:lang w:val="en-GB"/>
        </w:rPr>
      </w:r>
      <w:r w:rsidR="00B258B7" w:rsidRPr="009A649A">
        <w:rPr>
          <w:lang w:val="en-GB"/>
        </w:rPr>
        <w:fldChar w:fldCharType="separate"/>
      </w:r>
      <w:r w:rsidR="00A22156" w:rsidRPr="009A649A">
        <w:rPr>
          <w:lang w:val="en-GB"/>
        </w:rPr>
        <w:t>[2]</w:t>
      </w:r>
      <w:r w:rsidR="00B258B7" w:rsidRPr="009A649A">
        <w:rPr>
          <w:lang w:val="en-GB"/>
        </w:rPr>
        <w:fldChar w:fldCharType="end"/>
      </w:r>
      <w:r w:rsidRPr="009A649A">
        <w:rPr>
          <w:lang w:val="en-GB"/>
        </w:rPr>
        <w:t xml:space="preserve"> addresses the assessment on the feasibility of spectrum solutions for the operational needs for governmental use of UAS and establishes the relevant technical conditions.</w:t>
      </w:r>
    </w:p>
    <w:p w14:paraId="063B5D07" w14:textId="77777777" w:rsidR="00680791" w:rsidRPr="009A649A" w:rsidRDefault="00D5116C" w:rsidP="00C4709F">
      <w:pPr>
        <w:jc w:val="both"/>
        <w:rPr>
          <w:lang w:val="en-GB"/>
        </w:rPr>
      </w:pPr>
      <w:r w:rsidRPr="009A649A">
        <w:rPr>
          <w:lang w:val="en-GB"/>
        </w:rPr>
        <w:t>It should be noted that governmental use does not address military usage (which is considered as a national matter) and therefore it is not in the scope of the present ECC Recommendation.</w:t>
      </w:r>
    </w:p>
    <w:p w14:paraId="13DFE15B" w14:textId="67E7AE04" w:rsidR="00680791" w:rsidRPr="009A649A" w:rsidRDefault="00D5116C" w:rsidP="00DF6969">
      <w:pPr>
        <w:jc w:val="both"/>
        <w:rPr>
          <w:lang w:val="en-GB"/>
        </w:rPr>
      </w:pPr>
      <w:r w:rsidRPr="009A649A">
        <w:rPr>
          <w:lang w:val="en-GB"/>
        </w:rPr>
        <w:t xml:space="preserve">This Recommendation contains guidance, including technical conditions, to administrations on the use of 1880-1900 MHz and 1910-1920 MHz frequency bands for the operation of governmental UAS ensuring the protection of services and applications in-band and in adjacent bands. This Recommendation sets out </w:t>
      </w:r>
      <w:r w:rsidR="00040B72" w:rsidRPr="009A649A">
        <w:rPr>
          <w:lang w:val="en-GB"/>
        </w:rPr>
        <w:t>a minimum</w:t>
      </w:r>
      <w:r w:rsidRPr="009A649A">
        <w:rPr>
          <w:lang w:val="en-GB"/>
        </w:rPr>
        <w:t xml:space="preserve"> coordination distance between RMR and governmental UAS.</w:t>
      </w:r>
    </w:p>
    <w:p w14:paraId="232DCD2D" w14:textId="55445A01" w:rsidR="00E12383" w:rsidRPr="009A649A" w:rsidRDefault="00D5116C">
      <w:pPr>
        <w:rPr>
          <w:lang w:val="en-GB"/>
        </w:rPr>
      </w:pPr>
      <w:r w:rsidRPr="009A649A">
        <w:rPr>
          <w:lang w:val="en-GB"/>
        </w:rPr>
        <w:br w:type="page"/>
      </w:r>
    </w:p>
    <w:p w14:paraId="1F6C7FAB" w14:textId="7E40F79A" w:rsidR="00680791" w:rsidRPr="009A649A" w:rsidRDefault="00D5116C">
      <w:pPr>
        <w:rPr>
          <w:rFonts w:cs="Arial"/>
          <w:b/>
          <w:bCs/>
          <w:caps/>
          <w:color w:val="D2232A"/>
          <w:kern w:val="2"/>
          <w:szCs w:val="32"/>
          <w:lang w:val="en-GB"/>
        </w:rPr>
      </w:pPr>
      <w:r w:rsidRPr="009A649A">
        <w:rPr>
          <w:rFonts w:cs="Arial"/>
          <w:b/>
          <w:bCs/>
          <w:caps/>
          <w:color w:val="D2232A"/>
          <w:kern w:val="2"/>
          <w:szCs w:val="32"/>
          <w:lang w:val="en-GB"/>
        </w:rPr>
        <w:lastRenderedPageBreak/>
        <w:t xml:space="preserve">ECC recommendation </w:t>
      </w:r>
      <w:r w:rsidR="00902CC5" w:rsidRPr="009A649A">
        <w:rPr>
          <w:rFonts w:cs="Arial"/>
          <w:b/>
          <w:bCs/>
          <w:caps/>
          <w:color w:val="D2232A"/>
          <w:kern w:val="2"/>
          <w:szCs w:val="32"/>
          <w:lang w:val="en-GB"/>
        </w:rPr>
        <w:t xml:space="preserve">(24)02 OF </w:t>
      </w:r>
      <w:r w:rsidR="00FE2B23" w:rsidRPr="00FE2B23">
        <w:rPr>
          <w:rFonts w:cs="Arial"/>
          <w:b/>
          <w:bCs/>
          <w:caps/>
          <w:color w:val="D2232A"/>
          <w:kern w:val="2"/>
          <w:szCs w:val="32"/>
          <w:lang w:val="en-GB"/>
        </w:rPr>
        <w:t>7 June 2024</w:t>
      </w:r>
      <w:r w:rsidR="00902CC5" w:rsidRPr="009A649A">
        <w:rPr>
          <w:rFonts w:cs="Arial"/>
          <w:b/>
          <w:bCs/>
          <w:caps/>
          <w:color w:val="D2232A"/>
          <w:kern w:val="2"/>
          <w:szCs w:val="32"/>
          <w:lang w:val="en-GB"/>
        </w:rPr>
        <w:t xml:space="preserve"> </w:t>
      </w:r>
      <w:r w:rsidRPr="009A649A">
        <w:rPr>
          <w:rFonts w:cs="Arial"/>
          <w:b/>
          <w:bCs/>
          <w:caps/>
          <w:color w:val="D2232A"/>
          <w:kern w:val="2"/>
          <w:szCs w:val="32"/>
          <w:lang w:val="en-GB"/>
        </w:rPr>
        <w:t>on GUIDANCE FOR THE USE OF GOVERNMENTAL UAS OPERATING WITHin the FREQUENCY BANDS 1880-1900 MHZ AND 1910</w:t>
      </w:r>
      <w:r w:rsidRPr="00DB0657">
        <w:rPr>
          <w:rFonts w:cs="Arial"/>
          <w:b/>
          <w:bCs/>
          <w:caps/>
          <w:color w:val="D2232A"/>
          <w:kern w:val="2"/>
          <w:szCs w:val="32"/>
          <w:lang w:val="en-GB"/>
        </w:rPr>
        <w:t>-</w:t>
      </w:r>
      <w:r w:rsidRPr="009A649A">
        <w:rPr>
          <w:rFonts w:cs="Arial"/>
          <w:b/>
          <w:bCs/>
          <w:caps/>
          <w:color w:val="D2232A"/>
          <w:kern w:val="2"/>
          <w:szCs w:val="32"/>
          <w:lang w:val="en-GB"/>
        </w:rPr>
        <w:t>1920 MHZ</w:t>
      </w:r>
    </w:p>
    <w:p w14:paraId="314E867E" w14:textId="77777777" w:rsidR="00680791" w:rsidRPr="009A649A" w:rsidRDefault="00D5116C">
      <w:pPr>
        <w:pStyle w:val="ECCParagraph"/>
      </w:pPr>
      <w:r w:rsidRPr="009A649A">
        <w:t xml:space="preserve">“The European Conference of Postal and Telecommunications Administrations, </w:t>
      </w:r>
    </w:p>
    <w:p w14:paraId="2C8A6CC3" w14:textId="77777777" w:rsidR="00680791" w:rsidRPr="009A649A" w:rsidRDefault="00D5116C">
      <w:pPr>
        <w:pStyle w:val="ECCParagraph"/>
        <w:rPr>
          <w:i/>
          <w:color w:val="D2232A"/>
        </w:rPr>
      </w:pPr>
      <w:r w:rsidRPr="009A649A">
        <w:rPr>
          <w:i/>
          <w:color w:val="D2232A"/>
        </w:rPr>
        <w:t xml:space="preserve">considering </w:t>
      </w:r>
    </w:p>
    <w:p w14:paraId="557B3846" w14:textId="77777777" w:rsidR="00680791" w:rsidRPr="009A649A" w:rsidRDefault="00D5116C">
      <w:pPr>
        <w:pStyle w:val="LetteredList"/>
        <w:spacing w:after="240"/>
        <w:ind w:left="357" w:hanging="357"/>
        <w:rPr>
          <w:lang w:val="en-GB"/>
        </w:rPr>
      </w:pPr>
      <w:r w:rsidRPr="009A649A">
        <w:rPr>
          <w:lang w:val="en-GB"/>
        </w:rPr>
        <w:t>that there is a need for spectrum for governmental UAS use and operation including command, control and payload communication between the UAS GS (Ground Station) and the UAS UE (User Equipment);</w:t>
      </w:r>
    </w:p>
    <w:p w14:paraId="732AC18C" w14:textId="77777777" w:rsidR="00680791" w:rsidRPr="009A649A" w:rsidRDefault="00D5116C">
      <w:pPr>
        <w:pStyle w:val="LetteredList"/>
        <w:spacing w:after="240"/>
        <w:ind w:left="357" w:hanging="357"/>
        <w:rPr>
          <w:lang w:val="en-GB"/>
        </w:rPr>
      </w:pPr>
      <w:r w:rsidRPr="009A649A">
        <w:rPr>
          <w:lang w:val="en-GB"/>
        </w:rPr>
        <w:t>that the term “governmental use” refers to operations for carrying out the maintenance of law and order, protection of life and property, disaster relief and emergency response activities or services undertaken in the public interest excluding military operations/activities. These operations are carried out by or on behalf of a public authority;</w:t>
      </w:r>
    </w:p>
    <w:p w14:paraId="4A501C2F" w14:textId="54A630AA" w:rsidR="00680791" w:rsidRPr="009A649A" w:rsidRDefault="00D5116C">
      <w:pPr>
        <w:pStyle w:val="LetteredList"/>
        <w:spacing w:after="240"/>
        <w:ind w:left="357" w:hanging="357"/>
        <w:rPr>
          <w:lang w:val="en-GB"/>
        </w:rPr>
      </w:pPr>
      <w:r w:rsidRPr="009A649A">
        <w:rPr>
          <w:lang w:val="en-GB"/>
        </w:rPr>
        <w:t xml:space="preserve">that the aim of </w:t>
      </w:r>
      <w:r w:rsidR="007068D4" w:rsidRPr="009A649A">
        <w:rPr>
          <w:lang w:val="en-GB"/>
        </w:rPr>
        <w:t>this</w:t>
      </w:r>
      <w:r w:rsidRPr="009A649A">
        <w:rPr>
          <w:lang w:val="en-GB"/>
        </w:rPr>
        <w:t xml:space="preserve"> Recommendation is to provide guidance on technical and operational conditions for the use of the 1880-1900 MHz and 1910-1920 MHz bands for the operation of governmental UAS at a national level; </w:t>
      </w:r>
    </w:p>
    <w:p w14:paraId="2C1BE204" w14:textId="35CA617B" w:rsidR="00070786" w:rsidRPr="009A649A" w:rsidRDefault="00070786">
      <w:pPr>
        <w:pStyle w:val="LetteredList"/>
        <w:spacing w:after="240"/>
        <w:ind w:left="357" w:hanging="357"/>
        <w:rPr>
          <w:lang w:val="en-GB"/>
        </w:rPr>
      </w:pPr>
      <w:r w:rsidRPr="009A649A">
        <w:rPr>
          <w:lang w:val="en-GB"/>
        </w:rPr>
        <w:t>that governmental UAS are expected to use DECT-2020 NR</w:t>
      </w:r>
      <w:r w:rsidR="00B243C2" w:rsidRPr="009A649A">
        <w:rPr>
          <w:rStyle w:val="FootnoteReference"/>
          <w:lang w:val="en-GB"/>
        </w:rPr>
        <w:footnoteReference w:id="2"/>
      </w:r>
      <w:r w:rsidRPr="009A649A">
        <w:rPr>
          <w:lang w:val="en-GB"/>
        </w:rPr>
        <w:t xml:space="preserve"> </w:t>
      </w:r>
      <w:r w:rsidR="00212FFF" w:rsidRPr="009A649A">
        <w:rPr>
          <w:lang w:val="en-GB"/>
        </w:rPr>
        <w:t xml:space="preserve">or </w:t>
      </w:r>
      <w:r w:rsidR="002C4A81" w:rsidRPr="009A649A">
        <w:rPr>
          <w:lang w:val="en-GB"/>
        </w:rPr>
        <w:t>compatible</w:t>
      </w:r>
      <w:r w:rsidR="00212FFF" w:rsidRPr="009A649A">
        <w:rPr>
          <w:lang w:val="en-GB"/>
        </w:rPr>
        <w:t xml:space="preserve"> </w:t>
      </w:r>
      <w:r w:rsidRPr="009A649A">
        <w:rPr>
          <w:lang w:val="en-GB"/>
        </w:rPr>
        <w:t xml:space="preserve">technology </w:t>
      </w:r>
      <w:r w:rsidR="00C21B3E" w:rsidRPr="009A649A">
        <w:rPr>
          <w:lang w:val="en-GB"/>
        </w:rPr>
        <w:t>with</w:t>
      </w:r>
      <w:r w:rsidRPr="009A649A">
        <w:rPr>
          <w:lang w:val="en-GB"/>
        </w:rPr>
        <w:t xml:space="preserve"> channel bandwidths of 1.728</w:t>
      </w:r>
      <w:r w:rsidR="006A5F26" w:rsidRPr="009A649A">
        <w:rPr>
          <w:lang w:val="en-GB"/>
        </w:rPr>
        <w:t> </w:t>
      </w:r>
      <w:r w:rsidRPr="009A649A">
        <w:rPr>
          <w:lang w:val="en-GB"/>
        </w:rPr>
        <w:t>MHz, 3.456 MHz or 6.9</w:t>
      </w:r>
      <w:r w:rsidR="00C21B3E" w:rsidRPr="009A649A">
        <w:rPr>
          <w:lang w:val="en-GB"/>
        </w:rPr>
        <w:t>12 MHz;</w:t>
      </w:r>
    </w:p>
    <w:p w14:paraId="54C2D30E" w14:textId="12AD47B1" w:rsidR="002C4A81" w:rsidRPr="009A649A" w:rsidRDefault="002C4A81">
      <w:pPr>
        <w:pStyle w:val="LetteredList"/>
        <w:spacing w:after="240"/>
        <w:ind w:left="357" w:hanging="357"/>
        <w:rPr>
          <w:lang w:val="en-GB"/>
        </w:rPr>
      </w:pPr>
      <w:r w:rsidRPr="009A649A">
        <w:rPr>
          <w:lang w:val="en-GB"/>
        </w:rPr>
        <w:t>t</w:t>
      </w:r>
      <w:r w:rsidR="005F0595" w:rsidRPr="009A649A">
        <w:rPr>
          <w:lang w:val="en-GB"/>
        </w:rPr>
        <w:t>hat a routine</w:t>
      </w:r>
      <w:r w:rsidRPr="009A649A">
        <w:rPr>
          <w:lang w:val="en-GB"/>
        </w:rPr>
        <w:t xml:space="preserve"> mission is a planned mission of a single UAS without overlapping</w:t>
      </w:r>
      <w:r w:rsidR="004221E0" w:rsidRPr="009A649A">
        <w:rPr>
          <w:lang w:val="en-GB"/>
        </w:rPr>
        <w:t xml:space="preserve"> operating</w:t>
      </w:r>
      <w:r w:rsidR="00AD2A00" w:rsidRPr="009A649A">
        <w:rPr>
          <w:rStyle w:val="FootnoteReference"/>
          <w:lang w:val="en-GB"/>
        </w:rPr>
        <w:footnoteReference w:id="3"/>
      </w:r>
      <w:r w:rsidR="004221E0" w:rsidRPr="009A649A">
        <w:rPr>
          <w:lang w:val="en-GB"/>
        </w:rPr>
        <w:t xml:space="preserve"> area</w:t>
      </w:r>
      <w:r w:rsidRPr="009A649A">
        <w:rPr>
          <w:lang w:val="en-GB"/>
        </w:rPr>
        <w:t xml:space="preserve"> with other UAS</w:t>
      </w:r>
      <w:r w:rsidR="008D368D" w:rsidRPr="009A649A">
        <w:rPr>
          <w:lang w:val="en-GB"/>
        </w:rPr>
        <w:t xml:space="preserve"> and </w:t>
      </w:r>
      <w:r w:rsidR="003841AA" w:rsidRPr="009A649A">
        <w:rPr>
          <w:lang w:val="en-GB"/>
        </w:rPr>
        <w:t xml:space="preserve">flying within </w:t>
      </w:r>
      <w:r w:rsidR="008D368D" w:rsidRPr="009A649A">
        <w:rPr>
          <w:lang w:val="en-GB"/>
        </w:rPr>
        <w:t>RMR exclusion zones is not permitted</w:t>
      </w:r>
      <w:r w:rsidRPr="009A649A">
        <w:rPr>
          <w:lang w:val="en-GB"/>
        </w:rPr>
        <w:t>;</w:t>
      </w:r>
    </w:p>
    <w:p w14:paraId="08FBA882" w14:textId="77777777" w:rsidR="004221E0" w:rsidRPr="009A649A" w:rsidRDefault="00D5116C" w:rsidP="00223733">
      <w:pPr>
        <w:pStyle w:val="LetteredList"/>
        <w:rPr>
          <w:lang w:val="en-GB"/>
        </w:rPr>
      </w:pPr>
      <w:r w:rsidRPr="009A649A">
        <w:rPr>
          <w:lang w:val="en-GB"/>
        </w:rPr>
        <w:t xml:space="preserve">that critical mission </w:t>
      </w:r>
      <w:r w:rsidR="00111016" w:rsidRPr="009A649A">
        <w:rPr>
          <w:lang w:val="en-GB"/>
        </w:rPr>
        <w:t>corresponds</w:t>
      </w:r>
      <w:r w:rsidR="00AF1111" w:rsidRPr="009A649A">
        <w:rPr>
          <w:lang w:val="en-GB"/>
        </w:rPr>
        <w:t xml:space="preserve"> to</w:t>
      </w:r>
      <w:r w:rsidRPr="009A649A">
        <w:rPr>
          <w:lang w:val="en-GB"/>
        </w:rPr>
        <w:t xml:space="preserve"> exceptional situations (such as natural disasters), where multiple actors (police, firefighters, etc.) would need aerial coverage of the geographical area where the exceptional situation is happening; </w:t>
      </w:r>
    </w:p>
    <w:p w14:paraId="4591C12A" w14:textId="1C3B3FDE" w:rsidR="00680791" w:rsidRPr="009A649A" w:rsidRDefault="00D5116C" w:rsidP="00223733">
      <w:pPr>
        <w:pStyle w:val="LetteredList"/>
        <w:rPr>
          <w:lang w:val="en-GB"/>
        </w:rPr>
      </w:pPr>
      <w:r w:rsidRPr="009A649A">
        <w:rPr>
          <w:lang w:val="en-GB"/>
        </w:rPr>
        <w:t xml:space="preserve">that the band 1880-1900 MHz is designated for Digital Enhanced Cordless Telecommunications (DECT) under a general authorisation regime </w:t>
      </w:r>
      <w:r w:rsidR="00AC3802" w:rsidRPr="009A649A">
        <w:rPr>
          <w:lang w:val="en-GB"/>
        </w:rPr>
        <w:t xml:space="preserve">as </w:t>
      </w:r>
      <w:r w:rsidRPr="009A649A">
        <w:rPr>
          <w:lang w:val="en-GB"/>
        </w:rPr>
        <w:t xml:space="preserve">set out in ERC Decision (94)03 </w:t>
      </w:r>
      <w:r w:rsidR="00CA3B15" w:rsidRPr="009A649A">
        <w:rPr>
          <w:lang w:val="en-GB"/>
        </w:rPr>
        <w:fldChar w:fldCharType="begin"/>
      </w:r>
      <w:r w:rsidR="00CA3B15" w:rsidRPr="009A649A">
        <w:rPr>
          <w:lang w:val="en-GB"/>
        </w:rPr>
        <w:instrText xml:space="preserve"> REF _Ref157415658 \r \h </w:instrText>
      </w:r>
      <w:r w:rsidR="004221E0" w:rsidRPr="009A649A">
        <w:rPr>
          <w:lang w:val="en-GB"/>
        </w:rPr>
        <w:instrText xml:space="preserve"> \* MERGEFORMAT </w:instrText>
      </w:r>
      <w:r w:rsidR="00CA3B15" w:rsidRPr="009A649A">
        <w:rPr>
          <w:lang w:val="en-GB"/>
        </w:rPr>
      </w:r>
      <w:r w:rsidR="00CA3B15" w:rsidRPr="009A649A">
        <w:rPr>
          <w:lang w:val="en-GB"/>
        </w:rPr>
        <w:fldChar w:fldCharType="separate"/>
      </w:r>
      <w:r w:rsidR="00A22156" w:rsidRPr="009A649A">
        <w:rPr>
          <w:lang w:val="en-GB"/>
        </w:rPr>
        <w:t>[3]</w:t>
      </w:r>
      <w:r w:rsidR="00CA3B15" w:rsidRPr="009A649A">
        <w:rPr>
          <w:lang w:val="en-GB"/>
        </w:rPr>
        <w:fldChar w:fldCharType="end"/>
      </w:r>
      <w:r w:rsidR="00AC3802" w:rsidRPr="009A649A">
        <w:rPr>
          <w:lang w:val="en-GB"/>
        </w:rPr>
        <w:t>,</w:t>
      </w:r>
      <w:r w:rsidRPr="009A649A">
        <w:rPr>
          <w:lang w:val="en-GB"/>
        </w:rPr>
        <w:t xml:space="preserve"> ERC Decision (98)22</w:t>
      </w:r>
      <w:r w:rsidR="00CA3B15" w:rsidRPr="009A649A">
        <w:rPr>
          <w:lang w:val="en-GB"/>
        </w:rPr>
        <w:t xml:space="preserve"> </w:t>
      </w:r>
      <w:r w:rsidR="00CA3B15" w:rsidRPr="009A649A">
        <w:rPr>
          <w:lang w:val="en-GB"/>
        </w:rPr>
        <w:fldChar w:fldCharType="begin"/>
      </w:r>
      <w:r w:rsidR="00CA3B15" w:rsidRPr="009A649A">
        <w:rPr>
          <w:lang w:val="en-GB"/>
        </w:rPr>
        <w:instrText xml:space="preserve"> REF _Ref157415663 \r \h </w:instrText>
      </w:r>
      <w:r w:rsidR="004221E0" w:rsidRPr="009A649A">
        <w:rPr>
          <w:lang w:val="en-GB"/>
        </w:rPr>
        <w:instrText xml:space="preserve"> \* MERGEFORMAT </w:instrText>
      </w:r>
      <w:r w:rsidR="00CA3B15" w:rsidRPr="009A649A">
        <w:rPr>
          <w:lang w:val="en-GB"/>
        </w:rPr>
      </w:r>
      <w:r w:rsidR="00CA3B15" w:rsidRPr="009A649A">
        <w:rPr>
          <w:lang w:val="en-GB"/>
        </w:rPr>
        <w:fldChar w:fldCharType="separate"/>
      </w:r>
      <w:r w:rsidR="00A22156" w:rsidRPr="009A649A">
        <w:rPr>
          <w:lang w:val="en-GB"/>
        </w:rPr>
        <w:t>[4]</w:t>
      </w:r>
      <w:r w:rsidR="00CA3B15" w:rsidRPr="009A649A">
        <w:rPr>
          <w:lang w:val="en-GB"/>
        </w:rPr>
        <w:fldChar w:fldCharType="end"/>
      </w:r>
      <w:r w:rsidR="00AC3802" w:rsidRPr="009A649A">
        <w:rPr>
          <w:lang w:val="en-GB"/>
        </w:rPr>
        <w:t xml:space="preserve"> and EU Council Directive 91/287/EEC </w:t>
      </w:r>
      <w:r w:rsidR="00EB62E0">
        <w:rPr>
          <w:lang w:val="en-GB"/>
        </w:rPr>
        <w:fldChar w:fldCharType="begin"/>
      </w:r>
      <w:r w:rsidR="00EB62E0">
        <w:rPr>
          <w:lang w:val="en-GB"/>
        </w:rPr>
        <w:instrText xml:space="preserve"> REF _Ref167176171 \r \h </w:instrText>
      </w:r>
      <w:r w:rsidR="00EB62E0">
        <w:rPr>
          <w:lang w:val="en-GB"/>
        </w:rPr>
      </w:r>
      <w:r w:rsidR="00EB62E0">
        <w:rPr>
          <w:lang w:val="en-GB"/>
        </w:rPr>
        <w:fldChar w:fldCharType="separate"/>
      </w:r>
      <w:r w:rsidR="00EB62E0">
        <w:rPr>
          <w:lang w:val="en-GB"/>
        </w:rPr>
        <w:t>[15]</w:t>
      </w:r>
      <w:r w:rsidR="00EB62E0">
        <w:rPr>
          <w:lang w:val="en-GB"/>
        </w:rPr>
        <w:fldChar w:fldCharType="end"/>
      </w:r>
      <w:r w:rsidRPr="009A649A">
        <w:rPr>
          <w:lang w:val="en-GB"/>
        </w:rPr>
        <w:t>;</w:t>
      </w:r>
    </w:p>
    <w:p w14:paraId="03AC4300" w14:textId="7466A6CF" w:rsidR="00680791" w:rsidRPr="009A649A" w:rsidRDefault="00D5116C">
      <w:pPr>
        <w:pStyle w:val="LetteredList"/>
        <w:spacing w:after="240"/>
        <w:ind w:left="357" w:hanging="357"/>
        <w:rPr>
          <w:lang w:val="en-GB"/>
        </w:rPr>
      </w:pPr>
      <w:r w:rsidRPr="009A649A">
        <w:rPr>
          <w:lang w:val="en-GB"/>
        </w:rPr>
        <w:t>that the frequency band 1900-1910 MHz is designated for Railway Mobile Radio (RMR) by ECC Decision (20)02</w:t>
      </w:r>
      <w:r w:rsidR="00CA3B15" w:rsidRPr="009A649A">
        <w:rPr>
          <w:lang w:val="en-GB"/>
        </w:rPr>
        <w:t xml:space="preserve"> </w:t>
      </w:r>
      <w:r w:rsidR="00CA3B15" w:rsidRPr="009A649A">
        <w:rPr>
          <w:lang w:val="en-GB"/>
        </w:rPr>
        <w:fldChar w:fldCharType="begin"/>
      </w:r>
      <w:r w:rsidR="00CA3B15" w:rsidRPr="009A649A">
        <w:rPr>
          <w:lang w:val="en-GB"/>
        </w:rPr>
        <w:instrText xml:space="preserve"> REF _Ref157415699 \r \h </w:instrText>
      </w:r>
      <w:r w:rsidR="004221E0" w:rsidRPr="009A649A">
        <w:rPr>
          <w:lang w:val="en-GB"/>
        </w:rPr>
        <w:instrText xml:space="preserve"> \* MERGEFORMAT </w:instrText>
      </w:r>
      <w:r w:rsidR="00CA3B15" w:rsidRPr="009A649A">
        <w:rPr>
          <w:lang w:val="en-GB"/>
        </w:rPr>
      </w:r>
      <w:r w:rsidR="00CA3B15" w:rsidRPr="009A649A">
        <w:rPr>
          <w:lang w:val="en-GB"/>
        </w:rPr>
        <w:fldChar w:fldCharType="separate"/>
      </w:r>
      <w:r w:rsidR="00A22156" w:rsidRPr="009A649A">
        <w:rPr>
          <w:lang w:val="en-GB"/>
        </w:rPr>
        <w:t>[5]</w:t>
      </w:r>
      <w:r w:rsidR="00CA3B15" w:rsidRPr="009A649A">
        <w:rPr>
          <w:lang w:val="en-GB"/>
        </w:rPr>
        <w:fldChar w:fldCharType="end"/>
      </w:r>
      <w:r w:rsidR="006C7F32" w:rsidRPr="009A649A">
        <w:rPr>
          <w:lang w:val="en-GB"/>
        </w:rPr>
        <w:t xml:space="preserve"> </w:t>
      </w:r>
      <w:r w:rsidRPr="009A649A">
        <w:rPr>
          <w:lang w:val="en-GB"/>
        </w:rPr>
        <w:t>and the Commission Implementing Decision (EU) 2021/1730</w:t>
      </w:r>
      <w:r w:rsidR="00A86005" w:rsidRPr="009A649A">
        <w:rPr>
          <w:lang w:val="en-GB"/>
        </w:rPr>
        <w:t xml:space="preserve"> </w:t>
      </w:r>
      <w:r w:rsidR="00A86005" w:rsidRPr="009A649A">
        <w:rPr>
          <w:lang w:val="en-GB"/>
        </w:rPr>
        <w:fldChar w:fldCharType="begin"/>
      </w:r>
      <w:r w:rsidR="00A86005" w:rsidRPr="009A649A">
        <w:rPr>
          <w:lang w:val="en-GB"/>
        </w:rPr>
        <w:instrText xml:space="preserve"> REF _Ref157415706 \r \h </w:instrText>
      </w:r>
      <w:r w:rsidR="004221E0" w:rsidRPr="009A649A">
        <w:rPr>
          <w:lang w:val="en-GB"/>
        </w:rPr>
        <w:instrText xml:space="preserve"> \* MERGEFORMAT </w:instrText>
      </w:r>
      <w:r w:rsidR="00A86005" w:rsidRPr="009A649A">
        <w:rPr>
          <w:lang w:val="en-GB"/>
        </w:rPr>
      </w:r>
      <w:r w:rsidR="00A86005" w:rsidRPr="009A649A">
        <w:rPr>
          <w:lang w:val="en-GB"/>
        </w:rPr>
        <w:fldChar w:fldCharType="separate"/>
      </w:r>
      <w:r w:rsidR="00A22156" w:rsidRPr="009A649A">
        <w:rPr>
          <w:lang w:val="en-GB"/>
        </w:rPr>
        <w:t>[6]</w:t>
      </w:r>
      <w:r w:rsidR="00A86005" w:rsidRPr="009A649A">
        <w:rPr>
          <w:lang w:val="en-GB"/>
        </w:rPr>
        <w:fldChar w:fldCharType="end"/>
      </w:r>
      <w:r w:rsidRPr="009A649A">
        <w:rPr>
          <w:lang w:val="en-GB"/>
        </w:rPr>
        <w:t>;</w:t>
      </w:r>
    </w:p>
    <w:p w14:paraId="03C4EB67" w14:textId="3CE5AA15" w:rsidR="00E63F83" w:rsidRDefault="00E63F83">
      <w:pPr>
        <w:pStyle w:val="LetteredList"/>
        <w:spacing w:after="240"/>
        <w:ind w:left="357" w:hanging="357"/>
        <w:rPr>
          <w:lang w:val="en-GB"/>
        </w:rPr>
      </w:pPr>
      <w:r w:rsidRPr="009A649A">
        <w:rPr>
          <w:lang w:val="en-GB"/>
        </w:rPr>
        <w:t xml:space="preserve">that the frequency bands </w:t>
      </w:r>
      <w:r w:rsidRPr="009A649A">
        <w:rPr>
          <w:rFonts w:ascii="Helvetica" w:hAnsi="Helvetica"/>
          <w:color w:val="333333"/>
          <w:sz w:val="21"/>
          <w:szCs w:val="21"/>
          <w:shd w:val="clear" w:color="auto" w:fill="F5F5F5"/>
        </w:rPr>
        <w:t>1710-1785</w:t>
      </w:r>
      <w:r>
        <w:rPr>
          <w:rFonts w:ascii="Helvetica" w:hAnsi="Helvetica"/>
          <w:color w:val="333333"/>
          <w:sz w:val="21"/>
          <w:szCs w:val="21"/>
          <w:shd w:val="clear" w:color="auto" w:fill="F5F5F5"/>
        </w:rPr>
        <w:t xml:space="preserve"> MHz </w:t>
      </w:r>
      <w:r w:rsidRPr="009A649A">
        <w:t>/</w:t>
      </w:r>
      <w:r>
        <w:t xml:space="preserve"> </w:t>
      </w:r>
      <w:r w:rsidRPr="009A649A">
        <w:rPr>
          <w:lang w:val="en-GB"/>
        </w:rPr>
        <w:t>1805-1880 MHz is designated for MFCN (Mobile Fixed Communication Network) by ECC Decision (06)13</w:t>
      </w:r>
      <w:r>
        <w:rPr>
          <w:lang w:val="en-GB"/>
        </w:rPr>
        <w:t xml:space="preserve"> </w:t>
      </w:r>
      <w:r>
        <w:rPr>
          <w:lang w:val="en-GB"/>
        </w:rPr>
        <w:fldChar w:fldCharType="begin"/>
      </w:r>
      <w:r>
        <w:rPr>
          <w:lang w:val="en-GB"/>
        </w:rPr>
        <w:instrText xml:space="preserve"> REF _Ref167197411 \r \h </w:instrText>
      </w:r>
      <w:r>
        <w:rPr>
          <w:lang w:val="en-GB"/>
        </w:rPr>
      </w:r>
      <w:r>
        <w:rPr>
          <w:lang w:val="en-GB"/>
        </w:rPr>
        <w:fldChar w:fldCharType="separate"/>
      </w:r>
      <w:r>
        <w:rPr>
          <w:lang w:val="en-GB"/>
        </w:rPr>
        <w:t>[10]</w:t>
      </w:r>
      <w:r>
        <w:rPr>
          <w:lang w:val="en-GB"/>
        </w:rPr>
        <w:fldChar w:fldCharType="end"/>
      </w:r>
      <w:r w:rsidRPr="009A649A">
        <w:rPr>
          <w:lang w:val="en-GB"/>
        </w:rPr>
        <w:t xml:space="preserve"> and Commission Implementing Decision (EU) 2022/173</w:t>
      </w:r>
      <w:r>
        <w:rPr>
          <w:lang w:val="en-GB"/>
        </w:rPr>
        <w:t xml:space="preserve"> </w:t>
      </w:r>
      <w:r>
        <w:rPr>
          <w:lang w:val="en-GB"/>
        </w:rPr>
        <w:fldChar w:fldCharType="begin"/>
      </w:r>
      <w:r>
        <w:rPr>
          <w:lang w:val="en-GB"/>
        </w:rPr>
        <w:instrText xml:space="preserve"> REF _Ref167197425 \r \h </w:instrText>
      </w:r>
      <w:r>
        <w:rPr>
          <w:lang w:val="en-GB"/>
        </w:rPr>
      </w:r>
      <w:r>
        <w:rPr>
          <w:lang w:val="en-GB"/>
        </w:rPr>
        <w:fldChar w:fldCharType="separate"/>
      </w:r>
      <w:r>
        <w:rPr>
          <w:lang w:val="en-GB"/>
        </w:rPr>
        <w:t>[12]</w:t>
      </w:r>
      <w:r>
        <w:rPr>
          <w:lang w:val="en-GB"/>
        </w:rPr>
        <w:fldChar w:fldCharType="end"/>
      </w:r>
      <w:r>
        <w:rPr>
          <w:lang w:val="en-GB"/>
        </w:rPr>
        <w:t>;</w:t>
      </w:r>
    </w:p>
    <w:p w14:paraId="4A8CA286" w14:textId="180A4BD7" w:rsidR="00E63F83" w:rsidRDefault="00E63F83">
      <w:pPr>
        <w:pStyle w:val="LetteredList"/>
        <w:spacing w:after="240"/>
        <w:ind w:left="357" w:hanging="357"/>
        <w:rPr>
          <w:lang w:val="en-GB"/>
        </w:rPr>
      </w:pPr>
      <w:r w:rsidRPr="009A649A">
        <w:t xml:space="preserve">that the frequency bands </w:t>
      </w:r>
      <w:r w:rsidRPr="00223733">
        <w:t>1920-1980</w:t>
      </w:r>
      <w:r>
        <w:t xml:space="preserve"> MHz </w:t>
      </w:r>
      <w:r w:rsidRPr="009A649A">
        <w:t>/</w:t>
      </w:r>
      <w:r>
        <w:t xml:space="preserve"> </w:t>
      </w:r>
      <w:r w:rsidRPr="009A649A">
        <w:t>2110-2170</w:t>
      </w:r>
      <w:r w:rsidRPr="00223733">
        <w:t xml:space="preserve"> MHz are designated for MFCN </w:t>
      </w:r>
      <w:r w:rsidRPr="009A649A">
        <w:t>by ECC Decision (06)01</w:t>
      </w:r>
      <w:r>
        <w:t xml:space="preserve"> </w:t>
      </w:r>
      <w:r>
        <w:fldChar w:fldCharType="begin"/>
      </w:r>
      <w:r>
        <w:instrText xml:space="preserve"> REF _Ref167197442 \r \h </w:instrText>
      </w:r>
      <w:r>
        <w:fldChar w:fldCharType="separate"/>
      </w:r>
      <w:r>
        <w:t>[11]</w:t>
      </w:r>
      <w:r>
        <w:fldChar w:fldCharType="end"/>
      </w:r>
      <w:r w:rsidRPr="009A649A">
        <w:t>, Commission Implementing Decision 2012/688/EU and Commission Implementing Decision (EU) 2020/667</w:t>
      </w:r>
      <w:r>
        <w:t xml:space="preserve"> </w:t>
      </w:r>
      <w:r>
        <w:fldChar w:fldCharType="begin"/>
      </w:r>
      <w:r>
        <w:instrText xml:space="preserve"> REF _Ref164281464 \r \h </w:instrText>
      </w:r>
      <w:r>
        <w:fldChar w:fldCharType="separate"/>
      </w:r>
      <w:r>
        <w:t>[13]</w:t>
      </w:r>
      <w:r>
        <w:fldChar w:fldCharType="end"/>
      </w:r>
      <w:r>
        <w:t>;</w:t>
      </w:r>
    </w:p>
    <w:p w14:paraId="5DD4DE30" w14:textId="05F5864F" w:rsidR="00680791" w:rsidRPr="009A649A" w:rsidRDefault="00D5116C">
      <w:pPr>
        <w:pStyle w:val="LetteredList"/>
        <w:spacing w:after="240"/>
        <w:ind w:left="357" w:hanging="357"/>
        <w:rPr>
          <w:lang w:val="en-GB"/>
        </w:rPr>
      </w:pPr>
      <w:r w:rsidRPr="009A649A">
        <w:rPr>
          <w:lang w:val="en-GB"/>
        </w:rPr>
        <w:t>that, based on technical compatibility studies in ECC Report 332</w:t>
      </w:r>
      <w:r w:rsidR="002E5CA4" w:rsidRPr="009A649A">
        <w:rPr>
          <w:lang w:val="en-GB"/>
        </w:rPr>
        <w:t xml:space="preserve"> </w:t>
      </w:r>
      <w:r w:rsidR="002E5CA4" w:rsidRPr="009A649A">
        <w:rPr>
          <w:lang w:val="en-GB"/>
        </w:rPr>
        <w:fldChar w:fldCharType="begin"/>
      </w:r>
      <w:r w:rsidR="002E5CA4" w:rsidRPr="009A649A">
        <w:rPr>
          <w:lang w:val="en-GB"/>
        </w:rPr>
        <w:instrText xml:space="preserve"> REF _Ref157415259 \r \h </w:instrText>
      </w:r>
      <w:r w:rsidR="004B3753" w:rsidRPr="009A649A">
        <w:rPr>
          <w:lang w:val="en-GB"/>
        </w:rPr>
        <w:instrText xml:space="preserve"> \* MERGEFORMAT </w:instrText>
      </w:r>
      <w:r w:rsidR="002E5CA4" w:rsidRPr="009A649A">
        <w:rPr>
          <w:lang w:val="en-GB"/>
        </w:rPr>
      </w:r>
      <w:r w:rsidR="002E5CA4" w:rsidRPr="009A649A">
        <w:rPr>
          <w:lang w:val="en-GB"/>
        </w:rPr>
        <w:fldChar w:fldCharType="separate"/>
      </w:r>
      <w:r w:rsidR="00A22156" w:rsidRPr="009A649A">
        <w:rPr>
          <w:lang w:val="en-GB"/>
        </w:rPr>
        <w:t>[1]</w:t>
      </w:r>
      <w:r w:rsidR="002E5CA4" w:rsidRPr="009A649A">
        <w:rPr>
          <w:lang w:val="en-GB"/>
        </w:rPr>
        <w:fldChar w:fldCharType="end"/>
      </w:r>
      <w:r w:rsidR="00D16260">
        <w:rPr>
          <w:lang w:val="en-GB"/>
        </w:rPr>
        <w:t xml:space="preserve"> and</w:t>
      </w:r>
      <w:r w:rsidRPr="009A649A">
        <w:rPr>
          <w:lang w:val="en-GB"/>
        </w:rPr>
        <w:t xml:space="preserve"> ECC Report 352 </w:t>
      </w:r>
      <w:r w:rsidR="002E5CA4" w:rsidRPr="009A649A">
        <w:rPr>
          <w:lang w:val="en-GB"/>
        </w:rPr>
        <w:fldChar w:fldCharType="begin"/>
      </w:r>
      <w:r w:rsidR="002E5CA4" w:rsidRPr="009A649A">
        <w:rPr>
          <w:lang w:val="en-GB"/>
        </w:rPr>
        <w:instrText xml:space="preserve"> REF _Ref157415309 \r \h </w:instrText>
      </w:r>
      <w:r w:rsidR="004B3753" w:rsidRPr="009A649A">
        <w:rPr>
          <w:lang w:val="en-GB"/>
        </w:rPr>
        <w:instrText xml:space="preserve"> \* MERGEFORMAT </w:instrText>
      </w:r>
      <w:r w:rsidR="002E5CA4" w:rsidRPr="009A649A">
        <w:rPr>
          <w:lang w:val="en-GB"/>
        </w:rPr>
      </w:r>
      <w:r w:rsidR="002E5CA4" w:rsidRPr="009A649A">
        <w:rPr>
          <w:lang w:val="en-GB"/>
        </w:rPr>
        <w:fldChar w:fldCharType="separate"/>
      </w:r>
      <w:r w:rsidR="00A22156" w:rsidRPr="009A649A">
        <w:rPr>
          <w:lang w:val="en-GB"/>
        </w:rPr>
        <w:t>[2]</w:t>
      </w:r>
      <w:r w:rsidR="002E5CA4" w:rsidRPr="009A649A">
        <w:rPr>
          <w:lang w:val="en-GB"/>
        </w:rPr>
        <w:fldChar w:fldCharType="end"/>
      </w:r>
      <w:r w:rsidR="002E5CA4" w:rsidRPr="009A649A">
        <w:rPr>
          <w:lang w:val="en-GB"/>
        </w:rPr>
        <w:t xml:space="preserve"> </w:t>
      </w:r>
      <w:r w:rsidRPr="009A649A">
        <w:rPr>
          <w:lang w:val="en-GB"/>
        </w:rPr>
        <w:t>identifie</w:t>
      </w:r>
      <w:r w:rsidR="00D16281" w:rsidRPr="009A649A">
        <w:rPr>
          <w:lang w:val="en-GB"/>
        </w:rPr>
        <w:t>s</w:t>
      </w:r>
      <w:r w:rsidRPr="009A649A">
        <w:rPr>
          <w:lang w:val="en-GB"/>
        </w:rPr>
        <w:t xml:space="preserve"> technical and operational conditions for governmental UAS that will facilitate coexistence with services and applications in-band and in adjacent bands; </w:t>
      </w:r>
    </w:p>
    <w:p w14:paraId="4A5CD086" w14:textId="77777777" w:rsidR="00680791" w:rsidRPr="009A649A" w:rsidRDefault="00D5116C">
      <w:pPr>
        <w:pStyle w:val="LetteredList"/>
        <w:spacing w:after="240"/>
        <w:ind w:left="357" w:hanging="357"/>
        <w:rPr>
          <w:lang w:val="en-GB"/>
        </w:rPr>
      </w:pPr>
      <w:r w:rsidRPr="009A649A">
        <w:rPr>
          <w:lang w:val="en-GB"/>
        </w:rPr>
        <w:t>that there is a necessity to protect RMR operating in 1900-1910 MHz from governmental UAS operating in adjacent bands;</w:t>
      </w:r>
    </w:p>
    <w:p w14:paraId="6F9DB9E5" w14:textId="55F80B61" w:rsidR="00E57789" w:rsidRDefault="00E57789">
      <w:pPr>
        <w:pStyle w:val="LetteredList"/>
        <w:spacing w:after="240"/>
        <w:ind w:left="357" w:hanging="357"/>
        <w:rPr>
          <w:lang w:val="en-GB"/>
        </w:rPr>
      </w:pPr>
      <w:r w:rsidRPr="00E57789">
        <w:rPr>
          <w:lang w:val="en-GB"/>
        </w:rPr>
        <w:t>that administrations wishing to authorise the use of governmental UAS may consider performing coexistence measurements between RMR in the band 1900</w:t>
      </w:r>
      <w:r w:rsidR="00213D23">
        <w:rPr>
          <w:lang w:val="en-GB"/>
        </w:rPr>
        <w:t>-</w:t>
      </w:r>
      <w:r w:rsidRPr="00E57789">
        <w:rPr>
          <w:lang w:val="en-GB"/>
        </w:rPr>
        <w:t>1910 MHz and governmental drones operating in the adjacent band, when these systems become available, to confirm the theoretically calculated mitigation distances and coexistence behaviour;</w:t>
      </w:r>
    </w:p>
    <w:p w14:paraId="5760F769" w14:textId="59078ABC" w:rsidR="001217B7" w:rsidRPr="00C665AB" w:rsidRDefault="001217B7" w:rsidP="00EC2DE7">
      <w:pPr>
        <w:pStyle w:val="LetteredList"/>
        <w:rPr>
          <w:rFonts w:asciiTheme="minorHAnsi" w:hAnsiTheme="minorHAnsi"/>
          <w:szCs w:val="22"/>
          <w:lang w:val="en-GB"/>
        </w:rPr>
      </w:pPr>
      <w:r w:rsidRPr="00C665AB">
        <w:lastRenderedPageBreak/>
        <w:t>that there is a necessity to protect MFCN systems operating in 1805-1880 MHz and 1920-1980 MHz from governmental UAS operating in adjacent bands</w:t>
      </w:r>
      <w:r w:rsidR="00232E21">
        <w:t xml:space="preserve"> and that administrations may </w:t>
      </w:r>
      <w:r w:rsidR="00232E21" w:rsidRPr="002C582E">
        <w:t xml:space="preserve">consider </w:t>
      </w:r>
      <w:r w:rsidR="0099775C">
        <w:t>the</w:t>
      </w:r>
      <w:r w:rsidR="00232E21" w:rsidRPr="002C582E">
        <w:t xml:space="preserve"> need for additional measures</w:t>
      </w:r>
      <w:r w:rsidR="0099775C">
        <w:t xml:space="preserve"> on a national </w:t>
      </w:r>
      <w:proofErr w:type="gramStart"/>
      <w:r w:rsidR="0099775C">
        <w:t>basis</w:t>
      </w:r>
      <w:r w:rsidRPr="00C665AB">
        <w:t>;</w:t>
      </w:r>
      <w:proofErr w:type="gramEnd"/>
    </w:p>
    <w:p w14:paraId="6B5055D7" w14:textId="3F799F9D" w:rsidR="00543384" w:rsidRPr="00C665AB" w:rsidRDefault="00A65960" w:rsidP="009A649A">
      <w:pPr>
        <w:pStyle w:val="LetteredList"/>
        <w:spacing w:after="240"/>
        <w:ind w:left="357" w:hanging="357"/>
        <w:rPr>
          <w:lang w:val="en-GB"/>
        </w:rPr>
      </w:pPr>
      <w:r w:rsidRPr="00C665AB">
        <w:rPr>
          <w:lang w:val="en-GB"/>
        </w:rPr>
        <w:t xml:space="preserve">that governmental UAS are intended to be </w:t>
      </w:r>
      <w:r w:rsidR="003E0C55" w:rsidRPr="00C665AB">
        <w:rPr>
          <w:lang w:val="en-GB"/>
        </w:rPr>
        <w:t xml:space="preserve">operated </w:t>
      </w:r>
      <w:r w:rsidRPr="00C665AB">
        <w:rPr>
          <w:lang w:val="en-GB"/>
        </w:rPr>
        <w:t xml:space="preserve">to a maximum flight altitude of 120 m as set out in Commission Implementing Regulation (EU) 2019/947 </w:t>
      </w:r>
      <w:r w:rsidR="005B7A24" w:rsidRPr="00C665AB">
        <w:rPr>
          <w:lang w:val="en-GB"/>
        </w:rPr>
        <w:fldChar w:fldCharType="begin"/>
      </w:r>
      <w:r w:rsidR="005B7A24" w:rsidRPr="00C665AB">
        <w:rPr>
          <w:lang w:val="en-GB"/>
        </w:rPr>
        <w:instrText xml:space="preserve"> REF _Ref167176051 \r \h </w:instrText>
      </w:r>
      <w:r w:rsidR="00C665AB">
        <w:rPr>
          <w:lang w:val="en-GB"/>
        </w:rPr>
        <w:instrText xml:space="preserve"> \* MERGEFORMAT </w:instrText>
      </w:r>
      <w:r w:rsidR="005B7A24" w:rsidRPr="00C665AB">
        <w:rPr>
          <w:lang w:val="en-GB"/>
        </w:rPr>
      </w:r>
      <w:r w:rsidR="005B7A24" w:rsidRPr="00C665AB">
        <w:rPr>
          <w:lang w:val="en-GB"/>
        </w:rPr>
        <w:fldChar w:fldCharType="separate"/>
      </w:r>
      <w:r w:rsidR="005B7A24" w:rsidRPr="00C665AB">
        <w:rPr>
          <w:lang w:val="en-GB"/>
        </w:rPr>
        <w:t>[14]</w:t>
      </w:r>
      <w:r w:rsidR="005B7A24" w:rsidRPr="00C665AB">
        <w:rPr>
          <w:lang w:val="en-GB"/>
        </w:rPr>
        <w:fldChar w:fldCharType="end"/>
      </w:r>
      <w:r w:rsidR="005B7A24" w:rsidRPr="00C665AB">
        <w:rPr>
          <w:lang w:val="en-GB"/>
        </w:rPr>
        <w:t xml:space="preserve"> </w:t>
      </w:r>
      <w:r w:rsidRPr="00C665AB">
        <w:rPr>
          <w:lang w:val="en-GB"/>
        </w:rPr>
        <w:t>for Open category of UAS operation</w:t>
      </w:r>
      <w:r w:rsidR="00C83F49">
        <w:rPr>
          <w:lang w:val="en-GB"/>
        </w:rPr>
        <w:t>;</w:t>
      </w:r>
    </w:p>
    <w:p w14:paraId="65B88389" w14:textId="77777777" w:rsidR="00680791" w:rsidRPr="009A649A" w:rsidRDefault="00D5116C">
      <w:pPr>
        <w:pStyle w:val="ECCParagraph"/>
        <w:rPr>
          <w:i/>
          <w:color w:val="D2232A"/>
        </w:rPr>
      </w:pPr>
      <w:r w:rsidRPr="009A649A">
        <w:rPr>
          <w:i/>
          <w:color w:val="D2232A"/>
        </w:rPr>
        <w:t xml:space="preserve">recommends </w:t>
      </w:r>
    </w:p>
    <w:p w14:paraId="729B1D52" w14:textId="41E9F2F6" w:rsidR="00680791" w:rsidRPr="009A649A" w:rsidRDefault="00D5116C">
      <w:pPr>
        <w:pStyle w:val="ECCParagraph"/>
        <w:numPr>
          <w:ilvl w:val="0"/>
          <w:numId w:val="8"/>
        </w:numPr>
        <w:ind w:left="357" w:hanging="357"/>
      </w:pPr>
      <w:r w:rsidRPr="009A649A">
        <w:t>that administrations make available the 1880-1900 MHz and 1910-1920 MHz bands for the use and operation of governmental UAS, using DECT-2020 NR</w:t>
      </w:r>
      <w:r w:rsidR="008D163F">
        <w:t xml:space="preserve"> </w:t>
      </w:r>
      <w:r w:rsidR="007E027E" w:rsidRPr="009A649A">
        <w:t xml:space="preserve">or compatible </w:t>
      </w:r>
      <w:r w:rsidRPr="009A649A">
        <w:t>technology;</w:t>
      </w:r>
    </w:p>
    <w:p w14:paraId="43C0CAF9" w14:textId="5E7508C3" w:rsidR="00680791" w:rsidRPr="009A649A" w:rsidRDefault="00D5116C">
      <w:pPr>
        <w:pStyle w:val="ECCParagraph"/>
        <w:numPr>
          <w:ilvl w:val="0"/>
          <w:numId w:val="8"/>
        </w:numPr>
        <w:ind w:left="357" w:hanging="357"/>
      </w:pPr>
      <w:r w:rsidRPr="009A649A">
        <w:t xml:space="preserve">that UAS equipment should comply with the technical conditions specified in </w:t>
      </w:r>
      <w:r w:rsidR="006C7F32" w:rsidRPr="009A649A">
        <w:fldChar w:fldCharType="begin"/>
      </w:r>
      <w:r w:rsidR="006C7F32" w:rsidRPr="009A649A">
        <w:instrText xml:space="preserve"> REF _Ref157415719 \r \h </w:instrText>
      </w:r>
      <w:r w:rsidR="00545E64" w:rsidRPr="009A649A">
        <w:instrText xml:space="preserve"> \* MERGEFORMAT </w:instrText>
      </w:r>
      <w:r w:rsidR="006C7F32" w:rsidRPr="009A649A">
        <w:fldChar w:fldCharType="separate"/>
      </w:r>
      <w:r w:rsidR="00A22156" w:rsidRPr="009A649A">
        <w:t>ANNEX 1</w:t>
      </w:r>
      <w:r w:rsidR="006C7F32" w:rsidRPr="009A649A">
        <w:fldChar w:fldCharType="end"/>
      </w:r>
      <w:r w:rsidRPr="009A649A">
        <w:t>;</w:t>
      </w:r>
    </w:p>
    <w:p w14:paraId="563799C8" w14:textId="322B7F95" w:rsidR="00680791" w:rsidRPr="009A649A" w:rsidRDefault="00D5116C">
      <w:pPr>
        <w:pStyle w:val="ECCParagraph"/>
        <w:numPr>
          <w:ilvl w:val="0"/>
          <w:numId w:val="8"/>
        </w:numPr>
        <w:ind w:left="357" w:hanging="357"/>
      </w:pPr>
      <w:r w:rsidRPr="009A649A">
        <w:t xml:space="preserve">that </w:t>
      </w:r>
      <w:r w:rsidR="00545E64" w:rsidRPr="009A649A">
        <w:t xml:space="preserve">for routine missions </w:t>
      </w:r>
      <w:r w:rsidRPr="009A649A">
        <w:t>the maximum operational range</w:t>
      </w:r>
      <w:r w:rsidR="00B243C2" w:rsidRPr="009A649A">
        <w:rPr>
          <w:rStyle w:val="FootnoteReference"/>
        </w:rPr>
        <w:footnoteReference w:id="4"/>
      </w:r>
      <w:r w:rsidRPr="009A649A">
        <w:t xml:space="preserve"> of governmental UAS should be limited to 500 m in urban areas and </w:t>
      </w:r>
      <w:r w:rsidR="004B6CBF" w:rsidRPr="009A649A">
        <w:t>1</w:t>
      </w:r>
      <w:r w:rsidRPr="009A649A">
        <w:t xml:space="preserve"> km in rural areas;</w:t>
      </w:r>
    </w:p>
    <w:p w14:paraId="3C3C44DE" w14:textId="21485E19" w:rsidR="00680791" w:rsidRPr="009A649A" w:rsidRDefault="00D5116C">
      <w:pPr>
        <w:pStyle w:val="ECCParagraph"/>
        <w:numPr>
          <w:ilvl w:val="0"/>
          <w:numId w:val="8"/>
        </w:numPr>
        <w:ind w:left="357" w:hanging="357"/>
      </w:pPr>
      <w:r w:rsidRPr="009A649A">
        <w:t xml:space="preserve">that the definition and calculation of the minimum </w:t>
      </w:r>
      <w:r w:rsidR="001A4AA1" w:rsidRPr="009A649A">
        <w:t xml:space="preserve">coordination </w:t>
      </w:r>
      <w:r w:rsidRPr="009A649A">
        <w:t>distances and the corresponding exclusion zones for the protection of RMR</w:t>
      </w:r>
      <w:r w:rsidR="001A4AA1" w:rsidRPr="009A649A">
        <w:t xml:space="preserve"> </w:t>
      </w:r>
      <w:r w:rsidRPr="00DB0657">
        <w:t>(</w:t>
      </w:r>
      <w:r w:rsidRPr="009A649A">
        <w:t xml:space="preserve">e.g. </w:t>
      </w:r>
      <w:r w:rsidR="00D6551E" w:rsidRPr="009A649A">
        <w:fldChar w:fldCharType="begin"/>
      </w:r>
      <w:r w:rsidR="00D6551E" w:rsidRPr="009A649A">
        <w:instrText xml:space="preserve"> REF _Ref157417215 \r \h </w:instrText>
      </w:r>
      <w:r w:rsidR="001A4AA1" w:rsidRPr="009A649A">
        <w:instrText xml:space="preserve"> \* MERGEFORMAT </w:instrText>
      </w:r>
      <w:r w:rsidR="00D6551E" w:rsidRPr="009A649A">
        <w:fldChar w:fldCharType="separate"/>
      </w:r>
      <w:r w:rsidR="00A22156" w:rsidRPr="009A649A">
        <w:t>ANNEX 2</w:t>
      </w:r>
      <w:r w:rsidR="00D6551E" w:rsidRPr="009A649A">
        <w:fldChar w:fldCharType="end"/>
      </w:r>
      <w:r w:rsidRPr="009A649A">
        <w:t>) are a national issue;</w:t>
      </w:r>
    </w:p>
    <w:p w14:paraId="4B4C45C5" w14:textId="704E9628" w:rsidR="008C5533" w:rsidRPr="009A649A" w:rsidRDefault="00D5116C" w:rsidP="008C5533">
      <w:pPr>
        <w:pStyle w:val="NumberedList"/>
        <w:numPr>
          <w:ilvl w:val="0"/>
          <w:numId w:val="8"/>
        </w:numPr>
      </w:pPr>
      <w:r w:rsidRPr="009A649A">
        <w:t>that a cross</w:t>
      </w:r>
      <w:r w:rsidR="00934494">
        <w:t>-</w:t>
      </w:r>
      <w:r w:rsidRPr="009A649A">
        <w:t>border coordination process should be agreed amongst involved administrations to address coexistence issues between UAS operators and railway infrastructure managers at the borders</w:t>
      </w:r>
      <w:r w:rsidR="00D2306A" w:rsidRPr="009A649A">
        <w:t>,</w:t>
      </w:r>
      <w:r w:rsidRPr="009A649A">
        <w:t xml:space="preserve"> which could also include the notification process between UAS operator and RMR infrastructure managers</w:t>
      </w:r>
      <w:r w:rsidRPr="00DB0657">
        <w:t xml:space="preserve"> (</w:t>
      </w:r>
      <w:r w:rsidR="00D6551E" w:rsidRPr="009A649A">
        <w:fldChar w:fldCharType="begin"/>
      </w:r>
      <w:r w:rsidR="00D6551E" w:rsidRPr="009A649A">
        <w:instrText xml:space="preserve"> REF _Ref157417258 \r \h </w:instrText>
      </w:r>
      <w:r w:rsidR="00470795" w:rsidRPr="009A649A">
        <w:instrText xml:space="preserve"> \* MERGEFORMAT </w:instrText>
      </w:r>
      <w:r w:rsidR="00D6551E" w:rsidRPr="009A649A">
        <w:fldChar w:fldCharType="separate"/>
      </w:r>
      <w:r w:rsidR="00A22156" w:rsidRPr="009A649A">
        <w:t>ANNEX 3</w:t>
      </w:r>
      <w:r w:rsidR="00D6551E" w:rsidRPr="009A649A">
        <w:fldChar w:fldCharType="end"/>
      </w:r>
      <w:r w:rsidRPr="009A649A">
        <w:t>);</w:t>
      </w:r>
    </w:p>
    <w:p w14:paraId="55B7DB2A" w14:textId="11E37BC3" w:rsidR="00680791" w:rsidRPr="009A649A" w:rsidRDefault="00D5116C" w:rsidP="00D5116C">
      <w:pPr>
        <w:pStyle w:val="NumberedList"/>
        <w:numPr>
          <w:ilvl w:val="0"/>
          <w:numId w:val="8"/>
        </w:numPr>
      </w:pPr>
      <w:r w:rsidRPr="009A649A">
        <w:t>that, for critical missions, a maximum of 3 governmental UAS could be simultaneously used in a geographical area of 1 km² and that, under these circumstances, the maximum operational range of governmental UAS should be limited to 500 m</w:t>
      </w:r>
      <w:r w:rsidR="00421B62">
        <w:t>;</w:t>
      </w:r>
      <w:r w:rsidRPr="009A649A">
        <w:t xml:space="preserve"> </w:t>
      </w:r>
    </w:p>
    <w:p w14:paraId="095FB29A" w14:textId="773EA7A5" w:rsidR="00680791" w:rsidRPr="009A649A" w:rsidRDefault="00D5116C" w:rsidP="00D5116C">
      <w:pPr>
        <w:pStyle w:val="NumberedList"/>
        <w:numPr>
          <w:ilvl w:val="0"/>
          <w:numId w:val="8"/>
        </w:numPr>
      </w:pPr>
      <w:r w:rsidRPr="009A649A">
        <w:t>that, for the case when a governmental UAS flies during a critical mission within</w:t>
      </w:r>
      <w:r w:rsidR="008D368D" w:rsidRPr="009A649A">
        <w:t xml:space="preserve"> an</w:t>
      </w:r>
      <w:r w:rsidRPr="009A649A">
        <w:t xml:space="preserve"> exclusion zone, a notification process between the UAS operator and the RMR infrastructure manager should be implemented. The notification procedure should be agreed at a national level. An example of a possible workflow is presented in </w:t>
      </w:r>
      <w:r w:rsidR="00D6551E" w:rsidRPr="009A649A">
        <w:fldChar w:fldCharType="begin"/>
      </w:r>
      <w:r w:rsidR="00D6551E" w:rsidRPr="009A649A">
        <w:instrText xml:space="preserve"> REF _Ref157417271 \r \h </w:instrText>
      </w:r>
      <w:r w:rsidR="003841AA" w:rsidRPr="009A649A">
        <w:instrText xml:space="preserve"> \* MERGEFORMAT </w:instrText>
      </w:r>
      <w:r w:rsidR="00D6551E" w:rsidRPr="009A649A">
        <w:fldChar w:fldCharType="separate"/>
      </w:r>
      <w:r w:rsidR="00A22156" w:rsidRPr="009A649A">
        <w:t>ANNEX 4</w:t>
      </w:r>
      <w:r w:rsidR="00D6551E" w:rsidRPr="009A649A">
        <w:fldChar w:fldCharType="end"/>
      </w:r>
      <w:r w:rsidR="005F2951" w:rsidRPr="009A649A">
        <w:t>.”</w:t>
      </w:r>
    </w:p>
    <w:p w14:paraId="37537757" w14:textId="77777777" w:rsidR="00680791" w:rsidRPr="009A649A" w:rsidRDefault="00680791">
      <w:pPr>
        <w:pStyle w:val="NumberedList"/>
        <w:numPr>
          <w:ilvl w:val="0"/>
          <w:numId w:val="0"/>
        </w:numPr>
        <w:ind w:left="357"/>
      </w:pPr>
    </w:p>
    <w:p w14:paraId="181623B1" w14:textId="77777777" w:rsidR="00680791" w:rsidRPr="009A649A" w:rsidRDefault="00D5116C">
      <w:pPr>
        <w:pStyle w:val="ECCParagraph"/>
        <w:rPr>
          <w:i/>
          <w:color w:val="D2232A"/>
        </w:rPr>
      </w:pPr>
      <w:r w:rsidRPr="009A649A">
        <w:rPr>
          <w:i/>
          <w:color w:val="D2232A"/>
        </w:rPr>
        <w:t xml:space="preserve">Note: </w:t>
      </w:r>
    </w:p>
    <w:p w14:paraId="24640409" w14:textId="77777777" w:rsidR="00680791" w:rsidRPr="009A649A" w:rsidRDefault="00D5116C">
      <w:pPr>
        <w:rPr>
          <w:lang w:val="en-GB"/>
        </w:rPr>
      </w:pPr>
      <w:r w:rsidRPr="009A649A">
        <w:rPr>
          <w:i/>
          <w:szCs w:val="20"/>
          <w:lang w:val="en-GB"/>
        </w:rPr>
        <w:t xml:space="preserve">Please check the Office documentation database </w:t>
      </w:r>
      <w:hyperlink r:id="rId14">
        <w:r w:rsidRPr="009A649A">
          <w:rPr>
            <w:rStyle w:val="Hyperlink"/>
            <w:i/>
            <w:szCs w:val="20"/>
            <w:lang w:val="en-GB"/>
          </w:rPr>
          <w:t>https://docdb.cept.org/</w:t>
        </w:r>
      </w:hyperlink>
      <w:r w:rsidRPr="009A649A">
        <w:rPr>
          <w:i/>
          <w:szCs w:val="20"/>
          <w:lang w:val="en-GB"/>
        </w:rPr>
        <w:t xml:space="preserve"> for the </w:t>
      </w:r>
      <w:proofErr w:type="gramStart"/>
      <w:r w:rsidRPr="009A649A">
        <w:rPr>
          <w:i/>
          <w:szCs w:val="20"/>
          <w:lang w:val="en-GB"/>
        </w:rPr>
        <w:t>up to date</w:t>
      </w:r>
      <w:proofErr w:type="gramEnd"/>
      <w:r w:rsidRPr="009A649A">
        <w:rPr>
          <w:i/>
          <w:szCs w:val="20"/>
          <w:lang w:val="en-GB"/>
        </w:rPr>
        <w:t xml:space="preserve"> position on the implementation of this and other ECC Recommendations.</w:t>
      </w:r>
    </w:p>
    <w:p w14:paraId="2BFB92BB" w14:textId="77777777" w:rsidR="00680791" w:rsidRPr="009A649A" w:rsidRDefault="00680791">
      <w:pPr>
        <w:pStyle w:val="ECCParagraph"/>
      </w:pPr>
    </w:p>
    <w:p w14:paraId="6D38D205" w14:textId="56459956" w:rsidR="00680791" w:rsidRPr="009A649A" w:rsidRDefault="00D5116C" w:rsidP="002E4642">
      <w:pPr>
        <w:pStyle w:val="ECCAnnexheading1"/>
        <w:rPr>
          <w:lang w:val="en-GB"/>
        </w:rPr>
      </w:pPr>
      <w:bookmarkStart w:id="3" w:name="_Ref157415719"/>
      <w:bookmarkStart w:id="4" w:name="_Toc380059620"/>
      <w:bookmarkStart w:id="5" w:name="_Toc380059762"/>
      <w:bookmarkStart w:id="6" w:name="_Toc396383876"/>
      <w:bookmarkStart w:id="7" w:name="_Toc396917309"/>
      <w:bookmarkStart w:id="8" w:name="_Toc396917420"/>
      <w:bookmarkStart w:id="9" w:name="_Toc396917640"/>
      <w:bookmarkStart w:id="10" w:name="_Toc396917655"/>
      <w:bookmarkStart w:id="11" w:name="_Toc396917760"/>
      <w:r w:rsidRPr="009A649A">
        <w:rPr>
          <w:lang w:val="en-GB"/>
        </w:rPr>
        <w:lastRenderedPageBreak/>
        <w:t>Technical conditions for Governmental UAS in the 1880-1900 MHz and 1910</w:t>
      </w:r>
      <w:r w:rsidRPr="0034145D">
        <w:rPr>
          <w:lang w:val="en-GB"/>
        </w:rPr>
        <w:t>-</w:t>
      </w:r>
      <w:r w:rsidRPr="009A649A">
        <w:rPr>
          <w:lang w:val="en-GB"/>
        </w:rPr>
        <w:t>1920 MHz bands</w:t>
      </w:r>
      <w:bookmarkEnd w:id="3"/>
    </w:p>
    <w:p w14:paraId="57A42811" w14:textId="77777777" w:rsidR="00680791" w:rsidRPr="009A649A" w:rsidRDefault="00D5116C">
      <w:pPr>
        <w:pStyle w:val="BodyText"/>
        <w:rPr>
          <w:lang w:val="en-GB"/>
        </w:rPr>
      </w:pPr>
      <w:r w:rsidRPr="009A649A">
        <w:rPr>
          <w:lang w:val="en-GB"/>
        </w:rPr>
        <w:t xml:space="preserve">These technical requirements </w:t>
      </w:r>
      <w:r w:rsidR="005A26E2" w:rsidRPr="009A649A">
        <w:rPr>
          <w:lang w:val="en-GB"/>
        </w:rPr>
        <w:t>apply</w:t>
      </w:r>
      <w:r w:rsidRPr="009A649A">
        <w:rPr>
          <w:lang w:val="en-GB"/>
        </w:rPr>
        <w:t xml:space="preserve"> to both, ground station and user equipment.</w:t>
      </w:r>
    </w:p>
    <w:p w14:paraId="4FA20C0F" w14:textId="206188B1" w:rsidR="00680791" w:rsidRPr="009A649A" w:rsidRDefault="00D86BBF" w:rsidP="002E4642">
      <w:pPr>
        <w:pStyle w:val="Caption"/>
        <w:rPr>
          <w:b w:val="0"/>
          <w:lang w:val="en-GB"/>
        </w:rPr>
      </w:pPr>
      <w:r w:rsidRPr="009A649A">
        <w:rPr>
          <w:lang w:val="en-GB"/>
        </w:rPr>
        <w:t xml:space="preserve">Table </w:t>
      </w:r>
      <w:r w:rsidRPr="009A649A">
        <w:rPr>
          <w:lang w:val="en-GB"/>
        </w:rPr>
        <w:fldChar w:fldCharType="begin"/>
      </w:r>
      <w:r w:rsidRPr="009A649A">
        <w:rPr>
          <w:lang w:val="en-GB"/>
        </w:rPr>
        <w:instrText xml:space="preserve"> SEQ Table \* ARABIC </w:instrText>
      </w:r>
      <w:r w:rsidRPr="009A649A">
        <w:rPr>
          <w:lang w:val="en-GB"/>
        </w:rPr>
        <w:fldChar w:fldCharType="separate"/>
      </w:r>
      <w:r w:rsidR="00A22156" w:rsidRPr="009A649A">
        <w:rPr>
          <w:noProof/>
          <w:lang w:val="en-GB"/>
        </w:rPr>
        <w:t>1</w:t>
      </w:r>
      <w:r w:rsidRPr="009A649A">
        <w:rPr>
          <w:lang w:val="en-GB"/>
        </w:rPr>
        <w:fldChar w:fldCharType="end"/>
      </w:r>
      <w:r w:rsidRPr="009A649A">
        <w:rPr>
          <w:lang w:val="en-GB"/>
        </w:rPr>
        <w:t>:</w:t>
      </w:r>
      <w:r w:rsidR="00D5116C" w:rsidRPr="009A649A">
        <w:rPr>
          <w:lang w:val="en-GB"/>
        </w:rPr>
        <w:t xml:space="preserve"> Requirements on governmental UAS</w:t>
      </w:r>
    </w:p>
    <w:tbl>
      <w:tblPr>
        <w:tblW w:w="5000" w:type="pct"/>
        <w:jc w:val="center"/>
        <w:tblLook w:val="04A0" w:firstRow="1" w:lastRow="0" w:firstColumn="1" w:lastColumn="0" w:noHBand="0" w:noVBand="1"/>
      </w:tblPr>
      <w:tblGrid>
        <w:gridCol w:w="1696"/>
        <w:gridCol w:w="7932"/>
      </w:tblGrid>
      <w:tr w:rsidR="00680791" w:rsidRPr="009A649A" w14:paraId="6E1FA2FC" w14:textId="77777777" w:rsidTr="00470EF0">
        <w:trPr>
          <w:jc w:val="center"/>
        </w:trPr>
        <w:tc>
          <w:tcPr>
            <w:tcW w:w="881"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16B58D45" w14:textId="77777777" w:rsidR="00680791" w:rsidRPr="009A649A" w:rsidRDefault="00680791" w:rsidP="00A74D9A">
            <w:pPr>
              <w:widowControl w:val="0"/>
              <w:spacing w:before="120" w:after="120"/>
              <w:rPr>
                <w:rFonts w:cs="Arial"/>
                <w:b/>
                <w:color w:val="FFFFFF"/>
                <w:szCs w:val="22"/>
                <w:lang w:val="en-GB"/>
              </w:rPr>
            </w:pPr>
          </w:p>
        </w:tc>
        <w:tc>
          <w:tcPr>
            <w:tcW w:w="4119"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4DF9402B" w14:textId="77777777" w:rsidR="00680791" w:rsidRPr="009A649A" w:rsidRDefault="00D5116C" w:rsidP="00A74D9A">
            <w:pPr>
              <w:widowControl w:val="0"/>
              <w:spacing w:before="120" w:after="120"/>
              <w:jc w:val="center"/>
              <w:rPr>
                <w:rFonts w:cs="Arial"/>
                <w:b/>
                <w:color w:val="FFFFFF"/>
                <w:szCs w:val="22"/>
                <w:lang w:val="en-GB"/>
              </w:rPr>
            </w:pPr>
            <w:r w:rsidRPr="009A649A">
              <w:rPr>
                <w:rFonts w:eastAsia="Calibri" w:cs="Arial"/>
                <w:b/>
                <w:color w:val="FFFFFF"/>
                <w:szCs w:val="22"/>
                <w:lang w:val="en-GB"/>
              </w:rPr>
              <w:t>Technical conditions</w:t>
            </w:r>
          </w:p>
        </w:tc>
      </w:tr>
      <w:tr w:rsidR="00680791" w:rsidRPr="009A649A" w14:paraId="1439CDE7" w14:textId="77777777" w:rsidTr="00470EF0">
        <w:trPr>
          <w:jc w:val="center"/>
        </w:trPr>
        <w:tc>
          <w:tcPr>
            <w:tcW w:w="881" w:type="pct"/>
            <w:tcBorders>
              <w:top w:val="single" w:sz="4" w:space="0" w:color="D2232A"/>
              <w:left w:val="single" w:sz="4" w:space="0" w:color="D2232A"/>
              <w:bottom w:val="single" w:sz="4" w:space="0" w:color="D2232A"/>
              <w:right w:val="single" w:sz="4" w:space="0" w:color="D2232A"/>
            </w:tcBorders>
            <w:vAlign w:val="center"/>
          </w:tcPr>
          <w:p w14:paraId="4EBC96EE" w14:textId="77777777" w:rsidR="00680791" w:rsidRPr="009A649A" w:rsidRDefault="00D5116C" w:rsidP="00470EF0">
            <w:pPr>
              <w:widowControl w:val="0"/>
              <w:spacing w:before="60"/>
              <w:rPr>
                <w:rFonts w:cs="Arial"/>
                <w:szCs w:val="22"/>
                <w:lang w:val="en-GB"/>
              </w:rPr>
            </w:pPr>
            <w:r w:rsidRPr="009A649A">
              <w:rPr>
                <w:rFonts w:eastAsia="Calibri" w:cs="Arial"/>
                <w:szCs w:val="22"/>
                <w:lang w:val="en-GB"/>
              </w:rPr>
              <w:t>Transmit power</w:t>
            </w:r>
          </w:p>
        </w:tc>
        <w:tc>
          <w:tcPr>
            <w:tcW w:w="4119" w:type="pct"/>
            <w:tcBorders>
              <w:top w:val="single" w:sz="4" w:space="0" w:color="D2232A"/>
              <w:left w:val="single" w:sz="4" w:space="0" w:color="D2232A"/>
              <w:bottom w:val="single" w:sz="4" w:space="0" w:color="D2232A"/>
              <w:right w:val="single" w:sz="4" w:space="0" w:color="D2232A"/>
            </w:tcBorders>
            <w:vAlign w:val="center"/>
          </w:tcPr>
          <w:p w14:paraId="1604477C" w14:textId="2F882099" w:rsidR="00B1228F" w:rsidRPr="009A649A" w:rsidRDefault="00D5116C">
            <w:pPr>
              <w:widowControl w:val="0"/>
              <w:spacing w:before="60"/>
              <w:rPr>
                <w:rFonts w:cs="Arial"/>
                <w:szCs w:val="22"/>
                <w:lang w:val="en-GB"/>
              </w:rPr>
            </w:pPr>
            <w:r w:rsidRPr="009A649A">
              <w:rPr>
                <w:rFonts w:eastAsia="Calibri" w:cs="Arial"/>
                <w:szCs w:val="22"/>
                <w:lang w:val="en-GB"/>
              </w:rPr>
              <w:t>≤ 24 dBm e.i.r.p.</w:t>
            </w:r>
          </w:p>
          <w:p w14:paraId="279B8493" w14:textId="10908F12" w:rsidR="00680791" w:rsidRPr="009A649A" w:rsidRDefault="00D5116C" w:rsidP="00470EF0">
            <w:pPr>
              <w:widowControl w:val="0"/>
              <w:spacing w:before="60"/>
              <w:rPr>
                <w:rFonts w:cs="Arial"/>
                <w:szCs w:val="22"/>
                <w:lang w:val="en-GB"/>
              </w:rPr>
            </w:pPr>
            <w:r w:rsidRPr="009A649A">
              <w:rPr>
                <w:rFonts w:eastAsia="Calibri" w:cs="Arial"/>
                <w:szCs w:val="22"/>
                <w:lang w:val="en-GB"/>
              </w:rPr>
              <w:t xml:space="preserve">Transmitter Power Control (TPC) as set out in ETSI TS 103 636-2 </w:t>
            </w:r>
            <w:r w:rsidR="002E4642" w:rsidRPr="009A649A">
              <w:rPr>
                <w:rFonts w:eastAsia="Calibri" w:cs="Arial"/>
                <w:szCs w:val="22"/>
                <w:lang w:val="en-GB"/>
              </w:rPr>
              <w:fldChar w:fldCharType="begin"/>
            </w:r>
            <w:r w:rsidR="002E4642" w:rsidRPr="009A649A">
              <w:rPr>
                <w:rFonts w:eastAsia="Calibri" w:cs="Arial"/>
                <w:szCs w:val="22"/>
                <w:lang w:val="en-GB"/>
              </w:rPr>
              <w:instrText xml:space="preserve"> REF _Ref157417928 \r \h </w:instrText>
            </w:r>
            <w:r w:rsidR="0040052A" w:rsidRPr="009A649A">
              <w:rPr>
                <w:rFonts w:eastAsia="Calibri" w:cs="Arial"/>
                <w:szCs w:val="22"/>
                <w:lang w:val="en-GB"/>
              </w:rPr>
              <w:instrText xml:space="preserve"> \* MERGEFORMAT </w:instrText>
            </w:r>
            <w:r w:rsidR="002E4642" w:rsidRPr="009A649A">
              <w:rPr>
                <w:rFonts w:eastAsia="Calibri" w:cs="Arial"/>
                <w:szCs w:val="22"/>
                <w:lang w:val="en-GB"/>
              </w:rPr>
            </w:r>
            <w:r w:rsidR="002E4642" w:rsidRPr="009A649A">
              <w:rPr>
                <w:rFonts w:eastAsia="Calibri" w:cs="Arial"/>
                <w:szCs w:val="22"/>
                <w:lang w:val="en-GB"/>
              </w:rPr>
              <w:fldChar w:fldCharType="separate"/>
            </w:r>
            <w:r w:rsidR="00A22156" w:rsidRPr="009A649A">
              <w:rPr>
                <w:rFonts w:eastAsia="Calibri" w:cs="Arial"/>
                <w:szCs w:val="22"/>
                <w:lang w:val="en-GB"/>
              </w:rPr>
              <w:t>[8]</w:t>
            </w:r>
            <w:r w:rsidR="002E4642" w:rsidRPr="009A649A">
              <w:rPr>
                <w:rFonts w:eastAsia="Calibri" w:cs="Arial"/>
                <w:szCs w:val="22"/>
                <w:lang w:val="en-GB"/>
              </w:rPr>
              <w:fldChar w:fldCharType="end"/>
            </w:r>
            <w:r w:rsidR="00945160" w:rsidRPr="009A649A">
              <w:rPr>
                <w:rFonts w:eastAsia="Calibri" w:cs="Arial"/>
                <w:szCs w:val="22"/>
                <w:lang w:val="en-GB"/>
              </w:rPr>
              <w:t>, or equivalent method</w:t>
            </w:r>
          </w:p>
        </w:tc>
      </w:tr>
      <w:tr w:rsidR="00680791" w:rsidRPr="009A649A" w14:paraId="50CA21F0" w14:textId="77777777" w:rsidTr="00470EF0">
        <w:trPr>
          <w:jc w:val="center"/>
        </w:trPr>
        <w:tc>
          <w:tcPr>
            <w:tcW w:w="881" w:type="pct"/>
            <w:tcBorders>
              <w:top w:val="single" w:sz="4" w:space="0" w:color="D2232A"/>
              <w:left w:val="single" w:sz="4" w:space="0" w:color="D2232A"/>
              <w:bottom w:val="single" w:sz="4" w:space="0" w:color="D2232A"/>
              <w:right w:val="single" w:sz="4" w:space="0" w:color="D2232A"/>
            </w:tcBorders>
            <w:vAlign w:val="center"/>
          </w:tcPr>
          <w:p w14:paraId="089CC9DF" w14:textId="77777777" w:rsidR="00680791" w:rsidRPr="009A649A" w:rsidRDefault="00D5116C" w:rsidP="00470EF0">
            <w:pPr>
              <w:widowControl w:val="0"/>
              <w:spacing w:before="60"/>
              <w:rPr>
                <w:rFonts w:cs="Arial"/>
                <w:szCs w:val="22"/>
                <w:lang w:val="en-GB"/>
              </w:rPr>
            </w:pPr>
            <w:r w:rsidRPr="009A649A">
              <w:rPr>
                <w:rFonts w:eastAsia="Calibri" w:cs="Arial"/>
                <w:szCs w:val="22"/>
                <w:lang w:val="en-GB"/>
              </w:rPr>
              <w:t>Channel access</w:t>
            </w:r>
          </w:p>
        </w:tc>
        <w:tc>
          <w:tcPr>
            <w:tcW w:w="4119" w:type="pct"/>
            <w:tcBorders>
              <w:top w:val="single" w:sz="4" w:space="0" w:color="D2232A"/>
              <w:left w:val="single" w:sz="4" w:space="0" w:color="D2232A"/>
              <w:bottom w:val="single" w:sz="4" w:space="0" w:color="D2232A"/>
              <w:right w:val="single" w:sz="4" w:space="0" w:color="D2232A"/>
            </w:tcBorders>
            <w:vAlign w:val="center"/>
          </w:tcPr>
          <w:p w14:paraId="01F93746" w14:textId="49AAAEE6" w:rsidR="00680791" w:rsidRPr="009A649A" w:rsidRDefault="00D5116C" w:rsidP="00470EF0">
            <w:pPr>
              <w:widowControl w:val="0"/>
              <w:spacing w:before="60"/>
              <w:rPr>
                <w:lang w:val="en-GB"/>
              </w:rPr>
            </w:pPr>
            <w:r w:rsidRPr="009A649A">
              <w:rPr>
                <w:rFonts w:eastAsia="Calibri"/>
                <w:lang w:val="en-GB"/>
              </w:rPr>
              <w:t>DECT instant Dynamic Channel Selection (</w:t>
            </w:r>
            <w:proofErr w:type="spellStart"/>
            <w:r w:rsidRPr="009A649A">
              <w:rPr>
                <w:rFonts w:eastAsia="Calibri"/>
                <w:lang w:val="en-GB"/>
              </w:rPr>
              <w:t>iDCS</w:t>
            </w:r>
            <w:proofErr w:type="spellEnd"/>
            <w:r w:rsidRPr="009A649A">
              <w:rPr>
                <w:rFonts w:eastAsia="Calibri"/>
                <w:lang w:val="en-GB"/>
              </w:rPr>
              <w:t xml:space="preserve">) as set out in ETSI TS 103 636-4 </w:t>
            </w:r>
            <w:r w:rsidR="00EB62E0">
              <w:rPr>
                <w:rFonts w:eastAsia="Calibri"/>
                <w:lang w:val="en-GB"/>
              </w:rPr>
              <w:fldChar w:fldCharType="begin"/>
            </w:r>
            <w:r w:rsidR="00EB62E0">
              <w:rPr>
                <w:rFonts w:eastAsia="Calibri"/>
                <w:lang w:val="en-GB"/>
              </w:rPr>
              <w:instrText xml:space="preserve"> REF _Ref167176200 \r \h </w:instrText>
            </w:r>
            <w:r w:rsidR="00EB62E0">
              <w:rPr>
                <w:rFonts w:eastAsia="Calibri"/>
                <w:lang w:val="en-GB"/>
              </w:rPr>
            </w:r>
            <w:r w:rsidR="00EB62E0">
              <w:rPr>
                <w:rFonts w:eastAsia="Calibri"/>
                <w:lang w:val="en-GB"/>
              </w:rPr>
              <w:fldChar w:fldCharType="separate"/>
            </w:r>
            <w:r w:rsidR="00EB62E0">
              <w:rPr>
                <w:rFonts w:eastAsia="Calibri"/>
                <w:lang w:val="en-GB"/>
              </w:rPr>
              <w:t>[9]</w:t>
            </w:r>
            <w:r w:rsidR="00EB62E0">
              <w:rPr>
                <w:rFonts w:eastAsia="Calibri"/>
                <w:lang w:val="en-GB"/>
              </w:rPr>
              <w:fldChar w:fldCharType="end"/>
            </w:r>
            <w:r w:rsidRPr="009A649A">
              <w:rPr>
                <w:rFonts w:eastAsia="Calibri"/>
                <w:lang w:val="en-GB"/>
              </w:rPr>
              <w:t>, or equivalent method</w:t>
            </w:r>
          </w:p>
        </w:tc>
      </w:tr>
    </w:tbl>
    <w:p w14:paraId="5E5DB25E" w14:textId="34048260" w:rsidR="003841AA" w:rsidRPr="009A649A" w:rsidRDefault="00D5116C">
      <w:pPr>
        <w:pStyle w:val="BodyText"/>
      </w:pPr>
      <w:r w:rsidRPr="009A649A">
        <w:rPr>
          <w:lang w:val="en-GB"/>
        </w:rPr>
        <w:t xml:space="preserve">A 6.912 </w:t>
      </w:r>
      <w:r w:rsidR="00D86BBF" w:rsidRPr="009A649A">
        <w:rPr>
          <w:lang w:val="en-GB"/>
        </w:rPr>
        <w:t>MHz</w:t>
      </w:r>
      <w:r w:rsidRPr="009A649A">
        <w:rPr>
          <w:lang w:val="en-GB"/>
        </w:rPr>
        <w:t xml:space="preserve"> </w:t>
      </w:r>
      <w:r w:rsidR="00593C7B" w:rsidRPr="009A649A">
        <w:rPr>
          <w:lang w:val="en-GB"/>
        </w:rPr>
        <w:t>c</w:t>
      </w:r>
      <w:r w:rsidRPr="009A649A">
        <w:rPr>
          <w:lang w:val="en-GB"/>
        </w:rPr>
        <w:t xml:space="preserve">hannel </w:t>
      </w:r>
      <w:r w:rsidR="00F22C89" w:rsidRPr="009A649A">
        <w:rPr>
          <w:lang w:val="en-GB"/>
        </w:rPr>
        <w:t xml:space="preserve">shall </w:t>
      </w:r>
      <w:r w:rsidRPr="009A649A">
        <w:rPr>
          <w:lang w:val="en-GB"/>
        </w:rPr>
        <w:t xml:space="preserve">only be used </w:t>
      </w:r>
      <w:r w:rsidR="00593C7B" w:rsidRPr="009A649A">
        <w:t xml:space="preserve">below 1893.1 MHz (corresponding to the higher edge of the upmost channel). </w:t>
      </w:r>
    </w:p>
    <w:p w14:paraId="39722489" w14:textId="2BC20F9A" w:rsidR="00680791" w:rsidRPr="00223733" w:rsidRDefault="0065024D">
      <w:pPr>
        <w:pStyle w:val="BodyText"/>
      </w:pPr>
      <w:r w:rsidRPr="009A649A">
        <w:t>Use of</w:t>
      </w:r>
      <w:r w:rsidR="00593C7B" w:rsidRPr="009A649A">
        <w:t xml:space="preserve"> governmental UAS in the band 1910-1920 MHz</w:t>
      </w:r>
      <w:r w:rsidRPr="009A649A">
        <w:t xml:space="preserve"> is limited to bandwidth</w:t>
      </w:r>
      <w:r w:rsidR="00AD28A4" w:rsidRPr="009A649A">
        <w:t>s</w:t>
      </w:r>
      <w:r w:rsidRPr="009A649A">
        <w:t xml:space="preserve"> 1.</w:t>
      </w:r>
      <w:r w:rsidR="00AD28A4" w:rsidRPr="009A649A">
        <w:t xml:space="preserve">728 MHz </w:t>
      </w:r>
      <w:r w:rsidR="006B5EEE" w:rsidRPr="009A649A">
        <w:t>or</w:t>
      </w:r>
      <w:r w:rsidR="00AD28A4" w:rsidRPr="009A649A">
        <w:t xml:space="preserve"> 3.456 MHz</w:t>
      </w:r>
      <w:r w:rsidR="00593C7B" w:rsidRPr="009A649A">
        <w:t>.</w:t>
      </w:r>
    </w:p>
    <w:p w14:paraId="6C98862C" w14:textId="45E7C9F5" w:rsidR="00D65290" w:rsidRPr="009A649A" w:rsidRDefault="00D65290" w:rsidP="00D65290">
      <w:pPr>
        <w:pStyle w:val="BodyText"/>
      </w:pPr>
      <w:r w:rsidRPr="009A649A">
        <w:t xml:space="preserve">For critical missions the maximum occupation of each of the bands 1880-1900 MHz </w:t>
      </w:r>
      <w:r w:rsidRPr="00A93EAC">
        <w:rPr>
          <w:rFonts w:cs="Arial"/>
          <w:color w:val="333333"/>
          <w:szCs w:val="20"/>
        </w:rPr>
        <w:t xml:space="preserve">and 1910-1920 MHz should be </w:t>
      </w:r>
      <w:r w:rsidRPr="009A649A">
        <w:t>no more than 6.912 MHz</w:t>
      </w:r>
      <w:r w:rsidR="00AC701B">
        <w:t>.</w:t>
      </w:r>
    </w:p>
    <w:p w14:paraId="072C93EC" w14:textId="1E724E05" w:rsidR="00680791" w:rsidRPr="009A649A" w:rsidRDefault="00D5116C" w:rsidP="002E4642">
      <w:pPr>
        <w:pStyle w:val="ECCAnnexheading1"/>
        <w:rPr>
          <w:lang w:val="en-GB"/>
        </w:rPr>
      </w:pPr>
      <w:bookmarkStart w:id="12" w:name="_Ref157417215"/>
      <w:r w:rsidRPr="009A649A">
        <w:rPr>
          <w:lang w:val="en-GB"/>
        </w:rPr>
        <w:lastRenderedPageBreak/>
        <w:t>Example of exclusion zones definition to be provided by the RMR infrastructure manager</w:t>
      </w:r>
      <w:bookmarkEnd w:id="4"/>
      <w:bookmarkEnd w:id="5"/>
      <w:bookmarkEnd w:id="6"/>
      <w:bookmarkEnd w:id="7"/>
      <w:bookmarkEnd w:id="8"/>
      <w:bookmarkEnd w:id="9"/>
      <w:bookmarkEnd w:id="10"/>
      <w:bookmarkEnd w:id="11"/>
      <w:bookmarkEnd w:id="12"/>
    </w:p>
    <w:p w14:paraId="562FDA6F" w14:textId="6245E64D" w:rsidR="00680791" w:rsidRPr="009A649A" w:rsidRDefault="00D5116C">
      <w:pPr>
        <w:pStyle w:val="ECCParagraph"/>
      </w:pPr>
      <w:r w:rsidRPr="009A649A">
        <w:t xml:space="preserve">This </w:t>
      </w:r>
      <w:r w:rsidR="00123EA0">
        <w:t>a</w:t>
      </w:r>
      <w:r w:rsidR="0082214C" w:rsidRPr="009A649A">
        <w:t xml:space="preserve">nnex </w:t>
      </w:r>
      <w:r w:rsidR="00783F6C" w:rsidRPr="009A649A">
        <w:t>provides</w:t>
      </w:r>
      <w:r w:rsidRPr="009A649A">
        <w:t xml:space="preserve"> </w:t>
      </w:r>
      <w:r w:rsidR="00AC242B" w:rsidRPr="009A649A">
        <w:t xml:space="preserve">a </w:t>
      </w:r>
      <w:r w:rsidRPr="009A649A">
        <w:t xml:space="preserve">polygon that could be provided by the RMR infrastructure manager to UAS operator for the definition of the exclusion zones. Values for d1 and d2 </w:t>
      </w:r>
      <w:r w:rsidR="00AC242B" w:rsidRPr="009A649A">
        <w:t xml:space="preserve">are defined as follows: </w:t>
      </w:r>
    </w:p>
    <w:p w14:paraId="15705B97" w14:textId="453290E7" w:rsidR="00AC242B" w:rsidRPr="009A649A" w:rsidRDefault="00AC242B" w:rsidP="00AC242B">
      <w:pPr>
        <w:pStyle w:val="ECCBulletsLv1"/>
      </w:pPr>
      <w:r w:rsidRPr="009A649A">
        <w:t>d1 = 500 m in rural areas, 100 m in urban areas</w:t>
      </w:r>
      <w:r w:rsidR="00123EA0">
        <w:t>;</w:t>
      </w:r>
    </w:p>
    <w:p w14:paraId="12765FF6" w14:textId="4812AA43" w:rsidR="00AC242B" w:rsidRPr="009A649A" w:rsidRDefault="00AC242B" w:rsidP="00AC242B">
      <w:pPr>
        <w:pStyle w:val="ECCBulletsLv1"/>
      </w:pPr>
      <w:r w:rsidRPr="009A649A">
        <w:t>d2 = 50 m</w:t>
      </w:r>
      <w:r w:rsidR="00123EA0">
        <w:t>.</w:t>
      </w:r>
    </w:p>
    <w:p w14:paraId="624C2B5E" w14:textId="720A2BF8" w:rsidR="00AC242B" w:rsidRPr="009A649A" w:rsidRDefault="00AC242B" w:rsidP="00AC242B">
      <w:pPr>
        <w:pStyle w:val="ECCParagraph"/>
      </w:pPr>
      <w:r w:rsidRPr="009A649A">
        <w:t>These values will be reviewed based on field experience.</w:t>
      </w:r>
    </w:p>
    <w:p w14:paraId="04DBB97B" w14:textId="77777777" w:rsidR="00680791" w:rsidRPr="009A649A" w:rsidRDefault="00D5116C">
      <w:pPr>
        <w:pStyle w:val="ECCParagraph"/>
        <w:jc w:val="center"/>
      </w:pPr>
      <w:r w:rsidRPr="009A649A">
        <w:rPr>
          <w:noProof/>
        </w:rPr>
        <w:drawing>
          <wp:inline distT="0" distB="0" distL="0" distR="0" wp14:anchorId="716EE30F" wp14:editId="46099888">
            <wp:extent cx="5998845" cy="1419860"/>
            <wp:effectExtent l="0" t="0" r="0" b="0"/>
            <wp:docPr id="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3"/>
                    <pic:cNvPicPr>
                      <a:picLocks noChangeAspect="1" noChangeArrowheads="1"/>
                    </pic:cNvPicPr>
                  </pic:nvPicPr>
                  <pic:blipFill>
                    <a:blip r:embed="rId15"/>
                    <a:stretch>
                      <a:fillRect/>
                    </a:stretch>
                  </pic:blipFill>
                  <pic:spPr bwMode="auto">
                    <a:xfrm>
                      <a:off x="0" y="0"/>
                      <a:ext cx="5998845" cy="1419860"/>
                    </a:xfrm>
                    <a:prstGeom prst="rect">
                      <a:avLst/>
                    </a:prstGeom>
                  </pic:spPr>
                </pic:pic>
              </a:graphicData>
            </a:graphic>
          </wp:inline>
        </w:drawing>
      </w:r>
    </w:p>
    <w:p w14:paraId="7C675F66" w14:textId="77777777" w:rsidR="00680791" w:rsidRPr="009A649A" w:rsidRDefault="00D5116C">
      <w:pPr>
        <w:pStyle w:val="ECCFiguretitle"/>
      </w:pPr>
      <w:r w:rsidRPr="009A649A">
        <w:t xml:space="preserve">Definition on the exclusion zones </w:t>
      </w:r>
    </w:p>
    <w:p w14:paraId="0529C10B" w14:textId="60085B2D" w:rsidR="00680791" w:rsidRPr="009A649A" w:rsidRDefault="00D5116C">
      <w:pPr>
        <w:pStyle w:val="ECCParagraph"/>
      </w:pPr>
      <w:r w:rsidRPr="009A649A">
        <w:rPr>
          <w:noProof/>
        </w:rPr>
        <w:drawing>
          <wp:inline distT="0" distB="0" distL="0" distR="0" wp14:anchorId="792D6A67" wp14:editId="5E57D8D1">
            <wp:extent cx="5760720" cy="3140710"/>
            <wp:effectExtent l="0" t="0" r="0" b="0"/>
            <wp:docPr id="10" name="Bild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2" descr="image"/>
                    <pic:cNvPicPr>
                      <a:picLocks noChangeAspect="1" noChangeArrowheads="1"/>
                    </pic:cNvPicPr>
                  </pic:nvPicPr>
                  <pic:blipFill>
                    <a:blip r:embed="rId16"/>
                    <a:stretch>
                      <a:fillRect/>
                    </a:stretch>
                  </pic:blipFill>
                  <pic:spPr bwMode="auto">
                    <a:xfrm>
                      <a:off x="0" y="0"/>
                      <a:ext cx="5760720" cy="3140710"/>
                    </a:xfrm>
                    <a:prstGeom prst="rect">
                      <a:avLst/>
                    </a:prstGeom>
                  </pic:spPr>
                </pic:pic>
              </a:graphicData>
            </a:graphic>
          </wp:inline>
        </w:drawing>
      </w:r>
    </w:p>
    <w:p w14:paraId="2DDF6DB5" w14:textId="14F4B315" w:rsidR="00680791" w:rsidRPr="009A649A" w:rsidRDefault="00D5116C" w:rsidP="00DB0657">
      <w:pPr>
        <w:pStyle w:val="ECCFiguretitle"/>
      </w:pPr>
      <w:bookmarkStart w:id="13" w:name="_Ref167175547"/>
      <w:r w:rsidRPr="009A649A">
        <w:t>Example of exclusion zones in the South of France (orange lines and circles around BS indicate the exclusion zones)</w:t>
      </w:r>
      <w:bookmarkEnd w:id="13"/>
    </w:p>
    <w:p w14:paraId="6F8080C2" w14:textId="0D773FF2" w:rsidR="00D5116C" w:rsidRPr="009A649A" w:rsidRDefault="00D5116C" w:rsidP="002E4642">
      <w:pPr>
        <w:pStyle w:val="ECCAnnexheading1"/>
        <w:rPr>
          <w:lang w:val="en-GB"/>
        </w:rPr>
      </w:pPr>
      <w:bookmarkStart w:id="14" w:name="_Ref157417258"/>
      <w:r w:rsidRPr="009A649A">
        <w:rPr>
          <w:lang w:val="en-GB"/>
        </w:rPr>
        <w:lastRenderedPageBreak/>
        <w:t>Specific cases of Cross-border areas</w:t>
      </w:r>
      <w:bookmarkEnd w:id="14"/>
    </w:p>
    <w:p w14:paraId="1FF36C3E" w14:textId="240C25BA" w:rsidR="00D5116C" w:rsidRPr="009A649A" w:rsidRDefault="00D5116C" w:rsidP="00D5116C">
      <w:pPr>
        <w:jc w:val="both"/>
        <w:rPr>
          <w:color w:val="000000"/>
          <w:szCs w:val="20"/>
          <w:lang w:val="en-GB"/>
        </w:rPr>
      </w:pPr>
      <w:r w:rsidRPr="009A649A">
        <w:rPr>
          <w:color w:val="000000"/>
          <w:szCs w:val="20"/>
          <w:lang w:val="en-GB"/>
        </w:rPr>
        <w:t>Close to national border</w:t>
      </w:r>
      <w:r w:rsidR="0075736B" w:rsidRPr="009A649A">
        <w:rPr>
          <w:color w:val="000000"/>
          <w:szCs w:val="20"/>
          <w:lang w:val="en-GB"/>
        </w:rPr>
        <w:t>s</w:t>
      </w:r>
      <w:r w:rsidRPr="009A649A">
        <w:rPr>
          <w:color w:val="000000"/>
          <w:szCs w:val="20"/>
          <w:lang w:val="en-GB"/>
        </w:rPr>
        <w:t xml:space="preserve">, it </w:t>
      </w:r>
      <w:r w:rsidR="00005914" w:rsidRPr="009A649A">
        <w:rPr>
          <w:color w:val="000000"/>
          <w:szCs w:val="20"/>
          <w:lang w:val="en-GB"/>
        </w:rPr>
        <w:t xml:space="preserve">is </w:t>
      </w:r>
      <w:r w:rsidRPr="009A649A">
        <w:rPr>
          <w:color w:val="000000"/>
          <w:szCs w:val="20"/>
          <w:lang w:val="en-GB"/>
        </w:rPr>
        <w:t>also needed to involve the RMR infrastructure manager</w:t>
      </w:r>
      <w:r w:rsidR="00697347" w:rsidRPr="009A649A">
        <w:rPr>
          <w:color w:val="000000"/>
          <w:szCs w:val="20"/>
          <w:lang w:val="en-GB"/>
        </w:rPr>
        <w:t xml:space="preserve"> </w:t>
      </w:r>
      <w:r w:rsidRPr="009A649A">
        <w:rPr>
          <w:color w:val="000000"/>
          <w:szCs w:val="20"/>
          <w:lang w:val="en-GB"/>
        </w:rPr>
        <w:t>of the neighbouring country in the proposed process. The distance inside the neighbouring country where information needs to be shared with foreign parties (UAS operator and RMR operator) will depend on the implementation of the RMR</w:t>
      </w:r>
      <w:r w:rsidR="00697347" w:rsidRPr="009A649A">
        <w:rPr>
          <w:color w:val="000000"/>
          <w:szCs w:val="20"/>
          <w:lang w:val="en-GB"/>
        </w:rPr>
        <w:t xml:space="preserve"> </w:t>
      </w:r>
      <w:r w:rsidRPr="009A649A">
        <w:rPr>
          <w:color w:val="000000"/>
          <w:szCs w:val="20"/>
          <w:lang w:val="en-GB"/>
        </w:rPr>
        <w:t>BS and the service continuity requirement. This distance is normally agreed between the involved RMR infrastructure managers.</w:t>
      </w:r>
    </w:p>
    <w:p w14:paraId="18BEEAF9" w14:textId="32B81AD9" w:rsidR="00D5116C" w:rsidRDefault="00D5116C" w:rsidP="00D5116C">
      <w:pPr>
        <w:jc w:val="both"/>
        <w:rPr>
          <w:color w:val="000000"/>
          <w:szCs w:val="20"/>
          <w:lang w:val="en-GB"/>
        </w:rPr>
      </w:pPr>
      <w:r w:rsidRPr="009A649A">
        <w:rPr>
          <w:color w:val="000000"/>
          <w:szCs w:val="20"/>
          <w:lang w:val="en-GB"/>
        </w:rPr>
        <w:t>Note: in some specific case</w:t>
      </w:r>
      <w:r w:rsidR="00005914" w:rsidRPr="009A649A">
        <w:rPr>
          <w:color w:val="000000"/>
          <w:szCs w:val="20"/>
          <w:lang w:val="en-GB"/>
        </w:rPr>
        <w:t>s</w:t>
      </w:r>
      <w:r w:rsidRPr="009A649A">
        <w:rPr>
          <w:color w:val="000000"/>
          <w:szCs w:val="20"/>
          <w:lang w:val="en-GB"/>
        </w:rPr>
        <w:t xml:space="preserve">, </w:t>
      </w:r>
      <w:r w:rsidR="00005914" w:rsidRPr="009A649A">
        <w:rPr>
          <w:color w:val="000000"/>
          <w:szCs w:val="20"/>
          <w:lang w:val="en-GB"/>
        </w:rPr>
        <w:t>the</w:t>
      </w:r>
      <w:r w:rsidRPr="009A649A">
        <w:rPr>
          <w:color w:val="000000"/>
          <w:szCs w:val="20"/>
          <w:lang w:val="en-GB"/>
        </w:rPr>
        <w:t xml:space="preserve"> RMR operator of a country A need</w:t>
      </w:r>
      <w:r w:rsidR="00005914" w:rsidRPr="009A649A">
        <w:rPr>
          <w:color w:val="000000"/>
          <w:szCs w:val="20"/>
          <w:lang w:val="en-GB"/>
        </w:rPr>
        <w:t>s</w:t>
      </w:r>
      <w:r w:rsidRPr="009A649A">
        <w:rPr>
          <w:color w:val="000000"/>
          <w:szCs w:val="20"/>
          <w:lang w:val="en-GB"/>
        </w:rPr>
        <w:t xml:space="preserve"> to </w:t>
      </w:r>
      <w:r w:rsidR="00005914" w:rsidRPr="009A649A">
        <w:rPr>
          <w:color w:val="000000"/>
          <w:szCs w:val="20"/>
          <w:lang w:val="en-GB"/>
        </w:rPr>
        <w:t>deploy a</w:t>
      </w:r>
      <w:r w:rsidRPr="009A649A">
        <w:rPr>
          <w:color w:val="000000"/>
          <w:szCs w:val="20"/>
          <w:lang w:val="en-GB"/>
        </w:rPr>
        <w:t xml:space="preserve"> RMR BS in country B to allow service continuity between both countries, but the principle remains the same.</w:t>
      </w:r>
    </w:p>
    <w:p w14:paraId="622A3454" w14:textId="324FB5F8" w:rsidR="00D5116C" w:rsidRPr="009A649A" w:rsidRDefault="003F10A1" w:rsidP="00D5116C">
      <w:pPr>
        <w:jc w:val="both"/>
        <w:rPr>
          <w:color w:val="000000"/>
          <w:szCs w:val="20"/>
          <w:lang w:val="en-GB"/>
        </w:rPr>
      </w:pPr>
      <w:r w:rsidRPr="003F10A1">
        <w:rPr>
          <w:noProof/>
        </w:rPr>
        <w:drawing>
          <wp:inline distT="0" distB="0" distL="0" distR="0" wp14:anchorId="577D68E5" wp14:editId="70A2E2B7">
            <wp:extent cx="6120130" cy="355746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557464"/>
                    </a:xfrm>
                    <a:prstGeom prst="rect">
                      <a:avLst/>
                    </a:prstGeom>
                    <a:noFill/>
                    <a:ln>
                      <a:noFill/>
                    </a:ln>
                  </pic:spPr>
                </pic:pic>
              </a:graphicData>
            </a:graphic>
          </wp:inline>
        </w:drawing>
      </w:r>
    </w:p>
    <w:p w14:paraId="08265841" w14:textId="77777777" w:rsidR="00D5116C" w:rsidRPr="009A649A" w:rsidRDefault="00D5116C" w:rsidP="00D5116C">
      <w:pPr>
        <w:pStyle w:val="ECCFiguretitle"/>
      </w:pPr>
      <w:r w:rsidRPr="009A649A">
        <w:t>Cross-border area situation</w:t>
      </w:r>
    </w:p>
    <w:p w14:paraId="256679A4" w14:textId="2F3E597C" w:rsidR="00D5116C" w:rsidRPr="009A649A" w:rsidRDefault="00D5116C" w:rsidP="00D5116C">
      <w:pPr>
        <w:jc w:val="both"/>
        <w:rPr>
          <w:color w:val="000000"/>
          <w:lang w:val="en-GB"/>
        </w:rPr>
      </w:pPr>
      <w:r w:rsidRPr="009A649A">
        <w:rPr>
          <w:color w:val="000000"/>
          <w:lang w:val="en-GB"/>
        </w:rPr>
        <w:t>In case of UAS</w:t>
      </w:r>
      <w:r w:rsidRPr="009A649A">
        <w:rPr>
          <w:rFonts w:ascii="Cambria" w:hAnsi="Cambria"/>
          <w:color w:val="000000"/>
          <w:kern w:val="2"/>
          <w:position w:val="-9"/>
          <w:szCs w:val="20"/>
          <w:lang w:val="en-GB"/>
        </w:rPr>
        <w:t>A</w:t>
      </w:r>
      <w:r w:rsidRPr="009A649A">
        <w:rPr>
          <w:color w:val="000000"/>
          <w:lang w:val="en-GB"/>
        </w:rPr>
        <w:t xml:space="preserve"> is flying close to the shared exclusion zone represented above by </w:t>
      </w:r>
      <w:r w:rsidRPr="009A649A">
        <w:rPr>
          <w:rFonts w:cs="Arial"/>
          <w:color w:val="000000"/>
          <w:sz w:val="28"/>
          <w:szCs w:val="36"/>
          <w:lang w:val="en-GB"/>
        </w:rPr>
        <w:t>░</w:t>
      </w:r>
      <w:r w:rsidRPr="009A649A">
        <w:rPr>
          <w:color w:val="000000"/>
          <w:lang w:val="en-GB"/>
        </w:rPr>
        <w:t xml:space="preserve">, the flowchart presented in </w:t>
      </w:r>
      <w:r w:rsidR="00BC340D">
        <w:rPr>
          <w:color w:val="000000"/>
          <w:lang w:val="en-GB"/>
        </w:rPr>
        <w:fldChar w:fldCharType="begin"/>
      </w:r>
      <w:r w:rsidR="00BC340D">
        <w:rPr>
          <w:color w:val="000000"/>
          <w:lang w:val="en-GB"/>
        </w:rPr>
        <w:instrText xml:space="preserve"> REF _Ref167175472 \r \h </w:instrText>
      </w:r>
      <w:r w:rsidR="00BC340D">
        <w:rPr>
          <w:color w:val="000000"/>
          <w:lang w:val="en-GB"/>
        </w:rPr>
      </w:r>
      <w:r w:rsidR="00BC340D">
        <w:rPr>
          <w:color w:val="000000"/>
          <w:lang w:val="en-GB"/>
        </w:rPr>
        <w:fldChar w:fldCharType="separate"/>
      </w:r>
      <w:r w:rsidR="00BC340D">
        <w:rPr>
          <w:color w:val="000000"/>
          <w:lang w:val="en-GB"/>
        </w:rPr>
        <w:t>A4.1</w:t>
      </w:r>
      <w:r w:rsidR="00BC340D">
        <w:rPr>
          <w:color w:val="000000"/>
          <w:lang w:val="en-GB"/>
        </w:rPr>
        <w:fldChar w:fldCharType="end"/>
      </w:r>
      <w:r w:rsidRPr="009A649A">
        <w:rPr>
          <w:color w:val="000000"/>
          <w:lang w:val="en-GB"/>
        </w:rPr>
        <w:t xml:space="preserve"> is applicable. In addition, RMR</w:t>
      </w:r>
      <w:r w:rsidRPr="009A649A">
        <w:rPr>
          <w:rFonts w:ascii="Cambria" w:hAnsi="Cambria"/>
          <w:color w:val="000000"/>
          <w:kern w:val="2"/>
          <w:position w:val="-9"/>
          <w:szCs w:val="20"/>
          <w:lang w:val="en-GB"/>
        </w:rPr>
        <w:t>A</w:t>
      </w:r>
      <w:r w:rsidRPr="009A649A">
        <w:rPr>
          <w:color w:val="000000"/>
          <w:lang w:val="en-GB"/>
        </w:rPr>
        <w:t xml:space="preserve"> will also inform RMR</w:t>
      </w:r>
      <w:r w:rsidRPr="009A649A">
        <w:rPr>
          <w:rFonts w:ascii="Cambria" w:hAnsi="Cambria"/>
          <w:color w:val="000000"/>
          <w:kern w:val="2"/>
          <w:position w:val="-9"/>
          <w:szCs w:val="20"/>
          <w:lang w:val="en-GB"/>
        </w:rPr>
        <w:t xml:space="preserve">B </w:t>
      </w:r>
      <w:r w:rsidRPr="009A649A">
        <w:rPr>
          <w:color w:val="000000"/>
          <w:lang w:val="en-GB"/>
        </w:rPr>
        <w:t>and vice-versa.</w:t>
      </w:r>
    </w:p>
    <w:p w14:paraId="2BE0909B" w14:textId="26884DC9" w:rsidR="002D596C" w:rsidRPr="00223733" w:rsidRDefault="00D5116C" w:rsidP="00223733">
      <w:pPr>
        <w:rPr>
          <w:lang w:val="en-GB"/>
        </w:rPr>
      </w:pPr>
      <w:r w:rsidRPr="009A649A">
        <w:rPr>
          <w:color w:val="000000"/>
          <w:lang w:val="en-GB"/>
        </w:rPr>
        <w:t>For more details on different situations for cross</w:t>
      </w:r>
      <w:r w:rsidR="000402DD" w:rsidRPr="009A649A">
        <w:rPr>
          <w:color w:val="000000"/>
          <w:lang w:val="en-GB"/>
        </w:rPr>
        <w:t>-</w:t>
      </w:r>
      <w:r w:rsidRPr="009A649A">
        <w:rPr>
          <w:color w:val="000000"/>
          <w:lang w:val="en-GB"/>
        </w:rPr>
        <w:t>border area</w:t>
      </w:r>
      <w:r w:rsidR="0049045D" w:rsidRPr="009A649A">
        <w:rPr>
          <w:color w:val="000000"/>
          <w:lang w:val="en-GB"/>
        </w:rPr>
        <w:t>s</w:t>
      </w:r>
      <w:r w:rsidRPr="009A649A">
        <w:rPr>
          <w:color w:val="000000"/>
          <w:lang w:val="en-GB"/>
        </w:rPr>
        <w:t>, please refer to ECC Report 353</w:t>
      </w:r>
      <w:r w:rsidR="00710B71">
        <w:rPr>
          <w:color w:val="000000"/>
          <w:lang w:val="en-GB"/>
        </w:rPr>
        <w:t>, a</w:t>
      </w:r>
      <w:r w:rsidR="000402DD" w:rsidRPr="009A649A">
        <w:rPr>
          <w:color w:val="000000"/>
          <w:lang w:val="en-GB"/>
        </w:rPr>
        <w:t xml:space="preserve">nnex </w:t>
      </w:r>
      <w:r w:rsidR="005457B5" w:rsidRPr="009A649A">
        <w:rPr>
          <w:color w:val="000000"/>
          <w:lang w:val="en-GB"/>
        </w:rPr>
        <w:t xml:space="preserve">1: Typical railway deployment scenarios </w:t>
      </w:r>
      <w:r w:rsidR="00DD4BD9">
        <w:rPr>
          <w:color w:val="000000"/>
          <w:lang w:val="en-GB"/>
        </w:rPr>
        <w:fldChar w:fldCharType="begin"/>
      </w:r>
      <w:r w:rsidR="00DD4BD9">
        <w:rPr>
          <w:color w:val="000000"/>
          <w:lang w:val="en-GB"/>
        </w:rPr>
        <w:instrText xml:space="preserve"> REF _Ref167175269 \r \h </w:instrText>
      </w:r>
      <w:r w:rsidR="00DD4BD9">
        <w:rPr>
          <w:color w:val="000000"/>
          <w:lang w:val="en-GB"/>
        </w:rPr>
      </w:r>
      <w:r w:rsidR="00DD4BD9">
        <w:rPr>
          <w:color w:val="000000"/>
          <w:lang w:val="en-GB"/>
        </w:rPr>
        <w:fldChar w:fldCharType="separate"/>
      </w:r>
      <w:r w:rsidR="00DD4BD9">
        <w:rPr>
          <w:color w:val="000000"/>
          <w:lang w:val="en-GB"/>
        </w:rPr>
        <w:t>[7]</w:t>
      </w:r>
      <w:r w:rsidR="00DD4BD9">
        <w:rPr>
          <w:color w:val="000000"/>
          <w:lang w:val="en-GB"/>
        </w:rPr>
        <w:fldChar w:fldCharType="end"/>
      </w:r>
      <w:r w:rsidR="005457B5" w:rsidRPr="009A649A">
        <w:rPr>
          <w:color w:val="000000"/>
          <w:lang w:val="en-GB"/>
        </w:rPr>
        <w:t>.</w:t>
      </w:r>
    </w:p>
    <w:p w14:paraId="5C510839" w14:textId="2895B3A0" w:rsidR="002D596C" w:rsidRPr="009A649A" w:rsidRDefault="002D596C" w:rsidP="002D596C">
      <w:pPr>
        <w:rPr>
          <w:lang w:val="en-GB"/>
        </w:rPr>
      </w:pPr>
      <w:r w:rsidRPr="009A649A">
        <w:rPr>
          <w:lang w:val="en-GB"/>
        </w:rPr>
        <w:t>The exclusion zones along the borders have to be exchanged between the RMR infrastructure managers of the countries involved.</w:t>
      </w:r>
    </w:p>
    <w:p w14:paraId="30D44725" w14:textId="7A053171" w:rsidR="00680791" w:rsidRPr="009A649A" w:rsidRDefault="00F863D4" w:rsidP="002E4642">
      <w:pPr>
        <w:pStyle w:val="ECCAnnexheading1"/>
        <w:rPr>
          <w:lang w:val="en-GB"/>
        </w:rPr>
      </w:pPr>
      <w:bookmarkStart w:id="15" w:name="_Toc79649516"/>
      <w:bookmarkStart w:id="16" w:name="_Ref157417271"/>
      <w:bookmarkEnd w:id="15"/>
      <w:r w:rsidRPr="009A649A">
        <w:rPr>
          <w:lang w:val="en-GB"/>
        </w:rPr>
        <w:lastRenderedPageBreak/>
        <w:t>Example of Notification</w:t>
      </w:r>
      <w:r w:rsidR="00D5116C" w:rsidRPr="009A649A">
        <w:rPr>
          <w:lang w:val="en-GB"/>
        </w:rPr>
        <w:t xml:space="preserve"> process between UAS operator and RMR infrastructure manager</w:t>
      </w:r>
      <w:bookmarkEnd w:id="16"/>
      <w:r w:rsidRPr="009A649A">
        <w:rPr>
          <w:lang w:val="en-GB"/>
        </w:rPr>
        <w:t xml:space="preserve"> applicable </w:t>
      </w:r>
      <w:r w:rsidR="00A90BA4" w:rsidRPr="009A649A">
        <w:rPr>
          <w:lang w:val="en-GB"/>
        </w:rPr>
        <w:t xml:space="preserve">only </w:t>
      </w:r>
      <w:r w:rsidR="00B67C46" w:rsidRPr="009A649A">
        <w:rPr>
          <w:lang w:val="en-GB"/>
        </w:rPr>
        <w:t>for</w:t>
      </w:r>
      <w:r w:rsidRPr="009A649A">
        <w:rPr>
          <w:lang w:val="en-GB"/>
        </w:rPr>
        <w:t xml:space="preserve"> critical missions</w:t>
      </w:r>
    </w:p>
    <w:p w14:paraId="2FE4597B" w14:textId="7018F7E2" w:rsidR="00680791" w:rsidRPr="009A649A" w:rsidRDefault="00971A42">
      <w:pPr>
        <w:rPr>
          <w:lang w:val="en-GB"/>
        </w:rPr>
      </w:pPr>
      <w:r w:rsidRPr="009A649A">
        <w:rPr>
          <w:lang w:val="en-GB"/>
        </w:rPr>
        <w:t xml:space="preserve">This </w:t>
      </w:r>
      <w:r w:rsidR="00C85636" w:rsidRPr="009A649A">
        <w:rPr>
          <w:lang w:val="en-GB"/>
        </w:rPr>
        <w:t xml:space="preserve">example of </w:t>
      </w:r>
      <w:r w:rsidR="00493CF5" w:rsidRPr="009A649A">
        <w:rPr>
          <w:lang w:val="en-GB"/>
        </w:rPr>
        <w:t xml:space="preserve">a </w:t>
      </w:r>
      <w:r w:rsidR="009A21E2" w:rsidRPr="009A649A">
        <w:rPr>
          <w:lang w:val="en-GB"/>
        </w:rPr>
        <w:t xml:space="preserve">notification process only applies for critical </w:t>
      </w:r>
      <w:r w:rsidR="00575E13" w:rsidRPr="009A649A">
        <w:rPr>
          <w:lang w:val="en-GB"/>
        </w:rPr>
        <w:t>missions</w:t>
      </w:r>
      <w:r w:rsidR="00D5116C" w:rsidRPr="009A649A">
        <w:rPr>
          <w:lang w:val="en-GB"/>
        </w:rPr>
        <w:t xml:space="preserve"> </w:t>
      </w:r>
      <w:r w:rsidR="009A21E2" w:rsidRPr="009A649A">
        <w:rPr>
          <w:lang w:val="en-GB"/>
        </w:rPr>
        <w:t>(</w:t>
      </w:r>
      <w:r w:rsidR="00DB469E" w:rsidRPr="009A649A">
        <w:rPr>
          <w:lang w:val="en-GB"/>
        </w:rPr>
        <w:t xml:space="preserve">according to </w:t>
      </w:r>
      <w:r w:rsidR="009A21E2" w:rsidRPr="009F4562">
        <w:rPr>
          <w:i/>
          <w:lang w:val="en-GB"/>
        </w:rPr>
        <w:t>recommend</w:t>
      </w:r>
      <w:r w:rsidR="009F4562" w:rsidRPr="009F4562">
        <w:rPr>
          <w:i/>
          <w:lang w:val="en-GB"/>
        </w:rPr>
        <w:t>s</w:t>
      </w:r>
      <w:r w:rsidR="009A21E2" w:rsidRPr="009F4562">
        <w:rPr>
          <w:i/>
          <w:lang w:val="en-GB"/>
        </w:rPr>
        <w:t xml:space="preserve"> </w:t>
      </w:r>
      <w:r w:rsidR="00326358" w:rsidRPr="009F4562">
        <w:rPr>
          <w:i/>
          <w:lang w:val="en-GB"/>
        </w:rPr>
        <w:t>8</w:t>
      </w:r>
      <w:r w:rsidR="009A21E2" w:rsidRPr="009A649A">
        <w:rPr>
          <w:lang w:val="en-GB"/>
        </w:rPr>
        <w:t>).</w:t>
      </w:r>
    </w:p>
    <w:p w14:paraId="4158C549" w14:textId="08EA96D6" w:rsidR="00326358" w:rsidRPr="009A649A" w:rsidRDefault="00326358">
      <w:pPr>
        <w:rPr>
          <w:lang w:val="en-GB"/>
        </w:rPr>
      </w:pPr>
      <w:r w:rsidRPr="009A649A">
        <w:rPr>
          <w:lang w:val="en-GB"/>
        </w:rPr>
        <w:t>This process may be adapted to each national situation.</w:t>
      </w:r>
    </w:p>
    <w:p w14:paraId="66499A00" w14:textId="77777777" w:rsidR="00680791" w:rsidRPr="009A649A" w:rsidRDefault="00D5116C">
      <w:pPr>
        <w:pStyle w:val="ECCAnnexheading2"/>
        <w:rPr>
          <w:lang w:val="en-GB"/>
        </w:rPr>
      </w:pPr>
      <w:bookmarkStart w:id="17" w:name="_Toc525808080"/>
      <w:bookmarkStart w:id="18" w:name="_Toc409783919"/>
      <w:bookmarkStart w:id="19" w:name="_Toc410380737"/>
      <w:bookmarkStart w:id="20" w:name="_Ref167175472"/>
      <w:r w:rsidRPr="009A649A">
        <w:rPr>
          <w:lang w:val="en-GB"/>
        </w:rPr>
        <w:t>Principles for a Notification process</w:t>
      </w:r>
      <w:bookmarkEnd w:id="17"/>
      <w:bookmarkEnd w:id="18"/>
      <w:bookmarkEnd w:id="19"/>
      <w:bookmarkEnd w:id="20"/>
    </w:p>
    <w:p w14:paraId="30A5D56E" w14:textId="77777777" w:rsidR="00680791" w:rsidRPr="009A649A" w:rsidRDefault="00D5116C">
      <w:pPr>
        <w:pStyle w:val="ECCParagraph"/>
      </w:pPr>
      <w:r w:rsidRPr="009A649A">
        <w:t>The following figure provides a generic process that is further detailed in the following sections.</w:t>
      </w:r>
    </w:p>
    <w:p w14:paraId="1CB74FA5" w14:textId="7486A314" w:rsidR="00FC16BD" w:rsidRPr="009A649A" w:rsidRDefault="00FC16BD">
      <w:pPr>
        <w:pStyle w:val="ECCParagraph"/>
        <w:jc w:val="center"/>
      </w:pPr>
      <w:r w:rsidRPr="009A649A">
        <w:rPr>
          <w:noProof/>
        </w:rPr>
        <w:drawing>
          <wp:inline distT="0" distB="0" distL="0" distR="0" wp14:anchorId="6C2B3185" wp14:editId="5017B3E0">
            <wp:extent cx="5961380" cy="56388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1380" cy="5638800"/>
                    </a:xfrm>
                    <a:prstGeom prst="rect">
                      <a:avLst/>
                    </a:prstGeom>
                    <a:noFill/>
                    <a:ln>
                      <a:noFill/>
                    </a:ln>
                  </pic:spPr>
                </pic:pic>
              </a:graphicData>
            </a:graphic>
          </wp:inline>
        </w:drawing>
      </w:r>
    </w:p>
    <w:p w14:paraId="5B1D45B0" w14:textId="77777777" w:rsidR="00680791" w:rsidRPr="009A649A" w:rsidRDefault="00D5116C">
      <w:pPr>
        <w:pStyle w:val="ECCFiguretitle"/>
      </w:pPr>
      <w:r w:rsidRPr="009A649A">
        <w:t>Example of generic notification process</w:t>
      </w:r>
    </w:p>
    <w:p w14:paraId="0D0748C2" w14:textId="77777777" w:rsidR="00680791" w:rsidRPr="009A649A" w:rsidRDefault="00D5116C">
      <w:pPr>
        <w:rPr>
          <w:u w:val="single"/>
          <w:lang w:val="en-GB"/>
        </w:rPr>
      </w:pPr>
      <w:r w:rsidRPr="009A649A">
        <w:rPr>
          <w:lang w:val="en-GB"/>
        </w:rPr>
        <w:br w:type="page"/>
      </w:r>
    </w:p>
    <w:p w14:paraId="6B7EE974" w14:textId="29D4421D" w:rsidR="00680791" w:rsidRPr="009A649A" w:rsidRDefault="00D5116C">
      <w:pPr>
        <w:pStyle w:val="ECCAnnexheading2"/>
        <w:rPr>
          <w:lang w:val="en-GB"/>
        </w:rPr>
      </w:pPr>
      <w:r w:rsidRPr="009A649A">
        <w:rPr>
          <w:lang w:val="en-GB"/>
        </w:rPr>
        <w:lastRenderedPageBreak/>
        <w:t>Detailed description of the activities</w:t>
      </w:r>
    </w:p>
    <w:tbl>
      <w:tblPr>
        <w:tblW w:w="9628" w:type="dxa"/>
        <w:tblLayout w:type="fixed"/>
        <w:tblLook w:val="04A0" w:firstRow="1" w:lastRow="0" w:firstColumn="1" w:lastColumn="0" w:noHBand="0" w:noVBand="1"/>
      </w:tblPr>
      <w:tblGrid>
        <w:gridCol w:w="993"/>
        <w:gridCol w:w="8635"/>
      </w:tblGrid>
      <w:tr w:rsidR="00680791" w:rsidRPr="009A649A" w14:paraId="6488D437" w14:textId="77777777" w:rsidTr="00223733">
        <w:tc>
          <w:tcPr>
            <w:tcW w:w="993" w:type="dxa"/>
          </w:tcPr>
          <w:p w14:paraId="7ECF0312" w14:textId="77777777" w:rsidR="00680791" w:rsidRPr="009A649A" w:rsidRDefault="00D5116C">
            <w:pPr>
              <w:pStyle w:val="ECCParagraph"/>
              <w:widowControl w:val="0"/>
            </w:pPr>
            <w:r w:rsidRPr="009A649A">
              <w:rPr>
                <w:noProof/>
              </w:rPr>
              <w:drawing>
                <wp:inline distT="0" distB="0" distL="0" distR="0" wp14:anchorId="239DBAF5" wp14:editId="7519FE0D">
                  <wp:extent cx="408940" cy="381000"/>
                  <wp:effectExtent l="0" t="0" r="0" b="0"/>
                  <wp:docPr id="12"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90"/>
                          <pic:cNvPicPr>
                            <a:picLocks noChangeAspect="1" noChangeArrowheads="1"/>
                          </pic:cNvPicPr>
                        </pic:nvPicPr>
                        <pic:blipFill>
                          <a:blip r:embed="rId19"/>
                          <a:stretch>
                            <a:fillRect/>
                          </a:stretch>
                        </pic:blipFill>
                        <pic:spPr bwMode="auto">
                          <a:xfrm>
                            <a:off x="0" y="0"/>
                            <a:ext cx="408940" cy="381000"/>
                          </a:xfrm>
                          <a:prstGeom prst="rect">
                            <a:avLst/>
                          </a:prstGeom>
                        </pic:spPr>
                      </pic:pic>
                    </a:graphicData>
                  </a:graphic>
                </wp:inline>
              </w:drawing>
            </w:r>
          </w:p>
        </w:tc>
        <w:tc>
          <w:tcPr>
            <w:tcW w:w="8635" w:type="dxa"/>
          </w:tcPr>
          <w:p w14:paraId="66B5B429" w14:textId="36CA5594" w:rsidR="00680791" w:rsidRPr="009A649A" w:rsidRDefault="00D5116C" w:rsidP="002E4642">
            <w:pPr>
              <w:pStyle w:val="ECCBulletsLv1"/>
            </w:pPr>
            <w:r w:rsidRPr="009A649A">
              <w:t xml:space="preserve">Definition of the exclusion zones around </w:t>
            </w:r>
            <w:r w:rsidR="00FC16BD" w:rsidRPr="009A649A">
              <w:t xml:space="preserve">railway </w:t>
            </w:r>
            <w:r w:rsidRPr="009A649A">
              <w:t>tracks (geofencing):</w:t>
            </w:r>
          </w:p>
          <w:p w14:paraId="63CD7504" w14:textId="192145CE" w:rsidR="00680791" w:rsidRPr="009A649A" w:rsidRDefault="00D5116C" w:rsidP="002E4642">
            <w:pPr>
              <w:pStyle w:val="ECCBulletsLv2"/>
            </w:pPr>
            <w:r w:rsidRPr="009A649A">
              <w:t xml:space="preserve">Task performed by </w:t>
            </w:r>
            <w:r w:rsidR="00FC16BD" w:rsidRPr="009A649A">
              <w:t xml:space="preserve">the </w:t>
            </w:r>
            <w:r w:rsidRPr="009A649A">
              <w:t>RMR infrastructure manager</w:t>
            </w:r>
            <w:r w:rsidR="00357F2F">
              <w:t>;</w:t>
            </w:r>
          </w:p>
          <w:p w14:paraId="5C0EF869" w14:textId="78A82972" w:rsidR="00680791" w:rsidRPr="009A649A" w:rsidRDefault="00D5116C" w:rsidP="002E4642">
            <w:pPr>
              <w:pStyle w:val="ECCBulletsLv2"/>
            </w:pPr>
            <w:r w:rsidRPr="009A649A">
              <w:t xml:space="preserve">The size of these exclusion zones is derived according to the </w:t>
            </w:r>
            <w:r w:rsidR="00AE259F" w:rsidRPr="009A649A">
              <w:t xml:space="preserve">parameters set out </w:t>
            </w:r>
            <w:r w:rsidRPr="009A649A">
              <w:t xml:space="preserve">in </w:t>
            </w:r>
            <w:r w:rsidR="00446403">
              <w:fldChar w:fldCharType="begin"/>
            </w:r>
            <w:r w:rsidR="00446403">
              <w:instrText xml:space="preserve"> REF _Ref167175547 \r \h </w:instrText>
            </w:r>
            <w:r w:rsidR="00446403">
              <w:fldChar w:fldCharType="separate"/>
            </w:r>
            <w:r w:rsidR="00446403">
              <w:t>Figure 2:</w:t>
            </w:r>
            <w:r w:rsidR="00446403">
              <w:fldChar w:fldCharType="end"/>
            </w:r>
            <w:r w:rsidR="00357F2F">
              <w:t>;</w:t>
            </w:r>
          </w:p>
          <w:p w14:paraId="455CCBCE" w14:textId="6474DD0B" w:rsidR="00680791" w:rsidRPr="009A649A" w:rsidRDefault="00D5116C" w:rsidP="002E4642">
            <w:pPr>
              <w:pStyle w:val="ECCBulletsLv2"/>
            </w:pPr>
            <w:r w:rsidRPr="009A649A">
              <w:t xml:space="preserve">The periodicity for the delivery of </w:t>
            </w:r>
            <w:r w:rsidR="00FC16BD" w:rsidRPr="009A649A">
              <w:t>this</w:t>
            </w:r>
            <w:r w:rsidRPr="009A649A">
              <w:t xml:space="preserve"> information shall be defined on a national basis (example: every year)</w:t>
            </w:r>
            <w:r w:rsidR="00357F2F">
              <w:t>;</w:t>
            </w:r>
          </w:p>
          <w:p w14:paraId="14037AC0" w14:textId="7DEB5FAF" w:rsidR="00220D64" w:rsidRPr="009A649A" w:rsidRDefault="00D5116C" w:rsidP="008D163F">
            <w:pPr>
              <w:pStyle w:val="ECCBulletsLv2"/>
            </w:pPr>
            <w:r w:rsidRPr="009A649A">
              <w:t>Format of the geographical data (format of the file(s) and geographical projection’s system) has to be defined on a national basis</w:t>
            </w:r>
            <w:r w:rsidR="005F0482">
              <w:t>.</w:t>
            </w:r>
          </w:p>
        </w:tc>
      </w:tr>
      <w:tr w:rsidR="00680791" w:rsidRPr="009A649A" w14:paraId="70321C23" w14:textId="77777777" w:rsidTr="00223733">
        <w:tc>
          <w:tcPr>
            <w:tcW w:w="993" w:type="dxa"/>
          </w:tcPr>
          <w:p w14:paraId="70423238" w14:textId="77777777" w:rsidR="00680791" w:rsidRPr="009A649A" w:rsidRDefault="00D5116C">
            <w:pPr>
              <w:pStyle w:val="ECCParagraph"/>
              <w:widowControl w:val="0"/>
            </w:pPr>
            <w:r w:rsidRPr="009A649A">
              <w:rPr>
                <w:noProof/>
              </w:rPr>
              <w:drawing>
                <wp:inline distT="0" distB="0" distL="0" distR="0" wp14:anchorId="013429A5" wp14:editId="492E483A">
                  <wp:extent cx="408940" cy="374015"/>
                  <wp:effectExtent l="0" t="0" r="0" b="0"/>
                  <wp:docPr id="13"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94"/>
                          <pic:cNvPicPr>
                            <a:picLocks noChangeAspect="1" noChangeArrowheads="1"/>
                          </pic:cNvPicPr>
                        </pic:nvPicPr>
                        <pic:blipFill>
                          <a:blip r:embed="rId20"/>
                          <a:stretch>
                            <a:fillRect/>
                          </a:stretch>
                        </pic:blipFill>
                        <pic:spPr bwMode="auto">
                          <a:xfrm>
                            <a:off x="0" y="0"/>
                            <a:ext cx="408940" cy="374015"/>
                          </a:xfrm>
                          <a:prstGeom prst="rect">
                            <a:avLst/>
                          </a:prstGeom>
                        </pic:spPr>
                      </pic:pic>
                    </a:graphicData>
                  </a:graphic>
                </wp:inline>
              </w:drawing>
            </w:r>
          </w:p>
        </w:tc>
        <w:tc>
          <w:tcPr>
            <w:tcW w:w="8635" w:type="dxa"/>
          </w:tcPr>
          <w:p w14:paraId="799D0538" w14:textId="77777777" w:rsidR="00125059" w:rsidRDefault="00125059" w:rsidP="00B70212">
            <w:pPr>
              <w:pStyle w:val="ECCBulletsLv1"/>
              <w:numPr>
                <w:ilvl w:val="0"/>
                <w:numId w:val="0"/>
              </w:numPr>
              <w:ind w:left="340" w:hanging="340"/>
            </w:pPr>
          </w:p>
          <w:p w14:paraId="368D924B" w14:textId="5508DADB" w:rsidR="00680791" w:rsidRPr="009A649A" w:rsidRDefault="00D5116C" w:rsidP="002E4642">
            <w:pPr>
              <w:pStyle w:val="ECCBulletsLv1"/>
            </w:pPr>
            <w:r w:rsidRPr="009A649A">
              <w:t xml:space="preserve">Download of the exclusion zones </w:t>
            </w:r>
            <w:r w:rsidR="00FC16BD" w:rsidRPr="009A649A">
              <w:t xml:space="preserve">in </w:t>
            </w:r>
            <w:r w:rsidRPr="009A649A">
              <w:t xml:space="preserve">UAS </w:t>
            </w:r>
            <w:r w:rsidR="00FC16BD" w:rsidRPr="009A649A">
              <w:t>devices</w:t>
            </w:r>
            <w:r w:rsidRPr="009A649A">
              <w:t>(UE/GS)</w:t>
            </w:r>
            <w:r w:rsidR="005F0482">
              <w:t>.</w:t>
            </w:r>
          </w:p>
        </w:tc>
      </w:tr>
      <w:tr w:rsidR="00680791" w:rsidRPr="009A649A" w14:paraId="58AE9933" w14:textId="77777777" w:rsidTr="00223733">
        <w:tc>
          <w:tcPr>
            <w:tcW w:w="993" w:type="dxa"/>
          </w:tcPr>
          <w:p w14:paraId="4D6E6333" w14:textId="77777777" w:rsidR="00680791" w:rsidRPr="009A649A" w:rsidRDefault="00D5116C">
            <w:pPr>
              <w:pStyle w:val="ECCParagraph"/>
              <w:widowControl w:val="0"/>
            </w:pPr>
            <w:r w:rsidRPr="009A649A">
              <w:rPr>
                <w:noProof/>
              </w:rPr>
              <w:drawing>
                <wp:inline distT="0" distB="0" distL="0" distR="0" wp14:anchorId="0F95B623" wp14:editId="7D790C37">
                  <wp:extent cx="408940" cy="374015"/>
                  <wp:effectExtent l="0" t="0" r="0" b="0"/>
                  <wp:docPr id="14"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95"/>
                          <pic:cNvPicPr>
                            <a:picLocks noChangeAspect="1" noChangeArrowheads="1"/>
                          </pic:cNvPicPr>
                        </pic:nvPicPr>
                        <pic:blipFill>
                          <a:blip r:embed="rId21"/>
                          <a:stretch>
                            <a:fillRect/>
                          </a:stretch>
                        </pic:blipFill>
                        <pic:spPr bwMode="auto">
                          <a:xfrm>
                            <a:off x="0" y="0"/>
                            <a:ext cx="408940" cy="374015"/>
                          </a:xfrm>
                          <a:prstGeom prst="rect">
                            <a:avLst/>
                          </a:prstGeom>
                        </pic:spPr>
                      </pic:pic>
                    </a:graphicData>
                  </a:graphic>
                </wp:inline>
              </w:drawing>
            </w:r>
          </w:p>
        </w:tc>
        <w:tc>
          <w:tcPr>
            <w:tcW w:w="8635" w:type="dxa"/>
          </w:tcPr>
          <w:p w14:paraId="36AC39B9" w14:textId="4FC0F4C6" w:rsidR="00B70212" w:rsidRDefault="00B70212" w:rsidP="000C167E">
            <w:pPr>
              <w:pStyle w:val="ECCBulletsLv1"/>
              <w:numPr>
                <w:ilvl w:val="0"/>
                <w:numId w:val="0"/>
              </w:numPr>
              <w:ind w:left="340" w:hanging="340"/>
            </w:pPr>
          </w:p>
          <w:p w14:paraId="3D295733" w14:textId="6AA1BDD8" w:rsidR="00627DE9" w:rsidRPr="009A649A" w:rsidRDefault="00627DE9" w:rsidP="002E4642">
            <w:pPr>
              <w:pStyle w:val="ECCBulletsLv1"/>
            </w:pPr>
            <w:r w:rsidRPr="009A649A">
              <w:t>After a UAS flight inside the exclusion zone, the UAS operator creates a record in a national database (to be set up) to inform the RMR infrastructure manager</w:t>
            </w:r>
            <w:r w:rsidR="00C64079" w:rsidRPr="009A649A">
              <w:t>.</w:t>
            </w:r>
            <w:r w:rsidRPr="009A649A">
              <w:t xml:space="preserve"> </w:t>
            </w:r>
          </w:p>
          <w:p w14:paraId="6CD9A54D" w14:textId="78D3B765" w:rsidR="00680791" w:rsidRPr="009A649A" w:rsidRDefault="00D5116C" w:rsidP="00223733">
            <w:pPr>
              <w:pStyle w:val="ECCBulletsLv1"/>
            </w:pPr>
            <w:r w:rsidRPr="009A649A">
              <w:t xml:space="preserve">The minimum information to be </w:t>
            </w:r>
            <w:r w:rsidR="00E509EF" w:rsidRPr="009A649A">
              <w:t xml:space="preserve">exchanged is </w:t>
            </w:r>
            <w:r w:rsidRPr="009A649A">
              <w:t>the following:</w:t>
            </w:r>
          </w:p>
          <w:p w14:paraId="4477AB78" w14:textId="77777777" w:rsidR="00680791" w:rsidRPr="009A649A" w:rsidRDefault="00D5116C">
            <w:pPr>
              <w:pStyle w:val="ECCBulletsLv2"/>
            </w:pPr>
            <w:r w:rsidRPr="009A649A">
              <w:t>Flight Plan (date/time</w:t>
            </w:r>
            <w:r w:rsidR="00E509EF" w:rsidRPr="009A649A">
              <w:t>/duration</w:t>
            </w:r>
            <w:r w:rsidRPr="009A649A">
              <w:t xml:space="preserve"> &amp; location)</w:t>
            </w:r>
            <w:r w:rsidR="002E4642" w:rsidRPr="009A649A">
              <w:t>.</w:t>
            </w:r>
          </w:p>
          <w:p w14:paraId="74A77E8B" w14:textId="7B8550BF" w:rsidR="00220D64" w:rsidRPr="009A649A" w:rsidRDefault="00220D64" w:rsidP="00223733">
            <w:pPr>
              <w:pStyle w:val="ECCBulletsLv2"/>
              <w:numPr>
                <w:ilvl w:val="0"/>
                <w:numId w:val="0"/>
              </w:numPr>
              <w:ind w:left="680"/>
            </w:pPr>
          </w:p>
        </w:tc>
      </w:tr>
      <w:tr w:rsidR="00680791" w:rsidRPr="009A649A" w14:paraId="3DBA1CA8" w14:textId="77777777" w:rsidTr="00223733">
        <w:tc>
          <w:tcPr>
            <w:tcW w:w="993" w:type="dxa"/>
          </w:tcPr>
          <w:p w14:paraId="3D38195C" w14:textId="77777777" w:rsidR="00680791" w:rsidRPr="009A649A" w:rsidRDefault="00D5116C">
            <w:pPr>
              <w:pStyle w:val="ECCParagraph"/>
              <w:widowControl w:val="0"/>
            </w:pPr>
            <w:r w:rsidRPr="009A649A">
              <w:rPr>
                <w:noProof/>
              </w:rPr>
              <w:drawing>
                <wp:inline distT="0" distB="0" distL="0" distR="0" wp14:anchorId="27D6A054" wp14:editId="6FD18437">
                  <wp:extent cx="408940" cy="374015"/>
                  <wp:effectExtent l="0" t="0" r="0" b="0"/>
                  <wp:docPr id="15"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96"/>
                          <pic:cNvPicPr>
                            <a:picLocks noChangeAspect="1" noChangeArrowheads="1"/>
                          </pic:cNvPicPr>
                        </pic:nvPicPr>
                        <pic:blipFill>
                          <a:blip r:embed="rId22"/>
                          <a:stretch>
                            <a:fillRect/>
                          </a:stretch>
                        </pic:blipFill>
                        <pic:spPr bwMode="auto">
                          <a:xfrm>
                            <a:off x="0" y="0"/>
                            <a:ext cx="408940" cy="374015"/>
                          </a:xfrm>
                          <a:prstGeom prst="rect">
                            <a:avLst/>
                          </a:prstGeom>
                        </pic:spPr>
                      </pic:pic>
                    </a:graphicData>
                  </a:graphic>
                </wp:inline>
              </w:drawing>
            </w:r>
          </w:p>
        </w:tc>
        <w:tc>
          <w:tcPr>
            <w:tcW w:w="8635" w:type="dxa"/>
          </w:tcPr>
          <w:p w14:paraId="5F4D80B8" w14:textId="54D50271" w:rsidR="000C167E" w:rsidRDefault="000C167E" w:rsidP="000C167E">
            <w:pPr>
              <w:pStyle w:val="ECCBulletsLv1"/>
              <w:numPr>
                <w:ilvl w:val="0"/>
                <w:numId w:val="0"/>
              </w:numPr>
              <w:ind w:left="340" w:hanging="340"/>
            </w:pPr>
          </w:p>
          <w:p w14:paraId="0C4B3EEF" w14:textId="79BCFD7D" w:rsidR="00680791" w:rsidRPr="009A649A" w:rsidRDefault="00B03382" w:rsidP="00223733">
            <w:pPr>
              <w:pStyle w:val="ECCBulletsLv1"/>
            </w:pPr>
            <w:r w:rsidRPr="009A649A">
              <w:t xml:space="preserve">The RMR </w:t>
            </w:r>
            <w:r w:rsidR="00CD6F49" w:rsidRPr="009A649A">
              <w:t xml:space="preserve">infrastructure manager </w:t>
            </w:r>
            <w:r w:rsidRPr="009A649A">
              <w:t>will then update the national database mentioned above with RMR losses of service identified in the area flown over</w:t>
            </w:r>
            <w:r w:rsidR="000650C2" w:rsidRPr="009A649A">
              <w:t>.</w:t>
            </w:r>
          </w:p>
        </w:tc>
      </w:tr>
    </w:tbl>
    <w:p w14:paraId="6057D38B" w14:textId="09E6B4CE" w:rsidR="00680791" w:rsidRPr="009A649A" w:rsidRDefault="00D5116C">
      <w:pPr>
        <w:pStyle w:val="ECCParagraph"/>
      </w:pPr>
      <w:r w:rsidRPr="009A649A">
        <w:t xml:space="preserve">The format and the exact data to be registered by RMR </w:t>
      </w:r>
      <w:r w:rsidR="008E4614" w:rsidRPr="009A649A">
        <w:t xml:space="preserve">in step 4 </w:t>
      </w:r>
      <w:r w:rsidRPr="009A649A">
        <w:t xml:space="preserve">shall be adjusted on a national basis. The details of the contact names of each involved party (UAS and RMR), the notification delay and the exact flowchart shall also be adjusted on a national basis. All this information shall be defined in a multilateral agreement between the involved parties. This agreement could </w:t>
      </w:r>
      <w:r w:rsidR="00B03382" w:rsidRPr="009A649A">
        <w:t>also</w:t>
      </w:r>
      <w:r w:rsidRPr="009A649A">
        <w:t xml:space="preserve"> be shared with the national frequency authority depending on the national rules. </w:t>
      </w:r>
    </w:p>
    <w:p w14:paraId="795C125D" w14:textId="5FF30546" w:rsidR="00680791" w:rsidRPr="009A649A" w:rsidRDefault="00D5116C" w:rsidP="00223733">
      <w:pPr>
        <w:jc w:val="both"/>
        <w:rPr>
          <w:lang w:val="en-GB"/>
        </w:rPr>
      </w:pPr>
      <w:bookmarkStart w:id="21" w:name="_Toc391651263"/>
      <w:r w:rsidRPr="009A649A">
        <w:rPr>
          <w:lang w:val="en-GB"/>
        </w:rPr>
        <w:t xml:space="preserve">Remark: </w:t>
      </w:r>
      <w:r w:rsidR="00B03382" w:rsidRPr="009A649A">
        <w:rPr>
          <w:lang w:val="en-GB"/>
        </w:rPr>
        <w:t xml:space="preserve">based </w:t>
      </w:r>
      <w:r w:rsidRPr="009A649A">
        <w:rPr>
          <w:lang w:val="en-GB"/>
        </w:rPr>
        <w:t xml:space="preserve">on the number of cases </w:t>
      </w:r>
      <w:r w:rsidR="006B0269" w:rsidRPr="009A649A">
        <w:rPr>
          <w:lang w:val="en-GB"/>
        </w:rPr>
        <w:t>which ha</w:t>
      </w:r>
      <w:r w:rsidR="00220D64" w:rsidRPr="009A649A">
        <w:rPr>
          <w:lang w:val="en-GB"/>
        </w:rPr>
        <w:t>d</w:t>
      </w:r>
      <w:r w:rsidR="006B0269" w:rsidRPr="009A649A">
        <w:rPr>
          <w:lang w:val="en-GB"/>
        </w:rPr>
        <w:t xml:space="preserve"> an </w:t>
      </w:r>
      <w:r w:rsidRPr="009A649A">
        <w:rPr>
          <w:lang w:val="en-GB"/>
        </w:rPr>
        <w:t xml:space="preserve">impact on railway operation within a certain period of time (e.g. </w:t>
      </w:r>
      <w:r w:rsidR="00032920">
        <w:rPr>
          <w:lang w:val="en-GB"/>
        </w:rPr>
        <w:t>six</w:t>
      </w:r>
      <w:r w:rsidRPr="009A649A">
        <w:rPr>
          <w:lang w:val="en-GB"/>
        </w:rPr>
        <w:t xml:space="preserve"> months) the size, the shape of the exclusion zones and the flowchart may be adjusted on a national basis.</w:t>
      </w:r>
      <w:bookmarkEnd w:id="21"/>
    </w:p>
    <w:p w14:paraId="2F303874" w14:textId="3248400B" w:rsidR="00821D21" w:rsidRPr="009A649A" w:rsidRDefault="00821D21" w:rsidP="00223733">
      <w:pPr>
        <w:pStyle w:val="ECCAnnexheading1"/>
        <w:spacing w:beforeLines="60" w:before="144"/>
      </w:pPr>
      <w:r w:rsidRPr="009A649A">
        <w:lastRenderedPageBreak/>
        <w:t>List of references</w:t>
      </w:r>
    </w:p>
    <w:bookmarkStart w:id="22" w:name="_Ref157415259"/>
    <w:p w14:paraId="386DCED5" w14:textId="4ABCDAF7" w:rsidR="00B558D4" w:rsidRPr="009A649A" w:rsidRDefault="00A27777" w:rsidP="00223733">
      <w:pPr>
        <w:pStyle w:val="reference"/>
        <w:suppressAutoHyphens w:val="0"/>
        <w:overflowPunct/>
        <w:spacing w:beforeLines="60" w:before="144"/>
        <w:rPr>
          <w:lang w:val="en-GB"/>
        </w:rPr>
      </w:pPr>
      <w:r w:rsidRPr="009A649A">
        <w:rPr>
          <w:lang w:val="en-GB"/>
        </w:rPr>
        <w:fldChar w:fldCharType="begin"/>
      </w:r>
      <w:r w:rsidRPr="009A649A">
        <w:rPr>
          <w:lang w:val="en-GB"/>
        </w:rPr>
        <w:instrText>HYPERLINK "https://docdb.cept.org/document/26189"</w:instrText>
      </w:r>
      <w:r w:rsidRPr="009A649A">
        <w:rPr>
          <w:lang w:val="en-GB"/>
        </w:rPr>
      </w:r>
      <w:r w:rsidRPr="009A649A">
        <w:rPr>
          <w:lang w:val="en-GB"/>
        </w:rPr>
        <w:fldChar w:fldCharType="separate"/>
      </w:r>
      <w:r w:rsidRPr="009A649A">
        <w:rPr>
          <w:rStyle w:val="Hyperlink"/>
          <w:lang w:val="en-GB"/>
        </w:rPr>
        <w:t>ECC Report 332:</w:t>
      </w:r>
      <w:r w:rsidRPr="009A649A">
        <w:rPr>
          <w:lang w:val="en-GB"/>
        </w:rPr>
        <w:fldChar w:fldCharType="end"/>
      </w:r>
      <w:r w:rsidR="002E5CA4" w:rsidRPr="009A649A">
        <w:rPr>
          <w:lang w:val="en-GB"/>
        </w:rPr>
        <w:t xml:space="preserve"> “Technical compatibility studies related to UAS (Unmanned Aircraft System) in the 1880-1920 MHz band”</w:t>
      </w:r>
      <w:bookmarkEnd w:id="22"/>
      <w:r w:rsidR="00F72C58" w:rsidRPr="009A649A">
        <w:rPr>
          <w:lang w:val="en-GB"/>
        </w:rPr>
        <w:t>, approved J</w:t>
      </w:r>
      <w:r w:rsidR="00ED7DB5" w:rsidRPr="009A649A">
        <w:rPr>
          <w:lang w:val="en-GB"/>
        </w:rPr>
        <w:t>an</w:t>
      </w:r>
      <w:r w:rsidR="00F72C58" w:rsidRPr="009A649A">
        <w:rPr>
          <w:lang w:val="en-GB"/>
        </w:rPr>
        <w:t>u</w:t>
      </w:r>
      <w:r w:rsidR="00ED7DB5" w:rsidRPr="009A649A">
        <w:rPr>
          <w:lang w:val="en-GB"/>
        </w:rPr>
        <w:t>ary</w:t>
      </w:r>
      <w:r w:rsidR="00F72C58" w:rsidRPr="009A649A">
        <w:rPr>
          <w:lang w:val="en-GB"/>
        </w:rPr>
        <w:t xml:space="preserve"> 202</w:t>
      </w:r>
      <w:r w:rsidR="00ED7DB5" w:rsidRPr="009A649A">
        <w:rPr>
          <w:lang w:val="en-GB"/>
        </w:rPr>
        <w:t>2</w:t>
      </w:r>
    </w:p>
    <w:bookmarkStart w:id="23" w:name="_Ref157415309"/>
    <w:p w14:paraId="66EC39B9" w14:textId="2F6287BF" w:rsidR="00213DE9" w:rsidRPr="009A649A" w:rsidRDefault="00213DE9" w:rsidP="00164D00">
      <w:pPr>
        <w:pStyle w:val="reference"/>
        <w:suppressAutoHyphens w:val="0"/>
        <w:overflowPunct/>
        <w:spacing w:before="60"/>
        <w:rPr>
          <w:lang w:val="en-GB"/>
        </w:rPr>
      </w:pPr>
      <w:r w:rsidRPr="009A649A">
        <w:rPr>
          <w:lang w:val="en-GB"/>
        </w:rPr>
        <w:fldChar w:fldCharType="begin"/>
      </w:r>
      <w:r w:rsidRPr="009A649A">
        <w:rPr>
          <w:lang w:val="en-GB"/>
        </w:rPr>
        <w:instrText>HYPERLINK "https://docdb.cept.org/document/28595"</w:instrText>
      </w:r>
      <w:r w:rsidRPr="009A649A">
        <w:rPr>
          <w:lang w:val="en-GB"/>
        </w:rPr>
      </w:r>
      <w:r w:rsidRPr="009A649A">
        <w:rPr>
          <w:lang w:val="en-GB"/>
        </w:rPr>
        <w:fldChar w:fldCharType="separate"/>
      </w:r>
      <w:r w:rsidRPr="009A649A">
        <w:rPr>
          <w:rStyle w:val="Hyperlink"/>
          <w:lang w:val="en-GB"/>
        </w:rPr>
        <w:t>ECC Report 352</w:t>
      </w:r>
      <w:r w:rsidRPr="009A649A">
        <w:rPr>
          <w:lang w:val="en-GB"/>
        </w:rPr>
        <w:fldChar w:fldCharType="end"/>
      </w:r>
      <w:r w:rsidR="00F20AC4" w:rsidRPr="009A649A">
        <w:rPr>
          <w:lang w:val="en-GB"/>
        </w:rPr>
        <w:t xml:space="preserve">: </w:t>
      </w:r>
      <w:r w:rsidR="002E5CA4" w:rsidRPr="009A649A">
        <w:rPr>
          <w:lang w:val="en-GB"/>
        </w:rPr>
        <w:t>“Harmonised conditions and spectrum bands for the operation of governmental Unmanned Aircraft System (UAS)”</w:t>
      </w:r>
      <w:bookmarkEnd w:id="23"/>
      <w:r w:rsidRPr="009A649A">
        <w:rPr>
          <w:lang w:val="en-GB"/>
        </w:rPr>
        <w:t>, approved June 2023</w:t>
      </w:r>
    </w:p>
    <w:bookmarkStart w:id="24" w:name="_Ref157415658"/>
    <w:p w14:paraId="1973C093" w14:textId="7D67B5FE" w:rsidR="005F295E" w:rsidRPr="009A649A" w:rsidRDefault="00937A9D" w:rsidP="00164D00">
      <w:pPr>
        <w:pStyle w:val="reference"/>
        <w:suppressAutoHyphens w:val="0"/>
        <w:overflowPunct/>
        <w:spacing w:before="60"/>
        <w:rPr>
          <w:lang w:val="en-GB"/>
        </w:rPr>
      </w:pPr>
      <w:r w:rsidRPr="009A649A">
        <w:rPr>
          <w:lang w:val="en-GB"/>
        </w:rPr>
        <w:fldChar w:fldCharType="begin"/>
      </w:r>
      <w:r w:rsidRPr="009A649A">
        <w:rPr>
          <w:lang w:val="en-GB"/>
        </w:rPr>
        <w:instrText>HYPERLINK "https://docdb.cept.org/document/718"</w:instrText>
      </w:r>
      <w:r w:rsidRPr="009A649A">
        <w:rPr>
          <w:lang w:val="en-GB"/>
        </w:rPr>
      </w:r>
      <w:r w:rsidRPr="009A649A">
        <w:rPr>
          <w:lang w:val="en-GB"/>
        </w:rPr>
        <w:fldChar w:fldCharType="separate"/>
      </w:r>
      <w:r w:rsidRPr="009A649A">
        <w:rPr>
          <w:rStyle w:val="Hyperlink"/>
          <w:lang w:val="en-GB"/>
        </w:rPr>
        <w:t>ERC Decision (94)03</w:t>
      </w:r>
      <w:r w:rsidRPr="009A649A">
        <w:rPr>
          <w:lang w:val="en-GB"/>
        </w:rPr>
        <w:fldChar w:fldCharType="end"/>
      </w:r>
      <w:bookmarkEnd w:id="24"/>
      <w:r w:rsidR="000725EB" w:rsidRPr="009A649A">
        <w:rPr>
          <w:lang w:val="en-GB"/>
        </w:rPr>
        <w:t>: “</w:t>
      </w:r>
      <w:r w:rsidR="00164D00" w:rsidRPr="009A649A">
        <w:rPr>
          <w:lang w:val="en-GB"/>
        </w:rPr>
        <w:t>T</w:t>
      </w:r>
      <w:r w:rsidR="000725EB" w:rsidRPr="009A649A">
        <w:rPr>
          <w:lang w:val="en-GB"/>
        </w:rPr>
        <w:t>he frequency band to be designated for the coordinated introduction of the Digital European Cordless Telecommunications system”</w:t>
      </w:r>
      <w:r w:rsidR="00164D00" w:rsidRPr="009A649A">
        <w:rPr>
          <w:lang w:val="en-GB"/>
        </w:rPr>
        <w:t>, approved</w:t>
      </w:r>
      <w:r w:rsidR="00494222" w:rsidRPr="009A649A">
        <w:rPr>
          <w:lang w:val="en-GB"/>
        </w:rPr>
        <w:t xml:space="preserve"> </w:t>
      </w:r>
      <w:r w:rsidR="00164D00" w:rsidRPr="009A649A">
        <w:rPr>
          <w:lang w:val="en-GB"/>
        </w:rPr>
        <w:t>October 1994</w:t>
      </w:r>
    </w:p>
    <w:bookmarkStart w:id="25" w:name="_Ref157415663"/>
    <w:p w14:paraId="59496625" w14:textId="099441A0" w:rsidR="005F295E" w:rsidRPr="009A649A" w:rsidRDefault="00303478" w:rsidP="00494222">
      <w:pPr>
        <w:pStyle w:val="reference"/>
        <w:spacing w:before="60"/>
        <w:rPr>
          <w:lang w:val="en-GB"/>
        </w:rPr>
      </w:pPr>
      <w:r w:rsidRPr="009A649A">
        <w:rPr>
          <w:lang w:val="en-GB"/>
        </w:rPr>
        <w:fldChar w:fldCharType="begin"/>
      </w:r>
      <w:r w:rsidR="00164D00" w:rsidRPr="009A649A">
        <w:rPr>
          <w:lang w:val="en-GB"/>
        </w:rPr>
        <w:instrText>HYPERLINK "https://docdb.cept.org/document/774"</w:instrText>
      </w:r>
      <w:r w:rsidRPr="009A649A">
        <w:rPr>
          <w:lang w:val="en-GB"/>
        </w:rPr>
      </w:r>
      <w:r w:rsidRPr="009A649A">
        <w:rPr>
          <w:lang w:val="en-GB"/>
        </w:rPr>
        <w:fldChar w:fldCharType="separate"/>
      </w:r>
      <w:r w:rsidR="00164D00" w:rsidRPr="009A649A">
        <w:rPr>
          <w:rStyle w:val="Hyperlink"/>
          <w:lang w:val="en-GB"/>
        </w:rPr>
        <w:t>ERC Decision (98)22:</w:t>
      </w:r>
      <w:r w:rsidRPr="009A649A">
        <w:rPr>
          <w:lang w:val="en-GB"/>
        </w:rPr>
        <w:fldChar w:fldCharType="end"/>
      </w:r>
      <w:bookmarkEnd w:id="25"/>
      <w:r w:rsidR="00164D00" w:rsidRPr="009A649A">
        <w:rPr>
          <w:lang w:val="en-GB"/>
        </w:rPr>
        <w:t xml:space="preserve"> “E</w:t>
      </w:r>
      <w:r w:rsidR="000B7261" w:rsidRPr="009A649A">
        <w:rPr>
          <w:lang w:val="en-GB"/>
        </w:rPr>
        <w:t>xemption from individual licensing and free circulation and use of DECT equipment</w:t>
      </w:r>
      <w:r w:rsidR="00164D00" w:rsidRPr="009A649A">
        <w:rPr>
          <w:lang w:val="en-GB"/>
        </w:rPr>
        <w:t>”, approved November 1998</w:t>
      </w:r>
      <w:r w:rsidR="000B7261" w:rsidRPr="009A649A">
        <w:rPr>
          <w:lang w:val="en-GB"/>
        </w:rPr>
        <w:t xml:space="preserve">, latest amended </w:t>
      </w:r>
      <w:r w:rsidR="003C01CF">
        <w:rPr>
          <w:lang w:val="en-GB"/>
        </w:rPr>
        <w:t>March 2024</w:t>
      </w:r>
    </w:p>
    <w:bookmarkStart w:id="26" w:name="_Ref157415699"/>
    <w:bookmarkStart w:id="27" w:name="_Ref167177245"/>
    <w:p w14:paraId="7BCDC07D" w14:textId="0E099A25" w:rsidR="00CA3B15" w:rsidRPr="009A649A" w:rsidRDefault="007D350B" w:rsidP="00164D00">
      <w:pPr>
        <w:pStyle w:val="reference"/>
        <w:spacing w:before="60"/>
        <w:rPr>
          <w:lang w:val="en-GB"/>
        </w:rPr>
      </w:pPr>
      <w:r w:rsidRPr="009A649A">
        <w:rPr>
          <w:lang w:val="en-GB"/>
        </w:rPr>
        <w:fldChar w:fldCharType="begin"/>
      </w:r>
      <w:r w:rsidRPr="009A649A">
        <w:rPr>
          <w:lang w:val="en-GB"/>
        </w:rPr>
        <w:instrText>HYPERLINK "https://docdb.cept.org/document/16736"</w:instrText>
      </w:r>
      <w:r w:rsidRPr="009A649A">
        <w:rPr>
          <w:lang w:val="en-GB"/>
        </w:rPr>
      </w:r>
      <w:r w:rsidRPr="009A649A">
        <w:rPr>
          <w:lang w:val="en-GB"/>
        </w:rPr>
        <w:fldChar w:fldCharType="separate"/>
      </w:r>
      <w:r w:rsidRPr="009A649A">
        <w:rPr>
          <w:rStyle w:val="Hyperlink"/>
          <w:lang w:val="en-GB"/>
        </w:rPr>
        <w:t>ECC Decision (20)02</w:t>
      </w:r>
      <w:r w:rsidRPr="009A649A">
        <w:rPr>
          <w:lang w:val="en-GB"/>
        </w:rPr>
        <w:fldChar w:fldCharType="end"/>
      </w:r>
      <w:bookmarkEnd w:id="26"/>
      <w:r w:rsidR="0035021F" w:rsidRPr="009A649A">
        <w:rPr>
          <w:lang w:val="en-GB"/>
        </w:rPr>
        <w:t>: “</w:t>
      </w:r>
      <w:r w:rsidR="00490137" w:rsidRPr="009A649A">
        <w:rPr>
          <w:lang w:val="en-GB"/>
        </w:rPr>
        <w:t>H</w:t>
      </w:r>
      <w:r w:rsidR="0035021F" w:rsidRPr="009A649A">
        <w:rPr>
          <w:lang w:val="en-GB"/>
        </w:rPr>
        <w:t>armonised use of the paired frequency bands 874.4-880.0 MHz and 919.4-925.0 MHz and of the unpaired frequency band 1900-1910 MHz for Railway Mobile Radio (RMR)”</w:t>
      </w:r>
      <w:r w:rsidR="00EE0CA7" w:rsidRPr="009A649A">
        <w:rPr>
          <w:lang w:val="en-GB"/>
        </w:rPr>
        <w:t>, approved November 2020</w:t>
      </w:r>
      <w:r w:rsidR="00490137" w:rsidRPr="009A649A">
        <w:rPr>
          <w:lang w:val="en-GB"/>
        </w:rPr>
        <w:t>, updated 10 June 2022</w:t>
      </w:r>
      <w:bookmarkEnd w:id="27"/>
    </w:p>
    <w:bookmarkStart w:id="28" w:name="_Ref157415706"/>
    <w:p w14:paraId="244FF4E7" w14:textId="62A98135" w:rsidR="00CA3B15" w:rsidRPr="009A649A" w:rsidRDefault="007A03A2" w:rsidP="00164D00">
      <w:pPr>
        <w:pStyle w:val="reference"/>
        <w:spacing w:before="60"/>
        <w:rPr>
          <w:lang w:val="en-GB"/>
        </w:rPr>
      </w:pPr>
      <w:r w:rsidRPr="009A649A">
        <w:rPr>
          <w:lang w:val="en-GB"/>
        </w:rPr>
        <w:fldChar w:fldCharType="begin"/>
      </w:r>
      <w:r w:rsidR="00D64CC9" w:rsidRPr="009A649A">
        <w:rPr>
          <w:lang w:val="en-GB"/>
        </w:rPr>
        <w:instrText>HYPERLINK "https://docdb.cept.org/document/21718"</w:instrText>
      </w:r>
      <w:r w:rsidRPr="009A649A">
        <w:rPr>
          <w:lang w:val="en-GB"/>
        </w:rPr>
      </w:r>
      <w:r w:rsidRPr="009A649A">
        <w:rPr>
          <w:lang w:val="en-GB"/>
        </w:rPr>
        <w:fldChar w:fldCharType="separate"/>
      </w:r>
      <w:r w:rsidR="00D64CC9" w:rsidRPr="009A649A">
        <w:rPr>
          <w:rStyle w:val="Hyperlink"/>
          <w:lang w:val="en-GB"/>
        </w:rPr>
        <w:t>Decision (EU) 2021/1730</w:t>
      </w:r>
      <w:r w:rsidRPr="009A649A">
        <w:rPr>
          <w:lang w:val="en-GB"/>
        </w:rPr>
        <w:fldChar w:fldCharType="end"/>
      </w:r>
      <w:r w:rsidR="00D64CC9" w:rsidRPr="009A649A">
        <w:rPr>
          <w:lang w:val="en-GB"/>
        </w:rPr>
        <w:t xml:space="preserve">: </w:t>
      </w:r>
      <w:r w:rsidR="00F2762A" w:rsidRPr="009A649A">
        <w:rPr>
          <w:lang w:val="en-GB"/>
        </w:rPr>
        <w:t>“Commission implementing Decision (EU) 2021/1730 of 28 September 2021 on the harmonised use of the paired frequency bands 874.4-880.0 MHz and 919.4-925.0 MHz and of the unpaired frequency band 1900-1910 MHz for Railway Mobile Radio”</w:t>
      </w:r>
      <w:r w:rsidR="00CA3B15" w:rsidRPr="009A649A">
        <w:rPr>
          <w:lang w:val="en-GB"/>
        </w:rPr>
        <w:t>;</w:t>
      </w:r>
      <w:bookmarkEnd w:id="28"/>
    </w:p>
    <w:bookmarkStart w:id="29" w:name="_Ref167175269"/>
    <w:p w14:paraId="203A127A" w14:textId="38436F8A" w:rsidR="00CA3B15" w:rsidRPr="009A649A" w:rsidRDefault="00DC3E66" w:rsidP="00164D00">
      <w:pPr>
        <w:pStyle w:val="reference"/>
        <w:suppressAutoHyphens w:val="0"/>
        <w:overflowPunct/>
        <w:spacing w:before="60"/>
        <w:rPr>
          <w:lang w:val="en-GB"/>
        </w:rPr>
      </w:pPr>
      <w:r>
        <w:fldChar w:fldCharType="begin"/>
      </w:r>
      <w:r>
        <w:instrText>HYPERLINK "https://docdb.cept.org/document/28593"</w:instrText>
      </w:r>
      <w:r>
        <w:fldChar w:fldCharType="separate"/>
      </w:r>
      <w:r w:rsidR="005B7972" w:rsidRPr="009A649A">
        <w:rPr>
          <w:rStyle w:val="Hyperlink"/>
          <w:lang w:val="en-GB"/>
        </w:rPr>
        <w:t>ECC Report 353</w:t>
      </w:r>
      <w:r>
        <w:rPr>
          <w:rStyle w:val="Hyperlink"/>
          <w:lang w:val="en-GB"/>
        </w:rPr>
        <w:fldChar w:fldCharType="end"/>
      </w:r>
      <w:r w:rsidR="005B7972" w:rsidRPr="009A649A">
        <w:rPr>
          <w:lang w:val="en-GB"/>
        </w:rPr>
        <w:t>: “</w:t>
      </w:r>
      <w:r w:rsidR="00E2264E" w:rsidRPr="009A649A">
        <w:rPr>
          <w:lang w:val="en-GB"/>
        </w:rPr>
        <w:t>Cross-border coordination and synchronisation for Railway Mobile Radio (RMR) networks in the 1900-1910 MHz TDD frequency band”, approved June 2023</w:t>
      </w:r>
      <w:bookmarkEnd w:id="29"/>
    </w:p>
    <w:bookmarkStart w:id="30" w:name="_Ref157417928"/>
    <w:p w14:paraId="706D0FFD" w14:textId="2FF7971A" w:rsidR="008D26EA" w:rsidRPr="009A649A" w:rsidRDefault="00BB0812" w:rsidP="00DD4BD9">
      <w:pPr>
        <w:pStyle w:val="reference"/>
        <w:suppressAutoHyphens w:val="0"/>
        <w:overflowPunct/>
        <w:spacing w:before="60"/>
        <w:rPr>
          <w:lang w:val="en-GB"/>
        </w:rPr>
      </w:pPr>
      <w:r>
        <w:rPr>
          <w:rFonts w:eastAsia="Calibri" w:cs="Arial"/>
          <w:szCs w:val="22"/>
          <w:lang w:val="en-GB"/>
        </w:rPr>
        <w:fldChar w:fldCharType="begin"/>
      </w:r>
      <w:r>
        <w:rPr>
          <w:rFonts w:eastAsia="Calibri" w:cs="Arial"/>
          <w:szCs w:val="22"/>
          <w:lang w:val="en-GB"/>
        </w:rPr>
        <w:instrText>HYPERLINK "https://www.etsi.org/deliver/etsi_ts/103600_103699/10363602/01.05.01_60/ts_10363602v010501p.pdf"</w:instrText>
      </w:r>
      <w:r>
        <w:rPr>
          <w:rFonts w:eastAsia="Calibri" w:cs="Arial"/>
          <w:szCs w:val="22"/>
          <w:lang w:val="en-GB"/>
        </w:rPr>
      </w:r>
      <w:r>
        <w:rPr>
          <w:rFonts w:eastAsia="Calibri" w:cs="Arial"/>
          <w:szCs w:val="22"/>
          <w:lang w:val="en-GB"/>
        </w:rPr>
        <w:fldChar w:fldCharType="separate"/>
      </w:r>
      <w:r w:rsidR="008D26EA" w:rsidRPr="00BB0812">
        <w:rPr>
          <w:rStyle w:val="Hyperlink"/>
          <w:rFonts w:eastAsia="Calibri" w:cs="Arial"/>
          <w:szCs w:val="22"/>
          <w:lang w:val="en-GB"/>
        </w:rPr>
        <w:t>ETSI TS 103 636-2</w:t>
      </w:r>
      <w:r>
        <w:rPr>
          <w:rFonts w:eastAsia="Calibri" w:cs="Arial"/>
          <w:szCs w:val="22"/>
          <w:lang w:val="en-GB"/>
        </w:rPr>
        <w:fldChar w:fldCharType="end"/>
      </w:r>
      <w:r w:rsidR="00A4590A" w:rsidRPr="009A649A">
        <w:rPr>
          <w:rFonts w:eastAsia="Calibri" w:cs="Arial"/>
          <w:szCs w:val="22"/>
          <w:lang w:val="en-GB"/>
        </w:rPr>
        <w:t>: “</w:t>
      </w:r>
      <w:r w:rsidR="00A4590A" w:rsidRPr="009A649A">
        <w:t>DECT-2020 New Radio (NR); Part 2: Radio reception and transmission requirements</w:t>
      </w:r>
      <w:r w:rsidR="00A779DA" w:rsidRPr="009A649A">
        <w:rPr>
          <w:lang w:val="en-GB"/>
        </w:rPr>
        <w:t>”</w:t>
      </w:r>
      <w:r w:rsidR="00A4590A" w:rsidRPr="009A649A">
        <w:t>; Release 1</w:t>
      </w:r>
      <w:bookmarkEnd w:id="30"/>
    </w:p>
    <w:bookmarkStart w:id="31" w:name="_Ref167176200"/>
    <w:p w14:paraId="2FAF78A3" w14:textId="55D7D9C1" w:rsidR="0066501E" w:rsidRPr="009A649A" w:rsidRDefault="00DC3E66" w:rsidP="00541C8F">
      <w:pPr>
        <w:pStyle w:val="reference"/>
        <w:spacing w:before="60"/>
        <w:rPr>
          <w:lang w:val="en-GB"/>
        </w:rPr>
      </w:pPr>
      <w:r>
        <w:fldChar w:fldCharType="begin"/>
      </w:r>
      <w:r>
        <w:instrText>HYPERLINK "https://www.etsi.org/deliver/etsi_ts/103600_103699/10363604/01.05.01_60/ts_10363604v010501p.pdf"</w:instrText>
      </w:r>
      <w:r>
        <w:fldChar w:fldCharType="separate"/>
      </w:r>
      <w:r w:rsidR="00F928EF" w:rsidRPr="00B53D77">
        <w:rPr>
          <w:rStyle w:val="Hyperlink"/>
          <w:lang w:val="en-GB"/>
        </w:rPr>
        <w:t>ETSI TS 103 636-4</w:t>
      </w:r>
      <w:r>
        <w:rPr>
          <w:rStyle w:val="Hyperlink"/>
          <w:lang w:val="en-GB"/>
        </w:rPr>
        <w:fldChar w:fldCharType="end"/>
      </w:r>
      <w:r w:rsidR="004E74A1" w:rsidRPr="009A649A">
        <w:rPr>
          <w:lang w:val="en-GB"/>
        </w:rPr>
        <w:t xml:space="preserve">: </w:t>
      </w:r>
      <w:r w:rsidR="00A779DA" w:rsidRPr="009A649A">
        <w:rPr>
          <w:rFonts w:eastAsia="Calibri" w:cs="Arial"/>
          <w:szCs w:val="22"/>
          <w:lang w:val="en-GB"/>
        </w:rPr>
        <w:t>“</w:t>
      </w:r>
      <w:r w:rsidR="004E74A1" w:rsidRPr="009A649A">
        <w:rPr>
          <w:lang w:val="en-GB"/>
        </w:rPr>
        <w:t>DECT-2020 New Radio (NR);Part 4: MAC layer</w:t>
      </w:r>
      <w:r w:rsidR="00A779DA" w:rsidRPr="009A649A">
        <w:rPr>
          <w:lang w:val="en-GB"/>
        </w:rPr>
        <w:t>”</w:t>
      </w:r>
      <w:r w:rsidR="004E74A1" w:rsidRPr="009A649A">
        <w:rPr>
          <w:lang w:val="en-GB"/>
        </w:rPr>
        <w:t>;</w:t>
      </w:r>
      <w:r w:rsidR="000B59F3">
        <w:rPr>
          <w:lang w:val="en-GB"/>
        </w:rPr>
        <w:t xml:space="preserve"> </w:t>
      </w:r>
      <w:r w:rsidR="004E74A1" w:rsidRPr="009A649A">
        <w:rPr>
          <w:lang w:val="en-GB"/>
        </w:rPr>
        <w:t>Release 1</w:t>
      </w:r>
      <w:bookmarkEnd w:id="31"/>
    </w:p>
    <w:p w14:paraId="062A7A9F" w14:textId="30666C88" w:rsidR="00D911C6" w:rsidRPr="009A649A" w:rsidRDefault="0015466D" w:rsidP="00DD4BD9">
      <w:pPr>
        <w:pStyle w:val="reference"/>
        <w:suppressAutoHyphens w:val="0"/>
        <w:overflowPunct/>
        <w:spacing w:before="60"/>
      </w:pPr>
      <w:r w:rsidRPr="009A649A">
        <w:rPr>
          <w:rStyle w:val="Hyperlink"/>
          <w:lang w:val="en-GB"/>
        </w:rPr>
        <w:fldChar w:fldCharType="begin"/>
      </w:r>
      <w:r w:rsidRPr="009A649A">
        <w:rPr>
          <w:rStyle w:val="Hyperlink"/>
          <w:lang w:val="en-GB"/>
        </w:rPr>
        <w:instrText xml:space="preserve"> HYPERLINK "https://docdb.cept.org/document/406" </w:instrText>
      </w:r>
      <w:r w:rsidRPr="009A649A">
        <w:rPr>
          <w:rStyle w:val="Hyperlink"/>
          <w:lang w:val="en-GB"/>
        </w:rPr>
      </w:r>
      <w:r w:rsidRPr="009A649A">
        <w:rPr>
          <w:rStyle w:val="Hyperlink"/>
          <w:lang w:val="en-GB"/>
        </w:rPr>
        <w:fldChar w:fldCharType="separate"/>
      </w:r>
      <w:bookmarkStart w:id="32" w:name="_Ref164281417"/>
      <w:bookmarkStart w:id="33" w:name="_Ref167197411"/>
      <w:r w:rsidRPr="009A649A">
        <w:rPr>
          <w:rStyle w:val="Hyperlink"/>
          <w:lang w:val="en-GB"/>
        </w:rPr>
        <w:t>ECC</w:t>
      </w:r>
      <w:r w:rsidR="00193A5A">
        <w:rPr>
          <w:rStyle w:val="Hyperlink"/>
          <w:lang w:val="en-GB"/>
        </w:rPr>
        <w:t xml:space="preserve"> Decision </w:t>
      </w:r>
      <w:r w:rsidRPr="009A649A">
        <w:rPr>
          <w:rStyle w:val="Hyperlink"/>
          <w:lang w:val="en-GB"/>
        </w:rPr>
        <w:t xml:space="preserve">(06)13: </w:t>
      </w:r>
      <w:r w:rsidR="006F6F8E" w:rsidRPr="009A649A">
        <w:rPr>
          <w:rFonts w:eastAsia="Calibri" w:cs="Arial"/>
          <w:szCs w:val="22"/>
          <w:lang w:val="en-GB"/>
        </w:rPr>
        <w:t>“</w:t>
      </w:r>
      <w:r w:rsidRPr="009A649A">
        <w:rPr>
          <w:lang w:val="en-GB"/>
        </w:rPr>
        <w:t>Harmonised technical conditions for mobile/fixed communications networks (MFCN) including terrestrial IMT systems, other than GSM and EC-GSM IoT, in the bands 880-915/925-960 MHz and 1710-1785/1805-1880 MHz’’</w:t>
      </w:r>
      <w:r w:rsidR="006F6F8E">
        <w:rPr>
          <w:lang w:val="en-GB"/>
        </w:rPr>
        <w:t>,</w:t>
      </w:r>
      <w:r w:rsidR="00D911C6" w:rsidRPr="009A649A">
        <w:rPr>
          <w:lang w:val="en-GB"/>
        </w:rPr>
        <w:t xml:space="preserve"> </w:t>
      </w:r>
      <w:r w:rsidR="006F6F8E">
        <w:rPr>
          <w:lang w:val="en-GB"/>
        </w:rPr>
        <w:t>a</w:t>
      </w:r>
      <w:r w:rsidR="00D911C6" w:rsidRPr="009A649A">
        <w:rPr>
          <w:lang w:val="en-GB"/>
        </w:rPr>
        <w:t>pproved  December 2006, latest amended  March 2022</w:t>
      </w:r>
      <w:bookmarkEnd w:id="32"/>
      <w:bookmarkEnd w:id="33"/>
    </w:p>
    <w:p w14:paraId="232FADA4" w14:textId="488EC8D1" w:rsidR="00D911C6" w:rsidRPr="009A649A" w:rsidRDefault="0015466D" w:rsidP="00DD4BD9">
      <w:pPr>
        <w:pStyle w:val="reference"/>
        <w:suppressAutoHyphens w:val="0"/>
        <w:overflowPunct/>
        <w:spacing w:before="60"/>
        <w:rPr>
          <w:lang w:val="en-GB"/>
        </w:rPr>
      </w:pPr>
      <w:r w:rsidRPr="009A649A">
        <w:rPr>
          <w:rStyle w:val="Hyperlink"/>
          <w:lang w:val="en-GB"/>
        </w:rPr>
        <w:fldChar w:fldCharType="end"/>
      </w:r>
      <w:bookmarkStart w:id="34" w:name="_Ref167197442"/>
      <w:bookmarkStart w:id="35" w:name="_Ref164281441"/>
      <w:r w:rsidR="00DB0D4E" w:rsidRPr="009A649A">
        <w:rPr>
          <w:rStyle w:val="Hyperlink"/>
          <w:lang w:val="en-GB"/>
        </w:rPr>
        <w:fldChar w:fldCharType="begin"/>
      </w:r>
      <w:r w:rsidR="00DB0D4E" w:rsidRPr="009A649A">
        <w:rPr>
          <w:rStyle w:val="Hyperlink"/>
          <w:lang w:val="en-GB"/>
        </w:rPr>
        <w:instrText xml:space="preserve"> HYPERLINK "https://docdb.cept.org/document/394" </w:instrText>
      </w:r>
      <w:r w:rsidR="00DB0D4E" w:rsidRPr="009A649A">
        <w:rPr>
          <w:rStyle w:val="Hyperlink"/>
          <w:lang w:val="en-GB"/>
        </w:rPr>
      </w:r>
      <w:r w:rsidR="00DB0D4E" w:rsidRPr="009A649A">
        <w:rPr>
          <w:rStyle w:val="Hyperlink"/>
          <w:lang w:val="en-GB"/>
        </w:rPr>
        <w:fldChar w:fldCharType="separate"/>
      </w:r>
      <w:r w:rsidR="00DB0D4E" w:rsidRPr="009A649A">
        <w:rPr>
          <w:rStyle w:val="Hyperlink"/>
          <w:lang w:val="en-GB"/>
        </w:rPr>
        <w:t>ECC</w:t>
      </w:r>
      <w:r w:rsidR="00193A5A">
        <w:rPr>
          <w:rStyle w:val="Hyperlink"/>
          <w:lang w:val="en-GB"/>
        </w:rPr>
        <w:t xml:space="preserve"> Decision </w:t>
      </w:r>
      <w:r w:rsidR="00DB0D4E" w:rsidRPr="009A649A">
        <w:rPr>
          <w:rStyle w:val="Hyperlink"/>
          <w:lang w:val="en-GB"/>
        </w:rPr>
        <w:t>(06)01</w:t>
      </w:r>
      <w:r w:rsidR="00DB0D4E" w:rsidRPr="009A649A">
        <w:rPr>
          <w:rStyle w:val="Hyperlink"/>
          <w:lang w:val="en-GB"/>
        </w:rPr>
        <w:fldChar w:fldCharType="end"/>
      </w:r>
      <w:r w:rsidR="00DB0D4E" w:rsidRPr="009A649A">
        <w:rPr>
          <w:rStyle w:val="Hyperlink"/>
          <w:lang w:val="en-GB"/>
        </w:rPr>
        <w:t>:</w:t>
      </w:r>
      <w:r w:rsidR="00DB0D4E" w:rsidRPr="009A649A">
        <w:t xml:space="preserve"> </w:t>
      </w:r>
      <w:r w:rsidR="00B31972" w:rsidRPr="009A649A">
        <w:rPr>
          <w:rFonts w:eastAsia="Calibri" w:cs="Arial"/>
          <w:szCs w:val="22"/>
          <w:lang w:val="en-GB"/>
        </w:rPr>
        <w:t>“</w:t>
      </w:r>
      <w:r w:rsidR="00DB0D4E" w:rsidRPr="009A649A">
        <w:rPr>
          <w:lang w:val="en-GB"/>
        </w:rPr>
        <w:t>Harmonised utilisation of the bands</w:t>
      </w:r>
      <w:r w:rsidRPr="009A649A">
        <w:rPr>
          <w:lang w:val="en-GB"/>
        </w:rPr>
        <w:t xml:space="preserve"> </w:t>
      </w:r>
      <w:r w:rsidR="00DB0D4E" w:rsidRPr="009A649A">
        <w:rPr>
          <w:lang w:val="en-GB"/>
        </w:rPr>
        <w:t>1920-1980 MHz and 2110-2170 MHz for mobile/fixed communications networks (MFCN) including terrestrial IMT’’ Approved 24 March 2006, latest amended on 8 March 2019</w:t>
      </w:r>
      <w:bookmarkEnd w:id="34"/>
      <w:bookmarkEnd w:id="35"/>
    </w:p>
    <w:bookmarkStart w:id="36" w:name="_Ref167197425"/>
    <w:bookmarkStart w:id="37" w:name="_Ref164281449"/>
    <w:p w14:paraId="25CA5ACD" w14:textId="4A55B391" w:rsidR="00D911C6" w:rsidRPr="009A649A" w:rsidRDefault="0015466D" w:rsidP="00DD4BD9">
      <w:pPr>
        <w:pStyle w:val="reference"/>
        <w:suppressAutoHyphens w:val="0"/>
        <w:overflowPunct/>
        <w:spacing w:before="60"/>
        <w:rPr>
          <w:lang w:val="en-GB"/>
        </w:rPr>
      </w:pPr>
      <w:r w:rsidRPr="009A649A">
        <w:rPr>
          <w:rStyle w:val="Hyperlink"/>
        </w:rPr>
        <w:fldChar w:fldCharType="begin"/>
      </w:r>
      <w:r w:rsidRPr="009A649A">
        <w:rPr>
          <w:rStyle w:val="Hyperlink"/>
        </w:rPr>
        <w:instrText>HYPERLINK "https://docdb.cept.org/document/26193"</w:instrText>
      </w:r>
      <w:r w:rsidRPr="009A649A">
        <w:rPr>
          <w:rStyle w:val="Hyperlink"/>
        </w:rPr>
      </w:r>
      <w:r w:rsidRPr="009A649A">
        <w:rPr>
          <w:rStyle w:val="Hyperlink"/>
        </w:rPr>
        <w:fldChar w:fldCharType="separate"/>
      </w:r>
      <w:r w:rsidRPr="009A649A">
        <w:rPr>
          <w:rStyle w:val="Hyperlink"/>
        </w:rPr>
        <w:t>Decision (EU) 2022/173</w:t>
      </w:r>
      <w:r w:rsidRPr="009A649A">
        <w:rPr>
          <w:rStyle w:val="Hyperlink"/>
        </w:rPr>
        <w:fldChar w:fldCharType="end"/>
      </w:r>
      <w:r w:rsidRPr="009A649A">
        <w:rPr>
          <w:lang w:val="en-GB"/>
        </w:rPr>
        <w:t xml:space="preserve">: </w:t>
      </w:r>
      <w:r w:rsidR="00B31972" w:rsidRPr="009A649A">
        <w:rPr>
          <w:rFonts w:eastAsia="Calibri" w:cs="Arial"/>
          <w:szCs w:val="22"/>
          <w:lang w:val="en-GB"/>
        </w:rPr>
        <w:t>“</w:t>
      </w:r>
      <w:r w:rsidRPr="009A649A">
        <w:rPr>
          <w:lang w:val="en-GB"/>
        </w:rPr>
        <w:t>Commission Implementing Decision (EU) 2022/173 of 7 February 2022 on the harmonisation of the 900 MHz and 1800 MHz frequency bands for terrestrial systems capable of providing electronic communications services in the Union and repealing Decision 2009/766/EC</w:t>
      </w:r>
      <w:r w:rsidR="0017616B" w:rsidRPr="009A649A">
        <w:rPr>
          <w:lang w:val="en-GB"/>
        </w:rPr>
        <w:t>”</w:t>
      </w:r>
      <w:bookmarkEnd w:id="36"/>
      <w:bookmarkEnd w:id="37"/>
    </w:p>
    <w:bookmarkStart w:id="38" w:name="_Ref164281464"/>
    <w:p w14:paraId="44210AF7" w14:textId="6BE3E946" w:rsidR="008D26EA" w:rsidRDefault="0015466D" w:rsidP="00DD4BD9">
      <w:pPr>
        <w:pStyle w:val="reference"/>
        <w:suppressAutoHyphens w:val="0"/>
        <w:overflowPunct/>
        <w:spacing w:before="60"/>
        <w:rPr>
          <w:lang w:val="en-GB"/>
        </w:rPr>
      </w:pPr>
      <w:r w:rsidRPr="009A649A">
        <w:rPr>
          <w:rStyle w:val="Hyperlink"/>
        </w:rPr>
        <w:fldChar w:fldCharType="begin"/>
      </w:r>
      <w:r w:rsidRPr="009A649A">
        <w:rPr>
          <w:rStyle w:val="Hyperlink"/>
        </w:rPr>
        <w:instrText xml:space="preserve"> HYPERLINK "https://docdb.cept.org/document/15109" </w:instrText>
      </w:r>
      <w:r w:rsidRPr="009A649A">
        <w:rPr>
          <w:rStyle w:val="Hyperlink"/>
        </w:rPr>
      </w:r>
      <w:r w:rsidRPr="009A649A">
        <w:rPr>
          <w:rStyle w:val="Hyperlink"/>
        </w:rPr>
        <w:fldChar w:fldCharType="separate"/>
      </w:r>
      <w:r w:rsidRPr="009A649A">
        <w:rPr>
          <w:rStyle w:val="Hyperlink"/>
        </w:rPr>
        <w:t>Decision (EU) 2020/667</w:t>
      </w:r>
      <w:r w:rsidRPr="009A649A">
        <w:rPr>
          <w:rStyle w:val="Hyperlink"/>
        </w:rPr>
        <w:fldChar w:fldCharType="end"/>
      </w:r>
      <w:r w:rsidRPr="009A649A">
        <w:rPr>
          <w:lang w:val="en-GB"/>
        </w:rPr>
        <w:t xml:space="preserve">: </w:t>
      </w:r>
      <w:r w:rsidR="00B31972" w:rsidRPr="009A649A">
        <w:rPr>
          <w:rFonts w:eastAsia="Calibri" w:cs="Arial"/>
          <w:szCs w:val="22"/>
          <w:lang w:val="en-GB"/>
        </w:rPr>
        <w:t>“</w:t>
      </w:r>
      <w:r w:rsidRPr="009A649A">
        <w:rPr>
          <w:lang w:val="en-GB"/>
        </w:rPr>
        <w:t>Commission Implementing Decision (EU) 2020/667 of 6 May 2020 amending Decision 2012/688/EU as regards an update of relevant technical conditions applicable to the frequency bands 1920-1980 MHz and 2110-2170 MHz</w:t>
      </w:r>
      <w:r w:rsidR="0017616B" w:rsidRPr="009A649A">
        <w:rPr>
          <w:lang w:val="en-GB"/>
        </w:rPr>
        <w:t>”</w:t>
      </w:r>
      <w:bookmarkEnd w:id="38"/>
    </w:p>
    <w:p w14:paraId="09D89224" w14:textId="7AF8EBE9" w:rsidR="005B7A24" w:rsidRDefault="005B7A24" w:rsidP="005B7A24">
      <w:pPr>
        <w:pStyle w:val="reference"/>
        <w:spacing w:before="60"/>
        <w:rPr>
          <w:lang w:val="en-GB"/>
        </w:rPr>
      </w:pPr>
      <w:bookmarkStart w:id="39" w:name="_Ref167176051"/>
      <w:r w:rsidRPr="005B7A24">
        <w:rPr>
          <w:lang w:val="en-GB"/>
        </w:rPr>
        <w:t>Commission implementing regulation (EU) 2019/947 of 24 May 2019</w:t>
      </w:r>
      <w:r>
        <w:rPr>
          <w:lang w:val="en-GB"/>
        </w:rPr>
        <w:t xml:space="preserve"> </w:t>
      </w:r>
      <w:r w:rsidRPr="005B7A24">
        <w:rPr>
          <w:lang w:val="en-GB"/>
        </w:rPr>
        <w:t>on the rules and procedures for the operation of unmanned aircraft</w:t>
      </w:r>
      <w:bookmarkEnd w:id="39"/>
    </w:p>
    <w:p w14:paraId="2DEAD861" w14:textId="5840ACF4" w:rsidR="00CA7C52" w:rsidRDefault="00CA7C52" w:rsidP="00223733">
      <w:pPr>
        <w:pStyle w:val="reference"/>
        <w:spacing w:before="60"/>
        <w:rPr>
          <w:lang w:val="en-GB"/>
        </w:rPr>
      </w:pPr>
      <w:bookmarkStart w:id="40" w:name="_Ref167176171"/>
      <w:r w:rsidRPr="00CA7C52">
        <w:rPr>
          <w:lang w:val="en-GB"/>
        </w:rPr>
        <w:t>Council Directive 91/287/EEC of 3 June 1991 on the frequency band to be designated for the coordinated introduction of digital European cordless telecommunications (DECT) into the Community</w:t>
      </w:r>
      <w:bookmarkEnd w:id="40"/>
    </w:p>
    <w:p w14:paraId="4437E43B" w14:textId="77777777" w:rsidR="00511D47" w:rsidRPr="005B7A24" w:rsidRDefault="00511D47" w:rsidP="00511D47">
      <w:pPr>
        <w:pStyle w:val="reference"/>
        <w:numPr>
          <w:ilvl w:val="0"/>
          <w:numId w:val="0"/>
        </w:numPr>
        <w:spacing w:before="60"/>
        <w:ind w:left="397" w:hanging="397"/>
        <w:rPr>
          <w:lang w:val="en-GB"/>
        </w:rPr>
      </w:pPr>
    </w:p>
    <w:sectPr w:rsidR="00511D47" w:rsidRPr="005B7A24">
      <w:headerReference w:type="even" r:id="rId23"/>
      <w:headerReference w:type="default" r:id="rId24"/>
      <w:footerReference w:type="even" r:id="rId25"/>
      <w:footerReference w:type="default" r:id="rId26"/>
      <w:headerReference w:type="first" r:id="rId27"/>
      <w:footerReference w:type="first" r:id="rId28"/>
      <w:pgSz w:w="11906" w:h="16838"/>
      <w:pgMar w:top="1440" w:right="1134" w:bottom="1440" w:left="1134" w:header="709"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DFBF5" w14:textId="77777777" w:rsidR="00B026AA" w:rsidRDefault="00B026AA">
      <w:r>
        <w:separator/>
      </w:r>
    </w:p>
  </w:endnote>
  <w:endnote w:type="continuationSeparator" w:id="0">
    <w:p w14:paraId="17FD7E65" w14:textId="77777777" w:rsidR="00B026AA" w:rsidRDefault="00B026AA">
      <w:r>
        <w:continuationSeparator/>
      </w:r>
    </w:p>
  </w:endnote>
  <w:endnote w:type="continuationNotice" w:id="1">
    <w:p w14:paraId="15ED792E" w14:textId="77777777" w:rsidR="00B026AA" w:rsidRDefault="00B026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DBF9" w14:textId="77777777" w:rsidR="006F4B40" w:rsidRDefault="006F4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016B" w14:textId="15F3206A" w:rsidR="00680791" w:rsidRDefault="00D5116C">
    <w:pPr>
      <w:pStyle w:val="Footer"/>
      <w:rPr>
        <w:sz w:val="18"/>
        <w:szCs w:val="18"/>
        <w:lang w:val="da-DK"/>
      </w:rPr>
    </w:pPr>
    <w:r>
      <w:rPr>
        <w:sz w:val="18"/>
        <w:szCs w:val="18"/>
        <w:lang w:val="da-DK"/>
      </w:rPr>
      <w:t>Edition</w:t>
    </w:r>
    <w:r w:rsidR="006F4B40">
      <w:rPr>
        <w:sz w:val="18"/>
        <w:szCs w:val="18"/>
        <w:lang w:val="da-DK"/>
      </w:rPr>
      <w:t xml:space="preserve"> 7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D2D6" w14:textId="77777777" w:rsidR="006F4B40" w:rsidRDefault="006F4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148C" w14:textId="4878FDCD" w:rsidR="00680791" w:rsidRDefault="00D5116C">
    <w:pPr>
      <w:pStyle w:val="Footer"/>
      <w:rPr>
        <w:sz w:val="18"/>
        <w:szCs w:val="18"/>
        <w:lang w:val="da-DK"/>
      </w:rPr>
    </w:pPr>
    <w:r>
      <w:rPr>
        <w:sz w:val="18"/>
        <w:szCs w:val="18"/>
        <w:lang w:val="da-DK"/>
      </w:rPr>
      <w:t>Edition</w:t>
    </w:r>
    <w:r w:rsidR="00FE2B23">
      <w:rPr>
        <w:sz w:val="18"/>
        <w:szCs w:val="18"/>
        <w:lang w:val="da-DK"/>
      </w:rPr>
      <w:t xml:space="preserve"> </w:t>
    </w:r>
    <w:r w:rsidR="00FE2B23" w:rsidRPr="00FE2B23">
      <w:rPr>
        <w:sz w:val="18"/>
        <w:szCs w:val="18"/>
        <w:lang w:val="da-DK"/>
      </w:rPr>
      <w:t>7 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ADB4" w14:textId="2F926B8A" w:rsidR="00680791" w:rsidRDefault="00D5116C">
    <w:pPr>
      <w:pStyle w:val="Footer"/>
      <w:rPr>
        <w:sz w:val="18"/>
        <w:szCs w:val="18"/>
        <w:lang w:val="da-DK"/>
      </w:rPr>
    </w:pPr>
    <w:r>
      <w:rPr>
        <w:sz w:val="18"/>
        <w:szCs w:val="18"/>
        <w:lang w:val="da-DK"/>
      </w:rPr>
      <w:t>Edition</w:t>
    </w:r>
    <w:r w:rsidR="00FE2B23">
      <w:rPr>
        <w:sz w:val="18"/>
        <w:szCs w:val="18"/>
        <w:lang w:val="da-DK"/>
      </w:rPr>
      <w:t xml:space="preserve"> </w:t>
    </w:r>
    <w:r w:rsidR="00FE2B23" w:rsidRPr="00FE2B23">
      <w:rPr>
        <w:sz w:val="18"/>
        <w:szCs w:val="18"/>
        <w:lang w:val="da-DK"/>
      </w:rPr>
      <w:t>7 June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4008" w14:textId="77777777" w:rsidR="00680791" w:rsidRDefault="00680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ABF9B" w14:textId="77777777" w:rsidR="00B026AA" w:rsidRDefault="00B026AA">
      <w:r>
        <w:separator/>
      </w:r>
    </w:p>
  </w:footnote>
  <w:footnote w:type="continuationSeparator" w:id="0">
    <w:p w14:paraId="4B21FFD3" w14:textId="77777777" w:rsidR="00B026AA" w:rsidRDefault="00B026AA">
      <w:r>
        <w:continuationSeparator/>
      </w:r>
    </w:p>
  </w:footnote>
  <w:footnote w:type="continuationNotice" w:id="1">
    <w:p w14:paraId="6F167F65" w14:textId="77777777" w:rsidR="00B026AA" w:rsidRDefault="00B026AA">
      <w:pPr>
        <w:spacing w:before="0" w:after="0"/>
      </w:pPr>
    </w:p>
  </w:footnote>
  <w:footnote w:id="2">
    <w:p w14:paraId="6B725168" w14:textId="171BC5B0" w:rsidR="00B243C2" w:rsidRPr="009A649A" w:rsidRDefault="00B243C2">
      <w:pPr>
        <w:pStyle w:val="FootnoteText"/>
        <w:rPr>
          <w:lang w:val="en-GB"/>
        </w:rPr>
      </w:pPr>
      <w:r>
        <w:rPr>
          <w:rStyle w:val="FootnoteReference"/>
        </w:rPr>
        <w:footnoteRef/>
      </w:r>
      <w:r>
        <w:t xml:space="preserve"> </w:t>
      </w:r>
      <w:r w:rsidRPr="00B243C2">
        <w:t>ETSI TS 103 636-1</w:t>
      </w:r>
      <w:r>
        <w:t>: DECT-2020 New Radio (NR); Part 1: Overview</w:t>
      </w:r>
    </w:p>
  </w:footnote>
  <w:footnote w:id="3">
    <w:p w14:paraId="1E63667F" w14:textId="691C68E7" w:rsidR="00AD2A00" w:rsidRPr="00FE77C9" w:rsidRDefault="00AD2A00">
      <w:pPr>
        <w:pStyle w:val="FootnoteText"/>
        <w:rPr>
          <w:lang w:val="en-GB"/>
        </w:rPr>
      </w:pPr>
      <w:r>
        <w:rPr>
          <w:rStyle w:val="FootnoteReference"/>
        </w:rPr>
        <w:footnoteRef/>
      </w:r>
      <w:r>
        <w:t xml:space="preserve"> Operating area </w:t>
      </w:r>
      <w:r w:rsidRPr="006B412A">
        <w:rPr>
          <w:lang w:val="en-GB"/>
        </w:rPr>
        <w:t xml:space="preserve">is the </w:t>
      </w:r>
      <w:r w:rsidRPr="00945160">
        <w:rPr>
          <w:lang w:val="en-GB"/>
        </w:rPr>
        <w:t>area</w:t>
      </w:r>
      <w:r w:rsidRPr="006B412A">
        <w:rPr>
          <w:lang w:val="en-GB"/>
        </w:rPr>
        <w:t xml:space="preserve"> w</w:t>
      </w:r>
      <w:r>
        <w:rPr>
          <w:lang w:val="en-GB"/>
        </w:rPr>
        <w:t>hich is covered during a planned regular mission</w:t>
      </w:r>
    </w:p>
  </w:footnote>
  <w:footnote w:id="4">
    <w:p w14:paraId="774C7CA1" w14:textId="70BC8721" w:rsidR="00B243C2" w:rsidRPr="006B412A" w:rsidRDefault="00B243C2">
      <w:pPr>
        <w:pStyle w:val="FootnoteText"/>
        <w:rPr>
          <w:lang w:val="en-GB"/>
        </w:rPr>
      </w:pPr>
      <w:r>
        <w:rPr>
          <w:rStyle w:val="FootnoteReference"/>
        </w:rPr>
        <w:footnoteRef/>
      </w:r>
      <w:r>
        <w:t xml:space="preserve"> </w:t>
      </w:r>
      <w:r w:rsidRPr="006B412A">
        <w:rPr>
          <w:lang w:val="en-GB"/>
        </w:rPr>
        <w:t>Operational range is</w:t>
      </w:r>
      <w:r w:rsidR="00945160">
        <w:rPr>
          <w:lang w:val="en-GB"/>
        </w:rPr>
        <w:t xml:space="preserve"> t</w:t>
      </w:r>
      <w:r w:rsidRPr="006B412A">
        <w:rPr>
          <w:lang w:val="en-GB"/>
        </w:rPr>
        <w:t>he maximum d</w:t>
      </w:r>
      <w:r>
        <w:rPr>
          <w:lang w:val="en-GB"/>
        </w:rPr>
        <w:t xml:space="preserve">istance between </w:t>
      </w:r>
      <w:r w:rsidR="00945160">
        <w:rPr>
          <w:lang w:val="en-GB"/>
        </w:rPr>
        <w:t>UAS GS and UAS 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36AF" w14:textId="7ACD75B7" w:rsidR="00A22156" w:rsidRDefault="00A22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41D1" w14:textId="3729DD33" w:rsidR="00680791" w:rsidRDefault="00D5116C">
    <w:pPr>
      <w:pStyle w:val="Header"/>
    </w:pPr>
    <w:r w:rsidRPr="00D77183">
      <w:rPr>
        <w:noProof/>
      </w:rPr>
      <w:drawing>
        <wp:anchor distT="0" distB="0" distL="0" distR="0" simplePos="0" relativeHeight="251655680" behindDoc="1" locked="0" layoutInCell="0" allowOverlap="1" wp14:anchorId="4338C055" wp14:editId="73374EEC">
          <wp:simplePos x="0" y="0"/>
          <wp:positionH relativeFrom="page">
            <wp:posOffset>572770</wp:posOffset>
          </wp:positionH>
          <wp:positionV relativeFrom="page">
            <wp:posOffset>457200</wp:posOffset>
          </wp:positionV>
          <wp:extent cx="889000" cy="889000"/>
          <wp:effectExtent l="0" t="0" r="0" b="0"/>
          <wp:wrapNone/>
          <wp:docPr id="6"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ept logo"/>
                  <pic:cNvPicPr>
                    <a:picLocks noChangeAspect="1" noChangeArrowheads="1"/>
                  </pic:cNvPicPr>
                </pic:nvPicPr>
                <pic:blipFill>
                  <a:blip r:embed="rId1"/>
                  <a:stretch>
                    <a:fillRect/>
                  </a:stretch>
                </pic:blipFill>
                <pic:spPr bwMode="auto">
                  <a:xfrm>
                    <a:off x="0" y="0"/>
                    <a:ext cx="889000" cy="889000"/>
                  </a:xfrm>
                  <a:prstGeom prst="rect">
                    <a:avLst/>
                  </a:prstGeom>
                </pic:spPr>
              </pic:pic>
            </a:graphicData>
          </a:graphic>
        </wp:anchor>
      </w:drawing>
    </w:r>
    <w:r w:rsidRPr="00D77183">
      <w:rPr>
        <w:noProof/>
      </w:rPr>
      <w:drawing>
        <wp:anchor distT="0" distB="0" distL="0" distR="0" simplePos="0" relativeHeight="251656704" behindDoc="1" locked="0" layoutInCell="0" allowOverlap="1" wp14:anchorId="2BDBAFF8" wp14:editId="25FA76DE">
          <wp:simplePos x="0" y="0"/>
          <wp:positionH relativeFrom="page">
            <wp:posOffset>5717540</wp:posOffset>
          </wp:positionH>
          <wp:positionV relativeFrom="page">
            <wp:posOffset>648335</wp:posOffset>
          </wp:positionV>
          <wp:extent cx="1461770" cy="546100"/>
          <wp:effectExtent l="0" t="0" r="0" b="0"/>
          <wp:wrapNone/>
          <wp:docPr id="7"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ecc_logo"/>
                  <pic:cNvPicPr>
                    <a:picLocks noChangeAspect="1" noChangeArrowheads="1"/>
                  </pic:cNvPicPr>
                </pic:nvPicPr>
                <pic:blipFill>
                  <a:blip r:embed="rId2"/>
                  <a:stretch>
                    <a:fillRect/>
                  </a:stretch>
                </pic:blipFill>
                <pic:spPr bwMode="auto">
                  <a:xfrm>
                    <a:off x="0" y="0"/>
                    <a:ext cx="1461770" cy="54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5214" w14:textId="7B4E02C7" w:rsidR="00A22156" w:rsidRDefault="00A221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9618" w14:textId="164B3E34" w:rsidR="00680791" w:rsidRPr="00566BDA" w:rsidRDefault="00D5116C">
    <w:pPr>
      <w:pStyle w:val="Header"/>
      <w:rPr>
        <w:szCs w:val="16"/>
        <w:lang w:val="en-GB"/>
      </w:rPr>
    </w:pPr>
    <w:r w:rsidRPr="00566BDA">
      <w:rPr>
        <w:lang w:val="en-GB"/>
      </w:rPr>
      <w:t>ECC/REC/(</w:t>
    </w:r>
    <w:r w:rsidR="00DA2B03">
      <w:rPr>
        <w:lang w:val="en-GB"/>
      </w:rPr>
      <w:t>24</w:t>
    </w:r>
    <w:r w:rsidRPr="00566BDA">
      <w:rPr>
        <w:lang w:val="en-GB"/>
      </w:rPr>
      <w:t>)</w:t>
    </w:r>
    <w:r w:rsidR="00DA2B03">
      <w:rPr>
        <w:lang w:val="en-GB"/>
      </w:rPr>
      <w:t>02</w:t>
    </w:r>
    <w:r w:rsidRPr="00566BDA">
      <w:rPr>
        <w:szCs w:val="16"/>
        <w:lang w:val="en-GB"/>
      </w:rPr>
      <w:t xml:space="preserve"> - Page </w:t>
    </w:r>
    <w:r>
      <w:rPr>
        <w:szCs w:val="16"/>
        <w:lang w:val="da-DK"/>
      </w:rPr>
      <w:fldChar w:fldCharType="begin"/>
    </w:r>
    <w:r w:rsidRPr="00566BDA">
      <w:rPr>
        <w:szCs w:val="16"/>
        <w:lang w:val="en-GB"/>
      </w:rPr>
      <w:instrText xml:space="preserve"> PAGE </w:instrText>
    </w:r>
    <w:r>
      <w:rPr>
        <w:szCs w:val="16"/>
        <w:lang w:val="da-DK"/>
      </w:rPr>
      <w:fldChar w:fldCharType="separate"/>
    </w:r>
    <w:r w:rsidRPr="00566BDA">
      <w:rPr>
        <w:szCs w:val="16"/>
        <w:lang w:val="en-GB"/>
      </w:rPr>
      <w:t>8</w:t>
    </w:r>
    <w:r>
      <w:rPr>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7B01" w14:textId="5F9E154C" w:rsidR="00680791" w:rsidRPr="00566BDA" w:rsidRDefault="00D5116C">
    <w:pPr>
      <w:pStyle w:val="Header"/>
      <w:jc w:val="right"/>
      <w:rPr>
        <w:szCs w:val="16"/>
        <w:lang w:val="en-GB"/>
      </w:rPr>
    </w:pPr>
    <w:r w:rsidRPr="00566BDA">
      <w:rPr>
        <w:lang w:val="en-GB"/>
      </w:rPr>
      <w:t>ECC/REC/</w:t>
    </w:r>
    <w:r w:rsidR="00DA2B03" w:rsidRPr="00566BDA">
      <w:rPr>
        <w:lang w:val="en-GB"/>
      </w:rPr>
      <w:t>(</w:t>
    </w:r>
    <w:r w:rsidR="00DA2B03">
      <w:rPr>
        <w:lang w:val="en-GB"/>
      </w:rPr>
      <w:t>24</w:t>
    </w:r>
    <w:r w:rsidR="00DA2B03" w:rsidRPr="00566BDA">
      <w:rPr>
        <w:lang w:val="en-GB"/>
      </w:rPr>
      <w:t>)</w:t>
    </w:r>
    <w:r w:rsidR="00DA2B03">
      <w:rPr>
        <w:lang w:val="en-GB"/>
      </w:rPr>
      <w:t>02</w:t>
    </w:r>
    <w:r w:rsidRPr="00566BDA">
      <w:rPr>
        <w:lang w:val="en-GB"/>
      </w:rPr>
      <w:t xml:space="preserve"> - </w:t>
    </w:r>
    <w:r w:rsidRPr="00566BDA">
      <w:rPr>
        <w:szCs w:val="16"/>
        <w:lang w:val="en-GB"/>
      </w:rPr>
      <w:t xml:space="preserve">Page </w:t>
    </w:r>
    <w:r>
      <w:rPr>
        <w:szCs w:val="16"/>
        <w:lang w:val="da-DK"/>
      </w:rPr>
      <w:fldChar w:fldCharType="begin"/>
    </w:r>
    <w:r w:rsidRPr="00566BDA">
      <w:rPr>
        <w:szCs w:val="16"/>
        <w:lang w:val="en-GB"/>
      </w:rPr>
      <w:instrText xml:space="preserve"> PAGE </w:instrText>
    </w:r>
    <w:r>
      <w:rPr>
        <w:szCs w:val="16"/>
        <w:lang w:val="da-DK"/>
      </w:rPr>
      <w:fldChar w:fldCharType="separate"/>
    </w:r>
    <w:r w:rsidRPr="00566BDA">
      <w:rPr>
        <w:szCs w:val="16"/>
        <w:lang w:val="en-GB"/>
      </w:rPr>
      <w:t>9</w:t>
    </w:r>
    <w:r>
      <w:rPr>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02CB" w14:textId="5C17C0C5" w:rsidR="00680791" w:rsidRDefault="006807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C81"/>
    <w:multiLevelType w:val="multilevel"/>
    <w:tmpl w:val="F0860C02"/>
    <w:lvl w:ilvl="0">
      <w:start w:val="1"/>
      <w:numFmt w:val="decimal"/>
      <w:pStyle w:val="ECCEditorsNote"/>
      <w:lvlText w:val="Editor's Note %1:"/>
      <w:lvlJc w:val="left"/>
      <w:pPr>
        <w:tabs>
          <w:tab w:val="num" w:pos="3686"/>
        </w:tabs>
        <w:ind w:left="3686" w:hanging="1559"/>
      </w:pPr>
      <w:rPr>
        <w:caps w:val="0"/>
        <w:smallCaps w:val="0"/>
        <w:strike w:val="0"/>
        <w:dstrike w:val="0"/>
        <w:vanish w:val="0"/>
        <w:color w:val="auto"/>
        <w:position w:val="0"/>
        <w:sz w:val="20"/>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201DC3"/>
    <w:multiLevelType w:val="multilevel"/>
    <w:tmpl w:val="A31CEA5E"/>
    <w:lvl w:ilvl="0">
      <w:start w:val="1"/>
      <w:numFmt w:val="decimal"/>
      <w:lvlText w:val="%1."/>
      <w:lvlJc w:val="left"/>
      <w:pPr>
        <w:tabs>
          <w:tab w:val="num" w:pos="0"/>
        </w:tabs>
        <w:ind w:left="360" w:hanging="360"/>
      </w:pPr>
      <w:rPr>
        <w:color w:val="C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F8225DB"/>
    <w:multiLevelType w:val="multilevel"/>
    <w:tmpl w:val="F13AF584"/>
    <w:lvl w:ilvl="0">
      <w:start w:val="1"/>
      <w:numFmt w:val="decimal"/>
      <w:lvlText w:val="%1."/>
      <w:lvlJc w:val="left"/>
      <w:pPr>
        <w:tabs>
          <w:tab w:val="num" w:pos="340"/>
        </w:tabs>
        <w:ind w:left="340" w:hanging="340"/>
      </w:pPr>
      <w:rPr>
        <w:rFonts w:ascii="Arial" w:hAnsi="Arial"/>
        <w:b w:val="0"/>
        <w:i w:val="0"/>
        <w:color w:val="D2232A"/>
        <w:sz w:val="20"/>
      </w:rPr>
    </w:lvl>
    <w:lvl w:ilvl="1">
      <w:start w:val="1"/>
      <w:numFmt w:val="lowerLetter"/>
      <w:pStyle w:val="ECCLetteredList"/>
      <w:lvlText w:val="%2)"/>
      <w:lvlJc w:val="left"/>
      <w:pPr>
        <w:tabs>
          <w:tab w:val="num" w:pos="680"/>
        </w:tabs>
        <w:ind w:left="680" w:hanging="340"/>
      </w:pPr>
      <w:rPr>
        <w:rFonts w:ascii="Arial" w:hAnsi="Arial"/>
        <w:b w:val="0"/>
        <w:i w:val="0"/>
        <w:color w:val="D2232A"/>
        <w:sz w:val="20"/>
      </w:rPr>
    </w:lvl>
    <w:lvl w:ilvl="2">
      <w:start w:val="1"/>
      <w:numFmt w:val="bullet"/>
      <w:lvlText w:val=""/>
      <w:lvlJc w:val="left"/>
      <w:pPr>
        <w:tabs>
          <w:tab w:val="num" w:pos="1021"/>
        </w:tabs>
        <w:ind w:left="1021" w:hanging="341"/>
      </w:pPr>
      <w:rPr>
        <w:rFonts w:ascii="Wingdings" w:hAnsi="Wingdings" w:cs="Wingdings" w:hint="default"/>
        <w:color w:val="D2232A"/>
      </w:rPr>
    </w:lvl>
    <w:lvl w:ilvl="3">
      <w:start w:val="1"/>
      <w:numFmt w:val="none"/>
      <w:suff w:val="nothing"/>
      <w:lvlText w:val="%4"/>
      <w:lvlJc w:val="left"/>
      <w:pPr>
        <w:tabs>
          <w:tab w:val="num" w:pos="0"/>
        </w:tabs>
        <w:ind w:left="1728" w:hanging="648"/>
      </w:pPr>
    </w:lvl>
    <w:lvl w:ilvl="4">
      <w:start w:val="1"/>
      <w:numFmt w:val="none"/>
      <w:suff w:val="nothing"/>
      <w:lvlText w:val="%5"/>
      <w:lvlJc w:val="left"/>
      <w:pPr>
        <w:tabs>
          <w:tab w:val="num" w:pos="0"/>
        </w:tabs>
        <w:ind w:left="2232" w:hanging="792"/>
      </w:pPr>
    </w:lvl>
    <w:lvl w:ilvl="5">
      <w:start w:val="1"/>
      <w:numFmt w:val="none"/>
      <w:suff w:val="nothing"/>
      <w:lvlText w:val="%6"/>
      <w:lvlJc w:val="left"/>
      <w:pPr>
        <w:tabs>
          <w:tab w:val="num" w:pos="0"/>
        </w:tabs>
        <w:ind w:left="2736" w:hanging="936"/>
      </w:pPr>
    </w:lvl>
    <w:lvl w:ilvl="6">
      <w:start w:val="1"/>
      <w:numFmt w:val="none"/>
      <w:suff w:val="nothing"/>
      <w:lvlText w:val="%7"/>
      <w:lvlJc w:val="left"/>
      <w:pPr>
        <w:tabs>
          <w:tab w:val="num" w:pos="0"/>
        </w:tabs>
        <w:ind w:left="3240" w:hanging="1080"/>
      </w:pPr>
    </w:lvl>
    <w:lvl w:ilvl="7">
      <w:start w:val="1"/>
      <w:numFmt w:val="none"/>
      <w:suff w:val="nothing"/>
      <w:lvlText w:val="%8"/>
      <w:lvlJc w:val="left"/>
      <w:pPr>
        <w:tabs>
          <w:tab w:val="num" w:pos="0"/>
        </w:tabs>
        <w:ind w:left="3744" w:hanging="1224"/>
      </w:pPr>
    </w:lvl>
    <w:lvl w:ilvl="8">
      <w:start w:val="1"/>
      <w:numFmt w:val="none"/>
      <w:suff w:val="nothing"/>
      <w:lvlText w:val="%9"/>
      <w:lvlJc w:val="left"/>
      <w:pPr>
        <w:tabs>
          <w:tab w:val="num" w:pos="0"/>
        </w:tabs>
        <w:ind w:left="4320" w:hanging="1440"/>
      </w:pPr>
    </w:lvl>
  </w:abstractNum>
  <w:abstractNum w:abstractNumId="3" w15:restartNumberingAfterBreak="0">
    <w:nsid w:val="12521627"/>
    <w:multiLevelType w:val="multilevel"/>
    <w:tmpl w:val="F8685340"/>
    <w:lvl w:ilvl="0">
      <w:start w:val="1"/>
      <w:numFmt w:val="bullet"/>
      <w:pStyle w:val="ECCParBulleted"/>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ECCNumberedlis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E93AE0"/>
    <w:multiLevelType w:val="hybridMultilevel"/>
    <w:tmpl w:val="BADCF880"/>
    <w:lvl w:ilvl="0" w:tplc="2654B288">
      <w:start w:val="1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2F3BD8"/>
    <w:multiLevelType w:val="hybridMultilevel"/>
    <w:tmpl w:val="3A321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95634"/>
    <w:multiLevelType w:val="multilevel"/>
    <w:tmpl w:val="8C2E539C"/>
    <w:lvl w:ilvl="0">
      <w:start w:val="1"/>
      <w:numFmt w:val="decimal"/>
      <w:pStyle w:val="ECCTabletitle"/>
      <w:suff w:val="space"/>
      <w:lvlText w:val="Table %1:"/>
      <w:lvlJc w:val="left"/>
      <w:pPr>
        <w:tabs>
          <w:tab w:val="num" w:pos="0"/>
        </w:tabs>
        <w:ind w:left="360" w:hanging="360"/>
      </w:pPr>
      <w:rPr>
        <w:rFonts w:ascii="Arial" w:hAnsi="Arial"/>
        <w:b/>
        <w:i w:val="0"/>
        <w:color w:val="D2232A"/>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5A4B04"/>
    <w:multiLevelType w:val="multilevel"/>
    <w:tmpl w:val="339AFB06"/>
    <w:lvl w:ilvl="0">
      <w:start w:val="1"/>
      <w:numFmt w:val="decimal"/>
      <w:pStyle w:val="ECCNumbered-LetteredList"/>
      <w:lvlText w:val="%1."/>
      <w:lvlJc w:val="left"/>
      <w:pPr>
        <w:tabs>
          <w:tab w:val="num" w:pos="340"/>
        </w:tabs>
        <w:ind w:left="340" w:hanging="340"/>
      </w:pPr>
      <w:rPr>
        <w:rFonts w:ascii="Arial" w:hAnsi="Arial"/>
        <w:b w:val="0"/>
        <w:i w:val="0"/>
        <w:color w:val="D2232A"/>
        <w:sz w:val="20"/>
      </w:rPr>
    </w:lvl>
    <w:lvl w:ilvl="1">
      <w:start w:val="1"/>
      <w:numFmt w:val="lowerLetter"/>
      <w:lvlText w:val="%2)"/>
      <w:lvlJc w:val="left"/>
      <w:pPr>
        <w:tabs>
          <w:tab w:val="num" w:pos="680"/>
        </w:tabs>
        <w:ind w:left="680" w:hanging="340"/>
      </w:pPr>
      <w:rPr>
        <w:rFonts w:ascii="Arial" w:hAnsi="Arial"/>
        <w:b w:val="0"/>
        <w:i w:val="0"/>
        <w:color w:val="D2232A"/>
        <w:sz w:val="20"/>
      </w:rPr>
    </w:lvl>
    <w:lvl w:ilvl="2">
      <w:start w:val="1"/>
      <w:numFmt w:val="bullet"/>
      <w:lvlText w:val=""/>
      <w:lvlJc w:val="left"/>
      <w:pPr>
        <w:tabs>
          <w:tab w:val="num" w:pos="1021"/>
        </w:tabs>
        <w:ind w:left="1021" w:hanging="341"/>
      </w:pPr>
      <w:rPr>
        <w:rFonts w:ascii="Wingdings" w:hAnsi="Wingdings" w:cs="Wingdings" w:hint="default"/>
        <w:b/>
        <w:i w:val="0"/>
        <w:color w:val="D2232A"/>
        <w:sz w:val="20"/>
      </w:rPr>
    </w:lvl>
    <w:lvl w:ilvl="3">
      <w:start w:val="1"/>
      <w:numFmt w:val="none"/>
      <w:suff w:val="nothing"/>
      <w:lvlText w:val="%4"/>
      <w:lvlJc w:val="left"/>
      <w:pPr>
        <w:tabs>
          <w:tab w:val="num" w:pos="0"/>
        </w:tabs>
        <w:ind w:left="1728" w:hanging="648"/>
      </w:pPr>
      <w:rPr>
        <w:b w:val="0"/>
        <w:i/>
        <w:color w:val="2F2E79"/>
        <w:sz w:val="20"/>
      </w:rPr>
    </w:lvl>
    <w:lvl w:ilvl="4">
      <w:start w:val="1"/>
      <w:numFmt w:val="none"/>
      <w:suff w:val="nothing"/>
      <w:lvlText w:val="%5"/>
      <w:lvlJc w:val="left"/>
      <w:pPr>
        <w:tabs>
          <w:tab w:val="num" w:pos="0"/>
        </w:tabs>
        <w:ind w:left="2232" w:hanging="792"/>
      </w:pPr>
      <w:rPr>
        <w:sz w:val="24"/>
      </w:rPr>
    </w:lvl>
    <w:lvl w:ilvl="5">
      <w:start w:val="1"/>
      <w:numFmt w:val="none"/>
      <w:suff w:val="nothing"/>
      <w:lvlText w:val="%6"/>
      <w:lvlJc w:val="left"/>
      <w:pPr>
        <w:tabs>
          <w:tab w:val="num" w:pos="0"/>
        </w:tabs>
        <w:ind w:left="2736" w:hanging="936"/>
      </w:pPr>
    </w:lvl>
    <w:lvl w:ilvl="6">
      <w:start w:val="1"/>
      <w:numFmt w:val="none"/>
      <w:suff w:val="nothing"/>
      <w:lvlText w:val="%7"/>
      <w:lvlJc w:val="left"/>
      <w:pPr>
        <w:tabs>
          <w:tab w:val="num" w:pos="0"/>
        </w:tabs>
        <w:ind w:left="3240" w:hanging="1080"/>
      </w:pPr>
    </w:lvl>
    <w:lvl w:ilvl="7">
      <w:start w:val="1"/>
      <w:numFmt w:val="none"/>
      <w:suff w:val="nothing"/>
      <w:lvlText w:val="%8"/>
      <w:lvlJc w:val="left"/>
      <w:pPr>
        <w:tabs>
          <w:tab w:val="num" w:pos="0"/>
        </w:tabs>
        <w:ind w:left="3744" w:hanging="1224"/>
      </w:pPr>
    </w:lvl>
    <w:lvl w:ilvl="8">
      <w:start w:val="1"/>
      <w:numFmt w:val="none"/>
      <w:suff w:val="nothing"/>
      <w:lvlText w:val="%9"/>
      <w:lvlJc w:val="left"/>
      <w:pPr>
        <w:tabs>
          <w:tab w:val="num" w:pos="0"/>
        </w:tabs>
        <w:ind w:left="4320" w:hanging="1440"/>
      </w:pPr>
    </w:lvl>
  </w:abstractNum>
  <w:abstractNum w:abstractNumId="8" w15:restartNumberingAfterBreak="0">
    <w:nsid w:val="29DB6649"/>
    <w:multiLevelType w:val="hybridMultilevel"/>
    <w:tmpl w:val="41A49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E4A96"/>
    <w:multiLevelType w:val="multilevel"/>
    <w:tmpl w:val="41E8D9B8"/>
    <w:lvl w:ilvl="0">
      <w:start w:val="1"/>
      <w:numFmt w:val="decimal"/>
      <w:pStyle w:val="ECCNumberedList0"/>
      <w:lvlText w:val="%1"/>
      <w:lvlJc w:val="left"/>
      <w:pPr>
        <w:tabs>
          <w:tab w:val="num" w:pos="0"/>
        </w:tabs>
        <w:ind w:left="360" w:hanging="360"/>
      </w:pPr>
      <w:rPr>
        <w:b w:val="0"/>
        <w:i w:val="0"/>
        <w:color w:val="D2232A"/>
        <w:sz w:val="20"/>
      </w:rPr>
    </w:lvl>
    <w:lvl w:ilvl="1">
      <w:start w:val="1"/>
      <w:numFmt w:val="bullet"/>
      <w:lvlText w:val=""/>
      <w:lvlJc w:val="left"/>
      <w:pPr>
        <w:tabs>
          <w:tab w:val="num" w:pos="680"/>
        </w:tabs>
        <w:ind w:left="680" w:hanging="340"/>
      </w:pPr>
      <w:rPr>
        <w:rFonts w:ascii="Wingdings" w:hAnsi="Wingdings" w:cs="Wingdings" w:hint="default"/>
        <w:color w:val="D2232A"/>
      </w:rPr>
    </w:lvl>
    <w:lvl w:ilvl="2">
      <w:start w:val="1"/>
      <w:numFmt w:val="bullet"/>
      <w:lvlText w:val=""/>
      <w:lvlJc w:val="left"/>
      <w:pPr>
        <w:tabs>
          <w:tab w:val="num" w:pos="1021"/>
        </w:tabs>
        <w:ind w:left="1021" w:hanging="341"/>
      </w:pPr>
      <w:rPr>
        <w:rFonts w:ascii="Wingdings" w:hAnsi="Wingdings" w:cs="Wingdings" w:hint="default"/>
        <w:color w:val="D2232A"/>
      </w:rPr>
    </w:lvl>
    <w:lvl w:ilvl="3">
      <w:start w:val="1"/>
      <w:numFmt w:val="decimal"/>
      <w:lvlText w:val="(%4)"/>
      <w:lvlJc w:val="left"/>
      <w:pPr>
        <w:tabs>
          <w:tab w:val="num" w:pos="0"/>
        </w:tabs>
        <w:ind w:left="1043" w:hanging="360"/>
      </w:pPr>
    </w:lvl>
    <w:lvl w:ilvl="4">
      <w:start w:val="1"/>
      <w:numFmt w:val="lowerLetter"/>
      <w:lvlText w:val="(%5)"/>
      <w:lvlJc w:val="left"/>
      <w:pPr>
        <w:tabs>
          <w:tab w:val="num" w:pos="0"/>
        </w:tabs>
        <w:ind w:left="1403" w:hanging="360"/>
      </w:pPr>
    </w:lvl>
    <w:lvl w:ilvl="5">
      <w:start w:val="1"/>
      <w:numFmt w:val="lowerRoman"/>
      <w:lvlText w:val="(%6)"/>
      <w:lvlJc w:val="left"/>
      <w:pPr>
        <w:tabs>
          <w:tab w:val="num" w:pos="0"/>
        </w:tabs>
        <w:ind w:left="1763" w:hanging="360"/>
      </w:pPr>
    </w:lvl>
    <w:lvl w:ilvl="6">
      <w:start w:val="1"/>
      <w:numFmt w:val="decimal"/>
      <w:lvlText w:val="%7."/>
      <w:lvlJc w:val="left"/>
      <w:pPr>
        <w:tabs>
          <w:tab w:val="num" w:pos="0"/>
        </w:tabs>
        <w:ind w:left="2123" w:hanging="360"/>
      </w:pPr>
    </w:lvl>
    <w:lvl w:ilvl="7">
      <w:start w:val="1"/>
      <w:numFmt w:val="lowerLetter"/>
      <w:lvlText w:val="%8."/>
      <w:lvlJc w:val="left"/>
      <w:pPr>
        <w:tabs>
          <w:tab w:val="num" w:pos="0"/>
        </w:tabs>
        <w:ind w:left="2483" w:hanging="360"/>
      </w:pPr>
    </w:lvl>
    <w:lvl w:ilvl="8">
      <w:start w:val="1"/>
      <w:numFmt w:val="lowerRoman"/>
      <w:lvlText w:val="%9."/>
      <w:lvlJc w:val="left"/>
      <w:pPr>
        <w:tabs>
          <w:tab w:val="num" w:pos="0"/>
        </w:tabs>
        <w:ind w:left="2843" w:hanging="360"/>
      </w:pPr>
    </w:lvl>
  </w:abstractNum>
  <w:abstractNum w:abstractNumId="10" w15:restartNumberingAfterBreak="0">
    <w:nsid w:val="482E4460"/>
    <w:multiLevelType w:val="multilevel"/>
    <w:tmpl w:val="97A87A1A"/>
    <w:lvl w:ilvl="0">
      <w:start w:val="1"/>
      <w:numFmt w:val="decimal"/>
      <w:pStyle w:val="reference"/>
      <w:lvlText w:val="[%1]"/>
      <w:lvlJc w:val="left"/>
      <w:pPr>
        <w:tabs>
          <w:tab w:val="num" w:pos="397"/>
        </w:tabs>
        <w:ind w:left="397" w:hanging="397"/>
      </w:pPr>
      <w:rPr>
        <w:rFonts w:ascii="Arial" w:hAnsi="Arial"/>
        <w:b w:val="0"/>
        <w:i w:val="0"/>
        <w:color w:val="D2232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C1E7244"/>
    <w:multiLevelType w:val="multilevel"/>
    <w:tmpl w:val="BA6E904C"/>
    <w:lvl w:ilvl="0">
      <w:numFmt w:val="decimal"/>
      <w:lvlText w:val="%1"/>
      <w:lvlJc w:val="left"/>
      <w:pPr>
        <w:tabs>
          <w:tab w:val="num" w:pos="432"/>
        </w:tabs>
        <w:ind w:left="432" w:hanging="432"/>
      </w:pPr>
      <w:rPr>
        <w:rFonts w:ascii="Arial" w:hAnsi="Arial"/>
        <w:b/>
        <w:i w:val="0"/>
        <w:color w:val="D2232A"/>
        <w:sz w:val="20"/>
        <w:szCs w:val="20"/>
      </w:rPr>
    </w:lvl>
    <w:lvl w:ilvl="1">
      <w:start w:val="1"/>
      <w:numFmt w:val="decimal"/>
      <w:pStyle w:val="Heading2"/>
      <w:lvlText w:val="%1.%2"/>
      <w:lvlJc w:val="left"/>
      <w:pPr>
        <w:tabs>
          <w:tab w:val="num" w:pos="576"/>
        </w:tabs>
        <w:ind w:left="576" w:hanging="576"/>
      </w:pPr>
      <w:rPr>
        <w:rFonts w:ascii="Arial" w:hAnsi="Arial"/>
        <w:b/>
        <w:i w:val="0"/>
        <w:sz w:val="20"/>
      </w:rPr>
    </w:lvl>
    <w:lvl w:ilvl="2">
      <w:start w:val="1"/>
      <w:numFmt w:val="decimal"/>
      <w:pStyle w:val="Heading3"/>
      <w:lvlText w:val="%1.%2.%3"/>
      <w:lvlJc w:val="left"/>
      <w:pPr>
        <w:tabs>
          <w:tab w:val="num" w:pos="720"/>
        </w:tabs>
        <w:ind w:left="720" w:hanging="720"/>
      </w:pPr>
      <w:rPr>
        <w:rFonts w:ascii="Arial" w:hAnsi="Arial"/>
        <w:b/>
        <w:i w:val="0"/>
        <w:caps w:val="0"/>
        <w:smallCaps w:val="0"/>
        <w:sz w:val="20"/>
        <w:szCs w:val="20"/>
      </w:rPr>
    </w:lvl>
    <w:lvl w:ilvl="3">
      <w:start w:val="1"/>
      <w:numFmt w:val="decimal"/>
      <w:pStyle w:val="Heading4"/>
      <w:lvlText w:val="%1.%2.%3.%4"/>
      <w:lvlJc w:val="left"/>
      <w:pPr>
        <w:tabs>
          <w:tab w:val="num" w:pos="864"/>
        </w:tabs>
        <w:ind w:left="864" w:hanging="864"/>
      </w:pPr>
      <w:rPr>
        <w:rFonts w:ascii="Times New Roman" w:hAnsi="Times New Roman"/>
        <w:b w:val="0"/>
        <w:i/>
        <w:sz w:val="20"/>
      </w:rPr>
    </w:lvl>
    <w:lvl w:ilvl="4">
      <w:start w:val="1"/>
      <w:numFmt w:val="decimal"/>
      <w:pStyle w:val="Heading5"/>
      <w:lvlText w:val="%1.%2.%3.%4.%5"/>
      <w:lvlJc w:val="left"/>
      <w:pPr>
        <w:tabs>
          <w:tab w:val="num" w:pos="1008"/>
        </w:tabs>
        <w:ind w:left="1008" w:hanging="1008"/>
      </w:pPr>
      <w:rPr>
        <w:sz w:val="24"/>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5F947396"/>
    <w:multiLevelType w:val="multilevel"/>
    <w:tmpl w:val="A9CCA612"/>
    <w:lvl w:ilvl="0">
      <w:start w:val="1"/>
      <w:numFmt w:val="decimal"/>
      <w:pStyle w:val="ECCAnnexheading1"/>
      <w:suff w:val="space"/>
      <w:lvlText w:val="ANNEX %1:"/>
      <w:lvlJc w:val="left"/>
      <w:pPr>
        <w:tabs>
          <w:tab w:val="num" w:pos="2127"/>
        </w:tabs>
        <w:ind w:left="2127" w:firstLine="0"/>
      </w:pPr>
      <w:rPr>
        <w:rFonts w:ascii="Arial" w:hAnsi="Arial"/>
        <w:b/>
        <w:bCs w:val="0"/>
        <w:i w:val="0"/>
        <w:iCs w:val="0"/>
        <w:cap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tabs>
          <w:tab w:val="num" w:pos="0"/>
        </w:tabs>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DF527E7"/>
    <w:multiLevelType w:val="multilevel"/>
    <w:tmpl w:val="2020B8C2"/>
    <w:lvl w:ilvl="0">
      <w:start w:val="1"/>
      <w:numFmt w:val="bullet"/>
      <w:pStyle w:val="ECCBulletsLv1"/>
      <w:lvlText w:val=""/>
      <w:lvlJc w:val="left"/>
      <w:pPr>
        <w:tabs>
          <w:tab w:val="num" w:pos="0"/>
        </w:tabs>
        <w:ind w:left="501" w:hanging="360"/>
      </w:pPr>
      <w:rPr>
        <w:rFonts w:ascii="Wingdings" w:hAnsi="Wingdings" w:cs="Wingdings" w:hint="default"/>
        <w:color w:val="D2232A"/>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14" w15:restartNumberingAfterBreak="0">
    <w:nsid w:val="6F525C44"/>
    <w:multiLevelType w:val="multilevel"/>
    <w:tmpl w:val="E38402C2"/>
    <w:lvl w:ilvl="0">
      <w:start w:val="1"/>
      <w:numFmt w:val="decimal"/>
      <w:pStyle w:val="NumberedList"/>
      <w:lvlText w:val="%1."/>
      <w:lvlJc w:val="left"/>
      <w:pPr>
        <w:tabs>
          <w:tab w:val="num" w:pos="397"/>
        </w:tabs>
        <w:ind w:left="397" w:hanging="397"/>
      </w:pPr>
      <w:rPr>
        <w:rFonts w:ascii="Arial" w:hAnsi="Arial"/>
        <w:b w:val="0"/>
        <w:i w:val="0"/>
        <w:color w:val="D2232A"/>
        <w:sz w:val="20"/>
      </w:rPr>
    </w:lvl>
    <w:lvl w:ilvl="1">
      <w:start w:val="1"/>
      <w:numFmt w:val="lowerLetter"/>
      <w:lvlText w:val="%2)"/>
      <w:lvlJc w:val="left"/>
      <w:pPr>
        <w:tabs>
          <w:tab w:val="num" w:pos="397"/>
        </w:tabs>
        <w:ind w:left="737" w:hanging="340"/>
      </w:pPr>
      <w:rPr>
        <w:rFonts w:ascii="Arial" w:hAnsi="Arial"/>
        <w:b w:val="0"/>
        <w:i w:val="0"/>
        <w:color w:val="D2232A"/>
        <w:sz w:val="20"/>
      </w:rPr>
    </w:lvl>
    <w:lvl w:ilvl="2">
      <w:start w:val="1"/>
      <w:numFmt w:val="none"/>
      <w:suff w:val="nothing"/>
      <w:lvlText w:val="%3"/>
      <w:lvlJc w:val="left"/>
      <w:pPr>
        <w:tabs>
          <w:tab w:val="num" w:pos="0"/>
        </w:tabs>
        <w:ind w:left="720" w:hanging="720"/>
      </w:pPr>
      <w:rPr>
        <w:b/>
        <w:i w:val="0"/>
        <w:sz w:val="20"/>
      </w:rPr>
    </w:lvl>
    <w:lvl w:ilvl="3">
      <w:start w:val="1"/>
      <w:numFmt w:val="none"/>
      <w:suff w:val="nothing"/>
      <w:lvlText w:val="%4"/>
      <w:lvlJc w:val="left"/>
      <w:pPr>
        <w:tabs>
          <w:tab w:val="num" w:pos="0"/>
        </w:tabs>
        <w:ind w:left="864" w:hanging="864"/>
      </w:pPr>
      <w:rPr>
        <w:b w:val="0"/>
        <w:i/>
        <w:color w:val="2F2E79"/>
        <w:sz w:val="20"/>
      </w:rPr>
    </w:lvl>
    <w:lvl w:ilvl="4">
      <w:start w:val="1"/>
      <w:numFmt w:val="none"/>
      <w:suff w:val="nothing"/>
      <w:lvlText w:val="%5"/>
      <w:lvlJc w:val="left"/>
      <w:pPr>
        <w:tabs>
          <w:tab w:val="num" w:pos="0"/>
        </w:tabs>
        <w:ind w:left="1008" w:hanging="1008"/>
      </w:pPr>
      <w:rPr>
        <w:sz w:val="24"/>
      </w:r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5" w15:restartNumberingAfterBreak="0">
    <w:nsid w:val="76D47911"/>
    <w:multiLevelType w:val="multilevel"/>
    <w:tmpl w:val="C512D13C"/>
    <w:lvl w:ilvl="0">
      <w:start w:val="1"/>
      <w:numFmt w:val="decimal"/>
      <w:pStyle w:val="ECCFiguretitle"/>
      <w:suff w:val="space"/>
      <w:lvlText w:val="Figure %1:"/>
      <w:lvlJc w:val="left"/>
      <w:pPr>
        <w:tabs>
          <w:tab w:val="num" w:pos="0"/>
        </w:tabs>
        <w:ind w:left="360" w:hanging="360"/>
      </w:pPr>
      <w:rPr>
        <w:rFonts w:ascii="Arial" w:hAnsi="Arial"/>
        <w:b/>
        <w:i w:val="0"/>
        <w:color w:val="D2232A"/>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7D0EE7"/>
    <w:multiLevelType w:val="multilevel"/>
    <w:tmpl w:val="B016E6C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992"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7C6801D7"/>
    <w:multiLevelType w:val="multilevel"/>
    <w:tmpl w:val="9D182956"/>
    <w:lvl w:ilvl="0">
      <w:start w:val="1"/>
      <w:numFmt w:val="lowerLetter"/>
      <w:pStyle w:val="LetteredList"/>
      <w:lvlText w:val="%1)"/>
      <w:lvlJc w:val="left"/>
      <w:pPr>
        <w:tabs>
          <w:tab w:val="num" w:pos="0"/>
        </w:tabs>
        <w:ind w:left="360" w:hanging="360"/>
      </w:pPr>
      <w:rPr>
        <w:rFonts w:ascii="Arial" w:hAnsi="Arial"/>
        <w:b w:val="0"/>
        <w:bCs w:val="0"/>
        <w:i w:val="0"/>
        <w:iCs w:val="0"/>
        <w:color w:val="D2232A"/>
        <w:sz w:val="20"/>
        <w:szCs w:val="20"/>
      </w:rPr>
    </w:lvl>
    <w:lvl w:ilvl="1">
      <w:start w:val="1"/>
      <w:numFmt w:val="none"/>
      <w:suff w:val="nothing"/>
      <w:lvlText w:val="%2"/>
      <w:lvlJc w:val="left"/>
      <w:pPr>
        <w:tabs>
          <w:tab w:val="num" w:pos="0"/>
        </w:tabs>
        <w:ind w:left="1080" w:hanging="360"/>
      </w:pPr>
    </w:lvl>
    <w:lvl w:ilvl="2">
      <w:start w:val="1"/>
      <w:numFmt w:val="none"/>
      <w:suff w:val="nothing"/>
      <w:lvlText w:val="%3"/>
      <w:lvlJc w:val="right"/>
      <w:pPr>
        <w:tabs>
          <w:tab w:val="num" w:pos="0"/>
        </w:tabs>
        <w:ind w:left="1800" w:hanging="180"/>
      </w:pPr>
    </w:lvl>
    <w:lvl w:ilvl="3">
      <w:start w:val="1"/>
      <w:numFmt w:val="none"/>
      <w:suff w:val="nothing"/>
      <w:lvlText w:val="%4"/>
      <w:lvlJc w:val="left"/>
      <w:pPr>
        <w:tabs>
          <w:tab w:val="num" w:pos="0"/>
        </w:tabs>
        <w:ind w:left="2520" w:hanging="360"/>
      </w:pPr>
    </w:lvl>
    <w:lvl w:ilvl="4">
      <w:start w:val="1"/>
      <w:numFmt w:val="none"/>
      <w:suff w:val="nothing"/>
      <w:lvlText w:val="%5"/>
      <w:lvlJc w:val="left"/>
      <w:pPr>
        <w:tabs>
          <w:tab w:val="num" w:pos="0"/>
        </w:tabs>
        <w:ind w:left="3240" w:hanging="360"/>
      </w:pPr>
    </w:lvl>
    <w:lvl w:ilvl="5">
      <w:start w:val="1"/>
      <w:numFmt w:val="none"/>
      <w:suff w:val="nothing"/>
      <w:lvlText w:val="%6"/>
      <w:lvlJc w:val="right"/>
      <w:pPr>
        <w:tabs>
          <w:tab w:val="num" w:pos="0"/>
        </w:tabs>
        <w:ind w:left="3960" w:hanging="180"/>
      </w:pPr>
    </w:lvl>
    <w:lvl w:ilvl="6">
      <w:start w:val="1"/>
      <w:numFmt w:val="none"/>
      <w:suff w:val="nothing"/>
      <w:lvlText w:val="%7"/>
      <w:lvlJc w:val="left"/>
      <w:pPr>
        <w:tabs>
          <w:tab w:val="num" w:pos="0"/>
        </w:tabs>
        <w:ind w:left="4680" w:hanging="360"/>
      </w:pPr>
    </w:lvl>
    <w:lvl w:ilvl="7">
      <w:start w:val="1"/>
      <w:numFmt w:val="none"/>
      <w:suff w:val="nothing"/>
      <w:lvlText w:val="%8"/>
      <w:lvlJc w:val="left"/>
      <w:pPr>
        <w:tabs>
          <w:tab w:val="num" w:pos="0"/>
        </w:tabs>
        <w:ind w:left="5400" w:hanging="360"/>
      </w:pPr>
    </w:lvl>
    <w:lvl w:ilvl="8">
      <w:start w:val="1"/>
      <w:numFmt w:val="none"/>
      <w:suff w:val="nothing"/>
      <w:lvlText w:val="%9"/>
      <w:lvlJc w:val="right"/>
      <w:pPr>
        <w:tabs>
          <w:tab w:val="num" w:pos="0"/>
        </w:tabs>
        <w:ind w:left="6120" w:hanging="180"/>
      </w:pPr>
    </w:lvl>
  </w:abstractNum>
  <w:num w:numId="1" w16cid:durableId="611086953">
    <w:abstractNumId w:val="11"/>
  </w:num>
  <w:num w:numId="2" w16cid:durableId="597371276">
    <w:abstractNumId w:val="3"/>
  </w:num>
  <w:num w:numId="3" w16cid:durableId="682242487">
    <w:abstractNumId w:val="6"/>
  </w:num>
  <w:num w:numId="4" w16cid:durableId="1197540689">
    <w:abstractNumId w:val="15"/>
  </w:num>
  <w:num w:numId="5" w16cid:durableId="485586094">
    <w:abstractNumId w:val="10"/>
  </w:num>
  <w:num w:numId="6" w16cid:durableId="111751325">
    <w:abstractNumId w:val="12"/>
  </w:num>
  <w:num w:numId="7" w16cid:durableId="1106582497">
    <w:abstractNumId w:val="17"/>
  </w:num>
  <w:num w:numId="8" w16cid:durableId="302974796">
    <w:abstractNumId w:val="1"/>
  </w:num>
  <w:num w:numId="9" w16cid:durableId="1954553661">
    <w:abstractNumId w:val="14"/>
  </w:num>
  <w:num w:numId="10" w16cid:durableId="1408262479">
    <w:abstractNumId w:val="2"/>
  </w:num>
  <w:num w:numId="11" w16cid:durableId="221453725">
    <w:abstractNumId w:val="7"/>
  </w:num>
  <w:num w:numId="12" w16cid:durableId="332730294">
    <w:abstractNumId w:val="13"/>
  </w:num>
  <w:num w:numId="13" w16cid:durableId="1052997774">
    <w:abstractNumId w:val="9"/>
  </w:num>
  <w:num w:numId="14" w16cid:durableId="1881669745">
    <w:abstractNumId w:val="0"/>
  </w:num>
  <w:num w:numId="15" w16cid:durableId="835070255">
    <w:abstractNumId w:val="16"/>
  </w:num>
  <w:num w:numId="16" w16cid:durableId="1547912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6836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715126">
    <w:abstractNumId w:val="5"/>
  </w:num>
  <w:num w:numId="19" w16cid:durableId="849685807">
    <w:abstractNumId w:val="8"/>
  </w:num>
  <w:num w:numId="20" w16cid:durableId="9257672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trackRevisions/>
  <w:defaultTabStop w:val="720"/>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91"/>
    <w:rsid w:val="0000019F"/>
    <w:rsid w:val="00005914"/>
    <w:rsid w:val="00013F3E"/>
    <w:rsid w:val="000173ED"/>
    <w:rsid w:val="000176C4"/>
    <w:rsid w:val="00022D4B"/>
    <w:rsid w:val="0002402D"/>
    <w:rsid w:val="00030CBD"/>
    <w:rsid w:val="0003116E"/>
    <w:rsid w:val="00032920"/>
    <w:rsid w:val="00032D66"/>
    <w:rsid w:val="00036230"/>
    <w:rsid w:val="0004024E"/>
    <w:rsid w:val="000402DD"/>
    <w:rsid w:val="00040B72"/>
    <w:rsid w:val="00050FC1"/>
    <w:rsid w:val="000650C2"/>
    <w:rsid w:val="0006605B"/>
    <w:rsid w:val="00070786"/>
    <w:rsid w:val="000725EB"/>
    <w:rsid w:val="000747D7"/>
    <w:rsid w:val="000756DC"/>
    <w:rsid w:val="00083A43"/>
    <w:rsid w:val="0008746B"/>
    <w:rsid w:val="00095533"/>
    <w:rsid w:val="000A0ED9"/>
    <w:rsid w:val="000A5D64"/>
    <w:rsid w:val="000B060C"/>
    <w:rsid w:val="000B0CFC"/>
    <w:rsid w:val="000B1B14"/>
    <w:rsid w:val="000B213F"/>
    <w:rsid w:val="000B4465"/>
    <w:rsid w:val="000B59F3"/>
    <w:rsid w:val="000B7261"/>
    <w:rsid w:val="000C167E"/>
    <w:rsid w:val="000D21D5"/>
    <w:rsid w:val="000E1E29"/>
    <w:rsid w:val="000E6877"/>
    <w:rsid w:val="000F06E9"/>
    <w:rsid w:val="000F3D29"/>
    <w:rsid w:val="000F41C9"/>
    <w:rsid w:val="000F6FC2"/>
    <w:rsid w:val="00104141"/>
    <w:rsid w:val="001042BA"/>
    <w:rsid w:val="00106DF8"/>
    <w:rsid w:val="001079DB"/>
    <w:rsid w:val="00111016"/>
    <w:rsid w:val="00111D99"/>
    <w:rsid w:val="001217B7"/>
    <w:rsid w:val="00123EA0"/>
    <w:rsid w:val="00125059"/>
    <w:rsid w:val="001255CF"/>
    <w:rsid w:val="001361EB"/>
    <w:rsid w:val="00136829"/>
    <w:rsid w:val="00141EAF"/>
    <w:rsid w:val="001519C5"/>
    <w:rsid w:val="0015466D"/>
    <w:rsid w:val="001558DF"/>
    <w:rsid w:val="001600F4"/>
    <w:rsid w:val="00163ADE"/>
    <w:rsid w:val="00164D00"/>
    <w:rsid w:val="00165720"/>
    <w:rsid w:val="0017616B"/>
    <w:rsid w:val="00182E92"/>
    <w:rsid w:val="00190B7E"/>
    <w:rsid w:val="0019249A"/>
    <w:rsid w:val="00193A5A"/>
    <w:rsid w:val="00195847"/>
    <w:rsid w:val="001A36BC"/>
    <w:rsid w:val="001A4AA1"/>
    <w:rsid w:val="001A78D7"/>
    <w:rsid w:val="001B0CBA"/>
    <w:rsid w:val="001B7AC7"/>
    <w:rsid w:val="001C19A6"/>
    <w:rsid w:val="001C5268"/>
    <w:rsid w:val="001C7491"/>
    <w:rsid w:val="001E417E"/>
    <w:rsid w:val="001E6C42"/>
    <w:rsid w:val="001F1FAC"/>
    <w:rsid w:val="001F6FDA"/>
    <w:rsid w:val="001F7925"/>
    <w:rsid w:val="0020134C"/>
    <w:rsid w:val="002049C2"/>
    <w:rsid w:val="00206228"/>
    <w:rsid w:val="00206FD4"/>
    <w:rsid w:val="0021188A"/>
    <w:rsid w:val="00212FFF"/>
    <w:rsid w:val="00213D23"/>
    <w:rsid w:val="00213DE9"/>
    <w:rsid w:val="002142AC"/>
    <w:rsid w:val="00215A2A"/>
    <w:rsid w:val="00215F38"/>
    <w:rsid w:val="002160F5"/>
    <w:rsid w:val="00220D64"/>
    <w:rsid w:val="00221CCB"/>
    <w:rsid w:val="00223733"/>
    <w:rsid w:val="00226B03"/>
    <w:rsid w:val="00227742"/>
    <w:rsid w:val="00232E21"/>
    <w:rsid w:val="00241877"/>
    <w:rsid w:val="002424F3"/>
    <w:rsid w:val="002546DC"/>
    <w:rsid w:val="00266D21"/>
    <w:rsid w:val="00267EE5"/>
    <w:rsid w:val="0027301B"/>
    <w:rsid w:val="00275119"/>
    <w:rsid w:val="0027738B"/>
    <w:rsid w:val="002805BD"/>
    <w:rsid w:val="002979D6"/>
    <w:rsid w:val="002B6DBC"/>
    <w:rsid w:val="002C0696"/>
    <w:rsid w:val="002C4A81"/>
    <w:rsid w:val="002C582E"/>
    <w:rsid w:val="002D080E"/>
    <w:rsid w:val="002D14F5"/>
    <w:rsid w:val="002D18D3"/>
    <w:rsid w:val="002D3F61"/>
    <w:rsid w:val="002D47D3"/>
    <w:rsid w:val="002D596C"/>
    <w:rsid w:val="002D5D27"/>
    <w:rsid w:val="002E2843"/>
    <w:rsid w:val="002E4642"/>
    <w:rsid w:val="002E5CA4"/>
    <w:rsid w:val="002E7E1F"/>
    <w:rsid w:val="002F531C"/>
    <w:rsid w:val="002F629A"/>
    <w:rsid w:val="002F6344"/>
    <w:rsid w:val="002F7279"/>
    <w:rsid w:val="002F7CE3"/>
    <w:rsid w:val="00303478"/>
    <w:rsid w:val="003155A7"/>
    <w:rsid w:val="00321382"/>
    <w:rsid w:val="003245E2"/>
    <w:rsid w:val="00326358"/>
    <w:rsid w:val="00326F94"/>
    <w:rsid w:val="0033107B"/>
    <w:rsid w:val="003322F1"/>
    <w:rsid w:val="00335B92"/>
    <w:rsid w:val="0034056F"/>
    <w:rsid w:val="0034145D"/>
    <w:rsid w:val="00346A60"/>
    <w:rsid w:val="00347026"/>
    <w:rsid w:val="0035021F"/>
    <w:rsid w:val="00357F2F"/>
    <w:rsid w:val="0037150A"/>
    <w:rsid w:val="00375069"/>
    <w:rsid w:val="003825DE"/>
    <w:rsid w:val="003841AA"/>
    <w:rsid w:val="00393036"/>
    <w:rsid w:val="00397E23"/>
    <w:rsid w:val="003A1B59"/>
    <w:rsid w:val="003A2A7A"/>
    <w:rsid w:val="003B2FE3"/>
    <w:rsid w:val="003B4B9B"/>
    <w:rsid w:val="003B4EE8"/>
    <w:rsid w:val="003C01CF"/>
    <w:rsid w:val="003C1EF8"/>
    <w:rsid w:val="003C6C4C"/>
    <w:rsid w:val="003D181B"/>
    <w:rsid w:val="003E0C55"/>
    <w:rsid w:val="003E431C"/>
    <w:rsid w:val="003E5BDD"/>
    <w:rsid w:val="003F10A1"/>
    <w:rsid w:val="003F6274"/>
    <w:rsid w:val="003F72BC"/>
    <w:rsid w:val="0040052A"/>
    <w:rsid w:val="004011C7"/>
    <w:rsid w:val="00401719"/>
    <w:rsid w:val="00415882"/>
    <w:rsid w:val="00415B90"/>
    <w:rsid w:val="00415EDD"/>
    <w:rsid w:val="00421B62"/>
    <w:rsid w:val="004221E0"/>
    <w:rsid w:val="00423F8E"/>
    <w:rsid w:val="00426314"/>
    <w:rsid w:val="00427F74"/>
    <w:rsid w:val="00432429"/>
    <w:rsid w:val="00434E7D"/>
    <w:rsid w:val="004442CF"/>
    <w:rsid w:val="00446403"/>
    <w:rsid w:val="00451C06"/>
    <w:rsid w:val="004561E5"/>
    <w:rsid w:val="004623AF"/>
    <w:rsid w:val="004627F6"/>
    <w:rsid w:val="00470795"/>
    <w:rsid w:val="00470EF0"/>
    <w:rsid w:val="00481DE4"/>
    <w:rsid w:val="00490137"/>
    <w:rsid w:val="0049045D"/>
    <w:rsid w:val="00493CF5"/>
    <w:rsid w:val="00494222"/>
    <w:rsid w:val="004955C5"/>
    <w:rsid w:val="00496689"/>
    <w:rsid w:val="004A01CD"/>
    <w:rsid w:val="004A11A1"/>
    <w:rsid w:val="004A2BA6"/>
    <w:rsid w:val="004A5101"/>
    <w:rsid w:val="004B3753"/>
    <w:rsid w:val="004B6636"/>
    <w:rsid w:val="004B6CBF"/>
    <w:rsid w:val="004C174E"/>
    <w:rsid w:val="004C1AA1"/>
    <w:rsid w:val="004C400A"/>
    <w:rsid w:val="004C6C2D"/>
    <w:rsid w:val="004D167A"/>
    <w:rsid w:val="004D18D3"/>
    <w:rsid w:val="004D4F4D"/>
    <w:rsid w:val="004E6B28"/>
    <w:rsid w:val="004E74A1"/>
    <w:rsid w:val="004F4174"/>
    <w:rsid w:val="004F5C6F"/>
    <w:rsid w:val="00506EF3"/>
    <w:rsid w:val="00511D47"/>
    <w:rsid w:val="005140DD"/>
    <w:rsid w:val="005219CC"/>
    <w:rsid w:val="005328D3"/>
    <w:rsid w:val="005331F3"/>
    <w:rsid w:val="00534B96"/>
    <w:rsid w:val="00537E05"/>
    <w:rsid w:val="00541C8F"/>
    <w:rsid w:val="0054233E"/>
    <w:rsid w:val="00543384"/>
    <w:rsid w:val="0054420E"/>
    <w:rsid w:val="005457B5"/>
    <w:rsid w:val="00545E64"/>
    <w:rsid w:val="005468E5"/>
    <w:rsid w:val="00553FB4"/>
    <w:rsid w:val="00566BDA"/>
    <w:rsid w:val="005700A5"/>
    <w:rsid w:val="005708F6"/>
    <w:rsid w:val="00572927"/>
    <w:rsid w:val="00575E13"/>
    <w:rsid w:val="0058720B"/>
    <w:rsid w:val="00590F62"/>
    <w:rsid w:val="00593C7B"/>
    <w:rsid w:val="005A26E2"/>
    <w:rsid w:val="005A4A62"/>
    <w:rsid w:val="005B4742"/>
    <w:rsid w:val="005B519B"/>
    <w:rsid w:val="005B7972"/>
    <w:rsid w:val="005B7A24"/>
    <w:rsid w:val="005C53A5"/>
    <w:rsid w:val="005C7EEA"/>
    <w:rsid w:val="005D01E1"/>
    <w:rsid w:val="005D16C5"/>
    <w:rsid w:val="005D3FDB"/>
    <w:rsid w:val="005D70D3"/>
    <w:rsid w:val="005D7265"/>
    <w:rsid w:val="005E205A"/>
    <w:rsid w:val="005E3226"/>
    <w:rsid w:val="005E604A"/>
    <w:rsid w:val="005E6734"/>
    <w:rsid w:val="005F0482"/>
    <w:rsid w:val="005F0595"/>
    <w:rsid w:val="005F06F4"/>
    <w:rsid w:val="005F2951"/>
    <w:rsid w:val="005F295E"/>
    <w:rsid w:val="005F60DF"/>
    <w:rsid w:val="00607E53"/>
    <w:rsid w:val="006175EE"/>
    <w:rsid w:val="0061787E"/>
    <w:rsid w:val="00627DE9"/>
    <w:rsid w:val="006303F1"/>
    <w:rsid w:val="00632CE3"/>
    <w:rsid w:val="006433BB"/>
    <w:rsid w:val="00643637"/>
    <w:rsid w:val="00647DC4"/>
    <w:rsid w:val="0065024D"/>
    <w:rsid w:val="0065280D"/>
    <w:rsid w:val="00656C4E"/>
    <w:rsid w:val="0066173C"/>
    <w:rsid w:val="0066302D"/>
    <w:rsid w:val="0066501E"/>
    <w:rsid w:val="00666DB3"/>
    <w:rsid w:val="00672C4F"/>
    <w:rsid w:val="006765BB"/>
    <w:rsid w:val="00680791"/>
    <w:rsid w:val="00683713"/>
    <w:rsid w:val="0068667B"/>
    <w:rsid w:val="00697347"/>
    <w:rsid w:val="006A0E24"/>
    <w:rsid w:val="006A2EC0"/>
    <w:rsid w:val="006A3545"/>
    <w:rsid w:val="006A595E"/>
    <w:rsid w:val="006A5EB6"/>
    <w:rsid w:val="006A5F26"/>
    <w:rsid w:val="006A7C7C"/>
    <w:rsid w:val="006B0269"/>
    <w:rsid w:val="006B2953"/>
    <w:rsid w:val="006B412A"/>
    <w:rsid w:val="006B5EEE"/>
    <w:rsid w:val="006C46AE"/>
    <w:rsid w:val="006C7F32"/>
    <w:rsid w:val="006D01C2"/>
    <w:rsid w:val="006D3AB7"/>
    <w:rsid w:val="006D4A50"/>
    <w:rsid w:val="006E69D5"/>
    <w:rsid w:val="006F4662"/>
    <w:rsid w:val="006F4B40"/>
    <w:rsid w:val="006F6F8E"/>
    <w:rsid w:val="006F779E"/>
    <w:rsid w:val="007027AF"/>
    <w:rsid w:val="007068D4"/>
    <w:rsid w:val="00706CBF"/>
    <w:rsid w:val="00710B71"/>
    <w:rsid w:val="0071576F"/>
    <w:rsid w:val="00720D94"/>
    <w:rsid w:val="007234A9"/>
    <w:rsid w:val="0072513C"/>
    <w:rsid w:val="00740A52"/>
    <w:rsid w:val="007425F0"/>
    <w:rsid w:val="007432EC"/>
    <w:rsid w:val="00744E9B"/>
    <w:rsid w:val="0075291E"/>
    <w:rsid w:val="00752CCC"/>
    <w:rsid w:val="0075736B"/>
    <w:rsid w:val="00757D75"/>
    <w:rsid w:val="007661F8"/>
    <w:rsid w:val="00771E67"/>
    <w:rsid w:val="00771FCC"/>
    <w:rsid w:val="00772167"/>
    <w:rsid w:val="00773904"/>
    <w:rsid w:val="007753A1"/>
    <w:rsid w:val="00783F6C"/>
    <w:rsid w:val="0079281E"/>
    <w:rsid w:val="007A03A2"/>
    <w:rsid w:val="007A0D32"/>
    <w:rsid w:val="007A6748"/>
    <w:rsid w:val="007B2A44"/>
    <w:rsid w:val="007B7097"/>
    <w:rsid w:val="007D2927"/>
    <w:rsid w:val="007D350B"/>
    <w:rsid w:val="007E027E"/>
    <w:rsid w:val="007E3F90"/>
    <w:rsid w:val="007F0CD5"/>
    <w:rsid w:val="007F4D46"/>
    <w:rsid w:val="00801A92"/>
    <w:rsid w:val="00802E6B"/>
    <w:rsid w:val="00810263"/>
    <w:rsid w:val="00813561"/>
    <w:rsid w:val="008166DD"/>
    <w:rsid w:val="00816971"/>
    <w:rsid w:val="00816B1F"/>
    <w:rsid w:val="00821D21"/>
    <w:rsid w:val="0082214C"/>
    <w:rsid w:val="0082286C"/>
    <w:rsid w:val="00824CD5"/>
    <w:rsid w:val="00826F18"/>
    <w:rsid w:val="008322D4"/>
    <w:rsid w:val="00833AC0"/>
    <w:rsid w:val="008400F3"/>
    <w:rsid w:val="008413A6"/>
    <w:rsid w:val="00842B43"/>
    <w:rsid w:val="008430B5"/>
    <w:rsid w:val="00844433"/>
    <w:rsid w:val="00844901"/>
    <w:rsid w:val="00846D27"/>
    <w:rsid w:val="00865562"/>
    <w:rsid w:val="00865568"/>
    <w:rsid w:val="0087144B"/>
    <w:rsid w:val="00875753"/>
    <w:rsid w:val="0088364E"/>
    <w:rsid w:val="008838A5"/>
    <w:rsid w:val="00884781"/>
    <w:rsid w:val="00890FF0"/>
    <w:rsid w:val="008B08A1"/>
    <w:rsid w:val="008B6E8D"/>
    <w:rsid w:val="008C27D4"/>
    <w:rsid w:val="008C352E"/>
    <w:rsid w:val="008C3AEA"/>
    <w:rsid w:val="008C5533"/>
    <w:rsid w:val="008D163F"/>
    <w:rsid w:val="008D26EA"/>
    <w:rsid w:val="008D368D"/>
    <w:rsid w:val="008D3F98"/>
    <w:rsid w:val="008E4614"/>
    <w:rsid w:val="008E7DF3"/>
    <w:rsid w:val="008F2E96"/>
    <w:rsid w:val="008F3E1E"/>
    <w:rsid w:val="008F4EC4"/>
    <w:rsid w:val="008F5DBD"/>
    <w:rsid w:val="009013C0"/>
    <w:rsid w:val="00902CC5"/>
    <w:rsid w:val="00906181"/>
    <w:rsid w:val="00914EF7"/>
    <w:rsid w:val="00921DDE"/>
    <w:rsid w:val="0093374F"/>
    <w:rsid w:val="00934494"/>
    <w:rsid w:val="00937A9D"/>
    <w:rsid w:val="00945160"/>
    <w:rsid w:val="00945AEA"/>
    <w:rsid w:val="009573D9"/>
    <w:rsid w:val="009649CA"/>
    <w:rsid w:val="00965C2C"/>
    <w:rsid w:val="0096663C"/>
    <w:rsid w:val="00971A42"/>
    <w:rsid w:val="00977669"/>
    <w:rsid w:val="00993B79"/>
    <w:rsid w:val="00994619"/>
    <w:rsid w:val="0099775C"/>
    <w:rsid w:val="009A21E2"/>
    <w:rsid w:val="009A649A"/>
    <w:rsid w:val="009A7234"/>
    <w:rsid w:val="009A75BE"/>
    <w:rsid w:val="009B79C9"/>
    <w:rsid w:val="009C0E2B"/>
    <w:rsid w:val="009C1554"/>
    <w:rsid w:val="009C17B5"/>
    <w:rsid w:val="009C3C2C"/>
    <w:rsid w:val="009C4AA0"/>
    <w:rsid w:val="009D70A1"/>
    <w:rsid w:val="009E1BCF"/>
    <w:rsid w:val="009F4562"/>
    <w:rsid w:val="00A00795"/>
    <w:rsid w:val="00A014CA"/>
    <w:rsid w:val="00A106AD"/>
    <w:rsid w:val="00A14B81"/>
    <w:rsid w:val="00A22156"/>
    <w:rsid w:val="00A27777"/>
    <w:rsid w:val="00A31AC8"/>
    <w:rsid w:val="00A349B1"/>
    <w:rsid w:val="00A402A1"/>
    <w:rsid w:val="00A4590A"/>
    <w:rsid w:val="00A531D6"/>
    <w:rsid w:val="00A578CE"/>
    <w:rsid w:val="00A60EF3"/>
    <w:rsid w:val="00A65960"/>
    <w:rsid w:val="00A725B4"/>
    <w:rsid w:val="00A74B9B"/>
    <w:rsid w:val="00A74D9A"/>
    <w:rsid w:val="00A75150"/>
    <w:rsid w:val="00A7645D"/>
    <w:rsid w:val="00A779DA"/>
    <w:rsid w:val="00A86005"/>
    <w:rsid w:val="00A8726F"/>
    <w:rsid w:val="00A90BA4"/>
    <w:rsid w:val="00A915D4"/>
    <w:rsid w:val="00A92E57"/>
    <w:rsid w:val="00A93EAC"/>
    <w:rsid w:val="00AA34E0"/>
    <w:rsid w:val="00AA7723"/>
    <w:rsid w:val="00AB53CB"/>
    <w:rsid w:val="00AC242B"/>
    <w:rsid w:val="00AC3802"/>
    <w:rsid w:val="00AC3B9A"/>
    <w:rsid w:val="00AC3D5B"/>
    <w:rsid w:val="00AC52B3"/>
    <w:rsid w:val="00AC701B"/>
    <w:rsid w:val="00AD189C"/>
    <w:rsid w:val="00AD28A4"/>
    <w:rsid w:val="00AD2A00"/>
    <w:rsid w:val="00AD7135"/>
    <w:rsid w:val="00AE259F"/>
    <w:rsid w:val="00AF1111"/>
    <w:rsid w:val="00B00DC1"/>
    <w:rsid w:val="00B026AA"/>
    <w:rsid w:val="00B03382"/>
    <w:rsid w:val="00B1228F"/>
    <w:rsid w:val="00B14D6A"/>
    <w:rsid w:val="00B154CA"/>
    <w:rsid w:val="00B210EC"/>
    <w:rsid w:val="00B218F7"/>
    <w:rsid w:val="00B243C2"/>
    <w:rsid w:val="00B2578A"/>
    <w:rsid w:val="00B258B7"/>
    <w:rsid w:val="00B31972"/>
    <w:rsid w:val="00B33B12"/>
    <w:rsid w:val="00B36F92"/>
    <w:rsid w:val="00B4184F"/>
    <w:rsid w:val="00B43A4A"/>
    <w:rsid w:val="00B4511E"/>
    <w:rsid w:val="00B51ED1"/>
    <w:rsid w:val="00B53D77"/>
    <w:rsid w:val="00B558D4"/>
    <w:rsid w:val="00B63995"/>
    <w:rsid w:val="00B63E0F"/>
    <w:rsid w:val="00B6751E"/>
    <w:rsid w:val="00B6789F"/>
    <w:rsid w:val="00B67C46"/>
    <w:rsid w:val="00B70212"/>
    <w:rsid w:val="00B753BC"/>
    <w:rsid w:val="00B84ED3"/>
    <w:rsid w:val="00B94A65"/>
    <w:rsid w:val="00B95753"/>
    <w:rsid w:val="00BA4B48"/>
    <w:rsid w:val="00BA5165"/>
    <w:rsid w:val="00BA5FD3"/>
    <w:rsid w:val="00BB0812"/>
    <w:rsid w:val="00BB0909"/>
    <w:rsid w:val="00BC340D"/>
    <w:rsid w:val="00BC73D9"/>
    <w:rsid w:val="00BD70F8"/>
    <w:rsid w:val="00BE2B1C"/>
    <w:rsid w:val="00BE4A1E"/>
    <w:rsid w:val="00BE5648"/>
    <w:rsid w:val="00BF1AC7"/>
    <w:rsid w:val="00BF2927"/>
    <w:rsid w:val="00BF67F4"/>
    <w:rsid w:val="00C0132E"/>
    <w:rsid w:val="00C12049"/>
    <w:rsid w:val="00C15BFD"/>
    <w:rsid w:val="00C21B3E"/>
    <w:rsid w:val="00C346B8"/>
    <w:rsid w:val="00C40172"/>
    <w:rsid w:val="00C42939"/>
    <w:rsid w:val="00C4655C"/>
    <w:rsid w:val="00C4709F"/>
    <w:rsid w:val="00C5082C"/>
    <w:rsid w:val="00C50E1E"/>
    <w:rsid w:val="00C56DB6"/>
    <w:rsid w:val="00C60530"/>
    <w:rsid w:val="00C63715"/>
    <w:rsid w:val="00C64079"/>
    <w:rsid w:val="00C665AB"/>
    <w:rsid w:val="00C74713"/>
    <w:rsid w:val="00C7555F"/>
    <w:rsid w:val="00C809C0"/>
    <w:rsid w:val="00C81E23"/>
    <w:rsid w:val="00C83F49"/>
    <w:rsid w:val="00C84695"/>
    <w:rsid w:val="00C85636"/>
    <w:rsid w:val="00C863B2"/>
    <w:rsid w:val="00C94089"/>
    <w:rsid w:val="00C96544"/>
    <w:rsid w:val="00CA2AB7"/>
    <w:rsid w:val="00CA2BE7"/>
    <w:rsid w:val="00CA3B15"/>
    <w:rsid w:val="00CA582E"/>
    <w:rsid w:val="00CA627C"/>
    <w:rsid w:val="00CA73A6"/>
    <w:rsid w:val="00CA7C52"/>
    <w:rsid w:val="00CC131C"/>
    <w:rsid w:val="00CD1FD1"/>
    <w:rsid w:val="00CD6F49"/>
    <w:rsid w:val="00CD7707"/>
    <w:rsid w:val="00CF319F"/>
    <w:rsid w:val="00CF358B"/>
    <w:rsid w:val="00CF4314"/>
    <w:rsid w:val="00CF7655"/>
    <w:rsid w:val="00D16260"/>
    <w:rsid w:val="00D16281"/>
    <w:rsid w:val="00D2306A"/>
    <w:rsid w:val="00D26233"/>
    <w:rsid w:val="00D3348E"/>
    <w:rsid w:val="00D40DC1"/>
    <w:rsid w:val="00D41ED0"/>
    <w:rsid w:val="00D434B4"/>
    <w:rsid w:val="00D438A2"/>
    <w:rsid w:val="00D43CFF"/>
    <w:rsid w:val="00D44DBC"/>
    <w:rsid w:val="00D45885"/>
    <w:rsid w:val="00D478DC"/>
    <w:rsid w:val="00D5116C"/>
    <w:rsid w:val="00D55544"/>
    <w:rsid w:val="00D64CC9"/>
    <w:rsid w:val="00D65290"/>
    <w:rsid w:val="00D6551E"/>
    <w:rsid w:val="00D759AC"/>
    <w:rsid w:val="00D77183"/>
    <w:rsid w:val="00D779CF"/>
    <w:rsid w:val="00D80BB6"/>
    <w:rsid w:val="00D81160"/>
    <w:rsid w:val="00D821A6"/>
    <w:rsid w:val="00D8222C"/>
    <w:rsid w:val="00D846D1"/>
    <w:rsid w:val="00D86BBF"/>
    <w:rsid w:val="00D911C6"/>
    <w:rsid w:val="00D9754E"/>
    <w:rsid w:val="00DA1FA1"/>
    <w:rsid w:val="00DA2260"/>
    <w:rsid w:val="00DA2B03"/>
    <w:rsid w:val="00DA7995"/>
    <w:rsid w:val="00DB0657"/>
    <w:rsid w:val="00DB0D4E"/>
    <w:rsid w:val="00DB469E"/>
    <w:rsid w:val="00DC3E66"/>
    <w:rsid w:val="00DD284F"/>
    <w:rsid w:val="00DD4BD9"/>
    <w:rsid w:val="00DD5872"/>
    <w:rsid w:val="00DE1EC1"/>
    <w:rsid w:val="00DE259E"/>
    <w:rsid w:val="00DF2DB9"/>
    <w:rsid w:val="00DF47A7"/>
    <w:rsid w:val="00DF6023"/>
    <w:rsid w:val="00DF6969"/>
    <w:rsid w:val="00E0723C"/>
    <w:rsid w:val="00E10533"/>
    <w:rsid w:val="00E12383"/>
    <w:rsid w:val="00E12A2A"/>
    <w:rsid w:val="00E12C01"/>
    <w:rsid w:val="00E2264E"/>
    <w:rsid w:val="00E27750"/>
    <w:rsid w:val="00E34B19"/>
    <w:rsid w:val="00E36DC2"/>
    <w:rsid w:val="00E467C4"/>
    <w:rsid w:val="00E501C6"/>
    <w:rsid w:val="00E50303"/>
    <w:rsid w:val="00E509EF"/>
    <w:rsid w:val="00E51EC6"/>
    <w:rsid w:val="00E53085"/>
    <w:rsid w:val="00E540CF"/>
    <w:rsid w:val="00E57789"/>
    <w:rsid w:val="00E635DB"/>
    <w:rsid w:val="00E63F83"/>
    <w:rsid w:val="00E648AD"/>
    <w:rsid w:val="00E85C07"/>
    <w:rsid w:val="00E85DB9"/>
    <w:rsid w:val="00E95ED1"/>
    <w:rsid w:val="00EA0645"/>
    <w:rsid w:val="00EA48ED"/>
    <w:rsid w:val="00EB62E0"/>
    <w:rsid w:val="00EC095F"/>
    <w:rsid w:val="00EC2DE7"/>
    <w:rsid w:val="00ED4CD0"/>
    <w:rsid w:val="00ED50E4"/>
    <w:rsid w:val="00ED7DB5"/>
    <w:rsid w:val="00EE0CA7"/>
    <w:rsid w:val="00EE1562"/>
    <w:rsid w:val="00EF0D75"/>
    <w:rsid w:val="00EF46B2"/>
    <w:rsid w:val="00EF728B"/>
    <w:rsid w:val="00F20AC4"/>
    <w:rsid w:val="00F22C89"/>
    <w:rsid w:val="00F24DFE"/>
    <w:rsid w:val="00F2762A"/>
    <w:rsid w:val="00F36E1E"/>
    <w:rsid w:val="00F36EC0"/>
    <w:rsid w:val="00F43F47"/>
    <w:rsid w:val="00F50EC9"/>
    <w:rsid w:val="00F52363"/>
    <w:rsid w:val="00F52B42"/>
    <w:rsid w:val="00F553E6"/>
    <w:rsid w:val="00F55F18"/>
    <w:rsid w:val="00F71F0E"/>
    <w:rsid w:val="00F72C58"/>
    <w:rsid w:val="00F838F3"/>
    <w:rsid w:val="00F8507A"/>
    <w:rsid w:val="00F863D4"/>
    <w:rsid w:val="00F928EF"/>
    <w:rsid w:val="00FA0DB7"/>
    <w:rsid w:val="00FA28B1"/>
    <w:rsid w:val="00FA37E0"/>
    <w:rsid w:val="00FB111E"/>
    <w:rsid w:val="00FB1604"/>
    <w:rsid w:val="00FB1E69"/>
    <w:rsid w:val="00FC072C"/>
    <w:rsid w:val="00FC16BD"/>
    <w:rsid w:val="00FC29E1"/>
    <w:rsid w:val="00FC5332"/>
    <w:rsid w:val="00FC5B6B"/>
    <w:rsid w:val="00FC6E52"/>
    <w:rsid w:val="00FD0E9A"/>
    <w:rsid w:val="00FD1FB0"/>
    <w:rsid w:val="00FD403F"/>
    <w:rsid w:val="00FE2B23"/>
    <w:rsid w:val="00FE5ED7"/>
    <w:rsid w:val="00FE77C9"/>
    <w:rsid w:val="00FF189F"/>
    <w:rsid w:val="00FF54A1"/>
    <w:rsid w:val="00FF7B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3EB44"/>
  <w15:docId w15:val="{5DEBF48D-DAA0-4C87-B342-6F516A2E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7C"/>
    <w:pPr>
      <w:overflowPunct w:val="0"/>
      <w:spacing w:before="240" w:after="60"/>
    </w:pPr>
    <w:rPr>
      <w:rFonts w:ascii="Arial" w:hAnsi="Arial"/>
      <w:szCs w:val="24"/>
      <w:lang w:val="en-US"/>
    </w:rPr>
  </w:style>
  <w:style w:type="paragraph" w:styleId="Heading1">
    <w:name w:val="heading 1"/>
    <w:basedOn w:val="Normal"/>
    <w:next w:val="ECCParagraph"/>
    <w:uiPriority w:val="9"/>
    <w:qFormat/>
    <w:pPr>
      <w:keepNext/>
      <w:pageBreakBefore/>
      <w:spacing w:before="400" w:after="240"/>
      <w:jc w:val="both"/>
      <w:outlineLvl w:val="0"/>
    </w:pPr>
    <w:rPr>
      <w:rFonts w:cs="Arial"/>
      <w:b/>
      <w:bCs/>
      <w:caps/>
      <w:color w:val="D2232A"/>
      <w:kern w:val="2"/>
      <w:szCs w:val="32"/>
      <w:lang w:val="en-GB"/>
    </w:rPr>
  </w:style>
  <w:style w:type="paragraph" w:styleId="Heading2">
    <w:name w:val="heading 2"/>
    <w:basedOn w:val="Normal"/>
    <w:next w:val="ECCParagraph"/>
    <w:uiPriority w:val="9"/>
    <w:unhideWhenUsed/>
    <w:qFormat/>
    <w:pPr>
      <w:keepNext/>
      <w:numPr>
        <w:ilvl w:val="1"/>
        <w:numId w:val="1"/>
      </w:numPr>
      <w:spacing w:before="480" w:after="240"/>
      <w:outlineLvl w:val="1"/>
    </w:pPr>
    <w:rPr>
      <w:rFonts w:cs="Arial"/>
      <w:b/>
      <w:bCs/>
      <w:iCs/>
      <w:caps/>
      <w:szCs w:val="28"/>
    </w:rPr>
  </w:style>
  <w:style w:type="paragraph" w:styleId="Heading3">
    <w:name w:val="heading 3"/>
    <w:basedOn w:val="Normal"/>
    <w:next w:val="ECCParagraph"/>
    <w:uiPriority w:val="9"/>
    <w:unhideWhenUsed/>
    <w:qFormat/>
    <w:pPr>
      <w:keepNext/>
      <w:numPr>
        <w:ilvl w:val="2"/>
        <w:numId w:val="1"/>
      </w:numPr>
      <w:spacing w:before="360" w:after="120"/>
      <w:outlineLvl w:val="2"/>
    </w:pPr>
    <w:rPr>
      <w:rFonts w:cs="Arial"/>
      <w:b/>
      <w:bCs/>
      <w:szCs w:val="26"/>
    </w:rPr>
  </w:style>
  <w:style w:type="paragraph" w:styleId="Heading4">
    <w:name w:val="heading 4"/>
    <w:basedOn w:val="Normal"/>
    <w:next w:val="ECCParagraph"/>
    <w:uiPriority w:val="9"/>
    <w:unhideWhenUsed/>
    <w:qFormat/>
    <w:pPr>
      <w:numPr>
        <w:ilvl w:val="3"/>
        <w:numId w:val="1"/>
      </w:numPr>
      <w:spacing w:before="360" w:after="120"/>
      <w:outlineLvl w:val="3"/>
    </w:pPr>
    <w:rPr>
      <w:rFonts w:cs="Arial"/>
      <w:bCs/>
      <w:i/>
      <w:color w:val="D2232A"/>
      <w:szCs w:val="26"/>
    </w:rPr>
  </w:style>
  <w:style w:type="paragraph" w:styleId="Heading5">
    <w:name w:val="heading 5"/>
    <w:basedOn w:val="Normal"/>
    <w:next w:val="Normal"/>
    <w:uiPriority w:val="9"/>
    <w:semiHidden/>
    <w:unhideWhenUsed/>
    <w:qFormat/>
    <w:pPr>
      <w:numPr>
        <w:ilvl w:val="4"/>
        <w:numId w:val="1"/>
      </w:numPr>
      <w:outlineLvl w:val="4"/>
    </w:pPr>
    <w:rPr>
      <w:b/>
      <w:bCs/>
      <w:i/>
      <w:iCs/>
      <w:sz w:val="26"/>
      <w:szCs w:val="26"/>
    </w:rPr>
  </w:style>
  <w:style w:type="paragraph" w:styleId="Heading6">
    <w:name w:val="heading 6"/>
    <w:basedOn w:val="Normal"/>
    <w:next w:val="Normal"/>
    <w:uiPriority w:val="9"/>
    <w:semiHidden/>
    <w:unhideWhenUsed/>
    <w:qFormat/>
    <w:pPr>
      <w:numPr>
        <w:ilvl w:val="5"/>
        <w:numId w:val="1"/>
      </w:numPr>
      <w:outlineLvl w:val="5"/>
    </w:pPr>
    <w:rPr>
      <w:b/>
      <w:bCs/>
      <w:sz w:val="22"/>
      <w:szCs w:val="22"/>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i/>
      <w:iCs/>
      <w:sz w:val="24"/>
    </w:rPr>
  </w:style>
  <w:style w:type="paragraph" w:styleId="Heading9">
    <w:name w:val="heading 9"/>
    <w:basedOn w:val="Normal"/>
    <w:next w:val="Normal"/>
    <w:qFormat/>
    <w:pPr>
      <w:numPr>
        <w:ilvl w:val="8"/>
        <w:numId w:val="1"/>
      </w:numPr>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otnoteReference">
    <w:name w:val="footnote reference"/>
    <w:rPr>
      <w:rFonts w:ascii="Arial" w:hAnsi="Arial"/>
      <w:color w:val="D2232A"/>
      <w:vertAlign w:val="superscript"/>
    </w:rPr>
  </w:style>
  <w:style w:type="character" w:customStyle="1" w:styleId="BalloonTextChar">
    <w:name w:val="Balloon Text Char"/>
    <w:basedOn w:val="DefaultParagraphFont"/>
    <w:link w:val="BalloonText"/>
    <w:qFormat/>
    <w:rPr>
      <w:rFonts w:ascii="Lucida Grande" w:hAnsi="Lucida Grande" w:cs="Lucida Grande"/>
      <w:sz w:val="18"/>
      <w:szCs w:val="18"/>
      <w:lang w:val="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rPr>
      <w:rFonts w:ascii="Arial" w:hAnsi="Arial"/>
      <w:lang w:val="en-US"/>
    </w:rPr>
  </w:style>
  <w:style w:type="character" w:customStyle="1" w:styleId="CommentSubjectChar">
    <w:name w:val="Comment Subject Char"/>
    <w:basedOn w:val="CommentTextChar"/>
    <w:link w:val="CommentSubject"/>
    <w:qFormat/>
    <w:rPr>
      <w:rFonts w:ascii="Arial" w:hAnsi="Arial"/>
      <w:b/>
      <w:bCs/>
      <w:lang w:val="en-US"/>
    </w:rPr>
  </w:style>
  <w:style w:type="character" w:customStyle="1" w:styleId="CaptionChar">
    <w:name w:val="Caption Char"/>
    <w:link w:val="Caption"/>
    <w:qFormat/>
    <w:rPr>
      <w:rFonts w:ascii="Arial" w:hAnsi="Arial"/>
      <w:b/>
      <w:bCs/>
      <w:color w:val="D2232A"/>
      <w:lang w:val="en-US"/>
    </w:rPr>
  </w:style>
  <w:style w:type="character" w:customStyle="1" w:styleId="Mentionnonrsolue1">
    <w:name w:val="Mention non résolue1"/>
    <w:basedOn w:val="DefaultParagraphFont"/>
    <w:qFormat/>
    <w:rPr>
      <w:color w:val="605E5C"/>
      <w:shd w:val="clear" w:color="auto" w:fill="E1DFDD"/>
    </w:rPr>
  </w:style>
  <w:style w:type="character" w:customStyle="1" w:styleId="FootnoteTextChar">
    <w:name w:val="Footnote Text Char"/>
    <w:basedOn w:val="DefaultParagraphFont"/>
    <w:link w:val="FootnoteText"/>
    <w:qFormat/>
    <w:rsid w:val="00163ADE"/>
    <w:rPr>
      <w:rFonts w:ascii="Arial" w:hAnsi="Arial"/>
      <w:sz w:val="16"/>
      <w:lang w:val="en-US"/>
    </w:rPr>
  </w:style>
  <w:style w:type="character" w:styleId="UnresolvedMention">
    <w:name w:val="Unresolved Mention"/>
    <w:basedOn w:val="DefaultParagraphFont"/>
    <w:qFormat/>
    <w:rPr>
      <w:color w:val="605E5C"/>
      <w:shd w:val="clear" w:color="auto" w:fill="E1DFDD"/>
    </w:rPr>
  </w:style>
  <w:style w:type="character" w:styleId="LineNumber">
    <w:name w:val="line number"/>
  </w:style>
  <w:style w:type="character" w:styleId="EndnoteReference">
    <w:name w:val="endnote reference"/>
    <w:rPr>
      <w:vertAlign w:val="superscript"/>
    </w:rPr>
  </w:style>
  <w:style w:type="character" w:styleId="PlaceholderText">
    <w:name w:val="Placeholder Text"/>
    <w:basedOn w:val="DefaultParagraphFont"/>
    <w:qFormat/>
    <w:rPr>
      <w:color w:val="808080"/>
    </w:rPr>
  </w:style>
  <w:style w:type="paragraph" w:customStyle="1" w:styleId="berschrift">
    <w:name w:val="Überschrift"/>
    <w:basedOn w:val="Normal"/>
    <w:next w:val="BodyText"/>
    <w:qFormat/>
    <w:pPr>
      <w:keepNext/>
      <w:spacing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link w:val="CaptionChar"/>
    <w:qFormat/>
    <w:pPr>
      <w:spacing w:after="240"/>
      <w:jc w:val="center"/>
    </w:pPr>
    <w:rPr>
      <w:b/>
      <w:bCs/>
      <w:color w:val="D2232A"/>
      <w:szCs w:val="20"/>
    </w:rPr>
  </w:style>
  <w:style w:type="paragraph" w:customStyle="1" w:styleId="Verzeichnis">
    <w:name w:val="Verzeichnis"/>
    <w:basedOn w:val="Normal"/>
    <w:qFormat/>
    <w:pPr>
      <w:suppressLineNumbers/>
    </w:pPr>
    <w:rPr>
      <w:rFonts w:cs="Arial Unicode MS"/>
    </w:rPr>
  </w:style>
  <w:style w:type="paragraph" w:customStyle="1" w:styleId="ECCParagraph">
    <w:name w:val="ECC Paragraph"/>
    <w:basedOn w:val="Normal"/>
    <w:qFormat/>
    <w:pPr>
      <w:spacing w:after="240"/>
      <w:jc w:val="both"/>
    </w:pPr>
    <w:rPr>
      <w:lang w:val="en-GB"/>
    </w:rPr>
  </w:style>
  <w:style w:type="paragraph" w:customStyle="1" w:styleId="ECCParBulleted">
    <w:name w:val="ECC Par Bulleted"/>
    <w:basedOn w:val="ECCParagraph"/>
    <w:qFormat/>
    <w:pPr>
      <w:numPr>
        <w:numId w:val="2"/>
      </w:numPr>
      <w:spacing w:after="0"/>
      <w:ind w:left="357" w:hanging="357"/>
    </w:pPr>
  </w:style>
  <w:style w:type="paragraph" w:customStyle="1" w:styleId="Kopf-undFuzeile">
    <w:name w:val="Kopf- und Fußzeile"/>
    <w:basedOn w:val="Normal"/>
    <w:qFormat/>
  </w:style>
  <w:style w:type="paragraph" w:styleId="Header">
    <w:name w:val="header"/>
    <w:basedOn w:val="Normal"/>
    <w:pPr>
      <w:tabs>
        <w:tab w:val="center" w:pos="4320"/>
        <w:tab w:val="right" w:pos="8640"/>
      </w:tabs>
    </w:pPr>
    <w:rPr>
      <w:b/>
      <w:sz w:val="16"/>
    </w:rPr>
  </w:style>
  <w:style w:type="paragraph" w:styleId="Footer">
    <w:name w:val="footer"/>
    <w:basedOn w:val="Normal"/>
    <w:pPr>
      <w:tabs>
        <w:tab w:val="center" w:pos="4320"/>
        <w:tab w:val="right" w:pos="8640"/>
      </w:tabs>
    </w:pPr>
  </w:style>
  <w:style w:type="paragraph" w:customStyle="1" w:styleId="ECCAnnex-heading1">
    <w:name w:val="ECC Annex - heading1"/>
    <w:basedOn w:val="Heading1"/>
    <w:next w:val="ECCParagraph"/>
    <w:qFormat/>
  </w:style>
  <w:style w:type="paragraph" w:styleId="TOC1">
    <w:name w:val="toc 1"/>
    <w:basedOn w:val="Normal"/>
    <w:next w:val="Normal"/>
    <w:autoRedefine/>
    <w:pPr>
      <w:tabs>
        <w:tab w:val="left" w:pos="360"/>
        <w:tab w:val="right" w:leader="dot" w:pos="9629"/>
      </w:tabs>
    </w:pPr>
    <w:rPr>
      <w:b/>
      <w:caps/>
    </w:rPr>
  </w:style>
  <w:style w:type="paragraph" w:styleId="TOC2">
    <w:name w:val="toc 2"/>
    <w:basedOn w:val="Normal"/>
    <w:next w:val="Normal"/>
    <w:autoRedefine/>
    <w:pPr>
      <w:tabs>
        <w:tab w:val="left" w:pos="900"/>
        <w:tab w:val="right" w:leader="dot" w:pos="9629"/>
      </w:tabs>
      <w:ind w:left="360"/>
    </w:pPr>
  </w:style>
  <w:style w:type="paragraph" w:styleId="TOC3">
    <w:name w:val="toc 3"/>
    <w:basedOn w:val="Normal"/>
    <w:next w:val="Normal"/>
    <w:autoRedefine/>
    <w:pPr>
      <w:tabs>
        <w:tab w:val="left" w:pos="1440"/>
        <w:tab w:val="right" w:leader="dot" w:pos="9629"/>
      </w:tabs>
      <w:ind w:left="900"/>
    </w:pPr>
  </w:style>
  <w:style w:type="paragraph" w:styleId="TOC4">
    <w:name w:val="toc 4"/>
    <w:basedOn w:val="Normal"/>
    <w:next w:val="Normal"/>
    <w:autoRedefine/>
    <w:pPr>
      <w:tabs>
        <w:tab w:val="left" w:pos="2340"/>
        <w:tab w:val="right" w:leader="dot" w:pos="9629"/>
      </w:tabs>
      <w:ind w:left="1440"/>
    </w:pPr>
    <w:rPr>
      <w:i/>
    </w:rPr>
  </w:style>
  <w:style w:type="paragraph" w:customStyle="1" w:styleId="ECCFiguretitle">
    <w:name w:val="ECC Figure title"/>
    <w:basedOn w:val="ECCParagraph"/>
    <w:next w:val="ECCParagraph"/>
    <w:qFormat/>
    <w:pPr>
      <w:numPr>
        <w:numId w:val="4"/>
      </w:numPr>
      <w:spacing w:after="480"/>
      <w:jc w:val="center"/>
    </w:pPr>
    <w:rPr>
      <w:b/>
      <w:color w:val="D2232A"/>
    </w:rPr>
  </w:style>
  <w:style w:type="paragraph" w:customStyle="1" w:styleId="ECCTabletitle">
    <w:name w:val="ECC Table title"/>
    <w:basedOn w:val="ECCFiguretitle"/>
    <w:next w:val="ECCParagraph"/>
    <w:autoRedefine/>
    <w:qFormat/>
    <w:pPr>
      <w:numPr>
        <w:numId w:val="3"/>
      </w:numPr>
      <w:spacing w:before="360" w:after="240"/>
    </w:pPr>
  </w:style>
  <w:style w:type="paragraph" w:customStyle="1" w:styleId="ECCFootnote">
    <w:name w:val="ECC Footnote"/>
    <w:basedOn w:val="Normal"/>
    <w:autoRedefine/>
    <w:qFormat/>
    <w:pPr>
      <w:ind w:left="454" w:hanging="454"/>
    </w:pPr>
    <w:rPr>
      <w:sz w:val="16"/>
    </w:rPr>
  </w:style>
  <w:style w:type="paragraph" w:styleId="FootnoteText">
    <w:name w:val="footnote text"/>
    <w:basedOn w:val="Normal"/>
    <w:link w:val="FootnoteTextChar"/>
    <w:rsid w:val="00163ADE"/>
    <w:pPr>
      <w:spacing w:before="0" w:after="0"/>
    </w:pPr>
    <w:rPr>
      <w:sz w:val="16"/>
      <w:szCs w:val="20"/>
    </w:rPr>
  </w:style>
  <w:style w:type="paragraph" w:customStyle="1" w:styleId="Text">
    <w:name w:val="Text"/>
    <w:basedOn w:val="Normal"/>
    <w:qFormat/>
    <w:pPr>
      <w:widowControl w:val="0"/>
      <w:spacing w:line="252" w:lineRule="auto"/>
      <w:ind w:firstLine="202"/>
      <w:jc w:val="both"/>
    </w:pPr>
    <w:rPr>
      <w:szCs w:val="20"/>
    </w:rPr>
  </w:style>
  <w:style w:type="paragraph" w:customStyle="1" w:styleId="ECCTablenote">
    <w:name w:val="ECC Table note"/>
    <w:basedOn w:val="ECCParagraph"/>
    <w:next w:val="ECCParagraph"/>
    <w:autoRedefine/>
    <w:qFormat/>
    <w:pPr>
      <w:spacing w:before="60" w:after="0"/>
      <w:ind w:left="567" w:hanging="567"/>
    </w:pPr>
    <w:rPr>
      <w:sz w:val="16"/>
      <w:szCs w:val="16"/>
    </w:rPr>
  </w:style>
  <w:style w:type="paragraph" w:customStyle="1" w:styleId="reference">
    <w:name w:val="reference"/>
    <w:basedOn w:val="Normal"/>
    <w:qFormat/>
    <w:pPr>
      <w:numPr>
        <w:numId w:val="5"/>
      </w:numPr>
    </w:pPr>
    <w:rPr>
      <w:lang w:eastAsia="ja-JP"/>
    </w:rPr>
  </w:style>
  <w:style w:type="paragraph" w:customStyle="1" w:styleId="ECCAnnexheading2">
    <w:name w:val="ECC Annex heading2"/>
    <w:basedOn w:val="Normal"/>
    <w:next w:val="ECCParagraph"/>
    <w:qFormat/>
    <w:pPr>
      <w:numPr>
        <w:ilvl w:val="1"/>
        <w:numId w:val="6"/>
      </w:numPr>
      <w:spacing w:before="480" w:after="240"/>
      <w:textAlignment w:val="baseline"/>
    </w:pPr>
    <w:rPr>
      <w:b/>
      <w:caps/>
    </w:rPr>
  </w:style>
  <w:style w:type="paragraph" w:customStyle="1" w:styleId="ECCAnnexheading3">
    <w:name w:val="ECC Annex heading3"/>
    <w:basedOn w:val="Normal"/>
    <w:next w:val="ECCParagraph"/>
    <w:qFormat/>
    <w:pPr>
      <w:numPr>
        <w:ilvl w:val="2"/>
        <w:numId w:val="6"/>
      </w:numPr>
      <w:spacing w:before="360" w:after="120"/>
      <w:textAlignment w:val="baseline"/>
    </w:pPr>
    <w:rPr>
      <w:b/>
    </w:rPr>
  </w:style>
  <w:style w:type="paragraph" w:customStyle="1" w:styleId="ECCAnnexheading4">
    <w:name w:val="ECC Annex heading4"/>
    <w:basedOn w:val="Normal"/>
    <w:next w:val="ECCParagraph"/>
    <w:qFormat/>
    <w:pPr>
      <w:numPr>
        <w:ilvl w:val="3"/>
        <w:numId w:val="6"/>
      </w:numPr>
      <w:spacing w:before="360" w:after="120"/>
      <w:textAlignment w:val="baseline"/>
    </w:pPr>
    <w:rPr>
      <w:i/>
      <w:color w:val="D2232A"/>
    </w:rPr>
  </w:style>
  <w:style w:type="paragraph" w:customStyle="1" w:styleId="Lastupdated">
    <w:name w:val="Last updated"/>
    <w:basedOn w:val="Normal"/>
    <w:qFormat/>
    <w:pPr>
      <w:spacing w:before="120" w:after="120"/>
      <w:ind w:left="3402"/>
    </w:pPr>
    <w:rPr>
      <w:bCs/>
      <w:sz w:val="18"/>
    </w:rPr>
  </w:style>
  <w:style w:type="paragraph" w:customStyle="1" w:styleId="Reporttitledescription">
    <w:name w:val="Report title/description"/>
    <w:basedOn w:val="Normal"/>
    <w:qFormat/>
    <w:pPr>
      <w:spacing w:before="600" w:line="288" w:lineRule="auto"/>
      <w:ind w:left="3402"/>
    </w:pPr>
    <w:rPr>
      <w:sz w:val="24"/>
    </w:rPr>
  </w:style>
  <w:style w:type="paragraph" w:customStyle="1" w:styleId="LetteredList">
    <w:name w:val="Lettered List"/>
    <w:basedOn w:val="Normal"/>
    <w:qFormat/>
    <w:pPr>
      <w:numPr>
        <w:numId w:val="7"/>
      </w:numPr>
      <w:spacing w:after="120"/>
      <w:jc w:val="both"/>
    </w:pPr>
  </w:style>
  <w:style w:type="paragraph" w:styleId="BalloonText">
    <w:name w:val="Balloon Text"/>
    <w:basedOn w:val="Normal"/>
    <w:link w:val="BalloonTextChar"/>
    <w:qFormat/>
    <w:rPr>
      <w:rFonts w:ascii="Lucida Grande" w:hAnsi="Lucida Grande" w:cs="Lucida Grande"/>
      <w:sz w:val="18"/>
      <w:szCs w:val="18"/>
    </w:rPr>
  </w:style>
  <w:style w:type="paragraph" w:customStyle="1" w:styleId="NumberedList">
    <w:name w:val="Numbered List"/>
    <w:basedOn w:val="ECCParagraph"/>
    <w:qFormat/>
    <w:pPr>
      <w:numPr>
        <w:numId w:val="9"/>
      </w:numPr>
    </w:pPr>
  </w:style>
  <w:style w:type="paragraph" w:customStyle="1" w:styleId="ECCLetteredList">
    <w:name w:val="ECC Lettered List"/>
    <w:qFormat/>
    <w:pPr>
      <w:numPr>
        <w:ilvl w:val="1"/>
        <w:numId w:val="10"/>
      </w:numPr>
      <w:overflowPunct w:val="0"/>
      <w:spacing w:before="240"/>
      <w:jc w:val="both"/>
    </w:pPr>
    <w:rPr>
      <w:rFonts w:ascii="Arial" w:hAnsi="Arial"/>
      <w:lang w:val="da-DK"/>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link w:val="CommentSubjectChar"/>
    <w:qFormat/>
    <w:rPr>
      <w:b/>
      <w:bCs/>
    </w:rPr>
  </w:style>
  <w:style w:type="paragraph" w:customStyle="1" w:styleId="ECCNumbered-LetteredList">
    <w:name w:val="ECC Numbered-Lettered List"/>
    <w:basedOn w:val="Normal"/>
    <w:qFormat/>
    <w:pPr>
      <w:numPr>
        <w:numId w:val="11"/>
      </w:numPr>
    </w:pPr>
  </w:style>
  <w:style w:type="paragraph" w:customStyle="1" w:styleId="ECCHLboldanditalics">
    <w:name w:val="ECC HL bold and italics"/>
    <w:basedOn w:val="Normal"/>
    <w:qFormat/>
    <w:pPr>
      <w:jc w:val="both"/>
    </w:pPr>
    <w:rPr>
      <w:rFonts w:eastAsia="Calibri"/>
      <w:b/>
      <w:bCs/>
      <w:i/>
      <w:szCs w:val="30"/>
      <w:lang w:val="en-GB"/>
    </w:rPr>
  </w:style>
  <w:style w:type="paragraph" w:customStyle="1" w:styleId="ECCBulletsLv1">
    <w:name w:val="ECC Bullets Lv1"/>
    <w:basedOn w:val="Normal"/>
    <w:qFormat/>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E50303"/>
    <w:pPr>
      <w:keepNext/>
      <w:pageBreakBefore/>
      <w:numPr>
        <w:numId w:val="6"/>
      </w:numPr>
      <w:tabs>
        <w:tab w:val="clear" w:pos="2127"/>
        <w:tab w:val="num" w:pos="0"/>
      </w:tabs>
      <w:overflowPunct w:val="0"/>
      <w:spacing w:before="240" w:after="60"/>
      <w:ind w:left="0"/>
      <w:jc w:val="both"/>
      <w:outlineLvl w:val="0"/>
    </w:pPr>
    <w:rPr>
      <w:rFonts w:ascii="Arial" w:hAnsi="Arial"/>
      <w:b/>
      <w:caps/>
      <w:color w:val="D2232A"/>
      <w:lang w:val="da-DK"/>
    </w:rPr>
  </w:style>
  <w:style w:type="paragraph" w:customStyle="1" w:styleId="ECCBulletsLv2">
    <w:name w:val="ECC Bullets Lv2"/>
    <w:basedOn w:val="ECCBulletsLv1"/>
    <w:qFormat/>
    <w:rsid w:val="00136829"/>
    <w:pPr>
      <w:tabs>
        <w:tab w:val="clear" w:pos="340"/>
        <w:tab w:val="left" w:pos="680"/>
      </w:tabs>
      <w:ind w:left="680"/>
    </w:pPr>
  </w:style>
  <w:style w:type="paragraph" w:customStyle="1" w:styleId="ECCBulletsLv3">
    <w:name w:val="ECC Bullets Lv3"/>
    <w:basedOn w:val="ECCBulletsLv1"/>
    <w:qFormat/>
    <w:pPr>
      <w:tabs>
        <w:tab w:val="clear" w:pos="340"/>
        <w:tab w:val="left" w:pos="1021"/>
      </w:tabs>
      <w:ind w:left="1020"/>
    </w:pPr>
  </w:style>
  <w:style w:type="paragraph" w:customStyle="1" w:styleId="ECCNumberedList0">
    <w:name w:val="ECC Numbered List"/>
    <w:basedOn w:val="Normal"/>
    <w:qFormat/>
    <w:pPr>
      <w:numPr>
        <w:numId w:val="13"/>
      </w:numPr>
      <w:jc w:val="both"/>
    </w:pPr>
    <w:rPr>
      <w:rFonts w:eastAsia="Calibri"/>
      <w:szCs w:val="20"/>
      <w:lang w:val="en-GB"/>
    </w:rPr>
  </w:style>
  <w:style w:type="paragraph" w:customStyle="1" w:styleId="ECCReference">
    <w:name w:val="ECC Reference"/>
    <w:basedOn w:val="Normal"/>
    <w:qFormat/>
    <w:pPr>
      <w:tabs>
        <w:tab w:val="left" w:pos="397"/>
      </w:tabs>
      <w:spacing w:after="120"/>
      <w:ind w:left="397" w:hanging="397"/>
      <w:jc w:val="both"/>
    </w:pPr>
    <w:rPr>
      <w:rFonts w:eastAsia="Calibri"/>
      <w:szCs w:val="22"/>
      <w:lang w:val="en-GB" w:eastAsia="ja-JP"/>
    </w:rPr>
  </w:style>
  <w:style w:type="paragraph" w:customStyle="1" w:styleId="ECCEditorsNote">
    <w:name w:val="ECC Editor's Note"/>
    <w:next w:val="Normal"/>
    <w:qFormat/>
    <w:pPr>
      <w:numPr>
        <w:numId w:val="14"/>
      </w:numPr>
      <w:shd w:val="clear" w:color="auto" w:fill="FFFF00"/>
      <w:overflowPunct w:val="0"/>
      <w:spacing w:before="120" w:after="120" w:line="360" w:lineRule="auto"/>
      <w:ind w:left="1559" w:firstLine="0"/>
      <w:jc w:val="both"/>
    </w:pPr>
    <w:rPr>
      <w:rFonts w:ascii="Arial" w:eastAsia="Calibri" w:hAnsi="Arial"/>
      <w:szCs w:val="22"/>
      <w:lang w:val="da-DK" w:eastAsia="de-DE"/>
    </w:rPr>
  </w:style>
  <w:style w:type="paragraph" w:customStyle="1" w:styleId="ECCFiguregraphcentred">
    <w:name w:val="ECC Figure/graph centred"/>
    <w:next w:val="Normal"/>
    <w:qFormat/>
    <w:pPr>
      <w:overflowPunct w:val="0"/>
      <w:spacing w:before="240" w:after="240"/>
      <w:jc w:val="center"/>
    </w:pPr>
    <w:rPr>
      <w:rFonts w:ascii="Arial" w:hAnsi="Arial"/>
      <w:lang w:val="de-DE" w:eastAsia="de-DE"/>
    </w:rPr>
  </w:style>
  <w:style w:type="paragraph" w:customStyle="1" w:styleId="ECCTableHeaderwhitefont">
    <w:name w:val="ECC Table Header white font"/>
    <w:qFormat/>
    <w:pPr>
      <w:keepNext/>
      <w:overflowPunct w:val="0"/>
      <w:spacing w:before="240" w:after="60"/>
      <w:jc w:val="center"/>
    </w:pPr>
    <w:rPr>
      <w:rFonts w:ascii="Arial" w:eastAsia="Calibri" w:hAnsi="Arial"/>
      <w:bCs/>
      <w:color w:val="FFFFFF"/>
      <w:lang w:eastAsia="de-DE"/>
    </w:rPr>
  </w:style>
  <w:style w:type="paragraph" w:customStyle="1" w:styleId="ECCTabletext">
    <w:name w:val="ECC Table text"/>
    <w:basedOn w:val="Normal"/>
    <w:qFormat/>
    <w:pPr>
      <w:keepNext/>
    </w:pPr>
    <w:rPr>
      <w:rFonts w:eastAsia="Calibri"/>
      <w:szCs w:val="22"/>
      <w:lang w:val="en-GB"/>
    </w:rPr>
  </w:style>
  <w:style w:type="paragraph" w:styleId="ListParagraph">
    <w:name w:val="List Paragraph"/>
    <w:basedOn w:val="Normal"/>
    <w:qFormat/>
    <w:pPr>
      <w:ind w:left="720"/>
      <w:contextualSpacing/>
      <w:jc w:val="both"/>
    </w:pPr>
    <w:rPr>
      <w:rFonts w:eastAsia="Calibri"/>
      <w:szCs w:val="22"/>
      <w:lang w:val="en-GB"/>
    </w:rPr>
  </w:style>
  <w:style w:type="paragraph" w:customStyle="1" w:styleId="ECCHeadingnonumbering">
    <w:name w:val="ECC Heading no numbering"/>
    <w:next w:val="NormalWeb"/>
    <w:qFormat/>
    <w:pPr>
      <w:tabs>
        <w:tab w:val="left" w:pos="0"/>
        <w:tab w:val="center" w:pos="4820"/>
        <w:tab w:val="right" w:pos="9639"/>
      </w:tabs>
      <w:overflowPunct w:val="0"/>
      <w:spacing w:before="240" w:after="60"/>
      <w:jc w:val="both"/>
    </w:pPr>
    <w:rPr>
      <w:rFonts w:ascii="Arial" w:hAnsi="Arial" w:cs="Arial"/>
      <w:bCs/>
      <w:color w:val="D2232A"/>
      <w:kern w:val="2"/>
      <w:szCs w:val="32"/>
      <w:u w:val="single"/>
      <w:lang w:val="da-DK"/>
    </w:rPr>
  </w:style>
  <w:style w:type="paragraph" w:styleId="NormalWeb">
    <w:name w:val="Normal (Web)"/>
    <w:basedOn w:val="Normal"/>
    <w:qFormat/>
    <w:pPr>
      <w:jc w:val="both"/>
    </w:pPr>
    <w:rPr>
      <w:rFonts w:ascii="Times New Roman" w:eastAsia="Calibri" w:hAnsi="Times New Roman"/>
      <w:sz w:val="24"/>
      <w:lang w:val="en-GB"/>
    </w:rPr>
  </w:style>
  <w:style w:type="paragraph" w:customStyle="1" w:styleId="ECCNumberedlist">
    <w:name w:val="ECC Numbered list"/>
    <w:basedOn w:val="ECCAnnexheading3"/>
    <w:qFormat/>
    <w:pPr>
      <w:keepNext/>
      <w:numPr>
        <w:numId w:val="2"/>
      </w:numPr>
      <w:spacing w:after="60"/>
      <w:ind w:left="720" w:firstLine="0"/>
      <w:jc w:val="both"/>
      <w:outlineLvl w:val="2"/>
    </w:pPr>
    <w:rPr>
      <w:szCs w:val="20"/>
      <w:lang w:val="en-GB"/>
    </w:rPr>
  </w:style>
  <w:style w:type="paragraph" w:customStyle="1" w:styleId="ECCNumberedListlevel2">
    <w:name w:val="ECC Numbered List level 2"/>
    <w:basedOn w:val="ECCNumberedList0"/>
    <w:qFormat/>
  </w:style>
  <w:style w:type="paragraph" w:customStyle="1" w:styleId="ECCLetteredListLevel2">
    <w:name w:val="ECC Lettered List Level 2"/>
    <w:basedOn w:val="ECCLetteredList"/>
    <w:qFormat/>
    <w:pPr>
      <w:numPr>
        <w:ilvl w:val="0"/>
        <w:numId w:val="0"/>
      </w:numPr>
      <w:tabs>
        <w:tab w:val="left" w:pos="680"/>
      </w:tabs>
      <w:ind w:left="680" w:hanging="340"/>
    </w:pPr>
    <w:rPr>
      <w:lang w:val="en-GB"/>
    </w:rPr>
  </w:style>
  <w:style w:type="paragraph" w:styleId="Revision">
    <w:name w:val="Revision"/>
    <w:qFormat/>
    <w:pPr>
      <w:overflowPunct w:val="0"/>
    </w:pPr>
    <w:rPr>
      <w:rFonts w:ascii="Arial" w:hAnsi="Arial"/>
      <w:szCs w:val="24"/>
      <w:lang w:val="en-US"/>
    </w:rPr>
  </w:style>
  <w:style w:type="paragraph" w:customStyle="1" w:styleId="Rahmeninhalt">
    <w:name w:val="Rahmeninhalt"/>
    <w:basedOn w:val="Normal"/>
    <w:qFormat/>
  </w:style>
  <w:style w:type="paragraph" w:customStyle="1" w:styleId="Tabelleninhalt">
    <w:name w:val="Tabelleninhalt"/>
    <w:basedOn w:val="Normal"/>
    <w:qFormat/>
    <w:pPr>
      <w:widowControl w:val="0"/>
      <w:suppressLineNumbers/>
    </w:pPr>
  </w:style>
  <w:style w:type="paragraph" w:styleId="Title">
    <w:name w:val="Title"/>
    <w:basedOn w:val="berschrift"/>
    <w:next w:val="BodyText"/>
    <w:uiPriority w:val="10"/>
    <w:qFormat/>
    <w:pPr>
      <w:jc w:val="center"/>
    </w:pPr>
    <w:rPr>
      <w:b/>
      <w:bCs/>
      <w:sz w:val="56"/>
      <w:szCs w:val="56"/>
    </w:rPr>
  </w:style>
  <w:style w:type="numbering" w:customStyle="1" w:styleId="ECCNumbers-Letters">
    <w:name w:val="ECC Numbers-Letters"/>
    <w:qFormat/>
  </w:style>
  <w:style w:type="character" w:styleId="FollowedHyperlink">
    <w:name w:val="FollowedHyperlink"/>
    <w:basedOn w:val="DefaultParagraphFont"/>
    <w:uiPriority w:val="99"/>
    <w:semiHidden/>
    <w:unhideWhenUsed/>
    <w:rsid w:val="00937A9D"/>
    <w:rPr>
      <w:color w:val="954F72" w:themeColor="followedHyperlink"/>
      <w:u w:val="single"/>
    </w:rPr>
  </w:style>
  <w:style w:type="character" w:customStyle="1" w:styleId="NichtaufgelsteErwhnung1">
    <w:name w:val="Nicht aufgelöste Erwähnung1"/>
    <w:basedOn w:val="DefaultParagraphFont"/>
    <w:qFormat/>
    <w:rsid w:val="00E10533"/>
    <w:rPr>
      <w:color w:val="605E5C"/>
      <w:shd w:val="clear" w:color="auto" w:fill="E1DFDD"/>
    </w:rPr>
  </w:style>
  <w:style w:type="character" w:customStyle="1" w:styleId="UnresolvedMention1">
    <w:name w:val="Unresolved Mention1"/>
    <w:basedOn w:val="DefaultParagraphFont"/>
    <w:qFormat/>
    <w:rsid w:val="00B6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68952">
      <w:bodyDiv w:val="1"/>
      <w:marLeft w:val="0"/>
      <w:marRight w:val="0"/>
      <w:marTop w:val="0"/>
      <w:marBottom w:val="0"/>
      <w:divBdr>
        <w:top w:val="none" w:sz="0" w:space="0" w:color="auto"/>
        <w:left w:val="none" w:sz="0" w:space="0" w:color="auto"/>
        <w:bottom w:val="none" w:sz="0" w:space="0" w:color="auto"/>
        <w:right w:val="none" w:sz="0" w:space="0" w:color="auto"/>
      </w:divBdr>
    </w:div>
    <w:div w:id="679743714">
      <w:bodyDiv w:val="1"/>
      <w:marLeft w:val="0"/>
      <w:marRight w:val="0"/>
      <w:marTop w:val="0"/>
      <w:marBottom w:val="0"/>
      <w:divBdr>
        <w:top w:val="none" w:sz="0" w:space="0" w:color="auto"/>
        <w:left w:val="none" w:sz="0" w:space="0" w:color="auto"/>
        <w:bottom w:val="none" w:sz="0" w:space="0" w:color="auto"/>
        <w:right w:val="none" w:sz="0" w:space="0" w:color="auto"/>
      </w:divBdr>
    </w:div>
    <w:div w:id="207102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 Id="rId22" Type="http://schemas.openxmlformats.org/officeDocument/2006/relationships/image" Target="media/image10.wmf"/><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F1D7-DEF4-4B3B-91E9-EC77BD91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2328</Words>
  <Characters>13273</Characters>
  <Application>Microsoft Office Word</Application>
  <DocSecurity>0</DocSecurity>
  <Lines>110</Lines>
  <Paragraphs>31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Cím</vt:lpstr>
      </vt:variant>
      <vt:variant>
        <vt:i4>1</vt:i4>
      </vt:variant>
    </vt:vector>
  </HeadingPairs>
  <TitlesOfParts>
    <vt:vector size="4" baseType="lpstr">
      <vt:lpstr>Draft ECC Recommendation (24)02</vt:lpstr>
      <vt:lpstr>Draft ECC Recommendation (24)02</vt:lpstr>
      <vt:lpstr>Draft ECC Recommendation (24)02</vt:lpstr>
      <vt:lpstr>Draft ECC Recommendation (24)02</vt:lpstr>
    </vt:vector>
  </TitlesOfParts>
  <Company>ECO</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(24)02</dc:title>
  <dc:subject/>
  <dc:creator>ECC</dc:creator>
  <cp:keywords>ECC Recommendation (24)02</cp:keywords>
  <dc:description>This template is used as guidance to draft ECC Reports.</dc:description>
  <cp:lastModifiedBy>ECO</cp:lastModifiedBy>
  <cp:revision>5</cp:revision>
  <cp:lastPrinted>2023-07-11T11:38:00Z</cp:lastPrinted>
  <dcterms:created xsi:type="dcterms:W3CDTF">2024-06-20T10:07:00Z</dcterms:created>
  <dcterms:modified xsi:type="dcterms:W3CDTF">2024-06-20T10:18:00Z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e20b-2db6-434b-a656-4500d2063055_ActionId">
    <vt:lpwstr>ebd6e13c-a67a-4214-9363-2958c5b57b2c</vt:lpwstr>
  </property>
  <property fmtid="{D5CDD505-2E9C-101B-9397-08002B2CF9AE}" pid="3" name="MSIP_Label_021ee20b-2db6-434b-a656-4500d2063055_ContentBits">
    <vt:lpwstr>0</vt:lpwstr>
  </property>
  <property fmtid="{D5CDD505-2E9C-101B-9397-08002B2CF9AE}" pid="4" name="MSIP_Label_021ee20b-2db6-434b-a656-4500d2063055_Enabled">
    <vt:lpwstr>true</vt:lpwstr>
  </property>
  <property fmtid="{D5CDD505-2E9C-101B-9397-08002B2CF9AE}" pid="5" name="MSIP_Label_021ee20b-2db6-434b-a656-4500d2063055_Method">
    <vt:lpwstr>Privileged</vt:lpwstr>
  </property>
  <property fmtid="{D5CDD505-2E9C-101B-9397-08002B2CF9AE}" pid="6" name="MSIP_Label_021ee20b-2db6-434b-a656-4500d2063055_Name">
    <vt:lpwstr>Sans Marquage - Groupe et Réseau</vt:lpwstr>
  </property>
  <property fmtid="{D5CDD505-2E9C-101B-9397-08002B2CF9AE}" pid="7" name="MSIP_Label_021ee20b-2db6-434b-a656-4500d2063055_SetDate">
    <vt:lpwstr>2023-07-10T12:41:05Z</vt:lpwstr>
  </property>
  <property fmtid="{D5CDD505-2E9C-101B-9397-08002B2CF9AE}" pid="8" name="MSIP_Label_021ee20b-2db6-434b-a656-4500d2063055_SiteId">
    <vt:lpwstr>4a7c8238-5799-4b16-9fc6-9ad8fce5a7d9</vt:lpwstr>
  </property>
  <property fmtid="{D5CDD505-2E9C-101B-9397-08002B2CF9AE}" pid="9" name="_2015_ms_pID_725343">
    <vt:lpwstr>(3)j6E9hx0j6rDkic7htDzwQj/zRQ4RPtN6n/PNuE5mWqjDTBzOdI4ozbxi3fOZmxw/SK47A/AK
mbEiv6F63gSezIQQ0Mb+JzSu/kdNUaHJrKl+AFzY91BqXbPuh3fvnzK0w5D8GQYTOsKvQkXz
eP8KGPXCYPM6NfX4oZFUmQc7O5bVYIiruZNKonACJz7dmWs+tBSBaYg+d05siX/HDUaGdoXS
QszsoNkVlOkrGulsaI</vt:lpwstr>
  </property>
  <property fmtid="{D5CDD505-2E9C-101B-9397-08002B2CF9AE}" pid="10" name="_2015_ms_pID_7253431">
    <vt:lpwstr>hQg+J9/ObCgSmqyRmKF0oCFg7xFxEhzOJrwEY0Ue8mhZagqVzwYH71
MstXsTziF9Dkeq2F2Rg/V1O5C31i3zyjSxaUNwU9TpQfFbrtzrsd4xRZFO52dtAX+WQIPDyS
rFYe9ReAoXbIkHyoHbtrVUz9WYNpfVOYU10cQ6OecB8Dz3xU5Qg6b5KOlz6VmBVX/NFHISu6
z6pQQy9txHq3KZ7HLZdGtLKdig0IIU7iMyxX</vt:lpwstr>
  </property>
  <property fmtid="{D5CDD505-2E9C-101B-9397-08002B2CF9AE}" pid="11" name="_2015_ms_pID_7253432">
    <vt:lpwstr>EA==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1713439949</vt:lpwstr>
  </property>
  <property fmtid="{D5CDD505-2E9C-101B-9397-08002B2CF9AE}" pid="16" name="MSIP_Label_0359f705-2ba0-454b-9cfc-6ce5bcaac040_Enabled">
    <vt:lpwstr>true</vt:lpwstr>
  </property>
  <property fmtid="{D5CDD505-2E9C-101B-9397-08002B2CF9AE}" pid="17" name="MSIP_Label_0359f705-2ba0-454b-9cfc-6ce5bcaac040_SetDate">
    <vt:lpwstr>2024-04-18T13:11:51Z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341c2c6a-c04b-48b8-9d6f-b4035de05a51</vt:lpwstr>
  </property>
  <property fmtid="{D5CDD505-2E9C-101B-9397-08002B2CF9AE}" pid="22" name="MSIP_Label_0359f705-2ba0-454b-9cfc-6ce5bcaac040_ContentBits">
    <vt:lpwstr>2</vt:lpwstr>
  </property>
</Properties>
</file>