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0B86" w14:textId="52004A4A" w:rsidR="00AB46DF" w:rsidRPr="008D73A7" w:rsidRDefault="00AB46DF">
      <w:pPr>
        <w:rPr>
          <w:lang w:val="en-GB"/>
        </w:rPr>
      </w:pPr>
    </w:p>
    <w:p w14:paraId="596DE4E7" w14:textId="16333BFF" w:rsidR="00AB46DF" w:rsidRPr="008D73A7" w:rsidRDefault="00AB46DF" w:rsidP="00AB46DF">
      <w:pPr>
        <w:jc w:val="center"/>
        <w:rPr>
          <w:lang w:val="en-GB"/>
        </w:rPr>
      </w:pPr>
    </w:p>
    <w:p w14:paraId="67F347DC" w14:textId="2C649E63" w:rsidR="00AB46DF" w:rsidRPr="008D73A7" w:rsidRDefault="00AB46DF" w:rsidP="00FC43F9">
      <w:pPr>
        <w:jc w:val="center"/>
        <w:rPr>
          <w:lang w:val="en-GB"/>
        </w:rPr>
      </w:pPr>
    </w:p>
    <w:p w14:paraId="7C39BFE0" w14:textId="2AAC5134" w:rsidR="00AB46DF" w:rsidRPr="008D73A7" w:rsidRDefault="00AB46DF" w:rsidP="00AB46DF">
      <w:pPr>
        <w:rPr>
          <w:lang w:val="en-GB"/>
        </w:rPr>
      </w:pPr>
    </w:p>
    <w:p w14:paraId="4E82FBEB" w14:textId="77777777" w:rsidR="00AB46DF" w:rsidRPr="008D73A7" w:rsidRDefault="00D20E3B" w:rsidP="00AB46DF">
      <w:pPr>
        <w:jc w:val="center"/>
        <w:rPr>
          <w:b/>
          <w:sz w:val="24"/>
          <w:lang w:val="en-GB"/>
        </w:rPr>
      </w:pPr>
      <w:r w:rsidRPr="008D73A7">
        <w:rPr>
          <w:b/>
          <w:noProof/>
          <w:sz w:val="24"/>
          <w:szCs w:val="20"/>
          <w:lang w:val="en-GB" w:eastAsia="fr-FR"/>
        </w:rPr>
        <mc:AlternateContent>
          <mc:Choice Requires="wpg">
            <w:drawing>
              <wp:anchor distT="0" distB="0" distL="114300" distR="114300" simplePos="0" relativeHeight="251658245" behindDoc="0" locked="0" layoutInCell="1" allowOverlap="1" wp14:anchorId="5CFDA51E" wp14:editId="2BF7D62A">
                <wp:simplePos x="0" y="0"/>
                <wp:positionH relativeFrom="column">
                  <wp:posOffset>-720090</wp:posOffset>
                </wp:positionH>
                <wp:positionV relativeFrom="paragraph">
                  <wp:posOffset>69850</wp:posOffset>
                </wp:positionV>
                <wp:extent cx="7564120" cy="8268970"/>
                <wp:effectExtent l="0" t="76200" r="508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449E4" w14:textId="38F22417" w:rsidR="00104E5C" w:rsidRPr="00FE1795" w:rsidRDefault="00104E5C" w:rsidP="00AB46DF">
                              <w:pPr>
                                <w:rPr>
                                  <w:color w:val="57433E"/>
                                  <w:sz w:val="68"/>
                                </w:rPr>
                              </w:pPr>
                              <w:r w:rsidRPr="00FE1795">
                                <w:rPr>
                                  <w:color w:val="FFFFFF"/>
                                  <w:sz w:val="68"/>
                                </w:rPr>
                                <w:t xml:space="preserve">CEPT Report </w:t>
                              </w:r>
                              <w:r>
                                <w:rPr>
                                  <w:color w:val="D2232A"/>
                                  <w:sz w:val="68"/>
                                </w:rPr>
                                <w:t>86</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CFDA51E" id="Group 7" o:spid="_x0000_s1026" style="position:absolute;left:0;text-align:left;margin-left:-56.7pt;margin-top:5.5pt;width:595.6pt;height:651.1pt;z-index:251658245"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">
                <v:rect id="Rectangle 24"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" fillcolor="#828282" stroked="f">
                  <v:textbox inset="80mm,15mm,2mm">
                    <w:txbxContent>
                      <w:p w14:paraId="330449E4" w14:textId="38F22417" w:rsidR="00104E5C" w:rsidRPr="00FE1795" w:rsidRDefault="00104E5C" w:rsidP="00AB46DF">
                        <w:pPr>
                          <w:rPr>
                            <w:color w:val="57433E"/>
                            <w:sz w:val="68"/>
                          </w:rPr>
                        </w:pPr>
                        <w:r w:rsidRPr="00FE1795">
                          <w:rPr>
                            <w:color w:val="FFFFFF"/>
                            <w:sz w:val="68"/>
                          </w:rPr>
                          <w:t xml:space="preserve">CEPT Report </w:t>
                        </w:r>
                        <w:r>
                          <w:rPr>
                            <w:color w:val="D2232A"/>
                            <w:sz w:val="68"/>
                          </w:rPr>
                          <w:t>86</w:t>
                        </w:r>
                      </w:p>
                    </w:txbxContent>
                  </v:textbox>
                </v:shape>
                <v:group id="Group 36" o:spid="_x0000_s1029" style="position:absolute;left:1304;top:2744;width:2683;height:2464" coordorigin="1304,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30" o:spid="_x0000_s1030" style="position:absolute;rotation:45;visibility:visible;mso-wrap-style:square" from="2138,2646" to="2152,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" strokecolor="#d2232a" strokeweight="15pt"/>
                  <v:line id="Line 31" o:spid="_x0000_s1031" style="position:absolute;rotation:-45;flip:x;visibility:visible;mso-wrap-style:square" from="1447,4478" to="2878,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" strokecolor="#d2232a" strokeweight="15pt"/>
                  <v:line id="Line 32" o:spid="_x0000_s1032" style="position:absolute;rotation:-45;flip:x;visibility:visible;mso-wrap-style:square" from="3225,3653" to="3226,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" strokecolor="white" strokeweight="15pt"/>
                  <v:line id="Line 33" o:spid="_x0000_s1033" style="position:absolute;rotation:-45;flip:x;visibility:visible;mso-wrap-style:square" from="2439,3520" to="3987,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" strokecolor="white" strokeweight="15pt"/>
                  <v:line id="Line 34" o:spid="_x0000_s1034" style="position:absolute;visibility:visible;mso-wrap-style:square" from="2670,2744" to="2671,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" strokecolor="#828282" strokeweight="15.5pt"/>
                </v:group>
              </v:group>
            </w:pict>
          </mc:Fallback>
        </mc:AlternateContent>
      </w:r>
    </w:p>
    <w:p w14:paraId="46938638" w14:textId="77777777" w:rsidR="00AB46DF" w:rsidRPr="008D73A7" w:rsidRDefault="00AB46DF" w:rsidP="00AB46DF">
      <w:pPr>
        <w:jc w:val="center"/>
        <w:rPr>
          <w:b/>
          <w:sz w:val="24"/>
          <w:lang w:val="en-GB"/>
        </w:rPr>
      </w:pPr>
    </w:p>
    <w:p w14:paraId="2490FCBE" w14:textId="77777777" w:rsidR="00AB46DF" w:rsidRPr="008D73A7" w:rsidRDefault="00AB46DF" w:rsidP="00AB46DF">
      <w:pPr>
        <w:jc w:val="center"/>
        <w:rPr>
          <w:b/>
          <w:sz w:val="24"/>
          <w:lang w:val="en-GB"/>
        </w:rPr>
      </w:pPr>
    </w:p>
    <w:p w14:paraId="693CDC2A" w14:textId="77777777" w:rsidR="00AB46DF" w:rsidRPr="008D73A7" w:rsidRDefault="00AB46DF" w:rsidP="00AB46DF">
      <w:pPr>
        <w:jc w:val="center"/>
        <w:rPr>
          <w:b/>
          <w:sz w:val="24"/>
          <w:lang w:val="en-GB"/>
        </w:rPr>
      </w:pPr>
    </w:p>
    <w:p w14:paraId="5ED71A9C" w14:textId="77777777" w:rsidR="00AB46DF" w:rsidRPr="008D73A7" w:rsidRDefault="00AB46DF" w:rsidP="00AB46DF">
      <w:pPr>
        <w:jc w:val="center"/>
        <w:rPr>
          <w:b/>
          <w:sz w:val="24"/>
          <w:lang w:val="en-GB"/>
        </w:rPr>
      </w:pPr>
    </w:p>
    <w:p w14:paraId="0A00574E" w14:textId="77777777" w:rsidR="00AB46DF" w:rsidRPr="008D73A7" w:rsidRDefault="00AB46DF" w:rsidP="00AB46DF">
      <w:pPr>
        <w:jc w:val="center"/>
        <w:rPr>
          <w:b/>
          <w:sz w:val="24"/>
          <w:lang w:val="en-GB"/>
        </w:rPr>
      </w:pPr>
    </w:p>
    <w:p w14:paraId="1925F643" w14:textId="6A4A56D9" w:rsidR="00AB46DF" w:rsidRPr="008D73A7" w:rsidRDefault="002614ED" w:rsidP="00AB46DF">
      <w:pPr>
        <w:pStyle w:val="Reporttitledescription"/>
        <w:rPr>
          <w:lang w:val="en-GB"/>
        </w:rPr>
      </w:pPr>
      <w:r w:rsidRPr="008D73A7">
        <w:rPr>
          <w:lang w:val="en-GB"/>
        </w:rPr>
        <w:fldChar w:fldCharType="begin">
          <w:ffData>
            <w:name w:val="Text7"/>
            <w:enabled/>
            <w:calcOnExit w:val="0"/>
            <w:textInput>
              <w:default w:val="In response to the EC Permanent Mandate to CEPT regarding the regular update of the technical annex of the Commission Decisions on harmonisation of radio spectrum for use by Short Range Devices (SRD)"/>
            </w:textInput>
          </w:ffData>
        </w:fldChar>
      </w:r>
      <w:r w:rsidRPr="008D73A7">
        <w:rPr>
          <w:lang w:val="en-GB"/>
        </w:rPr>
        <w:instrText xml:space="preserve"> </w:instrText>
      </w:r>
      <w:bookmarkStart w:id="0" w:name="Text7"/>
      <w:r w:rsidRPr="008D73A7">
        <w:rPr>
          <w:lang w:val="en-GB"/>
        </w:rPr>
        <w:instrText xml:space="preserve">FORMTEXT </w:instrText>
      </w:r>
      <w:r w:rsidRPr="008D73A7">
        <w:rPr>
          <w:lang w:val="en-GB"/>
        </w:rPr>
      </w:r>
      <w:r w:rsidRPr="008D73A7">
        <w:rPr>
          <w:lang w:val="en-GB"/>
        </w:rPr>
        <w:fldChar w:fldCharType="separate"/>
      </w:r>
      <w:r w:rsidRPr="008D73A7">
        <w:rPr>
          <w:lang w:val="en-GB"/>
        </w:rPr>
        <w:t>In response to the EC Permanent Mandate to CEPT regarding the regular update of the technical annex of the Commission Decisions on harmonisation of radio spectrum for use by Short Range Devices (SRD)</w:t>
      </w:r>
      <w:r w:rsidRPr="008D73A7">
        <w:rPr>
          <w:lang w:val="en-GB"/>
        </w:rPr>
        <w:fldChar w:fldCharType="end"/>
      </w:r>
      <w:bookmarkEnd w:id="0"/>
      <w:r w:rsidR="003C3EE4" w:rsidRPr="008D73A7">
        <w:rPr>
          <w:lang w:val="en-GB"/>
        </w:rPr>
        <w:t xml:space="preserve"> </w:t>
      </w:r>
    </w:p>
    <w:p w14:paraId="2510AE42" w14:textId="5460DC08" w:rsidR="006F5883" w:rsidRPr="008D73A7" w:rsidRDefault="00816A4C" w:rsidP="00AB46DF">
      <w:pPr>
        <w:pStyle w:val="Reporttitledescription"/>
        <w:rPr>
          <w:lang w:val="en-GB"/>
        </w:rPr>
      </w:pPr>
      <w:r w:rsidRPr="008D73A7">
        <w:rPr>
          <w:lang w:val="en-GB"/>
        </w:rPr>
        <w:t>“</w:t>
      </w:r>
      <w:r w:rsidR="00C01069" w:rsidRPr="008D73A7">
        <w:rPr>
          <w:lang w:val="en-GB"/>
        </w:rPr>
        <w:t xml:space="preserve">Harmonised technical parameters for </w:t>
      </w:r>
      <w:r w:rsidR="0020229B" w:rsidRPr="008D73A7">
        <w:rPr>
          <w:lang w:val="en-GB"/>
        </w:rPr>
        <w:t xml:space="preserve">SRD </w:t>
      </w:r>
      <w:r w:rsidR="0035788B" w:rsidRPr="008D73A7">
        <w:rPr>
          <w:lang w:val="en-GB"/>
        </w:rPr>
        <w:t>radiodetermination applications in the frequency range 116-260 GHz</w:t>
      </w:r>
      <w:r w:rsidRPr="008D73A7">
        <w:rPr>
          <w:lang w:val="en-GB"/>
        </w:rPr>
        <w:t>”</w:t>
      </w:r>
    </w:p>
    <w:p w14:paraId="2935383F" w14:textId="64C75A04" w:rsidR="00326EBB" w:rsidRPr="008D73A7" w:rsidRDefault="002D62CC" w:rsidP="00326EBB">
      <w:pPr>
        <w:pStyle w:val="Reporttitledescription"/>
        <w:rPr>
          <w:b/>
          <w:sz w:val="18"/>
          <w:lang w:val="en-GB"/>
        </w:rPr>
      </w:pPr>
      <w:r>
        <w:rPr>
          <w:b/>
          <w:sz w:val="18"/>
          <w:lang w:val="en-GB"/>
        </w:rPr>
        <w:fldChar w:fldCharType="begin">
          <w:ffData>
            <w:name w:val="Text8"/>
            <w:enabled/>
            <w:calcOnExit w:val="0"/>
            <w:textInput>
              <w:default w:val="approved 8 March 2024"/>
            </w:textInput>
          </w:ffData>
        </w:fldChar>
      </w:r>
      <w:r>
        <w:rPr>
          <w:b/>
          <w:sz w:val="18"/>
          <w:lang w:val="en-GB"/>
        </w:rPr>
        <w:instrText xml:space="preserve"> </w:instrText>
      </w:r>
      <w:bookmarkStart w:id="1" w:name="Text8"/>
      <w:r>
        <w:rPr>
          <w:b/>
          <w:sz w:val="18"/>
          <w:lang w:val="en-GB"/>
        </w:rPr>
        <w:instrText xml:space="preserve">FORMTEXT </w:instrText>
      </w:r>
      <w:r>
        <w:rPr>
          <w:b/>
          <w:sz w:val="18"/>
          <w:lang w:val="en-GB"/>
        </w:rPr>
      </w:r>
      <w:r>
        <w:rPr>
          <w:b/>
          <w:sz w:val="18"/>
          <w:lang w:val="en-GB"/>
        </w:rPr>
        <w:fldChar w:fldCharType="separate"/>
      </w:r>
      <w:r>
        <w:rPr>
          <w:b/>
          <w:noProof/>
          <w:sz w:val="18"/>
          <w:lang w:val="en-GB"/>
        </w:rPr>
        <w:t>approved 8 March 2024</w:t>
      </w:r>
      <w:r>
        <w:rPr>
          <w:b/>
          <w:sz w:val="18"/>
          <w:lang w:val="en-GB"/>
        </w:rPr>
        <w:fldChar w:fldCharType="end"/>
      </w:r>
      <w:bookmarkEnd w:id="1"/>
    </w:p>
    <w:p w14:paraId="5A62272B" w14:textId="77777777" w:rsidR="00902761" w:rsidRPr="008D73A7" w:rsidRDefault="00902761" w:rsidP="00AB46DF">
      <w:pPr>
        <w:pStyle w:val="Lastupdated"/>
        <w:rPr>
          <w:b/>
          <w:lang w:val="en-GB"/>
        </w:rPr>
      </w:pPr>
    </w:p>
    <w:p w14:paraId="455C0C3C" w14:textId="77777777" w:rsidR="00E24A51" w:rsidRPr="008D73A7" w:rsidRDefault="00E24A51" w:rsidP="00AB46DF">
      <w:pPr>
        <w:pStyle w:val="Lastupdated"/>
        <w:rPr>
          <w:b/>
          <w:lang w:val="en-GB"/>
        </w:rPr>
      </w:pPr>
    </w:p>
    <w:p w14:paraId="022B43F1" w14:textId="77777777" w:rsidR="00AB46DF" w:rsidRPr="008D73A7" w:rsidRDefault="00AB46DF">
      <w:pPr>
        <w:rPr>
          <w:lang w:val="en-GB"/>
        </w:rPr>
        <w:sectPr w:rsidR="00AB46DF" w:rsidRPr="008D73A7" w:rsidSect="0089442B">
          <w:headerReference w:type="even" r:id="rId11"/>
          <w:headerReference w:type="default" r:id="rId12"/>
          <w:headerReference w:type="first" r:id="rId13"/>
          <w:pgSz w:w="11907" w:h="16840" w:code="9"/>
          <w:pgMar w:top="1440" w:right="1134" w:bottom="1440" w:left="1134" w:header="709" w:footer="709" w:gutter="0"/>
          <w:cols w:space="708"/>
          <w:titlePg/>
          <w:docGrid w:linePitch="360"/>
        </w:sectPr>
      </w:pPr>
    </w:p>
    <w:p w14:paraId="50DA1AB0" w14:textId="17E26829" w:rsidR="00AB46DF" w:rsidRPr="008D73A7" w:rsidRDefault="003C3EE4" w:rsidP="00415C19">
      <w:pPr>
        <w:pStyle w:val="Heading1"/>
      </w:pPr>
      <w:bookmarkStart w:id="2" w:name="_Toc123634674"/>
      <w:bookmarkStart w:id="3" w:name="_Toc123634764"/>
      <w:bookmarkStart w:id="4" w:name="_Toc135806264"/>
      <w:bookmarkStart w:id="5" w:name="_Toc153443759"/>
      <w:r w:rsidRPr="008D73A7">
        <w:lastRenderedPageBreak/>
        <w:t>Executive summary</w:t>
      </w:r>
      <w:bookmarkEnd w:id="2"/>
      <w:bookmarkEnd w:id="3"/>
      <w:bookmarkEnd w:id="4"/>
      <w:bookmarkEnd w:id="5"/>
    </w:p>
    <w:p w14:paraId="02020641" w14:textId="39B4209C" w:rsidR="006F47B5" w:rsidRPr="008D73A7" w:rsidRDefault="006F47B5" w:rsidP="00BA6500">
      <w:pPr>
        <w:pStyle w:val="ECCParagraph"/>
        <w:spacing w:before="240" w:after="60"/>
      </w:pPr>
      <w:r w:rsidRPr="008D73A7">
        <w:t xml:space="preserve">This Report contains proposed </w:t>
      </w:r>
      <w:r w:rsidR="00212AFE" w:rsidRPr="008D73A7">
        <w:t>requirements</w:t>
      </w:r>
      <w:r w:rsidRPr="008D73A7">
        <w:t xml:space="preserve"> to the technical conditions for</w:t>
      </w:r>
      <w:r w:rsidR="00484CC1" w:rsidRPr="008D73A7">
        <w:t xml:space="preserve"> the following</w:t>
      </w:r>
      <w:r w:rsidRPr="008D73A7">
        <w:t xml:space="preserve"> </w:t>
      </w:r>
      <w:r w:rsidR="00177E30" w:rsidRPr="008D73A7">
        <w:t>specific radiodetermination</w:t>
      </w:r>
      <w:r w:rsidR="009B6726" w:rsidRPr="008D73A7">
        <w:t xml:space="preserve"> </w:t>
      </w:r>
      <w:r w:rsidRPr="008D73A7">
        <w:t xml:space="preserve">applications in the </w:t>
      </w:r>
      <w:r w:rsidR="00E065C1" w:rsidRPr="008D73A7">
        <w:t xml:space="preserve">frequency range </w:t>
      </w:r>
      <w:r w:rsidRPr="008D73A7">
        <w:t>116</w:t>
      </w:r>
      <w:r w:rsidR="007E78BD" w:rsidRPr="008D73A7">
        <w:t>-</w:t>
      </w:r>
      <w:r w:rsidRPr="008D73A7">
        <w:t>260 GHz</w:t>
      </w:r>
      <w:r w:rsidR="00484CC1" w:rsidRPr="008D73A7">
        <w:t xml:space="preserve"> </w:t>
      </w:r>
      <w:r w:rsidR="00484CC1" w:rsidRPr="008D73A7">
        <w:rPr>
          <w:szCs w:val="20"/>
        </w:rPr>
        <w:t>to be exempt from individual licensing:</w:t>
      </w:r>
    </w:p>
    <w:p w14:paraId="2C88515B" w14:textId="77777777" w:rsidR="00080F4E" w:rsidRPr="008D73A7" w:rsidRDefault="00080F4E" w:rsidP="00080F4E">
      <w:pPr>
        <w:pStyle w:val="ECCBulletsLv1"/>
        <w:ind w:left="340" w:hanging="340"/>
      </w:pPr>
      <w:r w:rsidRPr="008D73A7">
        <w:t>Generic indoor surveillance radar;</w:t>
      </w:r>
    </w:p>
    <w:p w14:paraId="04A5E9C0" w14:textId="77777777" w:rsidR="00080F4E" w:rsidRPr="008D73A7" w:rsidRDefault="00080F4E" w:rsidP="00080F4E">
      <w:pPr>
        <w:pStyle w:val="ECCBulletsLv1"/>
        <w:ind w:left="340" w:hanging="340"/>
      </w:pPr>
      <w:r w:rsidRPr="008D73A7">
        <w:t>Radiodetermination systems for industry automation (RDI);</w:t>
      </w:r>
    </w:p>
    <w:p w14:paraId="6C052E7C" w14:textId="77777777" w:rsidR="00080F4E" w:rsidRPr="008D73A7" w:rsidRDefault="00080F4E" w:rsidP="00080F4E">
      <w:pPr>
        <w:pStyle w:val="ECCBulletsLv1"/>
        <w:ind w:left="340" w:hanging="340"/>
      </w:pPr>
      <w:r w:rsidRPr="008D73A7">
        <w:t>Level probing radar (LPR);</w:t>
      </w:r>
    </w:p>
    <w:p w14:paraId="1DD52CAE" w14:textId="77777777" w:rsidR="00080F4E" w:rsidRPr="008D73A7" w:rsidRDefault="00080F4E" w:rsidP="00080F4E">
      <w:pPr>
        <w:pStyle w:val="ECCBulletsLv1"/>
        <w:ind w:left="340" w:hanging="340"/>
      </w:pPr>
      <w:r w:rsidRPr="008D73A7">
        <w:t>Contour determination and acquisition (CDR);</w:t>
      </w:r>
    </w:p>
    <w:p w14:paraId="161FDCC4" w14:textId="77777777" w:rsidR="00080F4E" w:rsidRPr="008D73A7" w:rsidRDefault="00080F4E" w:rsidP="00080F4E">
      <w:pPr>
        <w:pStyle w:val="ECCBulletsLv1"/>
        <w:ind w:left="340" w:hanging="340"/>
      </w:pPr>
      <w:r w:rsidRPr="008D73A7">
        <w:t>Tank level probing radar (TLPR);</w:t>
      </w:r>
    </w:p>
    <w:p w14:paraId="5F64FE9A" w14:textId="77777777" w:rsidR="00080F4E" w:rsidRPr="008D73A7" w:rsidRDefault="00080F4E" w:rsidP="00080F4E">
      <w:pPr>
        <w:pStyle w:val="ECCBulletsLv1"/>
        <w:ind w:left="340" w:hanging="340"/>
      </w:pPr>
      <w:r w:rsidRPr="008D73A7">
        <w:t>Radiodetermination systems for industry automation in shielded environments (RDI-S);</w:t>
      </w:r>
    </w:p>
    <w:p w14:paraId="40884B03" w14:textId="77777777" w:rsidR="00080F4E" w:rsidRPr="008D73A7" w:rsidRDefault="00080F4E" w:rsidP="00080F4E">
      <w:pPr>
        <w:pStyle w:val="ECCBulletsLv1"/>
        <w:ind w:left="340" w:hanging="340"/>
      </w:pPr>
      <w:r w:rsidRPr="008D73A7">
        <w:t>Exterior vehicular radar (EVR);</w:t>
      </w:r>
    </w:p>
    <w:p w14:paraId="47B28F9A" w14:textId="77777777" w:rsidR="00080F4E" w:rsidRPr="008D73A7" w:rsidRDefault="00080F4E" w:rsidP="00080F4E">
      <w:pPr>
        <w:pStyle w:val="ECCBulletsLv1"/>
        <w:ind w:left="340" w:hanging="340"/>
      </w:pPr>
      <w:r w:rsidRPr="008D73A7">
        <w:t>In-cabin vehicular radar (IVR).</w:t>
      </w:r>
    </w:p>
    <w:p w14:paraId="1983ED30" w14:textId="7C0A40AC" w:rsidR="00C1140D" w:rsidRPr="008D73A7" w:rsidRDefault="00C1140D" w:rsidP="00691DAC">
      <w:pPr>
        <w:pStyle w:val="ECCParagraph"/>
        <w:spacing w:before="240" w:after="60"/>
      </w:pPr>
      <w:r w:rsidRPr="008D73A7">
        <w:t xml:space="preserve">The recommended new framework for </w:t>
      </w:r>
      <w:r w:rsidR="00177E30" w:rsidRPr="008D73A7">
        <w:t xml:space="preserve">SRD </w:t>
      </w:r>
      <w:r w:rsidRPr="008D73A7">
        <w:t>in the frequency range 116</w:t>
      </w:r>
      <w:r w:rsidR="002C14E0" w:rsidRPr="008D73A7">
        <w:t>-</w:t>
      </w:r>
      <w:r w:rsidRPr="008D73A7">
        <w:t xml:space="preserve">260 GHz is summarised in sections </w:t>
      </w:r>
      <w:r w:rsidRPr="008D73A7">
        <w:fldChar w:fldCharType="begin"/>
      </w:r>
      <w:r w:rsidRPr="008D73A7">
        <w:instrText xml:space="preserve"> REF _Ref120787540 \r \h  \* MERGEFORMAT </w:instrText>
      </w:r>
      <w:r w:rsidRPr="008D73A7">
        <w:fldChar w:fldCharType="separate"/>
      </w:r>
      <w:r w:rsidR="00113216" w:rsidRPr="008D73A7">
        <w:t>4.2</w:t>
      </w:r>
      <w:r w:rsidRPr="008D73A7">
        <w:fldChar w:fldCharType="end"/>
      </w:r>
      <w:r w:rsidRPr="008D73A7">
        <w:t xml:space="preserve"> to </w:t>
      </w:r>
      <w:r w:rsidR="00996751" w:rsidRPr="008D73A7">
        <w:fldChar w:fldCharType="begin"/>
      </w:r>
      <w:r w:rsidR="00996751" w:rsidRPr="008D73A7">
        <w:instrText xml:space="preserve"> REF _Ref134115650 \r \h </w:instrText>
      </w:r>
      <w:r w:rsidR="00996751" w:rsidRPr="008D73A7">
        <w:fldChar w:fldCharType="separate"/>
      </w:r>
      <w:r w:rsidR="00113216" w:rsidRPr="008D73A7">
        <w:t>4.9</w:t>
      </w:r>
      <w:r w:rsidR="00996751" w:rsidRPr="008D73A7">
        <w:fldChar w:fldCharType="end"/>
      </w:r>
      <w:r w:rsidRPr="008D73A7">
        <w:t xml:space="preserve"> for the different </w:t>
      </w:r>
      <w:r w:rsidR="00177E30" w:rsidRPr="008D73A7">
        <w:t>specific radiodetermination</w:t>
      </w:r>
      <w:r w:rsidR="0020229B" w:rsidRPr="008D73A7">
        <w:t xml:space="preserve"> </w:t>
      </w:r>
      <w:r w:rsidRPr="008D73A7">
        <w:t>applications.</w:t>
      </w:r>
    </w:p>
    <w:p w14:paraId="45C305D5" w14:textId="123784EA" w:rsidR="00C1140D" w:rsidRPr="008D73A7" w:rsidRDefault="00C1140D" w:rsidP="00BA6500">
      <w:pPr>
        <w:pStyle w:val="ECCParagraph"/>
        <w:spacing w:before="240" w:after="60"/>
      </w:pPr>
      <w:r w:rsidRPr="008D73A7">
        <w:t xml:space="preserve">The detailed harmonised technical conditions for these </w:t>
      </w:r>
      <w:r w:rsidR="00177E30" w:rsidRPr="008D73A7">
        <w:t>specific radiodetermination</w:t>
      </w:r>
      <w:r w:rsidR="0020229B" w:rsidRPr="008D73A7">
        <w:t xml:space="preserve"> </w:t>
      </w:r>
      <w:r w:rsidRPr="008D73A7">
        <w:t>applications in the frequency range 116</w:t>
      </w:r>
      <w:r w:rsidR="002C14E0" w:rsidRPr="008D73A7">
        <w:t>-</w:t>
      </w:r>
      <w:r w:rsidRPr="008D73A7">
        <w:t xml:space="preserve">260 GHz are presented in </w:t>
      </w:r>
      <w:r w:rsidRPr="008D73A7">
        <w:fldChar w:fldCharType="begin"/>
      </w:r>
      <w:r w:rsidRPr="008D73A7">
        <w:instrText xml:space="preserve"> REF _Ref114568495 \r \h  \* MERGEFORMAT </w:instrText>
      </w:r>
      <w:r w:rsidRPr="008D73A7">
        <w:fldChar w:fldCharType="separate"/>
      </w:r>
      <w:r w:rsidR="00113216" w:rsidRPr="008D73A7">
        <w:t>A</w:t>
      </w:r>
      <w:r w:rsidR="007B1442" w:rsidRPr="008D73A7">
        <w:t>nnex</w:t>
      </w:r>
      <w:r w:rsidR="00113216" w:rsidRPr="008D73A7">
        <w:t xml:space="preserve"> 1</w:t>
      </w:r>
      <w:r w:rsidRPr="008D73A7">
        <w:fldChar w:fldCharType="end"/>
      </w:r>
      <w:r w:rsidR="00D735A6" w:rsidRPr="008D73A7">
        <w:t>.</w:t>
      </w:r>
    </w:p>
    <w:p w14:paraId="05744069" w14:textId="04FA186C" w:rsidR="00FC1F7B" w:rsidRPr="00D35B2D" w:rsidRDefault="00E47EF0" w:rsidP="00996C08">
      <w:pPr>
        <w:pStyle w:val="ECCParagraph"/>
        <w:spacing w:before="240" w:after="60"/>
      </w:pPr>
      <w:r w:rsidRPr="006D67D5">
        <w:t xml:space="preserve">With respect to RDI-S, only </w:t>
      </w:r>
      <w:r>
        <w:t>a limited</w:t>
      </w:r>
      <w:r w:rsidRPr="006D67D5">
        <w:t xml:space="preserve"> subset of applications able to </w:t>
      </w:r>
      <w:r>
        <w:t>be operated</w:t>
      </w:r>
      <w:r w:rsidRPr="006D67D5">
        <w:t xml:space="preserve"> without </w:t>
      </w:r>
      <w:r>
        <w:t xml:space="preserve">using </w:t>
      </w:r>
      <w:r w:rsidRPr="006D67D5">
        <w:t>the passive bands subject to RR No. 5.340 are proposed for EU harmonisation in this Report.</w:t>
      </w:r>
      <w:r w:rsidR="00FC1F7B" w:rsidRPr="008D73A7">
        <w:t xml:space="preserve"> Administrations wishing to </w:t>
      </w:r>
      <w:r w:rsidRPr="00D35B2D">
        <w:t>allow usage of</w:t>
      </w:r>
      <w:r w:rsidR="00FC1F7B" w:rsidRPr="00D35B2D">
        <w:t xml:space="preserve"> RDI-S </w:t>
      </w:r>
      <w:r w:rsidRPr="00D35B2D">
        <w:t xml:space="preserve">applications </w:t>
      </w:r>
      <w:r w:rsidR="00FC1F7B" w:rsidRPr="00D35B2D">
        <w:t xml:space="preserve">in the full range 116-260 GHz, including the </w:t>
      </w:r>
      <w:r w:rsidRPr="00D35B2D">
        <w:t xml:space="preserve">passive </w:t>
      </w:r>
      <w:r w:rsidR="00FC1F7B" w:rsidRPr="00D35B2D">
        <w:t xml:space="preserve">bands to satisfy the </w:t>
      </w:r>
      <w:r w:rsidR="00A944B0" w:rsidRPr="00D35B2D">
        <w:t xml:space="preserve">industry </w:t>
      </w:r>
      <w:r w:rsidR="00FC1F7B" w:rsidRPr="00D35B2D">
        <w:t>needs, should follow the regulations given in ECC Decision (22)03</w:t>
      </w:r>
      <w:r w:rsidR="00537303" w:rsidRPr="00D35B2D">
        <w:t xml:space="preserve"> </w:t>
      </w:r>
      <w:r w:rsidR="00537303" w:rsidRPr="00D35B2D">
        <w:fldChar w:fldCharType="begin"/>
      </w:r>
      <w:r w:rsidR="00537303" w:rsidRPr="00D35B2D">
        <w:instrText xml:space="preserve"> REF ECC_DEC_22_03 \w \h  \* MERGEFORMAT </w:instrText>
      </w:r>
      <w:r w:rsidR="00537303" w:rsidRPr="00D35B2D">
        <w:fldChar w:fldCharType="separate"/>
      </w:r>
      <w:r w:rsidR="00537303" w:rsidRPr="00D35B2D">
        <w:t>[4]</w:t>
      </w:r>
      <w:r w:rsidR="00537303" w:rsidRPr="00D35B2D">
        <w:fldChar w:fldCharType="end"/>
      </w:r>
      <w:r w:rsidR="00A944B0" w:rsidRPr="00D35B2D">
        <w:t xml:space="preserve">, where CEPT has no plan to </w:t>
      </w:r>
      <w:r w:rsidR="00AF6CA6" w:rsidRPr="00D35B2D">
        <w:t xml:space="preserve">amend this </w:t>
      </w:r>
      <w:r w:rsidR="008C5E68" w:rsidRPr="00D35B2D">
        <w:t xml:space="preserve">ECC </w:t>
      </w:r>
      <w:r w:rsidR="00AF6CA6" w:rsidRPr="00D35B2D">
        <w:t>Decision in this respect</w:t>
      </w:r>
      <w:r w:rsidR="00FC1F7B" w:rsidRPr="00D35B2D">
        <w:t xml:space="preserve">. </w:t>
      </w:r>
    </w:p>
    <w:p w14:paraId="57D7B16B" w14:textId="6FBF8C0F" w:rsidR="00FC1F7B" w:rsidRPr="00D35B2D" w:rsidRDefault="00FC1F7B" w:rsidP="00996C08">
      <w:pPr>
        <w:pStyle w:val="ECCParagraph"/>
        <w:spacing w:before="240" w:after="60"/>
      </w:pPr>
      <w:bookmarkStart w:id="6" w:name="_Hlk139551456"/>
      <w:r w:rsidRPr="00D35B2D">
        <w:t xml:space="preserve">The full inclusion </w:t>
      </w:r>
      <w:r w:rsidR="00A944B0" w:rsidRPr="00D35B2D">
        <w:t xml:space="preserve">in the EU framework </w:t>
      </w:r>
      <w:r w:rsidRPr="00D35B2D">
        <w:t xml:space="preserve">of the regulations for RDI-S, including the RR No. 5.340 passive bands, </w:t>
      </w:r>
      <w:r w:rsidR="00A944B0" w:rsidRPr="00D35B2D">
        <w:t>will</w:t>
      </w:r>
      <w:r w:rsidRPr="00D35B2D">
        <w:t xml:space="preserve"> be re-assessed during the </w:t>
      </w:r>
      <w:r w:rsidR="00A944B0" w:rsidRPr="00D35B2D">
        <w:t>tenth</w:t>
      </w:r>
      <w:r w:rsidRPr="00D35B2D">
        <w:t xml:space="preserve"> update cycle of the permanent SRD mandate based on the experience gained from national implementations</w:t>
      </w:r>
      <w:r w:rsidR="00A944B0" w:rsidRPr="00D35B2D">
        <w:t xml:space="preserve"> of ECC Decision (22)03</w:t>
      </w:r>
      <w:r w:rsidRPr="00D35B2D">
        <w:t>.</w:t>
      </w:r>
    </w:p>
    <w:bookmarkEnd w:id="6"/>
    <w:p w14:paraId="0927FBED" w14:textId="35D2F02E" w:rsidR="00AB46DF" w:rsidRPr="008D73A7" w:rsidRDefault="006F47B5" w:rsidP="00E34B81">
      <w:pPr>
        <w:autoSpaceDE w:val="0"/>
        <w:autoSpaceDN w:val="0"/>
        <w:adjustRightInd w:val="0"/>
        <w:jc w:val="both"/>
        <w:rPr>
          <w:lang w:val="en-GB"/>
        </w:rPr>
      </w:pPr>
      <w:r w:rsidRPr="00D35B2D">
        <w:rPr>
          <w:lang w:val="en-GB"/>
        </w:rPr>
        <w:t>Th</w:t>
      </w:r>
      <w:r w:rsidR="00BE6901" w:rsidRPr="00D35B2D">
        <w:rPr>
          <w:lang w:val="en-GB"/>
        </w:rPr>
        <w:t>is</w:t>
      </w:r>
      <w:r w:rsidRPr="00D35B2D">
        <w:rPr>
          <w:lang w:val="en-GB"/>
        </w:rPr>
        <w:t xml:space="preserve"> </w:t>
      </w:r>
      <w:r w:rsidR="00BE6901" w:rsidRPr="00D35B2D">
        <w:rPr>
          <w:lang w:val="en-GB"/>
        </w:rPr>
        <w:t>R</w:t>
      </w:r>
      <w:r w:rsidRPr="00D35B2D">
        <w:rPr>
          <w:lang w:val="en-GB"/>
        </w:rPr>
        <w:t xml:space="preserve">eport </w:t>
      </w:r>
      <w:r w:rsidR="00BF6069" w:rsidRPr="00D35B2D">
        <w:rPr>
          <w:lang w:val="en-GB"/>
        </w:rPr>
        <w:t>has been</w:t>
      </w:r>
      <w:r w:rsidRPr="00D35B2D">
        <w:rPr>
          <w:lang w:val="en-GB"/>
        </w:rPr>
        <w:t xml:space="preserve"> developed in response </w:t>
      </w:r>
      <w:r w:rsidR="00947D7D" w:rsidRPr="00D35B2D">
        <w:rPr>
          <w:lang w:val="en-GB"/>
        </w:rPr>
        <w:t xml:space="preserve">to </w:t>
      </w:r>
      <w:r w:rsidR="0020229B" w:rsidRPr="00D35B2D">
        <w:rPr>
          <w:lang w:val="en-GB"/>
        </w:rPr>
        <w:t xml:space="preserve">the permanent </w:t>
      </w:r>
      <w:r w:rsidR="00804369" w:rsidRPr="00D35B2D">
        <w:rPr>
          <w:lang w:val="en-GB"/>
        </w:rPr>
        <w:t>m</w:t>
      </w:r>
      <w:r w:rsidR="0020229B" w:rsidRPr="00D35B2D">
        <w:rPr>
          <w:lang w:val="en-GB"/>
        </w:rPr>
        <w:t xml:space="preserve">andate to CEPT </w:t>
      </w:r>
      <w:r w:rsidR="00804369" w:rsidRPr="00D35B2D">
        <w:rPr>
          <w:lang w:val="en-GB"/>
        </w:rPr>
        <w:t xml:space="preserve">relating to </w:t>
      </w:r>
      <w:r w:rsidR="00B618E7" w:rsidRPr="00D35B2D">
        <w:rPr>
          <w:lang w:val="en-GB"/>
        </w:rPr>
        <w:t>Short Range</w:t>
      </w:r>
      <w:r w:rsidR="00B618E7" w:rsidRPr="008D73A7">
        <w:rPr>
          <w:lang w:val="en-GB"/>
        </w:rPr>
        <w:t xml:space="preserve"> Devices (SRD).</w:t>
      </w:r>
      <w:r w:rsidR="00D75559" w:rsidRPr="006D67D5">
        <w:rPr>
          <w:lang w:val="en-GB"/>
        </w:rPr>
        <w:t xml:space="preserve"> Detailed coexistence studies, including technical parameters, which are the basis for this Report are provided in ECC Report 334 </w:t>
      </w:r>
      <w:r w:rsidR="00D75559" w:rsidRPr="006D67D5">
        <w:rPr>
          <w:lang w:val="en-GB"/>
        </w:rPr>
        <w:fldChar w:fldCharType="begin"/>
      </w:r>
      <w:r w:rsidR="00D75559" w:rsidRPr="006D67D5">
        <w:rPr>
          <w:lang w:val="en-GB"/>
        </w:rPr>
        <w:instrText xml:space="preserve"> REF  ECC_Report_334 \h \n  \* MERGEFORMAT </w:instrText>
      </w:r>
      <w:r w:rsidR="00D75559" w:rsidRPr="006D67D5">
        <w:rPr>
          <w:lang w:val="en-GB"/>
        </w:rPr>
      </w:r>
      <w:r w:rsidR="00D75559" w:rsidRPr="006D67D5">
        <w:rPr>
          <w:lang w:val="en-GB"/>
        </w:rPr>
        <w:fldChar w:fldCharType="separate"/>
      </w:r>
      <w:r w:rsidR="00D75559" w:rsidRPr="006D67D5">
        <w:rPr>
          <w:lang w:val="en-GB"/>
        </w:rPr>
        <w:t>[1]</w:t>
      </w:r>
      <w:r w:rsidR="00D75559" w:rsidRPr="006D67D5">
        <w:rPr>
          <w:lang w:val="en-GB"/>
        </w:rPr>
        <w:fldChar w:fldCharType="end"/>
      </w:r>
      <w:r w:rsidR="00D75559" w:rsidRPr="006D67D5">
        <w:rPr>
          <w:lang w:val="en-GB"/>
        </w:rPr>
        <w:t xml:space="preserve"> and </w:t>
      </w:r>
      <w:r w:rsidR="00660BE7" w:rsidRPr="006D67D5">
        <w:rPr>
          <w:lang w:val="en-GB"/>
        </w:rPr>
        <w:t>ECC Report</w:t>
      </w:r>
      <w:r w:rsidR="00660BE7">
        <w:rPr>
          <w:lang w:val="en-GB"/>
        </w:rPr>
        <w:t xml:space="preserve"> </w:t>
      </w:r>
      <w:r w:rsidR="00D75559" w:rsidRPr="006D67D5">
        <w:rPr>
          <w:lang w:val="en-GB"/>
        </w:rPr>
        <w:t xml:space="preserve">351 </w:t>
      </w:r>
      <w:r w:rsidR="00D75559" w:rsidRPr="006D67D5">
        <w:rPr>
          <w:lang w:val="en-GB"/>
        </w:rPr>
        <w:fldChar w:fldCharType="begin"/>
      </w:r>
      <w:r w:rsidR="00D75559" w:rsidRPr="006D67D5">
        <w:rPr>
          <w:lang w:val="en-GB"/>
        </w:rPr>
        <w:instrText xml:space="preserve"> REF _Ref133412098 \r \h </w:instrText>
      </w:r>
      <w:r w:rsidR="00D75559" w:rsidRPr="006D67D5">
        <w:rPr>
          <w:lang w:val="en-GB"/>
        </w:rPr>
      </w:r>
      <w:r w:rsidR="00D75559" w:rsidRPr="006D67D5">
        <w:rPr>
          <w:lang w:val="en-GB"/>
        </w:rPr>
        <w:fldChar w:fldCharType="separate"/>
      </w:r>
      <w:r w:rsidR="00D75559" w:rsidRPr="006D67D5">
        <w:rPr>
          <w:lang w:val="en-GB"/>
        </w:rPr>
        <w:t>[2]</w:t>
      </w:r>
      <w:r w:rsidR="00D75559" w:rsidRPr="006D67D5">
        <w:rPr>
          <w:lang w:val="en-GB"/>
        </w:rPr>
        <w:fldChar w:fldCharType="end"/>
      </w:r>
      <w:r w:rsidR="00D75559" w:rsidRPr="006D67D5">
        <w:rPr>
          <w:lang w:val="en-GB"/>
        </w:rPr>
        <w:t>.</w:t>
      </w:r>
    </w:p>
    <w:p w14:paraId="5B935CE0" w14:textId="5F0C36D5" w:rsidR="00DE76DD" w:rsidRDefault="0020229B" w:rsidP="00BA6500">
      <w:pPr>
        <w:pStyle w:val="ECCParagraph"/>
        <w:spacing w:before="240" w:after="60"/>
        <w:rPr>
          <w:szCs w:val="20"/>
        </w:rPr>
      </w:pPr>
      <w:r w:rsidRPr="008D73A7">
        <w:rPr>
          <w:szCs w:val="20"/>
        </w:rPr>
        <w:t xml:space="preserve">SRD </w:t>
      </w:r>
      <w:r w:rsidR="009C5043" w:rsidRPr="008D73A7">
        <w:rPr>
          <w:szCs w:val="20"/>
        </w:rPr>
        <w:t xml:space="preserve">under these conditions </w:t>
      </w:r>
      <w:proofErr w:type="gramStart"/>
      <w:r w:rsidR="00BB5C92" w:rsidRPr="008D73A7">
        <w:rPr>
          <w:szCs w:val="20"/>
        </w:rPr>
        <w:t>are</w:t>
      </w:r>
      <w:proofErr w:type="gramEnd"/>
      <w:r w:rsidR="00BB5C92" w:rsidRPr="008D73A7">
        <w:rPr>
          <w:szCs w:val="20"/>
        </w:rPr>
        <w:t xml:space="preserve"> </w:t>
      </w:r>
      <w:r w:rsidR="009C5043" w:rsidRPr="008D73A7">
        <w:rPr>
          <w:szCs w:val="20"/>
        </w:rPr>
        <w:t xml:space="preserve">expected to be exempt from individual licensing. The harmonisation on an EU basis would support EU Directive 2014/53/EU </w:t>
      </w:r>
      <w:r w:rsidR="002403B5" w:rsidRPr="008D73A7">
        <w:rPr>
          <w:szCs w:val="20"/>
        </w:rPr>
        <w:fldChar w:fldCharType="begin"/>
      </w:r>
      <w:r w:rsidR="002403B5" w:rsidRPr="008D73A7">
        <w:rPr>
          <w:szCs w:val="20"/>
        </w:rPr>
        <w:instrText xml:space="preserve"> REF RED \w \h </w:instrText>
      </w:r>
      <w:r w:rsidR="002403B5" w:rsidRPr="008D73A7">
        <w:rPr>
          <w:szCs w:val="20"/>
        </w:rPr>
      </w:r>
      <w:r w:rsidR="002403B5" w:rsidRPr="008D73A7">
        <w:rPr>
          <w:szCs w:val="20"/>
        </w:rPr>
        <w:fldChar w:fldCharType="separate"/>
      </w:r>
      <w:r w:rsidR="00095B5A" w:rsidRPr="008D73A7">
        <w:rPr>
          <w:szCs w:val="20"/>
        </w:rPr>
        <w:t>[6]</w:t>
      </w:r>
      <w:r w:rsidR="002403B5" w:rsidRPr="008D73A7">
        <w:rPr>
          <w:szCs w:val="20"/>
        </w:rPr>
        <w:fldChar w:fldCharType="end"/>
      </w:r>
      <w:r w:rsidR="009C5043" w:rsidRPr="008D73A7">
        <w:rPr>
          <w:szCs w:val="20"/>
        </w:rPr>
        <w:t xml:space="preserve"> of the European Parliament and of the Council of 16 April 2014 on radio equipment and telecommunications terminal equipment and the mutual recognition of their conformity</w:t>
      </w:r>
      <w:r w:rsidR="004552E7" w:rsidRPr="008D73A7">
        <w:rPr>
          <w:szCs w:val="20"/>
        </w:rPr>
        <w:t xml:space="preserve"> (RED)</w:t>
      </w:r>
      <w:r w:rsidR="009C5043" w:rsidRPr="008D73A7">
        <w:rPr>
          <w:szCs w:val="20"/>
        </w:rPr>
        <w:t xml:space="preserve">. </w:t>
      </w:r>
      <w:r w:rsidR="00DE76DD" w:rsidRPr="00DE76DD">
        <w:rPr>
          <w:szCs w:val="20"/>
        </w:rPr>
        <w:t>Considering the significant number of new applications altogether using the same specific and new sub-terahertz band 116-260 GHz, CEPT invites the European Commission to consider for harmonisation a new dedicated EC Decision</w:t>
      </w:r>
      <w:r w:rsidR="00AF6CA6">
        <w:rPr>
          <w:szCs w:val="20"/>
        </w:rPr>
        <w:t>, since it is expected that these radiodetermination applications will not be subject to regular changes</w:t>
      </w:r>
      <w:r w:rsidR="00DE76DD" w:rsidRPr="00DE76DD">
        <w:rPr>
          <w:szCs w:val="20"/>
        </w:rPr>
        <w:t>.</w:t>
      </w:r>
    </w:p>
    <w:p w14:paraId="50EA5ADF" w14:textId="0E6728E1" w:rsidR="009C5043" w:rsidRPr="008D73A7" w:rsidRDefault="009C5043" w:rsidP="00BA6500">
      <w:pPr>
        <w:pStyle w:val="ECCParagraph"/>
        <w:spacing w:before="240" w:after="60"/>
        <w:rPr>
          <w:szCs w:val="20"/>
        </w:rPr>
      </w:pPr>
      <w:r w:rsidRPr="008D73A7">
        <w:rPr>
          <w:szCs w:val="20"/>
        </w:rPr>
        <w:t xml:space="preserve">Additionally, CEPT has </w:t>
      </w:r>
      <w:r w:rsidR="00BF6069" w:rsidRPr="008D73A7">
        <w:rPr>
          <w:szCs w:val="20"/>
        </w:rPr>
        <w:t>developed</w:t>
      </w:r>
      <w:r w:rsidRPr="008D73A7">
        <w:rPr>
          <w:szCs w:val="20"/>
        </w:rPr>
        <w:t xml:space="preserve"> ECC Decision (22)03</w:t>
      </w:r>
      <w:r w:rsidR="00BF6069" w:rsidRPr="008D73A7">
        <w:rPr>
          <w:szCs w:val="20"/>
        </w:rPr>
        <w:t xml:space="preserve"> </w:t>
      </w:r>
      <w:r w:rsidRPr="008D73A7">
        <w:rPr>
          <w:szCs w:val="20"/>
        </w:rPr>
        <w:t>to foster wider regional harmonisation of the use of the frequency range 116</w:t>
      </w:r>
      <w:r w:rsidR="00691DAC" w:rsidRPr="008D73A7">
        <w:rPr>
          <w:szCs w:val="20"/>
        </w:rPr>
        <w:t>-</w:t>
      </w:r>
      <w:r w:rsidRPr="008D73A7">
        <w:rPr>
          <w:szCs w:val="20"/>
        </w:rPr>
        <w:t>260 GHz by</w:t>
      </w:r>
      <w:r w:rsidR="009B6726" w:rsidRPr="008D73A7">
        <w:rPr>
          <w:szCs w:val="20"/>
        </w:rPr>
        <w:t xml:space="preserve"> </w:t>
      </w:r>
      <w:r w:rsidR="00B749E8" w:rsidRPr="008D73A7">
        <w:t>Short Range Devices</w:t>
      </w:r>
      <w:r w:rsidRPr="008D73A7">
        <w:rPr>
          <w:szCs w:val="20"/>
        </w:rPr>
        <w:t>.</w:t>
      </w:r>
    </w:p>
    <w:p w14:paraId="093D241C" w14:textId="1F2BA9B4" w:rsidR="009C5043" w:rsidRPr="008D73A7" w:rsidRDefault="009C5043">
      <w:pPr>
        <w:rPr>
          <w:lang w:val="en-GB"/>
        </w:rPr>
      </w:pPr>
      <w:r w:rsidRPr="008D73A7">
        <w:rPr>
          <w:lang w:val="en-GB"/>
        </w:rPr>
        <w:br w:type="page"/>
      </w:r>
    </w:p>
    <w:p w14:paraId="0AF37301" w14:textId="77777777" w:rsidR="00E20FFF" w:rsidRPr="008D73A7" w:rsidRDefault="00E20FFF" w:rsidP="00AB46DF">
      <w:pPr>
        <w:rPr>
          <w:b/>
          <w:color w:val="FFFFFF"/>
          <w:szCs w:val="20"/>
          <w:lang w:val="en-GB"/>
        </w:rPr>
      </w:pPr>
    </w:p>
    <w:p w14:paraId="0FC3CBDB" w14:textId="56A4CA58" w:rsidR="00AB46DF" w:rsidRPr="008D73A7" w:rsidRDefault="00D20E3B" w:rsidP="00AB46DF">
      <w:pPr>
        <w:rPr>
          <w:b/>
          <w:color w:val="FFFFFF"/>
          <w:szCs w:val="20"/>
          <w:lang w:val="en-GB"/>
        </w:rPr>
      </w:pPr>
      <w:r w:rsidRPr="008D73A7">
        <w:rPr>
          <w:b/>
          <w:noProof/>
          <w:color w:val="FFFFFF"/>
          <w:szCs w:val="20"/>
          <w:lang w:val="en-GB" w:eastAsia="fr-FR"/>
        </w:rPr>
        <mc:AlternateContent>
          <mc:Choice Requires="wps">
            <w:drawing>
              <wp:anchor distT="0" distB="0" distL="114300" distR="114300" simplePos="0" relativeHeight="251658240" behindDoc="1" locked="0" layoutInCell="1" allowOverlap="1" wp14:anchorId="66917168" wp14:editId="5DDFC353">
                <wp:simplePos x="0" y="0"/>
                <wp:positionH relativeFrom="page">
                  <wp:posOffset>0</wp:posOffset>
                </wp:positionH>
                <wp:positionV relativeFrom="page">
                  <wp:posOffset>900430</wp:posOffset>
                </wp:positionV>
                <wp:extent cx="7560310" cy="720090"/>
                <wp:effectExtent l="0" t="0" r="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3BB8E" id="Rectangle 6" o:spid="_x0000_s1026" style="position:absolute;margin-left:0;margin-top:70.9pt;width:595.3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" fillcolor="#b0a696" stroked="f">
                <w10:wrap anchorx="page" anchory="page"/>
              </v:rect>
            </w:pict>
          </mc:Fallback>
        </mc:AlternateContent>
      </w:r>
      <w:r w:rsidR="002209A7" w:rsidRPr="008D73A7">
        <w:rPr>
          <w:b/>
          <w:color w:val="FFFFFF"/>
          <w:szCs w:val="20"/>
          <w:lang w:val="en-GB"/>
        </w:rPr>
        <w:t>TABLE OF CONTENTS</w:t>
      </w:r>
    </w:p>
    <w:p w14:paraId="6570484E" w14:textId="77777777" w:rsidR="00512677" w:rsidRPr="008D73A7" w:rsidRDefault="00512677" w:rsidP="00AB46DF">
      <w:pPr>
        <w:rPr>
          <w:b/>
          <w:color w:val="FFFFFF"/>
          <w:szCs w:val="20"/>
          <w:lang w:val="en-GB"/>
        </w:rPr>
      </w:pPr>
    </w:p>
    <w:p w14:paraId="5A9930B5" w14:textId="77777777" w:rsidR="00AB46DF" w:rsidRPr="008D73A7" w:rsidRDefault="00AB46DF">
      <w:pPr>
        <w:rPr>
          <w:lang w:val="en-GB"/>
        </w:rPr>
      </w:pPr>
    </w:p>
    <w:p w14:paraId="7FBBAB01" w14:textId="70038EAE" w:rsidR="00705B06" w:rsidRDefault="00BB6366">
      <w:pPr>
        <w:pStyle w:val="TOC1"/>
        <w:rPr>
          <w:rFonts w:asciiTheme="minorHAnsi" w:eastAsiaTheme="minorEastAsia" w:hAnsiTheme="minorHAnsi" w:cstheme="minorBidi"/>
          <w:b w:val="0"/>
          <w:caps w:val="0"/>
          <w:noProof/>
          <w:sz w:val="22"/>
          <w:szCs w:val="22"/>
          <w:lang w:val="fr-FR" w:eastAsia="fr-FR"/>
        </w:rPr>
      </w:pPr>
      <w:r>
        <w:rPr>
          <w:lang w:val="en-GB"/>
        </w:rPr>
        <w:fldChar w:fldCharType="begin"/>
      </w:r>
      <w:r>
        <w:rPr>
          <w:lang w:val="en-GB"/>
        </w:rPr>
        <w:instrText xml:space="preserve"> TOC \o "2-2" \h \z \t "Titre 1;1;ECC Annex heading1;1" </w:instrText>
      </w:r>
      <w:r>
        <w:rPr>
          <w:lang w:val="en-GB"/>
        </w:rPr>
        <w:fldChar w:fldCharType="separate"/>
      </w:r>
      <w:hyperlink w:anchor="_Toc153443759" w:history="1">
        <w:r w:rsidR="00705B06" w:rsidRPr="00264E14">
          <w:rPr>
            <w:rStyle w:val="Hyperlink"/>
            <w:noProof/>
          </w:rPr>
          <w:t>0</w:t>
        </w:r>
        <w:r w:rsidR="00705B06">
          <w:rPr>
            <w:rFonts w:asciiTheme="minorHAnsi" w:eastAsiaTheme="minorEastAsia" w:hAnsiTheme="minorHAnsi" w:cstheme="minorBidi"/>
            <w:b w:val="0"/>
            <w:caps w:val="0"/>
            <w:noProof/>
            <w:sz w:val="22"/>
            <w:szCs w:val="22"/>
            <w:lang w:val="fr-FR" w:eastAsia="fr-FR"/>
          </w:rPr>
          <w:tab/>
        </w:r>
        <w:r w:rsidR="00705B06" w:rsidRPr="00264E14">
          <w:rPr>
            <w:rStyle w:val="Hyperlink"/>
            <w:noProof/>
          </w:rPr>
          <w:t>Executive summary</w:t>
        </w:r>
        <w:r w:rsidR="00705B06">
          <w:rPr>
            <w:noProof/>
            <w:webHidden/>
          </w:rPr>
          <w:tab/>
        </w:r>
        <w:r w:rsidR="00705B06">
          <w:rPr>
            <w:noProof/>
            <w:webHidden/>
          </w:rPr>
          <w:fldChar w:fldCharType="begin"/>
        </w:r>
        <w:r w:rsidR="00705B06">
          <w:rPr>
            <w:noProof/>
            <w:webHidden/>
          </w:rPr>
          <w:instrText xml:space="preserve"> PAGEREF _Toc153443759 \h </w:instrText>
        </w:r>
        <w:r w:rsidR="00705B06">
          <w:rPr>
            <w:noProof/>
            <w:webHidden/>
          </w:rPr>
        </w:r>
        <w:r w:rsidR="00705B06">
          <w:rPr>
            <w:noProof/>
            <w:webHidden/>
          </w:rPr>
          <w:fldChar w:fldCharType="separate"/>
        </w:r>
        <w:r w:rsidR="008F5D4D">
          <w:rPr>
            <w:noProof/>
            <w:webHidden/>
          </w:rPr>
          <w:t>2</w:t>
        </w:r>
        <w:r w:rsidR="00705B06">
          <w:rPr>
            <w:noProof/>
            <w:webHidden/>
          </w:rPr>
          <w:fldChar w:fldCharType="end"/>
        </w:r>
      </w:hyperlink>
    </w:p>
    <w:p w14:paraId="5D9C4D82" w14:textId="22F50591" w:rsidR="00705B06" w:rsidRDefault="009457E7">
      <w:pPr>
        <w:pStyle w:val="TOC1"/>
        <w:rPr>
          <w:rFonts w:asciiTheme="minorHAnsi" w:eastAsiaTheme="minorEastAsia" w:hAnsiTheme="minorHAnsi" w:cstheme="minorBidi"/>
          <w:b w:val="0"/>
          <w:caps w:val="0"/>
          <w:noProof/>
          <w:sz w:val="22"/>
          <w:szCs w:val="22"/>
          <w:lang w:val="fr-FR" w:eastAsia="fr-FR"/>
        </w:rPr>
      </w:pPr>
      <w:hyperlink w:anchor="_Toc153443760" w:history="1">
        <w:r w:rsidR="00705B06" w:rsidRPr="00264E14">
          <w:rPr>
            <w:rStyle w:val="Hyperlink"/>
            <w:noProof/>
          </w:rPr>
          <w:t>1</w:t>
        </w:r>
        <w:r w:rsidR="00705B06">
          <w:rPr>
            <w:rFonts w:asciiTheme="minorHAnsi" w:eastAsiaTheme="minorEastAsia" w:hAnsiTheme="minorHAnsi" w:cstheme="minorBidi"/>
            <w:b w:val="0"/>
            <w:caps w:val="0"/>
            <w:noProof/>
            <w:sz w:val="22"/>
            <w:szCs w:val="22"/>
            <w:lang w:val="fr-FR" w:eastAsia="fr-FR"/>
          </w:rPr>
          <w:tab/>
        </w:r>
        <w:r w:rsidR="00705B06" w:rsidRPr="00264E14">
          <w:rPr>
            <w:rStyle w:val="Hyperlink"/>
            <w:noProof/>
          </w:rPr>
          <w:t>Introduction</w:t>
        </w:r>
        <w:r w:rsidR="00705B06">
          <w:rPr>
            <w:noProof/>
            <w:webHidden/>
          </w:rPr>
          <w:tab/>
        </w:r>
        <w:r w:rsidR="00705B06">
          <w:rPr>
            <w:noProof/>
            <w:webHidden/>
          </w:rPr>
          <w:fldChar w:fldCharType="begin"/>
        </w:r>
        <w:r w:rsidR="00705B06">
          <w:rPr>
            <w:noProof/>
            <w:webHidden/>
          </w:rPr>
          <w:instrText xml:space="preserve"> PAGEREF _Toc153443760 \h </w:instrText>
        </w:r>
        <w:r w:rsidR="00705B06">
          <w:rPr>
            <w:noProof/>
            <w:webHidden/>
          </w:rPr>
        </w:r>
        <w:r w:rsidR="00705B06">
          <w:rPr>
            <w:noProof/>
            <w:webHidden/>
          </w:rPr>
          <w:fldChar w:fldCharType="separate"/>
        </w:r>
        <w:r w:rsidR="008F5D4D">
          <w:rPr>
            <w:noProof/>
            <w:webHidden/>
          </w:rPr>
          <w:t>5</w:t>
        </w:r>
        <w:r w:rsidR="00705B06">
          <w:rPr>
            <w:noProof/>
            <w:webHidden/>
          </w:rPr>
          <w:fldChar w:fldCharType="end"/>
        </w:r>
      </w:hyperlink>
    </w:p>
    <w:p w14:paraId="50564FB7" w14:textId="79FA2C2C" w:rsidR="00705B06" w:rsidRDefault="009457E7">
      <w:pPr>
        <w:pStyle w:val="TOC1"/>
        <w:rPr>
          <w:rFonts w:asciiTheme="minorHAnsi" w:eastAsiaTheme="minorEastAsia" w:hAnsiTheme="minorHAnsi" w:cstheme="minorBidi"/>
          <w:b w:val="0"/>
          <w:caps w:val="0"/>
          <w:noProof/>
          <w:sz w:val="22"/>
          <w:szCs w:val="22"/>
          <w:lang w:val="fr-FR" w:eastAsia="fr-FR"/>
        </w:rPr>
      </w:pPr>
      <w:hyperlink w:anchor="_Toc153443761" w:history="1">
        <w:r w:rsidR="00705B06" w:rsidRPr="00264E14">
          <w:rPr>
            <w:rStyle w:val="Hyperlink"/>
            <w:noProof/>
          </w:rPr>
          <w:t>2</w:t>
        </w:r>
        <w:r w:rsidR="00705B06">
          <w:rPr>
            <w:rFonts w:asciiTheme="minorHAnsi" w:eastAsiaTheme="minorEastAsia" w:hAnsiTheme="minorHAnsi" w:cstheme="minorBidi"/>
            <w:b w:val="0"/>
            <w:caps w:val="0"/>
            <w:noProof/>
            <w:sz w:val="22"/>
            <w:szCs w:val="22"/>
            <w:lang w:val="fr-FR" w:eastAsia="fr-FR"/>
          </w:rPr>
          <w:tab/>
        </w:r>
        <w:r w:rsidR="00705B06" w:rsidRPr="00264E14">
          <w:rPr>
            <w:rStyle w:val="Hyperlink"/>
            <w:noProof/>
          </w:rPr>
          <w:t>Radiodetermination use cases considered</w:t>
        </w:r>
        <w:r w:rsidR="00705B06">
          <w:rPr>
            <w:noProof/>
            <w:webHidden/>
          </w:rPr>
          <w:tab/>
        </w:r>
        <w:r w:rsidR="00705B06">
          <w:rPr>
            <w:noProof/>
            <w:webHidden/>
          </w:rPr>
          <w:fldChar w:fldCharType="begin"/>
        </w:r>
        <w:r w:rsidR="00705B06">
          <w:rPr>
            <w:noProof/>
            <w:webHidden/>
          </w:rPr>
          <w:instrText xml:space="preserve"> PAGEREF _Toc153443761 \h </w:instrText>
        </w:r>
        <w:r w:rsidR="00705B06">
          <w:rPr>
            <w:noProof/>
            <w:webHidden/>
          </w:rPr>
        </w:r>
        <w:r w:rsidR="00705B06">
          <w:rPr>
            <w:noProof/>
            <w:webHidden/>
          </w:rPr>
          <w:fldChar w:fldCharType="separate"/>
        </w:r>
        <w:r w:rsidR="008F5D4D">
          <w:rPr>
            <w:noProof/>
            <w:webHidden/>
          </w:rPr>
          <w:t>6</w:t>
        </w:r>
        <w:r w:rsidR="00705B06">
          <w:rPr>
            <w:noProof/>
            <w:webHidden/>
          </w:rPr>
          <w:fldChar w:fldCharType="end"/>
        </w:r>
      </w:hyperlink>
    </w:p>
    <w:p w14:paraId="1A3CF101" w14:textId="39AC66B4" w:rsidR="00705B06" w:rsidRDefault="009457E7" w:rsidP="008F5D4D">
      <w:pPr>
        <w:pStyle w:val="TOC2"/>
        <w:rPr>
          <w:rFonts w:asciiTheme="minorHAnsi" w:eastAsiaTheme="minorEastAsia" w:hAnsiTheme="minorHAnsi" w:cstheme="minorBidi"/>
          <w:noProof/>
          <w:sz w:val="22"/>
          <w:szCs w:val="22"/>
          <w:lang w:val="fr-FR" w:eastAsia="fr-FR"/>
        </w:rPr>
      </w:pPr>
      <w:hyperlink w:anchor="_Toc153443762" w:history="1">
        <w:r w:rsidR="00705B06" w:rsidRPr="00264E14">
          <w:rPr>
            <w:rStyle w:val="Hyperlink"/>
            <w:noProof/>
            <w:lang w:val="en-GB"/>
          </w:rPr>
          <w:t>2.1</w:t>
        </w:r>
        <w:r w:rsidR="00705B06">
          <w:rPr>
            <w:rFonts w:asciiTheme="minorHAnsi" w:eastAsiaTheme="minorEastAsia" w:hAnsiTheme="minorHAnsi" w:cstheme="minorBidi"/>
            <w:noProof/>
            <w:sz w:val="22"/>
            <w:szCs w:val="22"/>
            <w:lang w:val="fr-FR" w:eastAsia="fr-FR"/>
          </w:rPr>
          <w:tab/>
        </w:r>
        <w:r w:rsidR="00705B06" w:rsidRPr="00264E14">
          <w:rPr>
            <w:rStyle w:val="Hyperlink"/>
            <w:noProof/>
            <w:lang w:val="en-GB"/>
          </w:rPr>
          <w:t>Introduction</w:t>
        </w:r>
        <w:r w:rsidR="00705B06">
          <w:rPr>
            <w:noProof/>
            <w:webHidden/>
          </w:rPr>
          <w:tab/>
        </w:r>
        <w:r w:rsidR="00705B06">
          <w:rPr>
            <w:noProof/>
            <w:webHidden/>
          </w:rPr>
          <w:fldChar w:fldCharType="begin"/>
        </w:r>
        <w:r w:rsidR="00705B06">
          <w:rPr>
            <w:noProof/>
            <w:webHidden/>
          </w:rPr>
          <w:instrText xml:space="preserve"> PAGEREF _Toc153443762 \h </w:instrText>
        </w:r>
        <w:r w:rsidR="00705B06">
          <w:rPr>
            <w:noProof/>
            <w:webHidden/>
          </w:rPr>
        </w:r>
        <w:r w:rsidR="00705B06">
          <w:rPr>
            <w:noProof/>
            <w:webHidden/>
          </w:rPr>
          <w:fldChar w:fldCharType="separate"/>
        </w:r>
        <w:r w:rsidR="008F5D4D">
          <w:rPr>
            <w:noProof/>
            <w:webHidden/>
          </w:rPr>
          <w:t>6</w:t>
        </w:r>
        <w:r w:rsidR="00705B06">
          <w:rPr>
            <w:noProof/>
            <w:webHidden/>
          </w:rPr>
          <w:fldChar w:fldCharType="end"/>
        </w:r>
      </w:hyperlink>
    </w:p>
    <w:p w14:paraId="2EF67ED1" w14:textId="0A99492F" w:rsidR="00705B06" w:rsidRDefault="009457E7" w:rsidP="008F5D4D">
      <w:pPr>
        <w:pStyle w:val="TOC2"/>
        <w:rPr>
          <w:rFonts w:asciiTheme="minorHAnsi" w:eastAsiaTheme="minorEastAsia" w:hAnsiTheme="minorHAnsi" w:cstheme="minorBidi"/>
          <w:noProof/>
          <w:sz w:val="22"/>
          <w:szCs w:val="22"/>
          <w:lang w:val="fr-FR" w:eastAsia="fr-FR"/>
        </w:rPr>
      </w:pPr>
      <w:hyperlink w:anchor="_Toc153443763" w:history="1">
        <w:r w:rsidR="00705B06" w:rsidRPr="00264E14">
          <w:rPr>
            <w:rStyle w:val="Hyperlink"/>
            <w:noProof/>
            <w:lang w:val="en-GB"/>
          </w:rPr>
          <w:t>2.2</w:t>
        </w:r>
        <w:r w:rsidR="00705B06">
          <w:rPr>
            <w:rFonts w:asciiTheme="minorHAnsi" w:eastAsiaTheme="minorEastAsia" w:hAnsiTheme="minorHAnsi" w:cstheme="minorBidi"/>
            <w:noProof/>
            <w:sz w:val="22"/>
            <w:szCs w:val="22"/>
            <w:lang w:val="fr-FR" w:eastAsia="fr-FR"/>
          </w:rPr>
          <w:tab/>
        </w:r>
        <w:r w:rsidR="00705B06" w:rsidRPr="00264E14">
          <w:rPr>
            <w:rStyle w:val="Hyperlink"/>
            <w:noProof/>
            <w:lang w:val="en-GB"/>
          </w:rPr>
          <w:t>Application overview</w:t>
        </w:r>
        <w:r w:rsidR="00705B06">
          <w:rPr>
            <w:noProof/>
            <w:webHidden/>
          </w:rPr>
          <w:tab/>
        </w:r>
        <w:r w:rsidR="00705B06">
          <w:rPr>
            <w:noProof/>
            <w:webHidden/>
          </w:rPr>
          <w:fldChar w:fldCharType="begin"/>
        </w:r>
        <w:r w:rsidR="00705B06">
          <w:rPr>
            <w:noProof/>
            <w:webHidden/>
          </w:rPr>
          <w:instrText xml:space="preserve"> PAGEREF _Toc153443763 \h </w:instrText>
        </w:r>
        <w:r w:rsidR="00705B06">
          <w:rPr>
            <w:noProof/>
            <w:webHidden/>
          </w:rPr>
        </w:r>
        <w:r w:rsidR="00705B06">
          <w:rPr>
            <w:noProof/>
            <w:webHidden/>
          </w:rPr>
          <w:fldChar w:fldCharType="separate"/>
        </w:r>
        <w:r w:rsidR="008F5D4D">
          <w:rPr>
            <w:noProof/>
            <w:webHidden/>
          </w:rPr>
          <w:t>6</w:t>
        </w:r>
        <w:r w:rsidR="00705B06">
          <w:rPr>
            <w:noProof/>
            <w:webHidden/>
          </w:rPr>
          <w:fldChar w:fldCharType="end"/>
        </w:r>
      </w:hyperlink>
    </w:p>
    <w:p w14:paraId="416BEE65" w14:textId="1629DF88" w:rsidR="00705B06" w:rsidRDefault="009457E7">
      <w:pPr>
        <w:pStyle w:val="TOC1"/>
        <w:rPr>
          <w:rFonts w:asciiTheme="minorHAnsi" w:eastAsiaTheme="minorEastAsia" w:hAnsiTheme="minorHAnsi" w:cstheme="minorBidi"/>
          <w:b w:val="0"/>
          <w:caps w:val="0"/>
          <w:noProof/>
          <w:sz w:val="22"/>
          <w:szCs w:val="22"/>
          <w:lang w:val="fr-FR" w:eastAsia="fr-FR"/>
        </w:rPr>
      </w:pPr>
      <w:hyperlink w:anchor="_Toc153443764" w:history="1">
        <w:r w:rsidR="00705B06" w:rsidRPr="00264E14">
          <w:rPr>
            <w:rStyle w:val="Hyperlink"/>
            <w:noProof/>
          </w:rPr>
          <w:t>3</w:t>
        </w:r>
        <w:r w:rsidR="00705B06">
          <w:rPr>
            <w:rFonts w:asciiTheme="minorHAnsi" w:eastAsiaTheme="minorEastAsia" w:hAnsiTheme="minorHAnsi" w:cstheme="minorBidi"/>
            <w:b w:val="0"/>
            <w:caps w:val="0"/>
            <w:noProof/>
            <w:sz w:val="22"/>
            <w:szCs w:val="22"/>
            <w:lang w:val="fr-FR" w:eastAsia="fr-FR"/>
          </w:rPr>
          <w:tab/>
        </w:r>
        <w:r w:rsidR="00705B06" w:rsidRPr="00264E14">
          <w:rPr>
            <w:rStyle w:val="Hyperlink"/>
            <w:noProof/>
          </w:rPr>
          <w:t>Review of coexistence issues</w:t>
        </w:r>
        <w:r w:rsidR="00705B06">
          <w:rPr>
            <w:noProof/>
            <w:webHidden/>
          </w:rPr>
          <w:tab/>
        </w:r>
        <w:r w:rsidR="00705B06">
          <w:rPr>
            <w:noProof/>
            <w:webHidden/>
          </w:rPr>
          <w:fldChar w:fldCharType="begin"/>
        </w:r>
        <w:r w:rsidR="00705B06">
          <w:rPr>
            <w:noProof/>
            <w:webHidden/>
          </w:rPr>
          <w:instrText xml:space="preserve"> PAGEREF _Toc153443764 \h </w:instrText>
        </w:r>
        <w:r w:rsidR="00705B06">
          <w:rPr>
            <w:noProof/>
            <w:webHidden/>
          </w:rPr>
        </w:r>
        <w:r w:rsidR="00705B06">
          <w:rPr>
            <w:noProof/>
            <w:webHidden/>
          </w:rPr>
          <w:fldChar w:fldCharType="separate"/>
        </w:r>
        <w:r w:rsidR="008F5D4D">
          <w:rPr>
            <w:noProof/>
            <w:webHidden/>
          </w:rPr>
          <w:t>9</w:t>
        </w:r>
        <w:r w:rsidR="00705B06">
          <w:rPr>
            <w:noProof/>
            <w:webHidden/>
          </w:rPr>
          <w:fldChar w:fldCharType="end"/>
        </w:r>
      </w:hyperlink>
    </w:p>
    <w:p w14:paraId="64A563B1" w14:textId="6397BAFA" w:rsidR="00705B06" w:rsidRDefault="009457E7" w:rsidP="008F5D4D">
      <w:pPr>
        <w:pStyle w:val="TOC2"/>
        <w:rPr>
          <w:rFonts w:asciiTheme="minorHAnsi" w:eastAsiaTheme="minorEastAsia" w:hAnsiTheme="minorHAnsi" w:cstheme="minorBidi"/>
          <w:noProof/>
          <w:sz w:val="22"/>
          <w:szCs w:val="22"/>
          <w:lang w:val="fr-FR" w:eastAsia="fr-FR"/>
        </w:rPr>
      </w:pPr>
      <w:hyperlink w:anchor="_Toc153443765" w:history="1">
        <w:r w:rsidR="00705B06" w:rsidRPr="00264E14">
          <w:rPr>
            <w:rStyle w:val="Hyperlink"/>
            <w:noProof/>
            <w:lang w:val="en-GB"/>
          </w:rPr>
          <w:t>3.1</w:t>
        </w:r>
        <w:r w:rsidR="00705B06">
          <w:rPr>
            <w:rFonts w:asciiTheme="minorHAnsi" w:eastAsiaTheme="minorEastAsia" w:hAnsiTheme="minorHAnsi" w:cstheme="minorBidi"/>
            <w:noProof/>
            <w:sz w:val="22"/>
            <w:szCs w:val="22"/>
            <w:lang w:val="fr-FR" w:eastAsia="fr-FR"/>
          </w:rPr>
          <w:tab/>
        </w:r>
        <w:r w:rsidR="00705B06" w:rsidRPr="00264E14">
          <w:rPr>
            <w:rStyle w:val="Hyperlink"/>
            <w:noProof/>
            <w:lang w:val="en-GB"/>
          </w:rPr>
          <w:t>Overview</w:t>
        </w:r>
        <w:r w:rsidR="00705B06">
          <w:rPr>
            <w:noProof/>
            <w:webHidden/>
          </w:rPr>
          <w:tab/>
        </w:r>
        <w:r w:rsidR="00705B06">
          <w:rPr>
            <w:noProof/>
            <w:webHidden/>
          </w:rPr>
          <w:fldChar w:fldCharType="begin"/>
        </w:r>
        <w:r w:rsidR="00705B06">
          <w:rPr>
            <w:noProof/>
            <w:webHidden/>
          </w:rPr>
          <w:instrText xml:space="preserve"> PAGEREF _Toc153443765 \h </w:instrText>
        </w:r>
        <w:r w:rsidR="00705B06">
          <w:rPr>
            <w:noProof/>
            <w:webHidden/>
          </w:rPr>
        </w:r>
        <w:r w:rsidR="00705B06">
          <w:rPr>
            <w:noProof/>
            <w:webHidden/>
          </w:rPr>
          <w:fldChar w:fldCharType="separate"/>
        </w:r>
        <w:r w:rsidR="008F5D4D">
          <w:rPr>
            <w:noProof/>
            <w:webHidden/>
          </w:rPr>
          <w:t>9</w:t>
        </w:r>
        <w:r w:rsidR="00705B06">
          <w:rPr>
            <w:noProof/>
            <w:webHidden/>
          </w:rPr>
          <w:fldChar w:fldCharType="end"/>
        </w:r>
      </w:hyperlink>
    </w:p>
    <w:p w14:paraId="37EE76AF" w14:textId="247C4FCC" w:rsidR="00705B06" w:rsidRDefault="009457E7" w:rsidP="008F5D4D">
      <w:pPr>
        <w:pStyle w:val="TOC2"/>
        <w:rPr>
          <w:rFonts w:asciiTheme="minorHAnsi" w:eastAsiaTheme="minorEastAsia" w:hAnsiTheme="minorHAnsi" w:cstheme="minorBidi"/>
          <w:noProof/>
          <w:sz w:val="22"/>
          <w:szCs w:val="22"/>
          <w:lang w:val="fr-FR" w:eastAsia="fr-FR"/>
        </w:rPr>
      </w:pPr>
      <w:hyperlink w:anchor="_Toc153443766" w:history="1">
        <w:r w:rsidR="00705B06" w:rsidRPr="00264E14">
          <w:rPr>
            <w:rStyle w:val="Hyperlink"/>
            <w:noProof/>
            <w:lang w:val="en-GB"/>
          </w:rPr>
          <w:t>3.2</w:t>
        </w:r>
        <w:r w:rsidR="00705B06">
          <w:rPr>
            <w:rFonts w:asciiTheme="minorHAnsi" w:eastAsiaTheme="minorEastAsia" w:hAnsiTheme="minorHAnsi" w:cstheme="minorBidi"/>
            <w:noProof/>
            <w:sz w:val="22"/>
            <w:szCs w:val="22"/>
            <w:lang w:val="fr-FR" w:eastAsia="fr-FR"/>
          </w:rPr>
          <w:tab/>
        </w:r>
        <w:r w:rsidR="00705B06" w:rsidRPr="00264E14">
          <w:rPr>
            <w:rStyle w:val="Hyperlink"/>
            <w:noProof/>
            <w:lang w:val="en-GB"/>
          </w:rPr>
          <w:t>Generic indoor surveillance radar</w:t>
        </w:r>
        <w:r w:rsidR="00705B06">
          <w:rPr>
            <w:noProof/>
            <w:webHidden/>
          </w:rPr>
          <w:tab/>
        </w:r>
        <w:r w:rsidR="00705B06">
          <w:rPr>
            <w:noProof/>
            <w:webHidden/>
          </w:rPr>
          <w:fldChar w:fldCharType="begin"/>
        </w:r>
        <w:r w:rsidR="00705B06">
          <w:rPr>
            <w:noProof/>
            <w:webHidden/>
          </w:rPr>
          <w:instrText xml:space="preserve"> PAGEREF _Toc153443766 \h </w:instrText>
        </w:r>
        <w:r w:rsidR="00705B06">
          <w:rPr>
            <w:noProof/>
            <w:webHidden/>
          </w:rPr>
        </w:r>
        <w:r w:rsidR="00705B06">
          <w:rPr>
            <w:noProof/>
            <w:webHidden/>
          </w:rPr>
          <w:fldChar w:fldCharType="separate"/>
        </w:r>
        <w:r w:rsidR="008F5D4D">
          <w:rPr>
            <w:noProof/>
            <w:webHidden/>
          </w:rPr>
          <w:t>11</w:t>
        </w:r>
        <w:r w:rsidR="00705B06">
          <w:rPr>
            <w:noProof/>
            <w:webHidden/>
          </w:rPr>
          <w:fldChar w:fldCharType="end"/>
        </w:r>
      </w:hyperlink>
    </w:p>
    <w:p w14:paraId="524BFB4E" w14:textId="6AC06FF3" w:rsidR="00705B06" w:rsidRDefault="009457E7" w:rsidP="008F5D4D">
      <w:pPr>
        <w:pStyle w:val="TOC2"/>
        <w:rPr>
          <w:rFonts w:asciiTheme="minorHAnsi" w:eastAsiaTheme="minorEastAsia" w:hAnsiTheme="minorHAnsi" w:cstheme="minorBidi"/>
          <w:noProof/>
          <w:sz w:val="22"/>
          <w:szCs w:val="22"/>
          <w:lang w:val="fr-FR" w:eastAsia="fr-FR"/>
        </w:rPr>
      </w:pPr>
      <w:hyperlink w:anchor="_Toc153443767" w:history="1">
        <w:r w:rsidR="00705B06" w:rsidRPr="00264E14">
          <w:rPr>
            <w:rStyle w:val="Hyperlink"/>
            <w:noProof/>
            <w:lang w:val="en-GB"/>
          </w:rPr>
          <w:t>3.3</w:t>
        </w:r>
        <w:r w:rsidR="00705B06">
          <w:rPr>
            <w:rFonts w:asciiTheme="minorHAnsi" w:eastAsiaTheme="minorEastAsia" w:hAnsiTheme="minorHAnsi" w:cstheme="minorBidi"/>
            <w:noProof/>
            <w:sz w:val="22"/>
            <w:szCs w:val="22"/>
            <w:lang w:val="fr-FR" w:eastAsia="fr-FR"/>
          </w:rPr>
          <w:tab/>
        </w:r>
        <w:r w:rsidR="00705B06" w:rsidRPr="00264E14">
          <w:rPr>
            <w:rStyle w:val="Hyperlink"/>
            <w:rFonts w:eastAsiaTheme="minorHAnsi"/>
            <w:noProof/>
            <w:lang w:val="en-GB"/>
          </w:rPr>
          <w:t xml:space="preserve">Radiodetermination systems for </w:t>
        </w:r>
        <w:r w:rsidR="00705B06" w:rsidRPr="00264E14">
          <w:rPr>
            <w:rStyle w:val="Hyperlink"/>
            <w:rFonts w:eastAsia="Calibri"/>
            <w:noProof/>
            <w:lang w:val="en-GB"/>
          </w:rPr>
          <w:t>industry automation (RDI)</w:t>
        </w:r>
        <w:r w:rsidR="00705B06">
          <w:rPr>
            <w:noProof/>
            <w:webHidden/>
          </w:rPr>
          <w:tab/>
        </w:r>
        <w:r w:rsidR="00705B06">
          <w:rPr>
            <w:noProof/>
            <w:webHidden/>
          </w:rPr>
          <w:fldChar w:fldCharType="begin"/>
        </w:r>
        <w:r w:rsidR="00705B06">
          <w:rPr>
            <w:noProof/>
            <w:webHidden/>
          </w:rPr>
          <w:instrText xml:space="preserve"> PAGEREF _Toc153443767 \h </w:instrText>
        </w:r>
        <w:r w:rsidR="00705B06">
          <w:rPr>
            <w:noProof/>
            <w:webHidden/>
          </w:rPr>
        </w:r>
        <w:r w:rsidR="00705B06">
          <w:rPr>
            <w:noProof/>
            <w:webHidden/>
          </w:rPr>
          <w:fldChar w:fldCharType="separate"/>
        </w:r>
        <w:r w:rsidR="008F5D4D">
          <w:rPr>
            <w:noProof/>
            <w:webHidden/>
          </w:rPr>
          <w:t>13</w:t>
        </w:r>
        <w:r w:rsidR="00705B06">
          <w:rPr>
            <w:noProof/>
            <w:webHidden/>
          </w:rPr>
          <w:fldChar w:fldCharType="end"/>
        </w:r>
      </w:hyperlink>
    </w:p>
    <w:p w14:paraId="47F4B01C" w14:textId="59CF9EAB" w:rsidR="00705B06" w:rsidRDefault="009457E7" w:rsidP="008F5D4D">
      <w:pPr>
        <w:pStyle w:val="TOC2"/>
        <w:rPr>
          <w:rFonts w:asciiTheme="minorHAnsi" w:eastAsiaTheme="minorEastAsia" w:hAnsiTheme="minorHAnsi" w:cstheme="minorBidi"/>
          <w:noProof/>
          <w:sz w:val="22"/>
          <w:szCs w:val="22"/>
          <w:lang w:val="fr-FR" w:eastAsia="fr-FR"/>
        </w:rPr>
      </w:pPr>
      <w:hyperlink w:anchor="_Toc153443768" w:history="1">
        <w:r w:rsidR="00705B06" w:rsidRPr="00264E14">
          <w:rPr>
            <w:rStyle w:val="Hyperlink"/>
            <w:noProof/>
            <w:lang w:val="en-GB"/>
          </w:rPr>
          <w:t>3.4</w:t>
        </w:r>
        <w:r w:rsidR="00705B06">
          <w:rPr>
            <w:rFonts w:asciiTheme="minorHAnsi" w:eastAsiaTheme="minorEastAsia" w:hAnsiTheme="minorHAnsi" w:cstheme="minorBidi"/>
            <w:noProof/>
            <w:sz w:val="22"/>
            <w:szCs w:val="22"/>
            <w:lang w:val="fr-FR" w:eastAsia="fr-FR"/>
          </w:rPr>
          <w:tab/>
        </w:r>
        <w:r w:rsidR="00705B06" w:rsidRPr="00264E14">
          <w:rPr>
            <w:rStyle w:val="Hyperlink"/>
            <w:rFonts w:eastAsiaTheme="minorHAnsi"/>
            <w:noProof/>
            <w:lang w:val="en-GB"/>
          </w:rPr>
          <w:t>Level probing radar (LPR)</w:t>
        </w:r>
        <w:r w:rsidR="00705B06">
          <w:rPr>
            <w:noProof/>
            <w:webHidden/>
          </w:rPr>
          <w:tab/>
        </w:r>
        <w:r w:rsidR="00705B06">
          <w:rPr>
            <w:noProof/>
            <w:webHidden/>
          </w:rPr>
          <w:fldChar w:fldCharType="begin"/>
        </w:r>
        <w:r w:rsidR="00705B06">
          <w:rPr>
            <w:noProof/>
            <w:webHidden/>
          </w:rPr>
          <w:instrText xml:space="preserve"> PAGEREF _Toc153443768 \h </w:instrText>
        </w:r>
        <w:r w:rsidR="00705B06">
          <w:rPr>
            <w:noProof/>
            <w:webHidden/>
          </w:rPr>
        </w:r>
        <w:r w:rsidR="00705B06">
          <w:rPr>
            <w:noProof/>
            <w:webHidden/>
          </w:rPr>
          <w:fldChar w:fldCharType="separate"/>
        </w:r>
        <w:r w:rsidR="008F5D4D">
          <w:rPr>
            <w:noProof/>
            <w:webHidden/>
          </w:rPr>
          <w:t>15</w:t>
        </w:r>
        <w:r w:rsidR="00705B06">
          <w:rPr>
            <w:noProof/>
            <w:webHidden/>
          </w:rPr>
          <w:fldChar w:fldCharType="end"/>
        </w:r>
      </w:hyperlink>
    </w:p>
    <w:p w14:paraId="1114F4AC" w14:textId="0B3066ED" w:rsidR="00705B06" w:rsidRDefault="009457E7" w:rsidP="008F5D4D">
      <w:pPr>
        <w:pStyle w:val="TOC2"/>
        <w:rPr>
          <w:rFonts w:asciiTheme="minorHAnsi" w:eastAsiaTheme="minorEastAsia" w:hAnsiTheme="minorHAnsi" w:cstheme="minorBidi"/>
          <w:noProof/>
          <w:sz w:val="22"/>
          <w:szCs w:val="22"/>
          <w:lang w:val="fr-FR" w:eastAsia="fr-FR"/>
        </w:rPr>
      </w:pPr>
      <w:hyperlink w:anchor="_Toc153443769" w:history="1">
        <w:r w:rsidR="00705B06" w:rsidRPr="00264E14">
          <w:rPr>
            <w:rStyle w:val="Hyperlink"/>
            <w:noProof/>
            <w:lang w:val="en-GB"/>
          </w:rPr>
          <w:t>3.5</w:t>
        </w:r>
        <w:r w:rsidR="00705B06">
          <w:rPr>
            <w:rFonts w:asciiTheme="minorHAnsi" w:eastAsiaTheme="minorEastAsia" w:hAnsiTheme="minorHAnsi" w:cstheme="minorBidi"/>
            <w:noProof/>
            <w:sz w:val="22"/>
            <w:szCs w:val="22"/>
            <w:lang w:val="fr-FR" w:eastAsia="fr-FR"/>
          </w:rPr>
          <w:tab/>
        </w:r>
        <w:r w:rsidR="00705B06" w:rsidRPr="00264E14">
          <w:rPr>
            <w:rStyle w:val="Hyperlink"/>
            <w:rFonts w:eastAsiaTheme="minorHAnsi"/>
            <w:noProof/>
            <w:lang w:val="en-GB"/>
          </w:rPr>
          <w:t>Contour detection and acquisition (CDR)</w:t>
        </w:r>
        <w:r w:rsidR="00705B06">
          <w:rPr>
            <w:noProof/>
            <w:webHidden/>
          </w:rPr>
          <w:tab/>
        </w:r>
        <w:r w:rsidR="00705B06">
          <w:rPr>
            <w:noProof/>
            <w:webHidden/>
          </w:rPr>
          <w:fldChar w:fldCharType="begin"/>
        </w:r>
        <w:r w:rsidR="00705B06">
          <w:rPr>
            <w:noProof/>
            <w:webHidden/>
          </w:rPr>
          <w:instrText xml:space="preserve"> PAGEREF _Toc153443769 \h </w:instrText>
        </w:r>
        <w:r w:rsidR="00705B06">
          <w:rPr>
            <w:noProof/>
            <w:webHidden/>
          </w:rPr>
        </w:r>
        <w:r w:rsidR="00705B06">
          <w:rPr>
            <w:noProof/>
            <w:webHidden/>
          </w:rPr>
          <w:fldChar w:fldCharType="separate"/>
        </w:r>
        <w:r w:rsidR="008F5D4D">
          <w:rPr>
            <w:noProof/>
            <w:webHidden/>
          </w:rPr>
          <w:t>16</w:t>
        </w:r>
        <w:r w:rsidR="00705B06">
          <w:rPr>
            <w:noProof/>
            <w:webHidden/>
          </w:rPr>
          <w:fldChar w:fldCharType="end"/>
        </w:r>
      </w:hyperlink>
    </w:p>
    <w:p w14:paraId="6BFB1D6F" w14:textId="0DFAB6C6" w:rsidR="00705B06" w:rsidRDefault="009457E7" w:rsidP="008F5D4D">
      <w:pPr>
        <w:pStyle w:val="TOC2"/>
        <w:rPr>
          <w:rFonts w:asciiTheme="minorHAnsi" w:eastAsiaTheme="minorEastAsia" w:hAnsiTheme="minorHAnsi" w:cstheme="minorBidi"/>
          <w:noProof/>
          <w:sz w:val="22"/>
          <w:szCs w:val="22"/>
          <w:lang w:val="fr-FR" w:eastAsia="fr-FR"/>
        </w:rPr>
      </w:pPr>
      <w:hyperlink w:anchor="_Toc153443770" w:history="1">
        <w:r w:rsidR="00705B06" w:rsidRPr="00264E14">
          <w:rPr>
            <w:rStyle w:val="Hyperlink"/>
            <w:noProof/>
            <w:lang w:val="en-GB"/>
          </w:rPr>
          <w:t>3.6</w:t>
        </w:r>
        <w:r w:rsidR="00705B06">
          <w:rPr>
            <w:rFonts w:asciiTheme="minorHAnsi" w:eastAsiaTheme="minorEastAsia" w:hAnsiTheme="minorHAnsi" w:cstheme="minorBidi"/>
            <w:noProof/>
            <w:sz w:val="22"/>
            <w:szCs w:val="22"/>
            <w:lang w:val="fr-FR" w:eastAsia="fr-FR"/>
          </w:rPr>
          <w:tab/>
        </w:r>
        <w:r w:rsidR="00705B06" w:rsidRPr="00264E14">
          <w:rPr>
            <w:rStyle w:val="Hyperlink"/>
            <w:rFonts w:eastAsiaTheme="minorHAnsi"/>
            <w:noProof/>
            <w:lang w:val="en-GB"/>
          </w:rPr>
          <w:t>Tank level probing radar (TLPR)</w:t>
        </w:r>
        <w:r w:rsidR="00705B06">
          <w:rPr>
            <w:noProof/>
            <w:webHidden/>
          </w:rPr>
          <w:tab/>
        </w:r>
        <w:r w:rsidR="00705B06">
          <w:rPr>
            <w:noProof/>
            <w:webHidden/>
          </w:rPr>
          <w:fldChar w:fldCharType="begin"/>
        </w:r>
        <w:r w:rsidR="00705B06">
          <w:rPr>
            <w:noProof/>
            <w:webHidden/>
          </w:rPr>
          <w:instrText xml:space="preserve"> PAGEREF _Toc153443770 \h </w:instrText>
        </w:r>
        <w:r w:rsidR="00705B06">
          <w:rPr>
            <w:noProof/>
            <w:webHidden/>
          </w:rPr>
        </w:r>
        <w:r w:rsidR="00705B06">
          <w:rPr>
            <w:noProof/>
            <w:webHidden/>
          </w:rPr>
          <w:fldChar w:fldCharType="separate"/>
        </w:r>
        <w:r w:rsidR="008F5D4D">
          <w:rPr>
            <w:noProof/>
            <w:webHidden/>
          </w:rPr>
          <w:t>18</w:t>
        </w:r>
        <w:r w:rsidR="00705B06">
          <w:rPr>
            <w:noProof/>
            <w:webHidden/>
          </w:rPr>
          <w:fldChar w:fldCharType="end"/>
        </w:r>
      </w:hyperlink>
    </w:p>
    <w:p w14:paraId="1BA518F2" w14:textId="2E3F90B3" w:rsidR="00705B06" w:rsidRDefault="009457E7" w:rsidP="008F5D4D">
      <w:pPr>
        <w:pStyle w:val="TOC2"/>
        <w:rPr>
          <w:rFonts w:asciiTheme="minorHAnsi" w:eastAsiaTheme="minorEastAsia" w:hAnsiTheme="minorHAnsi" w:cstheme="minorBidi"/>
          <w:noProof/>
          <w:sz w:val="22"/>
          <w:szCs w:val="22"/>
          <w:lang w:val="fr-FR" w:eastAsia="fr-FR"/>
        </w:rPr>
      </w:pPr>
      <w:hyperlink w:anchor="_Toc153443771" w:history="1">
        <w:r w:rsidR="00705B06" w:rsidRPr="00264E14">
          <w:rPr>
            <w:rStyle w:val="Hyperlink"/>
            <w:noProof/>
            <w:lang w:val="en-GB"/>
          </w:rPr>
          <w:t>3.7</w:t>
        </w:r>
        <w:r w:rsidR="00705B06">
          <w:rPr>
            <w:rFonts w:asciiTheme="minorHAnsi" w:eastAsiaTheme="minorEastAsia" w:hAnsiTheme="minorHAnsi" w:cstheme="minorBidi"/>
            <w:noProof/>
            <w:sz w:val="22"/>
            <w:szCs w:val="22"/>
            <w:lang w:val="fr-FR" w:eastAsia="fr-FR"/>
          </w:rPr>
          <w:tab/>
        </w:r>
        <w:r w:rsidR="00705B06" w:rsidRPr="00264E14">
          <w:rPr>
            <w:rStyle w:val="Hyperlink"/>
            <w:rFonts w:eastAsiaTheme="minorHAnsi"/>
            <w:noProof/>
            <w:lang w:val="en-GB"/>
          </w:rPr>
          <w:t>Radiodetermination systems for industry automation in shielded environments (RDI-S)</w:t>
        </w:r>
        <w:r w:rsidR="00705B06">
          <w:rPr>
            <w:noProof/>
            <w:webHidden/>
          </w:rPr>
          <w:tab/>
        </w:r>
        <w:r w:rsidR="00705B06">
          <w:rPr>
            <w:noProof/>
            <w:webHidden/>
          </w:rPr>
          <w:fldChar w:fldCharType="begin"/>
        </w:r>
        <w:r w:rsidR="00705B06">
          <w:rPr>
            <w:noProof/>
            <w:webHidden/>
          </w:rPr>
          <w:instrText xml:space="preserve"> PAGEREF _Toc153443771 \h </w:instrText>
        </w:r>
        <w:r w:rsidR="00705B06">
          <w:rPr>
            <w:noProof/>
            <w:webHidden/>
          </w:rPr>
        </w:r>
        <w:r w:rsidR="00705B06">
          <w:rPr>
            <w:noProof/>
            <w:webHidden/>
          </w:rPr>
          <w:fldChar w:fldCharType="separate"/>
        </w:r>
        <w:r w:rsidR="008F5D4D">
          <w:rPr>
            <w:noProof/>
            <w:webHidden/>
          </w:rPr>
          <w:t>19</w:t>
        </w:r>
        <w:r w:rsidR="00705B06">
          <w:rPr>
            <w:noProof/>
            <w:webHidden/>
          </w:rPr>
          <w:fldChar w:fldCharType="end"/>
        </w:r>
      </w:hyperlink>
    </w:p>
    <w:p w14:paraId="27BACBDD" w14:textId="60610A04" w:rsidR="00705B06" w:rsidRDefault="009457E7" w:rsidP="008F5D4D">
      <w:pPr>
        <w:pStyle w:val="TOC2"/>
        <w:rPr>
          <w:rFonts w:asciiTheme="minorHAnsi" w:eastAsiaTheme="minorEastAsia" w:hAnsiTheme="minorHAnsi" w:cstheme="minorBidi"/>
          <w:noProof/>
          <w:sz w:val="22"/>
          <w:szCs w:val="22"/>
          <w:lang w:val="fr-FR" w:eastAsia="fr-FR"/>
        </w:rPr>
      </w:pPr>
      <w:hyperlink w:anchor="_Toc153443772" w:history="1">
        <w:r w:rsidR="00705B06" w:rsidRPr="00264E14">
          <w:rPr>
            <w:rStyle w:val="Hyperlink"/>
            <w:noProof/>
            <w:lang w:val="en-GB"/>
          </w:rPr>
          <w:t>3.8</w:t>
        </w:r>
        <w:r w:rsidR="00705B06">
          <w:rPr>
            <w:rFonts w:asciiTheme="minorHAnsi" w:eastAsiaTheme="minorEastAsia" w:hAnsiTheme="minorHAnsi" w:cstheme="minorBidi"/>
            <w:noProof/>
            <w:sz w:val="22"/>
            <w:szCs w:val="22"/>
            <w:lang w:val="fr-FR" w:eastAsia="fr-FR"/>
          </w:rPr>
          <w:tab/>
        </w:r>
        <w:r w:rsidR="00705B06" w:rsidRPr="00264E14">
          <w:rPr>
            <w:rStyle w:val="Hyperlink"/>
            <w:rFonts w:eastAsiaTheme="minorHAnsi"/>
            <w:noProof/>
            <w:lang w:val="en-GB"/>
          </w:rPr>
          <w:t>Exterior vehicular radar (EVR)</w:t>
        </w:r>
        <w:r w:rsidR="00705B06">
          <w:rPr>
            <w:noProof/>
            <w:webHidden/>
          </w:rPr>
          <w:tab/>
        </w:r>
        <w:r w:rsidR="00705B06">
          <w:rPr>
            <w:noProof/>
            <w:webHidden/>
          </w:rPr>
          <w:fldChar w:fldCharType="begin"/>
        </w:r>
        <w:r w:rsidR="00705B06">
          <w:rPr>
            <w:noProof/>
            <w:webHidden/>
          </w:rPr>
          <w:instrText xml:space="preserve"> PAGEREF _Toc153443772 \h </w:instrText>
        </w:r>
        <w:r w:rsidR="00705B06">
          <w:rPr>
            <w:noProof/>
            <w:webHidden/>
          </w:rPr>
        </w:r>
        <w:r w:rsidR="00705B06">
          <w:rPr>
            <w:noProof/>
            <w:webHidden/>
          </w:rPr>
          <w:fldChar w:fldCharType="separate"/>
        </w:r>
        <w:r w:rsidR="008F5D4D">
          <w:rPr>
            <w:noProof/>
            <w:webHidden/>
          </w:rPr>
          <w:t>21</w:t>
        </w:r>
        <w:r w:rsidR="00705B06">
          <w:rPr>
            <w:noProof/>
            <w:webHidden/>
          </w:rPr>
          <w:fldChar w:fldCharType="end"/>
        </w:r>
      </w:hyperlink>
    </w:p>
    <w:p w14:paraId="442BAFDB" w14:textId="224688AF" w:rsidR="00705B06" w:rsidRDefault="009457E7" w:rsidP="008F5D4D">
      <w:pPr>
        <w:pStyle w:val="TOC2"/>
        <w:rPr>
          <w:rFonts w:asciiTheme="minorHAnsi" w:eastAsiaTheme="minorEastAsia" w:hAnsiTheme="minorHAnsi" w:cstheme="minorBidi"/>
          <w:noProof/>
          <w:sz w:val="22"/>
          <w:szCs w:val="22"/>
          <w:lang w:val="fr-FR" w:eastAsia="fr-FR"/>
        </w:rPr>
      </w:pPr>
      <w:hyperlink w:anchor="_Toc153443773" w:history="1">
        <w:r w:rsidR="00705B06" w:rsidRPr="00264E14">
          <w:rPr>
            <w:rStyle w:val="Hyperlink"/>
            <w:noProof/>
            <w:lang w:val="en-GB"/>
          </w:rPr>
          <w:t>3.9</w:t>
        </w:r>
        <w:r w:rsidR="00705B06">
          <w:rPr>
            <w:rFonts w:asciiTheme="minorHAnsi" w:eastAsiaTheme="minorEastAsia" w:hAnsiTheme="minorHAnsi" w:cstheme="minorBidi"/>
            <w:noProof/>
            <w:sz w:val="22"/>
            <w:szCs w:val="22"/>
            <w:lang w:val="fr-FR" w:eastAsia="fr-FR"/>
          </w:rPr>
          <w:tab/>
        </w:r>
        <w:r w:rsidR="00705B06" w:rsidRPr="00264E14">
          <w:rPr>
            <w:rStyle w:val="Hyperlink"/>
            <w:rFonts w:eastAsiaTheme="minorHAnsi"/>
            <w:noProof/>
            <w:lang w:val="en-GB"/>
          </w:rPr>
          <w:t>In-cabin vehicular radar (IVR)</w:t>
        </w:r>
        <w:r w:rsidR="00705B06">
          <w:rPr>
            <w:noProof/>
            <w:webHidden/>
          </w:rPr>
          <w:tab/>
        </w:r>
        <w:r w:rsidR="00705B06">
          <w:rPr>
            <w:noProof/>
            <w:webHidden/>
          </w:rPr>
          <w:fldChar w:fldCharType="begin"/>
        </w:r>
        <w:r w:rsidR="00705B06">
          <w:rPr>
            <w:noProof/>
            <w:webHidden/>
          </w:rPr>
          <w:instrText xml:space="preserve"> PAGEREF _Toc153443773 \h </w:instrText>
        </w:r>
        <w:r w:rsidR="00705B06">
          <w:rPr>
            <w:noProof/>
            <w:webHidden/>
          </w:rPr>
        </w:r>
        <w:r w:rsidR="00705B06">
          <w:rPr>
            <w:noProof/>
            <w:webHidden/>
          </w:rPr>
          <w:fldChar w:fldCharType="separate"/>
        </w:r>
        <w:r w:rsidR="008F5D4D">
          <w:rPr>
            <w:noProof/>
            <w:webHidden/>
          </w:rPr>
          <w:t>23</w:t>
        </w:r>
        <w:r w:rsidR="00705B06">
          <w:rPr>
            <w:noProof/>
            <w:webHidden/>
          </w:rPr>
          <w:fldChar w:fldCharType="end"/>
        </w:r>
      </w:hyperlink>
    </w:p>
    <w:p w14:paraId="5B0644D7" w14:textId="3F1EA543" w:rsidR="00705B06" w:rsidRDefault="009457E7">
      <w:pPr>
        <w:pStyle w:val="TOC1"/>
        <w:rPr>
          <w:rFonts w:asciiTheme="minorHAnsi" w:eastAsiaTheme="minorEastAsia" w:hAnsiTheme="minorHAnsi" w:cstheme="minorBidi"/>
          <w:b w:val="0"/>
          <w:caps w:val="0"/>
          <w:noProof/>
          <w:sz w:val="22"/>
          <w:szCs w:val="22"/>
          <w:lang w:val="fr-FR" w:eastAsia="fr-FR"/>
        </w:rPr>
      </w:pPr>
      <w:hyperlink w:anchor="_Toc153443774" w:history="1">
        <w:r w:rsidR="00705B06" w:rsidRPr="00264E14">
          <w:rPr>
            <w:rStyle w:val="Hyperlink"/>
            <w:noProof/>
          </w:rPr>
          <w:t>4</w:t>
        </w:r>
        <w:r w:rsidR="00705B06">
          <w:rPr>
            <w:rFonts w:asciiTheme="minorHAnsi" w:eastAsiaTheme="minorEastAsia" w:hAnsiTheme="minorHAnsi" w:cstheme="minorBidi"/>
            <w:b w:val="0"/>
            <w:caps w:val="0"/>
            <w:noProof/>
            <w:sz w:val="22"/>
            <w:szCs w:val="22"/>
            <w:lang w:val="fr-FR" w:eastAsia="fr-FR"/>
          </w:rPr>
          <w:tab/>
        </w:r>
        <w:r w:rsidR="00705B06" w:rsidRPr="00264E14">
          <w:rPr>
            <w:rStyle w:val="Hyperlink"/>
            <w:noProof/>
          </w:rPr>
          <w:t>Recommended framework</w:t>
        </w:r>
        <w:r w:rsidR="00705B06">
          <w:rPr>
            <w:noProof/>
            <w:webHidden/>
          </w:rPr>
          <w:tab/>
        </w:r>
        <w:r w:rsidR="00705B06">
          <w:rPr>
            <w:noProof/>
            <w:webHidden/>
          </w:rPr>
          <w:fldChar w:fldCharType="begin"/>
        </w:r>
        <w:r w:rsidR="00705B06">
          <w:rPr>
            <w:noProof/>
            <w:webHidden/>
          </w:rPr>
          <w:instrText xml:space="preserve"> PAGEREF _Toc153443774 \h </w:instrText>
        </w:r>
        <w:r w:rsidR="00705B06">
          <w:rPr>
            <w:noProof/>
            <w:webHidden/>
          </w:rPr>
        </w:r>
        <w:r w:rsidR="00705B06">
          <w:rPr>
            <w:noProof/>
            <w:webHidden/>
          </w:rPr>
          <w:fldChar w:fldCharType="separate"/>
        </w:r>
        <w:r w:rsidR="008F5D4D">
          <w:rPr>
            <w:noProof/>
            <w:webHidden/>
          </w:rPr>
          <w:t>26</w:t>
        </w:r>
        <w:r w:rsidR="00705B06">
          <w:rPr>
            <w:noProof/>
            <w:webHidden/>
          </w:rPr>
          <w:fldChar w:fldCharType="end"/>
        </w:r>
      </w:hyperlink>
    </w:p>
    <w:p w14:paraId="1A8BD59B" w14:textId="6296ACF2" w:rsidR="00705B06" w:rsidRDefault="009457E7" w:rsidP="008F5D4D">
      <w:pPr>
        <w:pStyle w:val="TOC2"/>
        <w:rPr>
          <w:rFonts w:asciiTheme="minorHAnsi" w:eastAsiaTheme="minorEastAsia" w:hAnsiTheme="minorHAnsi" w:cstheme="minorBidi"/>
          <w:noProof/>
          <w:sz w:val="22"/>
          <w:szCs w:val="22"/>
          <w:lang w:val="fr-FR" w:eastAsia="fr-FR"/>
        </w:rPr>
      </w:pPr>
      <w:hyperlink w:anchor="_Toc153443775" w:history="1">
        <w:r w:rsidR="00705B06" w:rsidRPr="00264E14">
          <w:rPr>
            <w:rStyle w:val="Hyperlink"/>
            <w:noProof/>
            <w:lang w:val="en-GB"/>
          </w:rPr>
          <w:t>4.1</w:t>
        </w:r>
        <w:r w:rsidR="00705B06">
          <w:rPr>
            <w:rFonts w:asciiTheme="minorHAnsi" w:eastAsiaTheme="minorEastAsia" w:hAnsiTheme="minorHAnsi" w:cstheme="minorBidi"/>
            <w:noProof/>
            <w:sz w:val="22"/>
            <w:szCs w:val="22"/>
            <w:lang w:val="fr-FR" w:eastAsia="fr-FR"/>
          </w:rPr>
          <w:tab/>
        </w:r>
        <w:r w:rsidR="00705B06" w:rsidRPr="00264E14">
          <w:rPr>
            <w:rStyle w:val="Hyperlink"/>
            <w:noProof/>
            <w:lang w:val="en-GB"/>
          </w:rPr>
          <w:t>Introduction</w:t>
        </w:r>
        <w:r w:rsidR="00705B06">
          <w:rPr>
            <w:noProof/>
            <w:webHidden/>
          </w:rPr>
          <w:tab/>
        </w:r>
        <w:r w:rsidR="00705B06">
          <w:rPr>
            <w:noProof/>
            <w:webHidden/>
          </w:rPr>
          <w:fldChar w:fldCharType="begin"/>
        </w:r>
        <w:r w:rsidR="00705B06">
          <w:rPr>
            <w:noProof/>
            <w:webHidden/>
          </w:rPr>
          <w:instrText xml:space="preserve"> PAGEREF _Toc153443775 \h </w:instrText>
        </w:r>
        <w:r w:rsidR="00705B06">
          <w:rPr>
            <w:noProof/>
            <w:webHidden/>
          </w:rPr>
        </w:r>
        <w:r w:rsidR="00705B06">
          <w:rPr>
            <w:noProof/>
            <w:webHidden/>
          </w:rPr>
          <w:fldChar w:fldCharType="separate"/>
        </w:r>
        <w:r w:rsidR="008F5D4D">
          <w:rPr>
            <w:noProof/>
            <w:webHidden/>
          </w:rPr>
          <w:t>26</w:t>
        </w:r>
        <w:r w:rsidR="00705B06">
          <w:rPr>
            <w:noProof/>
            <w:webHidden/>
          </w:rPr>
          <w:fldChar w:fldCharType="end"/>
        </w:r>
      </w:hyperlink>
    </w:p>
    <w:p w14:paraId="018E6B90" w14:textId="5E79C38F" w:rsidR="00705B06" w:rsidRDefault="009457E7" w:rsidP="008F5D4D">
      <w:pPr>
        <w:pStyle w:val="TOC2"/>
        <w:rPr>
          <w:rFonts w:asciiTheme="minorHAnsi" w:eastAsiaTheme="minorEastAsia" w:hAnsiTheme="minorHAnsi" w:cstheme="minorBidi"/>
          <w:noProof/>
          <w:sz w:val="22"/>
          <w:szCs w:val="22"/>
          <w:lang w:val="fr-FR" w:eastAsia="fr-FR"/>
        </w:rPr>
      </w:pPr>
      <w:hyperlink w:anchor="_Toc153443776" w:history="1">
        <w:r w:rsidR="00705B06" w:rsidRPr="00264E14">
          <w:rPr>
            <w:rStyle w:val="Hyperlink"/>
            <w:noProof/>
            <w:lang w:val="en-GB"/>
          </w:rPr>
          <w:t>4.2</w:t>
        </w:r>
        <w:r w:rsidR="00705B06">
          <w:rPr>
            <w:rFonts w:asciiTheme="minorHAnsi" w:eastAsiaTheme="minorEastAsia" w:hAnsiTheme="minorHAnsi" w:cstheme="minorBidi"/>
            <w:noProof/>
            <w:sz w:val="22"/>
            <w:szCs w:val="22"/>
            <w:lang w:val="fr-FR" w:eastAsia="fr-FR"/>
          </w:rPr>
          <w:tab/>
        </w:r>
        <w:r w:rsidR="00705B06" w:rsidRPr="00264E14">
          <w:rPr>
            <w:rStyle w:val="Hyperlink"/>
            <w:noProof/>
            <w:lang w:val="en-GB"/>
          </w:rPr>
          <w:t>Generic indoor surveillance radar</w:t>
        </w:r>
        <w:r w:rsidR="00705B06">
          <w:rPr>
            <w:noProof/>
            <w:webHidden/>
          </w:rPr>
          <w:tab/>
        </w:r>
        <w:r w:rsidR="00705B06">
          <w:rPr>
            <w:noProof/>
            <w:webHidden/>
          </w:rPr>
          <w:fldChar w:fldCharType="begin"/>
        </w:r>
        <w:r w:rsidR="00705B06">
          <w:rPr>
            <w:noProof/>
            <w:webHidden/>
          </w:rPr>
          <w:instrText xml:space="preserve"> PAGEREF _Toc153443776 \h </w:instrText>
        </w:r>
        <w:r w:rsidR="00705B06">
          <w:rPr>
            <w:noProof/>
            <w:webHidden/>
          </w:rPr>
        </w:r>
        <w:r w:rsidR="00705B06">
          <w:rPr>
            <w:noProof/>
            <w:webHidden/>
          </w:rPr>
          <w:fldChar w:fldCharType="separate"/>
        </w:r>
        <w:r w:rsidR="008F5D4D">
          <w:rPr>
            <w:noProof/>
            <w:webHidden/>
          </w:rPr>
          <w:t>26</w:t>
        </w:r>
        <w:r w:rsidR="00705B06">
          <w:rPr>
            <w:noProof/>
            <w:webHidden/>
          </w:rPr>
          <w:fldChar w:fldCharType="end"/>
        </w:r>
      </w:hyperlink>
    </w:p>
    <w:p w14:paraId="4FC11508" w14:textId="4849B3EE" w:rsidR="00705B06" w:rsidRDefault="009457E7" w:rsidP="008F5D4D">
      <w:pPr>
        <w:pStyle w:val="TOC2"/>
        <w:rPr>
          <w:rFonts w:asciiTheme="minorHAnsi" w:eastAsiaTheme="minorEastAsia" w:hAnsiTheme="minorHAnsi" w:cstheme="minorBidi"/>
          <w:noProof/>
          <w:sz w:val="22"/>
          <w:szCs w:val="22"/>
          <w:lang w:val="fr-FR" w:eastAsia="fr-FR"/>
        </w:rPr>
      </w:pPr>
      <w:hyperlink w:anchor="_Toc153443777" w:history="1">
        <w:r w:rsidR="00705B06" w:rsidRPr="00264E14">
          <w:rPr>
            <w:rStyle w:val="Hyperlink"/>
            <w:noProof/>
            <w:lang w:val="en-GB"/>
          </w:rPr>
          <w:t>4.3</w:t>
        </w:r>
        <w:r w:rsidR="00705B06">
          <w:rPr>
            <w:rFonts w:asciiTheme="minorHAnsi" w:eastAsiaTheme="minorEastAsia" w:hAnsiTheme="minorHAnsi" w:cstheme="minorBidi"/>
            <w:noProof/>
            <w:sz w:val="22"/>
            <w:szCs w:val="22"/>
            <w:lang w:val="fr-FR" w:eastAsia="fr-FR"/>
          </w:rPr>
          <w:tab/>
        </w:r>
        <w:r w:rsidR="00705B06" w:rsidRPr="00264E14">
          <w:rPr>
            <w:rStyle w:val="Hyperlink"/>
            <w:noProof/>
            <w:lang w:val="en-GB"/>
          </w:rPr>
          <w:t>Radiodetermination systems for industry automation (RDI)</w:t>
        </w:r>
        <w:r w:rsidR="00705B06">
          <w:rPr>
            <w:noProof/>
            <w:webHidden/>
          </w:rPr>
          <w:tab/>
        </w:r>
        <w:r w:rsidR="00705B06">
          <w:rPr>
            <w:noProof/>
            <w:webHidden/>
          </w:rPr>
          <w:fldChar w:fldCharType="begin"/>
        </w:r>
        <w:r w:rsidR="00705B06">
          <w:rPr>
            <w:noProof/>
            <w:webHidden/>
          </w:rPr>
          <w:instrText xml:space="preserve"> PAGEREF _Toc153443777 \h </w:instrText>
        </w:r>
        <w:r w:rsidR="00705B06">
          <w:rPr>
            <w:noProof/>
            <w:webHidden/>
          </w:rPr>
        </w:r>
        <w:r w:rsidR="00705B06">
          <w:rPr>
            <w:noProof/>
            <w:webHidden/>
          </w:rPr>
          <w:fldChar w:fldCharType="separate"/>
        </w:r>
        <w:r w:rsidR="008F5D4D">
          <w:rPr>
            <w:noProof/>
            <w:webHidden/>
          </w:rPr>
          <w:t>26</w:t>
        </w:r>
        <w:r w:rsidR="00705B06">
          <w:rPr>
            <w:noProof/>
            <w:webHidden/>
          </w:rPr>
          <w:fldChar w:fldCharType="end"/>
        </w:r>
      </w:hyperlink>
    </w:p>
    <w:p w14:paraId="3D50A3B5" w14:textId="51A490D3" w:rsidR="00705B06" w:rsidRDefault="009457E7" w:rsidP="008F5D4D">
      <w:pPr>
        <w:pStyle w:val="TOC2"/>
        <w:rPr>
          <w:rFonts w:asciiTheme="minorHAnsi" w:eastAsiaTheme="minorEastAsia" w:hAnsiTheme="minorHAnsi" w:cstheme="minorBidi"/>
          <w:noProof/>
          <w:sz w:val="22"/>
          <w:szCs w:val="22"/>
          <w:lang w:val="fr-FR" w:eastAsia="fr-FR"/>
        </w:rPr>
      </w:pPr>
      <w:hyperlink w:anchor="_Toc153443778" w:history="1">
        <w:r w:rsidR="00705B06" w:rsidRPr="00264E14">
          <w:rPr>
            <w:rStyle w:val="Hyperlink"/>
            <w:noProof/>
            <w:lang w:val="en-GB"/>
          </w:rPr>
          <w:t>4.4</w:t>
        </w:r>
        <w:r w:rsidR="00705B06">
          <w:rPr>
            <w:rFonts w:asciiTheme="minorHAnsi" w:eastAsiaTheme="minorEastAsia" w:hAnsiTheme="minorHAnsi" w:cstheme="minorBidi"/>
            <w:noProof/>
            <w:sz w:val="22"/>
            <w:szCs w:val="22"/>
            <w:lang w:val="fr-FR" w:eastAsia="fr-FR"/>
          </w:rPr>
          <w:tab/>
        </w:r>
        <w:r w:rsidR="00705B06" w:rsidRPr="00264E14">
          <w:rPr>
            <w:rStyle w:val="Hyperlink"/>
            <w:noProof/>
            <w:lang w:val="en-GB"/>
          </w:rPr>
          <w:t>Level probing radar (LPR)</w:t>
        </w:r>
        <w:r w:rsidR="00705B06">
          <w:rPr>
            <w:noProof/>
            <w:webHidden/>
          </w:rPr>
          <w:tab/>
        </w:r>
        <w:r w:rsidR="00705B06">
          <w:rPr>
            <w:noProof/>
            <w:webHidden/>
          </w:rPr>
          <w:fldChar w:fldCharType="begin"/>
        </w:r>
        <w:r w:rsidR="00705B06">
          <w:rPr>
            <w:noProof/>
            <w:webHidden/>
          </w:rPr>
          <w:instrText xml:space="preserve"> PAGEREF _Toc153443778 \h </w:instrText>
        </w:r>
        <w:r w:rsidR="00705B06">
          <w:rPr>
            <w:noProof/>
            <w:webHidden/>
          </w:rPr>
        </w:r>
        <w:r w:rsidR="00705B06">
          <w:rPr>
            <w:noProof/>
            <w:webHidden/>
          </w:rPr>
          <w:fldChar w:fldCharType="separate"/>
        </w:r>
        <w:r w:rsidR="008F5D4D">
          <w:rPr>
            <w:noProof/>
            <w:webHidden/>
          </w:rPr>
          <w:t>27</w:t>
        </w:r>
        <w:r w:rsidR="00705B06">
          <w:rPr>
            <w:noProof/>
            <w:webHidden/>
          </w:rPr>
          <w:fldChar w:fldCharType="end"/>
        </w:r>
      </w:hyperlink>
    </w:p>
    <w:p w14:paraId="59A526DA" w14:textId="258BFDBB" w:rsidR="00705B06" w:rsidRDefault="009457E7" w:rsidP="008F5D4D">
      <w:pPr>
        <w:pStyle w:val="TOC2"/>
        <w:rPr>
          <w:rFonts w:asciiTheme="minorHAnsi" w:eastAsiaTheme="minorEastAsia" w:hAnsiTheme="minorHAnsi" w:cstheme="minorBidi"/>
          <w:noProof/>
          <w:sz w:val="22"/>
          <w:szCs w:val="22"/>
          <w:lang w:val="fr-FR" w:eastAsia="fr-FR"/>
        </w:rPr>
      </w:pPr>
      <w:hyperlink w:anchor="_Toc153443779" w:history="1">
        <w:r w:rsidR="00705B06" w:rsidRPr="00264E14">
          <w:rPr>
            <w:rStyle w:val="Hyperlink"/>
            <w:noProof/>
            <w:lang w:val="en-GB"/>
          </w:rPr>
          <w:t>4.5</w:t>
        </w:r>
        <w:r w:rsidR="00705B06">
          <w:rPr>
            <w:rFonts w:asciiTheme="minorHAnsi" w:eastAsiaTheme="minorEastAsia" w:hAnsiTheme="minorHAnsi" w:cstheme="minorBidi"/>
            <w:noProof/>
            <w:sz w:val="22"/>
            <w:szCs w:val="22"/>
            <w:lang w:val="fr-FR" w:eastAsia="fr-FR"/>
          </w:rPr>
          <w:tab/>
        </w:r>
        <w:r w:rsidR="00705B06" w:rsidRPr="00264E14">
          <w:rPr>
            <w:rStyle w:val="Hyperlink"/>
            <w:noProof/>
            <w:lang w:val="en-GB"/>
          </w:rPr>
          <w:t>Contour determination and acquisition radar (CDR)</w:t>
        </w:r>
        <w:r w:rsidR="00705B06">
          <w:rPr>
            <w:noProof/>
            <w:webHidden/>
          </w:rPr>
          <w:tab/>
        </w:r>
        <w:r w:rsidR="00705B06">
          <w:rPr>
            <w:noProof/>
            <w:webHidden/>
          </w:rPr>
          <w:fldChar w:fldCharType="begin"/>
        </w:r>
        <w:r w:rsidR="00705B06">
          <w:rPr>
            <w:noProof/>
            <w:webHidden/>
          </w:rPr>
          <w:instrText xml:space="preserve"> PAGEREF _Toc153443779 \h </w:instrText>
        </w:r>
        <w:r w:rsidR="00705B06">
          <w:rPr>
            <w:noProof/>
            <w:webHidden/>
          </w:rPr>
        </w:r>
        <w:r w:rsidR="00705B06">
          <w:rPr>
            <w:noProof/>
            <w:webHidden/>
          </w:rPr>
          <w:fldChar w:fldCharType="separate"/>
        </w:r>
        <w:r w:rsidR="008F5D4D">
          <w:rPr>
            <w:noProof/>
            <w:webHidden/>
          </w:rPr>
          <w:t>27</w:t>
        </w:r>
        <w:r w:rsidR="00705B06">
          <w:rPr>
            <w:noProof/>
            <w:webHidden/>
          </w:rPr>
          <w:fldChar w:fldCharType="end"/>
        </w:r>
      </w:hyperlink>
    </w:p>
    <w:p w14:paraId="2FD059B4" w14:textId="4D6A72F8" w:rsidR="00705B06" w:rsidRDefault="009457E7" w:rsidP="008F5D4D">
      <w:pPr>
        <w:pStyle w:val="TOC2"/>
        <w:rPr>
          <w:rFonts w:asciiTheme="minorHAnsi" w:eastAsiaTheme="minorEastAsia" w:hAnsiTheme="minorHAnsi" w:cstheme="minorBidi"/>
          <w:noProof/>
          <w:sz w:val="22"/>
          <w:szCs w:val="22"/>
          <w:lang w:val="fr-FR" w:eastAsia="fr-FR"/>
        </w:rPr>
      </w:pPr>
      <w:hyperlink w:anchor="_Toc153443780" w:history="1">
        <w:r w:rsidR="00705B06" w:rsidRPr="00264E14">
          <w:rPr>
            <w:rStyle w:val="Hyperlink"/>
            <w:noProof/>
            <w:lang w:val="en-GB"/>
          </w:rPr>
          <w:t>4.6</w:t>
        </w:r>
        <w:r w:rsidR="00705B06">
          <w:rPr>
            <w:rFonts w:asciiTheme="minorHAnsi" w:eastAsiaTheme="minorEastAsia" w:hAnsiTheme="minorHAnsi" w:cstheme="minorBidi"/>
            <w:noProof/>
            <w:sz w:val="22"/>
            <w:szCs w:val="22"/>
            <w:lang w:val="fr-FR" w:eastAsia="fr-FR"/>
          </w:rPr>
          <w:tab/>
        </w:r>
        <w:r w:rsidR="00705B06" w:rsidRPr="00264E14">
          <w:rPr>
            <w:rStyle w:val="Hyperlink"/>
            <w:noProof/>
            <w:lang w:val="en-GB"/>
          </w:rPr>
          <w:t>Tank level probing radar (TLPR)</w:t>
        </w:r>
        <w:r w:rsidR="00705B06">
          <w:rPr>
            <w:noProof/>
            <w:webHidden/>
          </w:rPr>
          <w:tab/>
        </w:r>
        <w:r w:rsidR="00705B06">
          <w:rPr>
            <w:noProof/>
            <w:webHidden/>
          </w:rPr>
          <w:fldChar w:fldCharType="begin"/>
        </w:r>
        <w:r w:rsidR="00705B06">
          <w:rPr>
            <w:noProof/>
            <w:webHidden/>
          </w:rPr>
          <w:instrText xml:space="preserve"> PAGEREF _Toc153443780 \h </w:instrText>
        </w:r>
        <w:r w:rsidR="00705B06">
          <w:rPr>
            <w:noProof/>
            <w:webHidden/>
          </w:rPr>
        </w:r>
        <w:r w:rsidR="00705B06">
          <w:rPr>
            <w:noProof/>
            <w:webHidden/>
          </w:rPr>
          <w:fldChar w:fldCharType="separate"/>
        </w:r>
        <w:r w:rsidR="008F5D4D">
          <w:rPr>
            <w:noProof/>
            <w:webHidden/>
          </w:rPr>
          <w:t>28</w:t>
        </w:r>
        <w:r w:rsidR="00705B06">
          <w:rPr>
            <w:noProof/>
            <w:webHidden/>
          </w:rPr>
          <w:fldChar w:fldCharType="end"/>
        </w:r>
      </w:hyperlink>
    </w:p>
    <w:p w14:paraId="670E266E" w14:textId="32D5297E" w:rsidR="00705B06" w:rsidRDefault="009457E7" w:rsidP="008F5D4D">
      <w:pPr>
        <w:pStyle w:val="TOC2"/>
        <w:rPr>
          <w:rFonts w:asciiTheme="minorHAnsi" w:eastAsiaTheme="minorEastAsia" w:hAnsiTheme="minorHAnsi" w:cstheme="minorBidi"/>
          <w:noProof/>
          <w:sz w:val="22"/>
          <w:szCs w:val="22"/>
          <w:lang w:val="fr-FR" w:eastAsia="fr-FR"/>
        </w:rPr>
      </w:pPr>
      <w:hyperlink w:anchor="_Toc153443782" w:history="1">
        <w:r w:rsidR="00705B06" w:rsidRPr="00264E14">
          <w:rPr>
            <w:rStyle w:val="Hyperlink"/>
            <w:noProof/>
            <w:lang w:val="en-GB"/>
          </w:rPr>
          <w:t>4.7</w:t>
        </w:r>
        <w:r w:rsidR="00705B06">
          <w:rPr>
            <w:rFonts w:asciiTheme="minorHAnsi" w:eastAsiaTheme="minorEastAsia" w:hAnsiTheme="minorHAnsi" w:cstheme="minorBidi"/>
            <w:noProof/>
            <w:sz w:val="22"/>
            <w:szCs w:val="22"/>
            <w:lang w:val="fr-FR" w:eastAsia="fr-FR"/>
          </w:rPr>
          <w:tab/>
        </w:r>
        <w:r w:rsidR="00705B06" w:rsidRPr="00264E14">
          <w:rPr>
            <w:rStyle w:val="Hyperlink"/>
            <w:noProof/>
            <w:lang w:val="en-GB"/>
          </w:rPr>
          <w:t>Radiodetermination systems for industry automation in shielded environments (RDI-S)</w:t>
        </w:r>
        <w:r w:rsidR="00705B06">
          <w:rPr>
            <w:noProof/>
            <w:webHidden/>
          </w:rPr>
          <w:tab/>
        </w:r>
        <w:r w:rsidR="00705B06">
          <w:rPr>
            <w:noProof/>
            <w:webHidden/>
          </w:rPr>
          <w:fldChar w:fldCharType="begin"/>
        </w:r>
        <w:r w:rsidR="00705B06">
          <w:rPr>
            <w:noProof/>
            <w:webHidden/>
          </w:rPr>
          <w:instrText xml:space="preserve"> PAGEREF _Toc153443782 \h </w:instrText>
        </w:r>
        <w:r w:rsidR="00705B06">
          <w:rPr>
            <w:noProof/>
            <w:webHidden/>
          </w:rPr>
        </w:r>
        <w:r w:rsidR="00705B06">
          <w:rPr>
            <w:noProof/>
            <w:webHidden/>
          </w:rPr>
          <w:fldChar w:fldCharType="separate"/>
        </w:r>
        <w:r w:rsidR="008F5D4D">
          <w:rPr>
            <w:noProof/>
            <w:webHidden/>
          </w:rPr>
          <w:t>28</w:t>
        </w:r>
        <w:r w:rsidR="00705B06">
          <w:rPr>
            <w:noProof/>
            <w:webHidden/>
          </w:rPr>
          <w:fldChar w:fldCharType="end"/>
        </w:r>
      </w:hyperlink>
    </w:p>
    <w:p w14:paraId="24E53436" w14:textId="59C8FCDC" w:rsidR="00705B06" w:rsidRDefault="009457E7" w:rsidP="008F5D4D">
      <w:pPr>
        <w:pStyle w:val="TOC2"/>
        <w:rPr>
          <w:rFonts w:asciiTheme="minorHAnsi" w:eastAsiaTheme="minorEastAsia" w:hAnsiTheme="minorHAnsi" w:cstheme="minorBidi"/>
          <w:noProof/>
          <w:sz w:val="22"/>
          <w:szCs w:val="22"/>
          <w:lang w:val="fr-FR" w:eastAsia="fr-FR"/>
        </w:rPr>
      </w:pPr>
      <w:hyperlink w:anchor="_Toc153443783" w:history="1">
        <w:r w:rsidR="00705B06" w:rsidRPr="00264E14">
          <w:rPr>
            <w:rStyle w:val="Hyperlink"/>
            <w:rFonts w:eastAsiaTheme="minorHAnsi"/>
            <w:noProof/>
            <w:lang w:val="en-GB"/>
          </w:rPr>
          <w:t>4.8</w:t>
        </w:r>
        <w:r w:rsidR="00705B06">
          <w:rPr>
            <w:rFonts w:asciiTheme="minorHAnsi" w:eastAsiaTheme="minorEastAsia" w:hAnsiTheme="minorHAnsi" w:cstheme="minorBidi"/>
            <w:noProof/>
            <w:sz w:val="22"/>
            <w:szCs w:val="22"/>
            <w:lang w:val="fr-FR" w:eastAsia="fr-FR"/>
          </w:rPr>
          <w:tab/>
        </w:r>
        <w:r w:rsidR="00705B06" w:rsidRPr="00264E14">
          <w:rPr>
            <w:rStyle w:val="Hyperlink"/>
            <w:rFonts w:eastAsiaTheme="minorHAnsi"/>
            <w:noProof/>
            <w:lang w:val="en-GB"/>
          </w:rPr>
          <w:t>Exterior vehicular radar (EVR)</w:t>
        </w:r>
        <w:r w:rsidR="00705B06">
          <w:rPr>
            <w:noProof/>
            <w:webHidden/>
          </w:rPr>
          <w:tab/>
        </w:r>
        <w:r w:rsidR="00705B06">
          <w:rPr>
            <w:noProof/>
            <w:webHidden/>
          </w:rPr>
          <w:fldChar w:fldCharType="begin"/>
        </w:r>
        <w:r w:rsidR="00705B06">
          <w:rPr>
            <w:noProof/>
            <w:webHidden/>
          </w:rPr>
          <w:instrText xml:space="preserve"> PAGEREF _Toc153443783 \h </w:instrText>
        </w:r>
        <w:r w:rsidR="00705B06">
          <w:rPr>
            <w:noProof/>
            <w:webHidden/>
          </w:rPr>
        </w:r>
        <w:r w:rsidR="00705B06">
          <w:rPr>
            <w:noProof/>
            <w:webHidden/>
          </w:rPr>
          <w:fldChar w:fldCharType="separate"/>
        </w:r>
        <w:r w:rsidR="008F5D4D">
          <w:rPr>
            <w:noProof/>
            <w:webHidden/>
          </w:rPr>
          <w:t>29</w:t>
        </w:r>
        <w:r w:rsidR="00705B06">
          <w:rPr>
            <w:noProof/>
            <w:webHidden/>
          </w:rPr>
          <w:fldChar w:fldCharType="end"/>
        </w:r>
      </w:hyperlink>
    </w:p>
    <w:p w14:paraId="0810C4D3" w14:textId="2B4CED47" w:rsidR="00705B06" w:rsidRDefault="009457E7" w:rsidP="008F5D4D">
      <w:pPr>
        <w:pStyle w:val="TOC2"/>
        <w:rPr>
          <w:rFonts w:asciiTheme="minorHAnsi" w:eastAsiaTheme="minorEastAsia" w:hAnsiTheme="minorHAnsi" w:cstheme="minorBidi"/>
          <w:noProof/>
          <w:sz w:val="22"/>
          <w:szCs w:val="22"/>
          <w:lang w:val="fr-FR" w:eastAsia="fr-FR"/>
        </w:rPr>
      </w:pPr>
      <w:hyperlink w:anchor="_Toc153443784" w:history="1">
        <w:r w:rsidR="00705B06" w:rsidRPr="00264E14">
          <w:rPr>
            <w:rStyle w:val="Hyperlink"/>
            <w:rFonts w:eastAsiaTheme="minorHAnsi"/>
            <w:noProof/>
            <w:lang w:val="en-GB"/>
          </w:rPr>
          <w:t>4.9</w:t>
        </w:r>
        <w:r w:rsidR="00705B06">
          <w:rPr>
            <w:rFonts w:asciiTheme="minorHAnsi" w:eastAsiaTheme="minorEastAsia" w:hAnsiTheme="minorHAnsi" w:cstheme="minorBidi"/>
            <w:noProof/>
            <w:sz w:val="22"/>
            <w:szCs w:val="22"/>
            <w:lang w:val="fr-FR" w:eastAsia="fr-FR"/>
          </w:rPr>
          <w:tab/>
        </w:r>
        <w:r w:rsidR="00705B06" w:rsidRPr="00264E14">
          <w:rPr>
            <w:rStyle w:val="Hyperlink"/>
            <w:rFonts w:eastAsiaTheme="minorHAnsi"/>
            <w:noProof/>
            <w:lang w:val="en-GB"/>
          </w:rPr>
          <w:t>In-cabin vehicular radar (IVR)</w:t>
        </w:r>
        <w:r w:rsidR="00705B06">
          <w:rPr>
            <w:noProof/>
            <w:webHidden/>
          </w:rPr>
          <w:tab/>
        </w:r>
        <w:r w:rsidR="00705B06">
          <w:rPr>
            <w:noProof/>
            <w:webHidden/>
          </w:rPr>
          <w:fldChar w:fldCharType="begin"/>
        </w:r>
        <w:r w:rsidR="00705B06">
          <w:rPr>
            <w:noProof/>
            <w:webHidden/>
          </w:rPr>
          <w:instrText xml:space="preserve"> PAGEREF _Toc153443784 \h </w:instrText>
        </w:r>
        <w:r w:rsidR="00705B06">
          <w:rPr>
            <w:noProof/>
            <w:webHidden/>
          </w:rPr>
        </w:r>
        <w:r w:rsidR="00705B06">
          <w:rPr>
            <w:noProof/>
            <w:webHidden/>
          </w:rPr>
          <w:fldChar w:fldCharType="separate"/>
        </w:r>
        <w:r w:rsidR="008F5D4D">
          <w:rPr>
            <w:noProof/>
            <w:webHidden/>
          </w:rPr>
          <w:t>29</w:t>
        </w:r>
        <w:r w:rsidR="00705B06">
          <w:rPr>
            <w:noProof/>
            <w:webHidden/>
          </w:rPr>
          <w:fldChar w:fldCharType="end"/>
        </w:r>
      </w:hyperlink>
    </w:p>
    <w:p w14:paraId="065B97E4" w14:textId="066C418F" w:rsidR="00705B06" w:rsidRDefault="009457E7">
      <w:pPr>
        <w:pStyle w:val="TOC1"/>
        <w:rPr>
          <w:rFonts w:asciiTheme="minorHAnsi" w:eastAsiaTheme="minorEastAsia" w:hAnsiTheme="minorHAnsi" w:cstheme="minorBidi"/>
          <w:b w:val="0"/>
          <w:caps w:val="0"/>
          <w:noProof/>
          <w:sz w:val="22"/>
          <w:szCs w:val="22"/>
          <w:lang w:val="fr-FR" w:eastAsia="fr-FR"/>
        </w:rPr>
      </w:pPr>
      <w:hyperlink w:anchor="_Toc153443785" w:history="1">
        <w:r w:rsidR="00705B06" w:rsidRPr="00264E14">
          <w:rPr>
            <w:rStyle w:val="Hyperlink"/>
            <w:noProof/>
          </w:rPr>
          <w:t>ANNEX 1: Proposed harmonised technical conditions for Radiodetermination Applications in the frequency range 116-260 GHz using specific Radiodetermination Technology</w:t>
        </w:r>
        <w:r w:rsidR="00705B06">
          <w:rPr>
            <w:noProof/>
            <w:webHidden/>
          </w:rPr>
          <w:tab/>
        </w:r>
        <w:r w:rsidR="00705B06">
          <w:rPr>
            <w:noProof/>
            <w:webHidden/>
          </w:rPr>
          <w:fldChar w:fldCharType="begin"/>
        </w:r>
        <w:r w:rsidR="00705B06">
          <w:rPr>
            <w:noProof/>
            <w:webHidden/>
          </w:rPr>
          <w:instrText xml:space="preserve"> PAGEREF _Toc153443785 \h </w:instrText>
        </w:r>
        <w:r w:rsidR="00705B06">
          <w:rPr>
            <w:noProof/>
            <w:webHidden/>
          </w:rPr>
        </w:r>
        <w:r w:rsidR="00705B06">
          <w:rPr>
            <w:noProof/>
            <w:webHidden/>
          </w:rPr>
          <w:fldChar w:fldCharType="separate"/>
        </w:r>
        <w:r w:rsidR="008F5D4D">
          <w:rPr>
            <w:noProof/>
            <w:webHidden/>
          </w:rPr>
          <w:t>30</w:t>
        </w:r>
        <w:r w:rsidR="00705B06">
          <w:rPr>
            <w:noProof/>
            <w:webHidden/>
          </w:rPr>
          <w:fldChar w:fldCharType="end"/>
        </w:r>
      </w:hyperlink>
    </w:p>
    <w:p w14:paraId="02DEB304" w14:textId="001A6028" w:rsidR="00705B06" w:rsidRDefault="009457E7">
      <w:pPr>
        <w:pStyle w:val="TOC1"/>
        <w:rPr>
          <w:rFonts w:asciiTheme="minorHAnsi" w:eastAsiaTheme="minorEastAsia" w:hAnsiTheme="minorHAnsi" w:cstheme="minorBidi"/>
          <w:b w:val="0"/>
          <w:caps w:val="0"/>
          <w:noProof/>
          <w:sz w:val="22"/>
          <w:szCs w:val="22"/>
          <w:lang w:val="fr-FR" w:eastAsia="fr-FR"/>
        </w:rPr>
      </w:pPr>
      <w:hyperlink w:anchor="_Toc153443786" w:history="1">
        <w:r w:rsidR="00705B06" w:rsidRPr="00264E14">
          <w:rPr>
            <w:rStyle w:val="Hyperlink"/>
            <w:noProof/>
          </w:rPr>
          <w:t>ANNEX 2: Guidance to CEPT on the next Update of the SRD Decisions (as per ECC(21)065)</w:t>
        </w:r>
        <w:r w:rsidR="00705B06">
          <w:rPr>
            <w:noProof/>
            <w:webHidden/>
          </w:rPr>
          <w:tab/>
        </w:r>
        <w:r w:rsidR="00705B06">
          <w:rPr>
            <w:noProof/>
            <w:webHidden/>
          </w:rPr>
          <w:fldChar w:fldCharType="begin"/>
        </w:r>
        <w:r w:rsidR="00705B06">
          <w:rPr>
            <w:noProof/>
            <w:webHidden/>
          </w:rPr>
          <w:instrText xml:space="preserve"> PAGEREF _Toc153443786 \h </w:instrText>
        </w:r>
        <w:r w:rsidR="00705B06">
          <w:rPr>
            <w:noProof/>
            <w:webHidden/>
          </w:rPr>
        </w:r>
        <w:r w:rsidR="00705B06">
          <w:rPr>
            <w:noProof/>
            <w:webHidden/>
          </w:rPr>
          <w:fldChar w:fldCharType="separate"/>
        </w:r>
        <w:r w:rsidR="008F5D4D">
          <w:rPr>
            <w:noProof/>
            <w:webHidden/>
          </w:rPr>
          <w:t>41</w:t>
        </w:r>
        <w:r w:rsidR="00705B06">
          <w:rPr>
            <w:noProof/>
            <w:webHidden/>
          </w:rPr>
          <w:fldChar w:fldCharType="end"/>
        </w:r>
      </w:hyperlink>
    </w:p>
    <w:p w14:paraId="348641DF" w14:textId="643B339F" w:rsidR="00705B06" w:rsidRDefault="009457E7">
      <w:pPr>
        <w:pStyle w:val="TOC1"/>
        <w:rPr>
          <w:rFonts w:asciiTheme="minorHAnsi" w:eastAsiaTheme="minorEastAsia" w:hAnsiTheme="minorHAnsi" w:cstheme="minorBidi"/>
          <w:b w:val="0"/>
          <w:caps w:val="0"/>
          <w:noProof/>
          <w:sz w:val="22"/>
          <w:szCs w:val="22"/>
          <w:lang w:val="fr-FR" w:eastAsia="fr-FR"/>
        </w:rPr>
      </w:pPr>
      <w:hyperlink w:anchor="_Toc153443787" w:history="1">
        <w:r w:rsidR="00705B06" w:rsidRPr="00264E14">
          <w:rPr>
            <w:rStyle w:val="Hyperlink"/>
            <w:noProof/>
          </w:rPr>
          <w:t>ANNEX 3: CEPT Mandate</w:t>
        </w:r>
        <w:r w:rsidR="00705B06">
          <w:rPr>
            <w:noProof/>
            <w:webHidden/>
          </w:rPr>
          <w:tab/>
        </w:r>
        <w:r w:rsidR="00705B06">
          <w:rPr>
            <w:noProof/>
            <w:webHidden/>
          </w:rPr>
          <w:fldChar w:fldCharType="begin"/>
        </w:r>
        <w:r w:rsidR="00705B06">
          <w:rPr>
            <w:noProof/>
            <w:webHidden/>
          </w:rPr>
          <w:instrText xml:space="preserve"> PAGEREF _Toc153443787 \h </w:instrText>
        </w:r>
        <w:r w:rsidR="00705B06">
          <w:rPr>
            <w:noProof/>
            <w:webHidden/>
          </w:rPr>
        </w:r>
        <w:r w:rsidR="00705B06">
          <w:rPr>
            <w:noProof/>
            <w:webHidden/>
          </w:rPr>
          <w:fldChar w:fldCharType="separate"/>
        </w:r>
        <w:r w:rsidR="008F5D4D">
          <w:rPr>
            <w:noProof/>
            <w:webHidden/>
          </w:rPr>
          <w:t>44</w:t>
        </w:r>
        <w:r w:rsidR="00705B06">
          <w:rPr>
            <w:noProof/>
            <w:webHidden/>
          </w:rPr>
          <w:fldChar w:fldCharType="end"/>
        </w:r>
      </w:hyperlink>
    </w:p>
    <w:p w14:paraId="1D99E24E" w14:textId="2C0A2E43" w:rsidR="00705B06" w:rsidRDefault="009457E7">
      <w:pPr>
        <w:pStyle w:val="TOC1"/>
        <w:rPr>
          <w:rFonts w:asciiTheme="minorHAnsi" w:eastAsiaTheme="minorEastAsia" w:hAnsiTheme="minorHAnsi" w:cstheme="minorBidi"/>
          <w:b w:val="0"/>
          <w:caps w:val="0"/>
          <w:noProof/>
          <w:sz w:val="22"/>
          <w:szCs w:val="22"/>
          <w:lang w:val="fr-FR" w:eastAsia="fr-FR"/>
        </w:rPr>
      </w:pPr>
      <w:hyperlink w:anchor="_Toc153443788" w:history="1">
        <w:r w:rsidR="00705B06" w:rsidRPr="00264E14">
          <w:rPr>
            <w:rStyle w:val="Hyperlink"/>
            <w:noProof/>
          </w:rPr>
          <w:t>ANNEX 4: List of references</w:t>
        </w:r>
        <w:r w:rsidR="00705B06">
          <w:rPr>
            <w:noProof/>
            <w:webHidden/>
          </w:rPr>
          <w:tab/>
        </w:r>
        <w:r w:rsidR="00705B06">
          <w:rPr>
            <w:noProof/>
            <w:webHidden/>
          </w:rPr>
          <w:fldChar w:fldCharType="begin"/>
        </w:r>
        <w:r w:rsidR="00705B06">
          <w:rPr>
            <w:noProof/>
            <w:webHidden/>
          </w:rPr>
          <w:instrText xml:space="preserve"> PAGEREF _Toc153443788 \h </w:instrText>
        </w:r>
        <w:r w:rsidR="00705B06">
          <w:rPr>
            <w:noProof/>
            <w:webHidden/>
          </w:rPr>
        </w:r>
        <w:r w:rsidR="00705B06">
          <w:rPr>
            <w:noProof/>
            <w:webHidden/>
          </w:rPr>
          <w:fldChar w:fldCharType="separate"/>
        </w:r>
        <w:r w:rsidR="008F5D4D">
          <w:rPr>
            <w:noProof/>
            <w:webHidden/>
          </w:rPr>
          <w:t>48</w:t>
        </w:r>
        <w:r w:rsidR="00705B06">
          <w:rPr>
            <w:noProof/>
            <w:webHidden/>
          </w:rPr>
          <w:fldChar w:fldCharType="end"/>
        </w:r>
      </w:hyperlink>
    </w:p>
    <w:p w14:paraId="34267C3B" w14:textId="72BAB4EC" w:rsidR="00AB46DF" w:rsidRPr="008D73A7" w:rsidRDefault="00BB6366" w:rsidP="00AB46DF">
      <w:pPr>
        <w:rPr>
          <w:lang w:val="en-GB"/>
        </w:rPr>
      </w:pPr>
      <w:r>
        <w:rPr>
          <w:b/>
          <w:caps/>
          <w:lang w:val="en-GB"/>
        </w:rPr>
        <w:fldChar w:fldCharType="end"/>
      </w:r>
    </w:p>
    <w:p w14:paraId="4378B136" w14:textId="502D3CF1" w:rsidR="00AB46DF" w:rsidRPr="008D73A7" w:rsidRDefault="003C3EE4" w:rsidP="00AB46DF">
      <w:pPr>
        <w:rPr>
          <w:lang w:val="en-GB"/>
        </w:rPr>
      </w:pPr>
      <w:r w:rsidRPr="008D73A7">
        <w:rPr>
          <w:lang w:val="en-GB"/>
        </w:rPr>
        <w:br w:type="page"/>
      </w:r>
    </w:p>
    <w:p w14:paraId="626682DF" w14:textId="4EB7FC23" w:rsidR="00AB46DF" w:rsidRPr="008D73A7" w:rsidRDefault="00DE4454" w:rsidP="00AB46DF">
      <w:pPr>
        <w:rPr>
          <w:b/>
          <w:color w:val="FFFFFF"/>
          <w:szCs w:val="20"/>
          <w:lang w:val="en-GB"/>
        </w:rPr>
      </w:pPr>
      <w:r w:rsidRPr="008D73A7">
        <w:rPr>
          <w:b/>
          <w:noProof/>
          <w:color w:val="FFFFFF"/>
          <w:szCs w:val="20"/>
          <w:lang w:val="en-GB" w:eastAsia="fr-FR"/>
        </w:rPr>
        <w:lastRenderedPageBreak/>
        <mc:AlternateContent>
          <mc:Choice Requires="wps">
            <w:drawing>
              <wp:anchor distT="0" distB="0" distL="114300" distR="114300" simplePos="0" relativeHeight="251658246" behindDoc="1" locked="0" layoutInCell="1" allowOverlap="1" wp14:anchorId="2CCA3E8A" wp14:editId="5FD338B5">
                <wp:simplePos x="0" y="0"/>
                <wp:positionH relativeFrom="page">
                  <wp:posOffset>20663</wp:posOffset>
                </wp:positionH>
                <wp:positionV relativeFrom="page">
                  <wp:posOffset>928479</wp:posOffset>
                </wp:positionV>
                <wp:extent cx="7560310" cy="720090"/>
                <wp:effectExtent l="0" t="0" r="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D24F5" id="Rectangle 4" o:spid="_x0000_s1026" style="position:absolute;margin-left:1.65pt;margin-top:73.1pt;width:595.3pt;height:56.7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" fillcolor="#b0a696" stroked="f">
                <w10:wrap anchorx="page" anchory="page"/>
              </v:rect>
            </w:pict>
          </mc:Fallback>
        </mc:AlternateContent>
      </w:r>
    </w:p>
    <w:p w14:paraId="49676D66" w14:textId="4C575DD8" w:rsidR="00AB46DF" w:rsidRPr="008D73A7" w:rsidRDefault="003C3EE4" w:rsidP="00AB46DF">
      <w:pPr>
        <w:rPr>
          <w:b/>
          <w:color w:val="FFFFFF"/>
          <w:szCs w:val="20"/>
          <w:lang w:val="en-GB"/>
        </w:rPr>
      </w:pPr>
      <w:r w:rsidRPr="008D73A7">
        <w:rPr>
          <w:b/>
          <w:color w:val="FFFFFF"/>
          <w:szCs w:val="20"/>
          <w:lang w:val="en-GB"/>
        </w:rPr>
        <w:t>LIST OF ABBREVIATIONS</w:t>
      </w:r>
    </w:p>
    <w:p w14:paraId="1FDCC1E4" w14:textId="77777777" w:rsidR="00AB46DF" w:rsidRDefault="00AB46DF" w:rsidP="00AB46DF">
      <w:pPr>
        <w:rPr>
          <w:b/>
          <w:color w:val="FFFFFF"/>
          <w:szCs w:val="20"/>
          <w:lang w:val="en-GB"/>
        </w:rPr>
      </w:pPr>
    </w:p>
    <w:p w14:paraId="7642715C" w14:textId="77777777" w:rsidR="0060554F" w:rsidRPr="008D73A7" w:rsidRDefault="0060554F" w:rsidP="00AB46DF">
      <w:pPr>
        <w:rPr>
          <w:b/>
          <w:color w:val="FFFFFF"/>
          <w:szCs w:val="20"/>
          <w:lang w:val="en-GB"/>
        </w:rPr>
      </w:pPr>
    </w:p>
    <w:tbl>
      <w:tblPr>
        <w:tblW w:w="0" w:type="auto"/>
        <w:tblCellMar>
          <w:top w:w="11" w:type="dxa"/>
          <w:bottom w:w="11" w:type="dxa"/>
        </w:tblCellMar>
        <w:tblLook w:val="01E0" w:firstRow="1" w:lastRow="1" w:firstColumn="1" w:lastColumn="1" w:noHBand="0" w:noVBand="0"/>
      </w:tblPr>
      <w:tblGrid>
        <w:gridCol w:w="2065"/>
        <w:gridCol w:w="7564"/>
      </w:tblGrid>
      <w:tr w:rsidR="00216037" w:rsidRPr="008D73A7" w14:paraId="12E32182" w14:textId="77777777" w:rsidTr="0060554F">
        <w:trPr>
          <w:trHeight w:val="76"/>
        </w:trPr>
        <w:tc>
          <w:tcPr>
            <w:tcW w:w="2065" w:type="dxa"/>
          </w:tcPr>
          <w:p w14:paraId="71FB3DBC" w14:textId="77777777" w:rsidR="00216037" w:rsidRPr="008D73A7" w:rsidRDefault="00216037" w:rsidP="002F586F">
            <w:pPr>
              <w:spacing w:before="40" w:after="40" w:line="288" w:lineRule="auto"/>
              <w:rPr>
                <w:b/>
                <w:color w:val="D2232A"/>
                <w:lang w:val="en-GB"/>
              </w:rPr>
            </w:pPr>
            <w:r w:rsidRPr="008D73A7">
              <w:rPr>
                <w:b/>
                <w:color w:val="D2232A"/>
                <w:lang w:val="en-GB"/>
              </w:rPr>
              <w:t>Abbreviation</w:t>
            </w:r>
          </w:p>
        </w:tc>
        <w:tc>
          <w:tcPr>
            <w:tcW w:w="7564" w:type="dxa"/>
          </w:tcPr>
          <w:p w14:paraId="4E7C5559" w14:textId="77777777" w:rsidR="00216037" w:rsidRPr="008D73A7" w:rsidRDefault="00216037" w:rsidP="002F586F">
            <w:pPr>
              <w:spacing w:before="40" w:after="40" w:line="288" w:lineRule="auto"/>
              <w:rPr>
                <w:b/>
                <w:color w:val="D2232A"/>
                <w:lang w:val="en-GB"/>
              </w:rPr>
            </w:pPr>
            <w:r w:rsidRPr="008D73A7">
              <w:rPr>
                <w:b/>
                <w:color w:val="D2232A"/>
                <w:lang w:val="en-GB"/>
              </w:rPr>
              <w:t xml:space="preserve">Explanation </w:t>
            </w:r>
          </w:p>
        </w:tc>
      </w:tr>
      <w:tr w:rsidR="00216037" w:rsidRPr="008D73A7" w14:paraId="20473DAA" w14:textId="77777777" w:rsidTr="0060554F">
        <w:tc>
          <w:tcPr>
            <w:tcW w:w="2065" w:type="dxa"/>
          </w:tcPr>
          <w:p w14:paraId="2E893A77" w14:textId="77777777" w:rsidR="00216037" w:rsidRPr="008D73A7" w:rsidRDefault="00216037" w:rsidP="002F586F">
            <w:pPr>
              <w:spacing w:before="40" w:after="40" w:line="288" w:lineRule="auto"/>
              <w:rPr>
                <w:b/>
                <w:lang w:val="en-GB"/>
              </w:rPr>
            </w:pPr>
            <w:r w:rsidRPr="008D73A7">
              <w:rPr>
                <w:b/>
                <w:lang w:val="en-GB"/>
              </w:rPr>
              <w:t>CDR</w:t>
            </w:r>
          </w:p>
        </w:tc>
        <w:tc>
          <w:tcPr>
            <w:tcW w:w="7564" w:type="dxa"/>
          </w:tcPr>
          <w:p w14:paraId="6194B095" w14:textId="77777777" w:rsidR="00216037" w:rsidRPr="008D73A7" w:rsidRDefault="00216037" w:rsidP="002F586F">
            <w:pPr>
              <w:pStyle w:val="ECCParagraph"/>
              <w:spacing w:before="40" w:after="40" w:line="288" w:lineRule="auto"/>
              <w:jc w:val="left"/>
              <w:rPr>
                <w:color w:val="000000"/>
              </w:rPr>
            </w:pPr>
            <w:r w:rsidRPr="008D73A7">
              <w:rPr>
                <w:rFonts w:eastAsiaTheme="minorHAnsi"/>
              </w:rPr>
              <w:t xml:space="preserve">Contour determination and </w:t>
            </w:r>
            <w:r w:rsidRPr="008D73A7">
              <w:t>acquisition radar</w:t>
            </w:r>
          </w:p>
        </w:tc>
      </w:tr>
      <w:tr w:rsidR="00216037" w:rsidRPr="008D73A7" w14:paraId="4D7B1737" w14:textId="77777777" w:rsidTr="0060554F">
        <w:tc>
          <w:tcPr>
            <w:tcW w:w="2065" w:type="dxa"/>
          </w:tcPr>
          <w:p w14:paraId="68156E0F" w14:textId="77777777" w:rsidR="00216037" w:rsidRPr="008D73A7" w:rsidRDefault="00216037" w:rsidP="002F586F">
            <w:pPr>
              <w:spacing w:before="40" w:after="40" w:line="288" w:lineRule="auto"/>
              <w:rPr>
                <w:b/>
                <w:lang w:val="en-GB"/>
              </w:rPr>
            </w:pPr>
            <w:r w:rsidRPr="008D73A7">
              <w:rPr>
                <w:b/>
                <w:lang w:val="en-GB"/>
              </w:rPr>
              <w:t>CEPT</w:t>
            </w:r>
          </w:p>
        </w:tc>
        <w:tc>
          <w:tcPr>
            <w:tcW w:w="7564" w:type="dxa"/>
          </w:tcPr>
          <w:p w14:paraId="192C2459" w14:textId="77777777" w:rsidR="00216037" w:rsidRPr="008D73A7" w:rsidRDefault="00216037" w:rsidP="002F586F">
            <w:pPr>
              <w:spacing w:before="40" w:after="40" w:line="288" w:lineRule="auto"/>
              <w:rPr>
                <w:szCs w:val="20"/>
                <w:lang w:val="en-GB"/>
              </w:rPr>
            </w:pPr>
            <w:r w:rsidRPr="008D73A7">
              <w:rPr>
                <w:szCs w:val="20"/>
                <w:lang w:val="en-GB"/>
              </w:rPr>
              <w:t>European Conference of Postal and Telecommunications Administrations</w:t>
            </w:r>
          </w:p>
        </w:tc>
      </w:tr>
      <w:tr w:rsidR="00216037" w:rsidRPr="008D73A7" w14:paraId="2C3FF6CD" w14:textId="77777777" w:rsidTr="0060554F">
        <w:tc>
          <w:tcPr>
            <w:tcW w:w="2065" w:type="dxa"/>
          </w:tcPr>
          <w:p w14:paraId="06366B41" w14:textId="77777777" w:rsidR="00216037" w:rsidRPr="008D73A7" w:rsidRDefault="00216037" w:rsidP="002F586F">
            <w:pPr>
              <w:spacing w:before="40" w:after="40" w:line="288" w:lineRule="auto"/>
              <w:rPr>
                <w:b/>
                <w:lang w:val="en-GB"/>
              </w:rPr>
            </w:pPr>
            <w:r w:rsidRPr="008D73A7">
              <w:rPr>
                <w:b/>
                <w:lang w:val="en-GB"/>
              </w:rPr>
              <w:t>DBF-CDR</w:t>
            </w:r>
          </w:p>
        </w:tc>
        <w:tc>
          <w:tcPr>
            <w:tcW w:w="7564" w:type="dxa"/>
          </w:tcPr>
          <w:p w14:paraId="70BD6105" w14:textId="77777777" w:rsidR="00216037" w:rsidRPr="008D73A7" w:rsidRDefault="00216037" w:rsidP="002F586F">
            <w:pPr>
              <w:pStyle w:val="ECCParagraph"/>
              <w:spacing w:before="40" w:after="40" w:line="288" w:lineRule="auto"/>
              <w:jc w:val="left"/>
              <w:rPr>
                <w:rFonts w:eastAsiaTheme="minorHAnsi"/>
              </w:rPr>
            </w:pPr>
            <w:r w:rsidRPr="008D73A7">
              <w:rPr>
                <w:rFonts w:eastAsiaTheme="minorHAnsi"/>
              </w:rPr>
              <w:t>Digital beamforming contour determination and acquisition radar</w:t>
            </w:r>
          </w:p>
        </w:tc>
      </w:tr>
      <w:tr w:rsidR="00216037" w:rsidRPr="008D73A7" w14:paraId="667A13DE" w14:textId="77777777" w:rsidTr="0060554F">
        <w:tc>
          <w:tcPr>
            <w:tcW w:w="2065" w:type="dxa"/>
          </w:tcPr>
          <w:p w14:paraId="2CEBE539" w14:textId="77777777" w:rsidR="00216037" w:rsidRPr="008D73A7" w:rsidRDefault="00216037" w:rsidP="002F586F">
            <w:pPr>
              <w:spacing w:before="40" w:after="40" w:line="288" w:lineRule="auto"/>
              <w:rPr>
                <w:b/>
                <w:lang w:val="en-GB"/>
              </w:rPr>
            </w:pPr>
            <w:r w:rsidRPr="008D73A7">
              <w:rPr>
                <w:b/>
                <w:lang w:val="en-GB"/>
              </w:rPr>
              <w:t>e.i.r.p.</w:t>
            </w:r>
          </w:p>
        </w:tc>
        <w:tc>
          <w:tcPr>
            <w:tcW w:w="7564" w:type="dxa"/>
          </w:tcPr>
          <w:p w14:paraId="70C591DF" w14:textId="77777777" w:rsidR="00216037" w:rsidRPr="008D73A7" w:rsidRDefault="00216037" w:rsidP="002F586F">
            <w:pPr>
              <w:pStyle w:val="ECCParagraph"/>
              <w:spacing w:before="40" w:after="40" w:line="288" w:lineRule="auto"/>
              <w:jc w:val="left"/>
            </w:pPr>
            <w:r w:rsidRPr="008D73A7">
              <w:t>Effective isotropic radiated power</w:t>
            </w:r>
          </w:p>
        </w:tc>
      </w:tr>
      <w:tr w:rsidR="00216037" w:rsidRPr="008D73A7" w14:paraId="71CBEACD" w14:textId="77777777" w:rsidTr="0060554F">
        <w:tc>
          <w:tcPr>
            <w:tcW w:w="2065" w:type="dxa"/>
          </w:tcPr>
          <w:p w14:paraId="74590F3A" w14:textId="77777777" w:rsidR="00216037" w:rsidRPr="008D73A7" w:rsidRDefault="00216037" w:rsidP="002F586F">
            <w:pPr>
              <w:spacing w:before="40" w:after="40" w:line="288" w:lineRule="auto"/>
              <w:rPr>
                <w:b/>
                <w:lang w:val="en-GB"/>
              </w:rPr>
            </w:pPr>
            <w:r w:rsidRPr="008D73A7">
              <w:rPr>
                <w:b/>
                <w:lang w:val="en-GB"/>
              </w:rPr>
              <w:t>EC</w:t>
            </w:r>
          </w:p>
        </w:tc>
        <w:tc>
          <w:tcPr>
            <w:tcW w:w="7564" w:type="dxa"/>
          </w:tcPr>
          <w:p w14:paraId="17AA0D46" w14:textId="77777777" w:rsidR="00216037" w:rsidRPr="008D73A7" w:rsidRDefault="00216037" w:rsidP="002F586F">
            <w:pPr>
              <w:pStyle w:val="ECCParagraph"/>
              <w:spacing w:before="40" w:after="40" w:line="288" w:lineRule="auto"/>
              <w:jc w:val="left"/>
            </w:pPr>
            <w:r w:rsidRPr="008D73A7">
              <w:t xml:space="preserve">European Commission </w:t>
            </w:r>
          </w:p>
        </w:tc>
      </w:tr>
      <w:tr w:rsidR="00216037" w:rsidRPr="008D73A7" w14:paraId="2FB78F4F" w14:textId="77777777" w:rsidTr="0060554F">
        <w:tc>
          <w:tcPr>
            <w:tcW w:w="2065" w:type="dxa"/>
          </w:tcPr>
          <w:p w14:paraId="36FBB967" w14:textId="77777777" w:rsidR="00216037" w:rsidRPr="008D73A7" w:rsidRDefault="00216037" w:rsidP="002F586F">
            <w:pPr>
              <w:spacing w:before="40" w:after="40" w:line="288" w:lineRule="auto"/>
              <w:rPr>
                <w:b/>
                <w:lang w:val="en-GB"/>
              </w:rPr>
            </w:pPr>
            <w:r w:rsidRPr="008D73A7">
              <w:rPr>
                <w:b/>
                <w:lang w:val="en-GB"/>
              </w:rPr>
              <w:t>ECC</w:t>
            </w:r>
          </w:p>
        </w:tc>
        <w:tc>
          <w:tcPr>
            <w:tcW w:w="7564" w:type="dxa"/>
          </w:tcPr>
          <w:p w14:paraId="720472DD" w14:textId="77777777" w:rsidR="00216037" w:rsidRPr="008D73A7" w:rsidRDefault="00216037" w:rsidP="002F586F">
            <w:pPr>
              <w:pStyle w:val="ECCParagraph"/>
              <w:spacing w:before="40" w:after="40" w:line="288" w:lineRule="auto"/>
              <w:jc w:val="left"/>
              <w:rPr>
                <w:szCs w:val="20"/>
              </w:rPr>
            </w:pPr>
            <w:r w:rsidRPr="008D73A7">
              <w:t>Electronic Communications Committee</w:t>
            </w:r>
          </w:p>
        </w:tc>
      </w:tr>
      <w:tr w:rsidR="00E63843" w:rsidRPr="008D73A7" w14:paraId="3EED37D6" w14:textId="77777777" w:rsidTr="0060554F">
        <w:tc>
          <w:tcPr>
            <w:tcW w:w="2065" w:type="dxa"/>
          </w:tcPr>
          <w:p w14:paraId="51A2B63E" w14:textId="3414E091" w:rsidR="00E63843" w:rsidRPr="008D73A7" w:rsidRDefault="00E63843" w:rsidP="002F586F">
            <w:pPr>
              <w:spacing w:before="40" w:after="40" w:line="288" w:lineRule="auto"/>
              <w:rPr>
                <w:b/>
                <w:lang w:val="en-GB"/>
              </w:rPr>
            </w:pPr>
            <w:r>
              <w:rPr>
                <w:b/>
                <w:lang w:val="en-GB"/>
              </w:rPr>
              <w:t>EESS</w:t>
            </w:r>
          </w:p>
        </w:tc>
        <w:tc>
          <w:tcPr>
            <w:tcW w:w="7564" w:type="dxa"/>
          </w:tcPr>
          <w:p w14:paraId="6A364475" w14:textId="1FF7F484" w:rsidR="00E63843" w:rsidRPr="008D73A7" w:rsidRDefault="00E63843" w:rsidP="002F586F">
            <w:pPr>
              <w:pStyle w:val="ECCParagraph"/>
              <w:spacing w:before="40" w:after="40" w:line="288" w:lineRule="auto"/>
              <w:jc w:val="left"/>
            </w:pPr>
            <w:r>
              <w:t>E</w:t>
            </w:r>
            <w:r w:rsidRPr="00D17C81">
              <w:t xml:space="preserve">arth </w:t>
            </w:r>
            <w:r>
              <w:t>E</w:t>
            </w:r>
            <w:r w:rsidRPr="00D17C81">
              <w:t xml:space="preserve">xploration </w:t>
            </w:r>
            <w:r>
              <w:t>S</w:t>
            </w:r>
            <w:r w:rsidRPr="00D17C81">
              <w:t xml:space="preserve">atellite </w:t>
            </w:r>
            <w:r>
              <w:t>S</w:t>
            </w:r>
            <w:r w:rsidRPr="00D17C81">
              <w:t>ervice</w:t>
            </w:r>
          </w:p>
        </w:tc>
      </w:tr>
      <w:tr w:rsidR="00216037" w:rsidRPr="008D73A7" w14:paraId="0B18E447" w14:textId="77777777" w:rsidTr="0060554F">
        <w:tc>
          <w:tcPr>
            <w:tcW w:w="2065" w:type="dxa"/>
          </w:tcPr>
          <w:p w14:paraId="30018977" w14:textId="77777777" w:rsidR="00216037" w:rsidRPr="008D73A7" w:rsidRDefault="00216037" w:rsidP="002F586F">
            <w:pPr>
              <w:spacing w:before="40" w:after="40" w:line="288" w:lineRule="auto"/>
              <w:rPr>
                <w:b/>
                <w:lang w:val="en-GB"/>
              </w:rPr>
            </w:pPr>
            <w:r w:rsidRPr="008D73A7">
              <w:rPr>
                <w:b/>
                <w:lang w:val="en-GB"/>
              </w:rPr>
              <w:t>ETSI</w:t>
            </w:r>
          </w:p>
        </w:tc>
        <w:tc>
          <w:tcPr>
            <w:tcW w:w="7564" w:type="dxa"/>
          </w:tcPr>
          <w:p w14:paraId="460363CF" w14:textId="77777777" w:rsidR="00216037" w:rsidRPr="008D73A7" w:rsidRDefault="00216037" w:rsidP="002F586F">
            <w:pPr>
              <w:pStyle w:val="ECCParagraph"/>
              <w:spacing w:before="40" w:after="40" w:line="288" w:lineRule="auto"/>
              <w:jc w:val="left"/>
            </w:pPr>
            <w:r w:rsidRPr="008D73A7">
              <w:t>European Telecommunications Standards Institute</w:t>
            </w:r>
          </w:p>
        </w:tc>
      </w:tr>
      <w:tr w:rsidR="00216037" w:rsidRPr="008D73A7" w14:paraId="49C2C052" w14:textId="77777777" w:rsidTr="0060554F">
        <w:tc>
          <w:tcPr>
            <w:tcW w:w="2065" w:type="dxa"/>
          </w:tcPr>
          <w:p w14:paraId="54FA36BB" w14:textId="77777777" w:rsidR="00216037" w:rsidRPr="008D73A7" w:rsidRDefault="00216037" w:rsidP="002F586F">
            <w:pPr>
              <w:spacing w:before="40" w:after="40" w:line="288" w:lineRule="auto"/>
              <w:rPr>
                <w:b/>
                <w:lang w:val="en-GB"/>
              </w:rPr>
            </w:pPr>
            <w:r w:rsidRPr="008D73A7">
              <w:rPr>
                <w:b/>
                <w:lang w:val="en-GB"/>
              </w:rPr>
              <w:t>EU</w:t>
            </w:r>
          </w:p>
        </w:tc>
        <w:tc>
          <w:tcPr>
            <w:tcW w:w="7564" w:type="dxa"/>
          </w:tcPr>
          <w:p w14:paraId="1E1293F4" w14:textId="77777777" w:rsidR="00216037" w:rsidRPr="008D73A7" w:rsidRDefault="00216037" w:rsidP="002F586F">
            <w:pPr>
              <w:pStyle w:val="ECCParagraph"/>
              <w:spacing w:before="40" w:after="40" w:line="288" w:lineRule="auto"/>
              <w:jc w:val="left"/>
            </w:pPr>
            <w:r w:rsidRPr="008D73A7">
              <w:t>European Union</w:t>
            </w:r>
          </w:p>
        </w:tc>
      </w:tr>
      <w:tr w:rsidR="00216037" w:rsidRPr="008D73A7" w14:paraId="73C0AC91" w14:textId="77777777" w:rsidTr="0060554F">
        <w:tc>
          <w:tcPr>
            <w:tcW w:w="2065" w:type="dxa"/>
          </w:tcPr>
          <w:p w14:paraId="4F58EAF8" w14:textId="77777777" w:rsidR="00216037" w:rsidRPr="008D73A7" w:rsidRDefault="00216037" w:rsidP="002F586F">
            <w:pPr>
              <w:spacing w:before="40" w:after="40" w:line="288" w:lineRule="auto"/>
              <w:rPr>
                <w:b/>
                <w:lang w:val="en-GB"/>
              </w:rPr>
            </w:pPr>
            <w:r w:rsidRPr="008D73A7">
              <w:rPr>
                <w:b/>
                <w:lang w:val="en-GB"/>
              </w:rPr>
              <w:t>EVR</w:t>
            </w:r>
          </w:p>
        </w:tc>
        <w:tc>
          <w:tcPr>
            <w:tcW w:w="7564" w:type="dxa"/>
          </w:tcPr>
          <w:p w14:paraId="213B1C7D" w14:textId="77777777" w:rsidR="00216037" w:rsidRPr="008D73A7" w:rsidRDefault="00216037" w:rsidP="002F586F">
            <w:pPr>
              <w:pStyle w:val="ECCParagraph"/>
              <w:spacing w:before="40" w:after="40" w:line="288" w:lineRule="auto"/>
              <w:jc w:val="left"/>
            </w:pPr>
            <w:r w:rsidRPr="008D73A7">
              <w:t>Exterior Vehicular Radar</w:t>
            </w:r>
          </w:p>
        </w:tc>
      </w:tr>
      <w:tr w:rsidR="00216037" w:rsidRPr="008D73A7" w14:paraId="696A49A0" w14:textId="77777777" w:rsidTr="0060554F">
        <w:tc>
          <w:tcPr>
            <w:tcW w:w="2065" w:type="dxa"/>
          </w:tcPr>
          <w:p w14:paraId="41A9299E" w14:textId="77777777" w:rsidR="00216037" w:rsidRPr="008D73A7" w:rsidRDefault="00216037" w:rsidP="002F586F">
            <w:pPr>
              <w:spacing w:before="40" w:after="40" w:line="288" w:lineRule="auto"/>
              <w:rPr>
                <w:b/>
                <w:lang w:val="en-GB"/>
              </w:rPr>
            </w:pPr>
            <w:r w:rsidRPr="008D73A7">
              <w:rPr>
                <w:b/>
                <w:lang w:val="en-GB"/>
              </w:rPr>
              <w:t>FS</w:t>
            </w:r>
          </w:p>
        </w:tc>
        <w:tc>
          <w:tcPr>
            <w:tcW w:w="7564" w:type="dxa"/>
          </w:tcPr>
          <w:p w14:paraId="11AE5E74" w14:textId="77777777" w:rsidR="00216037" w:rsidRPr="008D73A7" w:rsidRDefault="00216037" w:rsidP="002F586F">
            <w:pPr>
              <w:pStyle w:val="ECCParagraph"/>
              <w:spacing w:before="40" w:after="40" w:line="288" w:lineRule="auto"/>
              <w:jc w:val="left"/>
            </w:pPr>
            <w:r w:rsidRPr="008D73A7">
              <w:t>Fixed Service</w:t>
            </w:r>
          </w:p>
        </w:tc>
      </w:tr>
      <w:tr w:rsidR="00216037" w:rsidRPr="008D73A7" w14:paraId="57CC6B9A" w14:textId="77777777" w:rsidTr="0060554F">
        <w:tc>
          <w:tcPr>
            <w:tcW w:w="2065" w:type="dxa"/>
          </w:tcPr>
          <w:p w14:paraId="2D9775E3" w14:textId="77777777" w:rsidR="00216037" w:rsidRPr="008D73A7" w:rsidRDefault="00216037" w:rsidP="002F586F">
            <w:pPr>
              <w:spacing w:before="40" w:after="40" w:line="288" w:lineRule="auto"/>
              <w:rPr>
                <w:b/>
                <w:lang w:val="en-GB"/>
              </w:rPr>
            </w:pPr>
            <w:r w:rsidRPr="008D73A7">
              <w:rPr>
                <w:b/>
                <w:lang w:val="en-GB"/>
              </w:rPr>
              <w:t>ISM</w:t>
            </w:r>
          </w:p>
        </w:tc>
        <w:tc>
          <w:tcPr>
            <w:tcW w:w="7564" w:type="dxa"/>
          </w:tcPr>
          <w:p w14:paraId="26925B7C" w14:textId="77777777" w:rsidR="00216037" w:rsidRPr="008D73A7" w:rsidRDefault="00216037" w:rsidP="002F586F">
            <w:pPr>
              <w:pStyle w:val="ECCParagraph"/>
              <w:spacing w:before="40" w:after="40" w:line="288" w:lineRule="auto"/>
              <w:jc w:val="left"/>
            </w:pPr>
            <w:r w:rsidRPr="008D73A7">
              <w:t>Industrial, Scientific and Medical</w:t>
            </w:r>
          </w:p>
        </w:tc>
      </w:tr>
      <w:tr w:rsidR="00216037" w:rsidRPr="008D73A7" w14:paraId="10E19790" w14:textId="77777777" w:rsidTr="0060554F">
        <w:tc>
          <w:tcPr>
            <w:tcW w:w="2065" w:type="dxa"/>
          </w:tcPr>
          <w:p w14:paraId="5848DEB1" w14:textId="77777777" w:rsidR="00216037" w:rsidRPr="008D73A7" w:rsidRDefault="00216037" w:rsidP="002F586F">
            <w:pPr>
              <w:spacing w:before="40" w:after="40" w:line="288" w:lineRule="auto"/>
              <w:rPr>
                <w:b/>
                <w:lang w:val="en-GB"/>
              </w:rPr>
            </w:pPr>
            <w:r w:rsidRPr="008D73A7">
              <w:rPr>
                <w:b/>
                <w:lang w:val="en-GB"/>
              </w:rPr>
              <w:t>ITU-R</w:t>
            </w:r>
          </w:p>
        </w:tc>
        <w:tc>
          <w:tcPr>
            <w:tcW w:w="7564" w:type="dxa"/>
          </w:tcPr>
          <w:p w14:paraId="7E940DC7" w14:textId="77777777" w:rsidR="00216037" w:rsidRPr="008D73A7" w:rsidRDefault="00216037" w:rsidP="002F586F">
            <w:pPr>
              <w:pStyle w:val="ECCParagraph"/>
              <w:spacing w:before="40" w:after="40" w:line="288" w:lineRule="auto"/>
              <w:jc w:val="left"/>
            </w:pPr>
            <w:r w:rsidRPr="008D73A7">
              <w:t>International Telecommunication Union, Radiocommunication Sector</w:t>
            </w:r>
          </w:p>
        </w:tc>
      </w:tr>
      <w:tr w:rsidR="00216037" w:rsidRPr="008D73A7" w14:paraId="603B9DB9" w14:textId="77777777" w:rsidTr="0060554F">
        <w:tc>
          <w:tcPr>
            <w:tcW w:w="2065" w:type="dxa"/>
          </w:tcPr>
          <w:p w14:paraId="398023FD" w14:textId="77777777" w:rsidR="00216037" w:rsidRPr="008D73A7" w:rsidRDefault="00216037" w:rsidP="002F586F">
            <w:pPr>
              <w:spacing w:before="40" w:after="40" w:line="288" w:lineRule="auto"/>
              <w:rPr>
                <w:b/>
                <w:lang w:val="en-GB"/>
              </w:rPr>
            </w:pPr>
            <w:r w:rsidRPr="008D73A7">
              <w:rPr>
                <w:b/>
                <w:lang w:val="en-GB"/>
              </w:rPr>
              <w:t>IVR</w:t>
            </w:r>
          </w:p>
        </w:tc>
        <w:tc>
          <w:tcPr>
            <w:tcW w:w="7564" w:type="dxa"/>
          </w:tcPr>
          <w:p w14:paraId="03F16EFD" w14:textId="77777777" w:rsidR="00216037" w:rsidRPr="008D73A7" w:rsidRDefault="00216037" w:rsidP="002F586F">
            <w:pPr>
              <w:pStyle w:val="ECCParagraph"/>
              <w:spacing w:before="40" w:after="40" w:line="288" w:lineRule="auto"/>
              <w:jc w:val="left"/>
            </w:pPr>
            <w:r w:rsidRPr="008D73A7">
              <w:t>In-cabin Vehicular Radar</w:t>
            </w:r>
          </w:p>
        </w:tc>
      </w:tr>
      <w:tr w:rsidR="00E63843" w:rsidRPr="008D73A7" w14:paraId="5F416093" w14:textId="77777777" w:rsidTr="0060554F">
        <w:tc>
          <w:tcPr>
            <w:tcW w:w="2065" w:type="dxa"/>
          </w:tcPr>
          <w:p w14:paraId="51A95F6F" w14:textId="177D5472" w:rsidR="00E63843" w:rsidRPr="008D73A7" w:rsidRDefault="00E63843" w:rsidP="002F586F">
            <w:pPr>
              <w:spacing w:before="40" w:after="40" w:line="288" w:lineRule="auto"/>
              <w:rPr>
                <w:b/>
                <w:lang w:val="en-GB"/>
              </w:rPr>
            </w:pPr>
            <w:r>
              <w:rPr>
                <w:b/>
                <w:lang w:val="en-GB"/>
              </w:rPr>
              <w:t>LOS</w:t>
            </w:r>
          </w:p>
        </w:tc>
        <w:tc>
          <w:tcPr>
            <w:tcW w:w="7564" w:type="dxa"/>
          </w:tcPr>
          <w:p w14:paraId="69BEFEC9" w14:textId="0BDEC6C8" w:rsidR="00E63843" w:rsidRPr="008D73A7" w:rsidRDefault="00AB76EE" w:rsidP="002F586F">
            <w:pPr>
              <w:pStyle w:val="ECCParagraph"/>
              <w:spacing w:before="40" w:after="40" w:line="288" w:lineRule="auto"/>
              <w:jc w:val="left"/>
              <w:rPr>
                <w:rFonts w:eastAsiaTheme="minorHAnsi"/>
              </w:rPr>
            </w:pPr>
            <w:r>
              <w:rPr>
                <w:rFonts w:eastAsiaTheme="minorHAnsi"/>
              </w:rPr>
              <w:t>Line Of Sight</w:t>
            </w:r>
          </w:p>
        </w:tc>
      </w:tr>
      <w:tr w:rsidR="00216037" w:rsidRPr="008D73A7" w14:paraId="2838B084" w14:textId="77777777" w:rsidTr="0060554F">
        <w:tc>
          <w:tcPr>
            <w:tcW w:w="2065" w:type="dxa"/>
          </w:tcPr>
          <w:p w14:paraId="6A1EBCCA" w14:textId="77777777" w:rsidR="00216037" w:rsidRPr="008D73A7" w:rsidRDefault="00216037" w:rsidP="002F586F">
            <w:pPr>
              <w:spacing w:before="40" w:after="40" w:line="288" w:lineRule="auto"/>
              <w:rPr>
                <w:b/>
                <w:lang w:val="en-GB"/>
              </w:rPr>
            </w:pPr>
            <w:r w:rsidRPr="008D73A7">
              <w:rPr>
                <w:b/>
                <w:lang w:val="en-GB"/>
              </w:rPr>
              <w:t>LPR</w:t>
            </w:r>
          </w:p>
        </w:tc>
        <w:tc>
          <w:tcPr>
            <w:tcW w:w="7564" w:type="dxa"/>
          </w:tcPr>
          <w:p w14:paraId="383D7184" w14:textId="77777777" w:rsidR="00216037" w:rsidRPr="008D73A7" w:rsidRDefault="00216037" w:rsidP="002F586F">
            <w:pPr>
              <w:pStyle w:val="ECCParagraph"/>
              <w:spacing w:before="40" w:after="40" w:line="288" w:lineRule="auto"/>
              <w:jc w:val="left"/>
              <w:rPr>
                <w:color w:val="000000"/>
              </w:rPr>
            </w:pPr>
            <w:r w:rsidRPr="008D73A7">
              <w:rPr>
                <w:rFonts w:eastAsiaTheme="minorHAnsi"/>
              </w:rPr>
              <w:t>Level Probing Radar</w:t>
            </w:r>
          </w:p>
        </w:tc>
      </w:tr>
      <w:tr w:rsidR="00216037" w:rsidRPr="008D73A7" w14:paraId="4903723A" w14:textId="77777777" w:rsidTr="0060554F">
        <w:tc>
          <w:tcPr>
            <w:tcW w:w="2065" w:type="dxa"/>
          </w:tcPr>
          <w:p w14:paraId="21D89072" w14:textId="77777777" w:rsidR="00216037" w:rsidRPr="008D73A7" w:rsidRDefault="00216037" w:rsidP="002F586F">
            <w:pPr>
              <w:spacing w:before="40" w:after="40" w:line="288" w:lineRule="auto"/>
              <w:rPr>
                <w:b/>
                <w:lang w:val="en-GB"/>
              </w:rPr>
            </w:pPr>
            <w:r w:rsidRPr="008D73A7">
              <w:rPr>
                <w:b/>
                <w:lang w:val="en-GB"/>
              </w:rPr>
              <w:t>M-CDR</w:t>
            </w:r>
          </w:p>
        </w:tc>
        <w:tc>
          <w:tcPr>
            <w:tcW w:w="7564" w:type="dxa"/>
          </w:tcPr>
          <w:p w14:paraId="0C2A2CC0" w14:textId="77777777" w:rsidR="00216037" w:rsidRPr="008D73A7" w:rsidRDefault="00216037" w:rsidP="002F586F">
            <w:pPr>
              <w:pStyle w:val="ECCParagraph"/>
              <w:spacing w:before="40" w:after="40" w:line="288" w:lineRule="auto"/>
              <w:jc w:val="left"/>
              <w:rPr>
                <w:color w:val="000000"/>
              </w:rPr>
            </w:pPr>
            <w:r w:rsidRPr="008D73A7">
              <w:rPr>
                <w:color w:val="000000"/>
              </w:rPr>
              <w:t>Mechanical c</w:t>
            </w:r>
            <w:r w:rsidRPr="008D73A7">
              <w:rPr>
                <w:rFonts w:eastAsiaTheme="minorHAnsi"/>
              </w:rPr>
              <w:t xml:space="preserve">ontour determination and </w:t>
            </w:r>
            <w:r w:rsidRPr="008D73A7">
              <w:t>acquisition radar</w:t>
            </w:r>
          </w:p>
        </w:tc>
      </w:tr>
      <w:tr w:rsidR="00216037" w:rsidRPr="008D73A7" w14:paraId="49B54D9F" w14:textId="77777777" w:rsidTr="0060554F">
        <w:tc>
          <w:tcPr>
            <w:tcW w:w="2065" w:type="dxa"/>
          </w:tcPr>
          <w:p w14:paraId="244208EB" w14:textId="77777777" w:rsidR="00216037" w:rsidRPr="008D73A7" w:rsidRDefault="00216037" w:rsidP="002F586F">
            <w:pPr>
              <w:spacing w:before="40" w:after="40" w:line="288" w:lineRule="auto"/>
              <w:rPr>
                <w:b/>
                <w:lang w:val="en-GB"/>
              </w:rPr>
            </w:pPr>
            <w:r>
              <w:rPr>
                <w:b/>
                <w:lang w:val="en-GB"/>
              </w:rPr>
              <w:t>MCL</w:t>
            </w:r>
          </w:p>
        </w:tc>
        <w:tc>
          <w:tcPr>
            <w:tcW w:w="7564" w:type="dxa"/>
          </w:tcPr>
          <w:p w14:paraId="145CDDCA" w14:textId="77777777" w:rsidR="00216037" w:rsidRPr="008D73A7" w:rsidRDefault="00216037" w:rsidP="002F586F">
            <w:pPr>
              <w:pStyle w:val="ECCParagraph"/>
              <w:spacing w:before="40" w:after="40" w:line="288" w:lineRule="auto"/>
              <w:jc w:val="left"/>
            </w:pPr>
            <w:r>
              <w:rPr>
                <w:rFonts w:cs="Arial"/>
                <w:szCs w:val="20"/>
              </w:rPr>
              <w:t>Minimum Coupling Loss</w:t>
            </w:r>
          </w:p>
        </w:tc>
      </w:tr>
      <w:tr w:rsidR="00E63843" w:rsidRPr="008D73A7" w14:paraId="7C523B78" w14:textId="77777777" w:rsidTr="0060554F">
        <w:tc>
          <w:tcPr>
            <w:tcW w:w="2065" w:type="dxa"/>
          </w:tcPr>
          <w:p w14:paraId="08F47CE4" w14:textId="57C1119A" w:rsidR="00E63843" w:rsidRPr="008D73A7" w:rsidRDefault="00E63843" w:rsidP="002F586F">
            <w:pPr>
              <w:spacing w:before="40" w:after="40" w:line="288" w:lineRule="auto"/>
              <w:rPr>
                <w:b/>
                <w:lang w:val="en-GB"/>
              </w:rPr>
            </w:pPr>
            <w:r>
              <w:rPr>
                <w:b/>
                <w:lang w:val="en-GB"/>
              </w:rPr>
              <w:t>MIMO</w:t>
            </w:r>
          </w:p>
        </w:tc>
        <w:tc>
          <w:tcPr>
            <w:tcW w:w="7564" w:type="dxa"/>
          </w:tcPr>
          <w:p w14:paraId="2667EF40" w14:textId="0A9A4CC4" w:rsidR="00E63843" w:rsidRPr="008D73A7" w:rsidRDefault="00AB76EE" w:rsidP="002F586F">
            <w:pPr>
              <w:pStyle w:val="ECCParagraph"/>
              <w:spacing w:before="40" w:after="40" w:line="288" w:lineRule="auto"/>
              <w:jc w:val="left"/>
            </w:pPr>
            <w:r>
              <w:t>Multiple Input Multiple Output</w:t>
            </w:r>
          </w:p>
        </w:tc>
      </w:tr>
      <w:tr w:rsidR="006A5E5F" w:rsidRPr="008D73A7" w14:paraId="0C9DE9A2" w14:textId="77777777" w:rsidTr="0060554F">
        <w:tc>
          <w:tcPr>
            <w:tcW w:w="2065" w:type="dxa"/>
          </w:tcPr>
          <w:p w14:paraId="55F2F745" w14:textId="4EBC76A9" w:rsidR="006A5E5F" w:rsidRDefault="006A5E5F">
            <w:pPr>
              <w:spacing w:before="40" w:after="40" w:line="288" w:lineRule="auto"/>
              <w:rPr>
                <w:b/>
                <w:lang w:val="en-GB"/>
              </w:rPr>
            </w:pPr>
            <w:r>
              <w:rPr>
                <w:b/>
                <w:lang w:val="en-GB"/>
              </w:rPr>
              <w:t>MWI</w:t>
            </w:r>
          </w:p>
        </w:tc>
        <w:tc>
          <w:tcPr>
            <w:tcW w:w="7564" w:type="dxa"/>
          </w:tcPr>
          <w:p w14:paraId="65050501" w14:textId="731BE681" w:rsidR="006A5E5F" w:rsidRPr="008D73A7" w:rsidRDefault="006A5E5F">
            <w:pPr>
              <w:pStyle w:val="ECCParagraph"/>
              <w:spacing w:before="40" w:after="40" w:line="288" w:lineRule="auto"/>
              <w:jc w:val="left"/>
            </w:pPr>
            <w:r>
              <w:t>Microwave Imager</w:t>
            </w:r>
          </w:p>
        </w:tc>
      </w:tr>
      <w:tr w:rsidR="00E63843" w:rsidRPr="008D73A7" w14:paraId="08ECB3BA" w14:textId="77777777" w:rsidTr="0060554F">
        <w:tc>
          <w:tcPr>
            <w:tcW w:w="2065" w:type="dxa"/>
          </w:tcPr>
          <w:p w14:paraId="5CFC5E20" w14:textId="78A37378" w:rsidR="00E63843" w:rsidRPr="008D73A7" w:rsidRDefault="00E63843" w:rsidP="002F586F">
            <w:pPr>
              <w:spacing w:before="40" w:after="40" w:line="288" w:lineRule="auto"/>
              <w:rPr>
                <w:b/>
                <w:lang w:val="en-GB"/>
              </w:rPr>
            </w:pPr>
            <w:r>
              <w:rPr>
                <w:b/>
                <w:lang w:val="en-GB"/>
              </w:rPr>
              <w:t>OFR</w:t>
            </w:r>
          </w:p>
        </w:tc>
        <w:tc>
          <w:tcPr>
            <w:tcW w:w="7564" w:type="dxa"/>
          </w:tcPr>
          <w:p w14:paraId="58B3E889" w14:textId="5C71E963" w:rsidR="00E63843" w:rsidRPr="008D73A7" w:rsidRDefault="00AB76EE" w:rsidP="002F586F">
            <w:pPr>
              <w:pStyle w:val="ECCParagraph"/>
              <w:spacing w:before="40" w:after="40" w:line="288" w:lineRule="auto"/>
              <w:jc w:val="left"/>
            </w:pPr>
            <w:r>
              <w:t>Operating Frequency Range</w:t>
            </w:r>
          </w:p>
        </w:tc>
      </w:tr>
      <w:tr w:rsidR="00216037" w:rsidRPr="008D73A7" w14:paraId="004C94BC" w14:textId="77777777" w:rsidTr="0060554F">
        <w:tc>
          <w:tcPr>
            <w:tcW w:w="2065" w:type="dxa"/>
          </w:tcPr>
          <w:p w14:paraId="4B6FB24A" w14:textId="77777777" w:rsidR="00216037" w:rsidRPr="008D73A7" w:rsidRDefault="00216037" w:rsidP="002F586F">
            <w:pPr>
              <w:spacing w:before="40" w:after="40" w:line="288" w:lineRule="auto"/>
              <w:rPr>
                <w:b/>
                <w:lang w:val="en-GB"/>
              </w:rPr>
            </w:pPr>
            <w:r w:rsidRPr="008D73A7">
              <w:rPr>
                <w:b/>
                <w:lang w:val="en-GB"/>
              </w:rPr>
              <w:t>OoB</w:t>
            </w:r>
          </w:p>
        </w:tc>
        <w:tc>
          <w:tcPr>
            <w:tcW w:w="7564" w:type="dxa"/>
          </w:tcPr>
          <w:p w14:paraId="17179F72" w14:textId="77777777" w:rsidR="00216037" w:rsidRPr="008D73A7" w:rsidRDefault="00216037" w:rsidP="002F586F">
            <w:pPr>
              <w:pStyle w:val="ECCParagraph"/>
              <w:spacing w:before="40" w:after="40" w:line="288" w:lineRule="auto"/>
              <w:jc w:val="left"/>
            </w:pPr>
            <w:r w:rsidRPr="008D73A7">
              <w:t>Out-of-</w:t>
            </w:r>
            <w:r>
              <w:t>B</w:t>
            </w:r>
            <w:r w:rsidRPr="008D73A7">
              <w:t>and</w:t>
            </w:r>
          </w:p>
        </w:tc>
      </w:tr>
      <w:tr w:rsidR="00216037" w:rsidRPr="008D73A7" w14:paraId="270F1D59" w14:textId="77777777" w:rsidTr="0060554F">
        <w:tc>
          <w:tcPr>
            <w:tcW w:w="2065" w:type="dxa"/>
          </w:tcPr>
          <w:p w14:paraId="14F2AC3E" w14:textId="77777777" w:rsidR="00216037" w:rsidRPr="008D73A7" w:rsidRDefault="00216037" w:rsidP="002F586F">
            <w:pPr>
              <w:spacing w:before="40" w:after="40" w:line="288" w:lineRule="auto"/>
              <w:rPr>
                <w:b/>
                <w:lang w:val="en-GB"/>
              </w:rPr>
            </w:pPr>
            <w:r w:rsidRPr="008D73A7">
              <w:rPr>
                <w:b/>
                <w:lang w:val="en-GB"/>
              </w:rPr>
              <w:t>PA-CDR</w:t>
            </w:r>
          </w:p>
        </w:tc>
        <w:tc>
          <w:tcPr>
            <w:tcW w:w="7564" w:type="dxa"/>
          </w:tcPr>
          <w:p w14:paraId="3CC685FD" w14:textId="77777777" w:rsidR="00216037" w:rsidRPr="008D73A7" w:rsidRDefault="00216037" w:rsidP="002F586F">
            <w:pPr>
              <w:pStyle w:val="ECCParagraph"/>
              <w:spacing w:before="40" w:after="40" w:line="288" w:lineRule="auto"/>
              <w:jc w:val="left"/>
              <w:rPr>
                <w:color w:val="000000"/>
              </w:rPr>
            </w:pPr>
            <w:r w:rsidRPr="008D73A7">
              <w:rPr>
                <w:color w:val="000000"/>
              </w:rPr>
              <w:t>Phased-array c</w:t>
            </w:r>
            <w:r w:rsidRPr="008D73A7">
              <w:rPr>
                <w:rFonts w:eastAsiaTheme="minorHAnsi"/>
              </w:rPr>
              <w:t xml:space="preserve">ontour determination and </w:t>
            </w:r>
            <w:r w:rsidRPr="008D73A7">
              <w:t>acquisition radar</w:t>
            </w:r>
          </w:p>
        </w:tc>
      </w:tr>
      <w:tr w:rsidR="00216037" w:rsidRPr="008D73A7" w14:paraId="71F53116" w14:textId="77777777" w:rsidTr="0060554F">
        <w:tc>
          <w:tcPr>
            <w:tcW w:w="2065" w:type="dxa"/>
          </w:tcPr>
          <w:p w14:paraId="09E5B49B" w14:textId="77777777" w:rsidR="00216037" w:rsidRPr="008D73A7" w:rsidRDefault="00216037" w:rsidP="002F586F">
            <w:pPr>
              <w:spacing w:before="40" w:after="40" w:line="288" w:lineRule="auto"/>
              <w:rPr>
                <w:b/>
                <w:lang w:val="en-GB"/>
              </w:rPr>
            </w:pPr>
            <w:r w:rsidRPr="008D73A7">
              <w:rPr>
                <w:b/>
                <w:lang w:val="en-GB"/>
              </w:rPr>
              <w:t>RAS</w:t>
            </w:r>
          </w:p>
        </w:tc>
        <w:tc>
          <w:tcPr>
            <w:tcW w:w="7564" w:type="dxa"/>
          </w:tcPr>
          <w:p w14:paraId="4C4E468B" w14:textId="77777777" w:rsidR="00216037" w:rsidRPr="008D73A7" w:rsidRDefault="00216037" w:rsidP="002F586F">
            <w:pPr>
              <w:pStyle w:val="ECCParagraph"/>
              <w:spacing w:before="40" w:after="40" w:line="288" w:lineRule="auto"/>
              <w:jc w:val="left"/>
            </w:pPr>
            <w:r w:rsidRPr="008D73A7">
              <w:t>Radio Astronomy Service</w:t>
            </w:r>
          </w:p>
        </w:tc>
      </w:tr>
      <w:tr w:rsidR="00BD3F6B" w:rsidRPr="008D73A7" w14:paraId="028738FE" w14:textId="77777777" w:rsidTr="0060554F">
        <w:tc>
          <w:tcPr>
            <w:tcW w:w="2065" w:type="dxa"/>
          </w:tcPr>
          <w:p w14:paraId="4D0F3AB9" w14:textId="6811E8B7" w:rsidR="00BD3F6B" w:rsidRPr="008D73A7" w:rsidRDefault="00BD3F6B" w:rsidP="002F586F">
            <w:pPr>
              <w:spacing w:before="40" w:after="40" w:line="288" w:lineRule="auto"/>
              <w:rPr>
                <w:b/>
                <w:lang w:val="en-GB"/>
              </w:rPr>
            </w:pPr>
            <w:r>
              <w:rPr>
                <w:b/>
                <w:lang w:val="en-GB"/>
              </w:rPr>
              <w:t>RED</w:t>
            </w:r>
          </w:p>
        </w:tc>
        <w:tc>
          <w:tcPr>
            <w:tcW w:w="7564" w:type="dxa"/>
          </w:tcPr>
          <w:p w14:paraId="5C4C9F46" w14:textId="53B2A73E" w:rsidR="00BD3F6B" w:rsidRPr="008D73A7" w:rsidRDefault="00E90D44" w:rsidP="002F586F">
            <w:pPr>
              <w:pStyle w:val="ECCParagraph"/>
              <w:spacing w:before="40" w:after="40" w:line="288" w:lineRule="auto"/>
              <w:jc w:val="left"/>
            </w:pPr>
            <w:r>
              <w:t>Radio Equipment Directive</w:t>
            </w:r>
          </w:p>
        </w:tc>
      </w:tr>
      <w:tr w:rsidR="00216037" w:rsidRPr="008D73A7" w14:paraId="0291A152" w14:textId="77777777" w:rsidTr="0060554F">
        <w:tc>
          <w:tcPr>
            <w:tcW w:w="2065" w:type="dxa"/>
          </w:tcPr>
          <w:p w14:paraId="66691D17" w14:textId="77777777" w:rsidR="00216037" w:rsidRPr="008D73A7" w:rsidRDefault="00216037" w:rsidP="002F586F">
            <w:pPr>
              <w:spacing w:before="40" w:after="40" w:line="288" w:lineRule="auto"/>
              <w:rPr>
                <w:b/>
                <w:lang w:val="en-GB"/>
              </w:rPr>
            </w:pPr>
            <w:r w:rsidRPr="008D73A7">
              <w:rPr>
                <w:b/>
                <w:lang w:val="en-GB"/>
              </w:rPr>
              <w:t>RDI</w:t>
            </w:r>
          </w:p>
        </w:tc>
        <w:tc>
          <w:tcPr>
            <w:tcW w:w="7564" w:type="dxa"/>
          </w:tcPr>
          <w:p w14:paraId="698DDE2F" w14:textId="77777777" w:rsidR="00216037" w:rsidRPr="008D73A7" w:rsidRDefault="00216037" w:rsidP="002F586F">
            <w:pPr>
              <w:pStyle w:val="ECCParagraph"/>
              <w:spacing w:before="40" w:after="40" w:line="288" w:lineRule="auto"/>
              <w:jc w:val="left"/>
              <w:rPr>
                <w:color w:val="000000"/>
              </w:rPr>
            </w:pPr>
            <w:r w:rsidRPr="008D73A7">
              <w:t>Radiodetermination systems for industry automation</w:t>
            </w:r>
          </w:p>
        </w:tc>
      </w:tr>
      <w:tr w:rsidR="00216037" w:rsidRPr="008D73A7" w14:paraId="688B85CC" w14:textId="77777777" w:rsidTr="0060554F">
        <w:tc>
          <w:tcPr>
            <w:tcW w:w="2065" w:type="dxa"/>
          </w:tcPr>
          <w:p w14:paraId="27E67E03" w14:textId="77777777" w:rsidR="00216037" w:rsidRPr="008D73A7" w:rsidRDefault="00216037" w:rsidP="002F586F">
            <w:pPr>
              <w:spacing w:before="40" w:after="40" w:line="288" w:lineRule="auto"/>
              <w:rPr>
                <w:b/>
                <w:lang w:val="en-GB"/>
              </w:rPr>
            </w:pPr>
            <w:r w:rsidRPr="008D73A7">
              <w:rPr>
                <w:b/>
                <w:lang w:val="en-GB"/>
              </w:rPr>
              <w:t>RDI-S</w:t>
            </w:r>
          </w:p>
        </w:tc>
        <w:tc>
          <w:tcPr>
            <w:tcW w:w="7564" w:type="dxa"/>
          </w:tcPr>
          <w:p w14:paraId="507D0DE9" w14:textId="77777777" w:rsidR="00216037" w:rsidRPr="008D73A7" w:rsidRDefault="00216037" w:rsidP="002F586F">
            <w:pPr>
              <w:pStyle w:val="ECCParagraph"/>
              <w:spacing w:before="40" w:after="40" w:line="288" w:lineRule="auto"/>
              <w:jc w:val="left"/>
              <w:rPr>
                <w:color w:val="000000"/>
              </w:rPr>
            </w:pPr>
            <w:r w:rsidRPr="008D73A7">
              <w:t>Radiodetermination systems for industry automation in shielded environments</w:t>
            </w:r>
          </w:p>
        </w:tc>
      </w:tr>
      <w:tr w:rsidR="00216037" w:rsidRPr="008D73A7" w14:paraId="063A5588" w14:textId="77777777" w:rsidTr="0060554F">
        <w:tc>
          <w:tcPr>
            <w:tcW w:w="2065" w:type="dxa"/>
          </w:tcPr>
          <w:p w14:paraId="4B98E15D" w14:textId="77777777" w:rsidR="00216037" w:rsidRPr="008D73A7" w:rsidRDefault="00216037" w:rsidP="002F586F">
            <w:pPr>
              <w:spacing w:before="40" w:after="40" w:line="288" w:lineRule="auto"/>
              <w:rPr>
                <w:b/>
                <w:lang w:val="en-GB"/>
              </w:rPr>
            </w:pPr>
            <w:r w:rsidRPr="008D73A7">
              <w:rPr>
                <w:b/>
                <w:lang w:val="en-GB"/>
              </w:rPr>
              <w:t>SRD</w:t>
            </w:r>
          </w:p>
        </w:tc>
        <w:tc>
          <w:tcPr>
            <w:tcW w:w="7564" w:type="dxa"/>
          </w:tcPr>
          <w:p w14:paraId="430A8919" w14:textId="77777777" w:rsidR="00216037" w:rsidRPr="008D73A7" w:rsidRDefault="00216037" w:rsidP="002F586F">
            <w:pPr>
              <w:pStyle w:val="ECCParagraph"/>
              <w:spacing w:before="40" w:after="40" w:line="288" w:lineRule="auto"/>
              <w:jc w:val="left"/>
            </w:pPr>
            <w:r w:rsidRPr="008D73A7">
              <w:t>Short</w:t>
            </w:r>
            <w:r>
              <w:t xml:space="preserve"> R</w:t>
            </w:r>
            <w:r w:rsidRPr="008D73A7">
              <w:t xml:space="preserve">ange </w:t>
            </w:r>
            <w:r>
              <w:t>D</w:t>
            </w:r>
            <w:r w:rsidRPr="008D73A7">
              <w:t>evice</w:t>
            </w:r>
            <w:r>
              <w:t>s</w:t>
            </w:r>
          </w:p>
        </w:tc>
      </w:tr>
      <w:tr w:rsidR="00216037" w:rsidRPr="008D73A7" w14:paraId="16D25A81" w14:textId="77777777" w:rsidTr="0060554F">
        <w:tc>
          <w:tcPr>
            <w:tcW w:w="2065" w:type="dxa"/>
          </w:tcPr>
          <w:p w14:paraId="06F006E5" w14:textId="77777777" w:rsidR="00216037" w:rsidRPr="008D73A7" w:rsidRDefault="00216037" w:rsidP="002F586F">
            <w:pPr>
              <w:spacing w:before="40" w:after="40" w:line="288" w:lineRule="auto"/>
              <w:rPr>
                <w:b/>
                <w:lang w:val="en-GB"/>
              </w:rPr>
            </w:pPr>
            <w:r w:rsidRPr="008D73A7">
              <w:rPr>
                <w:b/>
                <w:lang w:val="en-GB"/>
              </w:rPr>
              <w:t>TLPR</w:t>
            </w:r>
          </w:p>
        </w:tc>
        <w:tc>
          <w:tcPr>
            <w:tcW w:w="7564" w:type="dxa"/>
          </w:tcPr>
          <w:p w14:paraId="4145336B" w14:textId="77777777" w:rsidR="00216037" w:rsidRPr="008D73A7" w:rsidRDefault="00216037" w:rsidP="002F586F">
            <w:pPr>
              <w:pStyle w:val="ECCParagraph"/>
              <w:spacing w:before="40" w:after="40" w:line="288" w:lineRule="auto"/>
              <w:jc w:val="left"/>
              <w:rPr>
                <w:color w:val="000000"/>
              </w:rPr>
            </w:pPr>
            <w:r w:rsidRPr="008D73A7">
              <w:t>Tank Level Probing Radar</w:t>
            </w:r>
          </w:p>
        </w:tc>
      </w:tr>
      <w:tr w:rsidR="00216037" w:rsidRPr="008D73A7" w14:paraId="365DE2FF" w14:textId="77777777" w:rsidTr="0060554F">
        <w:tc>
          <w:tcPr>
            <w:tcW w:w="2065" w:type="dxa"/>
          </w:tcPr>
          <w:p w14:paraId="1EE6B70B" w14:textId="77777777" w:rsidR="00216037" w:rsidRPr="008D73A7" w:rsidRDefault="00216037" w:rsidP="002F586F">
            <w:pPr>
              <w:spacing w:before="40" w:after="40" w:line="288" w:lineRule="auto"/>
              <w:rPr>
                <w:b/>
                <w:lang w:val="en-GB"/>
              </w:rPr>
            </w:pPr>
            <w:r w:rsidRPr="008D73A7">
              <w:rPr>
                <w:b/>
                <w:lang w:val="en-GB"/>
              </w:rPr>
              <w:t>UWB</w:t>
            </w:r>
          </w:p>
        </w:tc>
        <w:tc>
          <w:tcPr>
            <w:tcW w:w="7564" w:type="dxa"/>
          </w:tcPr>
          <w:p w14:paraId="1408F2F8" w14:textId="77777777" w:rsidR="00216037" w:rsidRPr="008D73A7" w:rsidRDefault="00216037" w:rsidP="002F586F">
            <w:pPr>
              <w:pStyle w:val="ECCParagraph"/>
              <w:spacing w:before="40" w:after="40" w:line="288" w:lineRule="auto"/>
              <w:jc w:val="left"/>
            </w:pPr>
            <w:r w:rsidRPr="008D73A7">
              <w:t>Ultra-Wideband</w:t>
            </w:r>
          </w:p>
        </w:tc>
      </w:tr>
    </w:tbl>
    <w:p w14:paraId="5CF397F7" w14:textId="77777777" w:rsidR="00AB46DF" w:rsidRPr="008D73A7" w:rsidRDefault="00AB46DF" w:rsidP="00D573FB">
      <w:pPr>
        <w:rPr>
          <w:lang w:val="en-GB"/>
        </w:rPr>
      </w:pPr>
    </w:p>
    <w:p w14:paraId="5E742314" w14:textId="129E2118" w:rsidR="00AB46DF" w:rsidRPr="008D73A7" w:rsidRDefault="003C3EE4" w:rsidP="00415C19">
      <w:pPr>
        <w:pStyle w:val="Heading1"/>
      </w:pPr>
      <w:bookmarkStart w:id="7" w:name="_Toc123634675"/>
      <w:bookmarkStart w:id="8" w:name="_Toc123634765"/>
      <w:bookmarkStart w:id="9" w:name="_Toc135806265"/>
      <w:bookmarkStart w:id="10" w:name="_Toc153443760"/>
      <w:r w:rsidRPr="008D73A7">
        <w:lastRenderedPageBreak/>
        <w:t>Introduction</w:t>
      </w:r>
      <w:bookmarkEnd w:id="7"/>
      <w:bookmarkEnd w:id="8"/>
      <w:bookmarkEnd w:id="9"/>
      <w:bookmarkEnd w:id="10"/>
    </w:p>
    <w:p w14:paraId="35CB893E" w14:textId="6952B691" w:rsidR="008B1C96" w:rsidRPr="008D73A7" w:rsidRDefault="00C01069" w:rsidP="00E20FFF">
      <w:pPr>
        <w:pStyle w:val="ECCParagraph"/>
        <w:spacing w:before="240" w:after="60"/>
      </w:pPr>
      <w:bookmarkStart w:id="11" w:name="_Hlk120626133"/>
      <w:r w:rsidRPr="008D73A7">
        <w:t xml:space="preserve">This Report addresses the </w:t>
      </w:r>
      <w:r w:rsidR="00271989" w:rsidRPr="008D73A7">
        <w:t>possible</w:t>
      </w:r>
      <w:r w:rsidR="006C2C39" w:rsidRPr="008D73A7">
        <w:t xml:space="preserve"> designation of the frequency </w:t>
      </w:r>
      <w:r w:rsidR="00D90DB0" w:rsidRPr="008D73A7">
        <w:t xml:space="preserve">range </w:t>
      </w:r>
      <w:r w:rsidR="00F23E88" w:rsidRPr="008D73A7">
        <w:t>116</w:t>
      </w:r>
      <w:r w:rsidR="002C14E0" w:rsidRPr="008D73A7">
        <w:t>-</w:t>
      </w:r>
      <w:r w:rsidR="00F23E88" w:rsidRPr="008D73A7">
        <w:t xml:space="preserve">260 GHz </w:t>
      </w:r>
      <w:r w:rsidR="006C2C39" w:rsidRPr="008D73A7">
        <w:t xml:space="preserve">for the implementation of new </w:t>
      </w:r>
      <w:r w:rsidR="00403A89" w:rsidRPr="008D73A7">
        <w:t>specific radiodetermination</w:t>
      </w:r>
      <w:r w:rsidR="00327B62" w:rsidRPr="008D73A7">
        <w:t xml:space="preserve"> </w:t>
      </w:r>
      <w:r w:rsidR="006C2C39" w:rsidRPr="008D73A7">
        <w:t>applications.</w:t>
      </w:r>
      <w:r w:rsidR="00403A89" w:rsidRPr="008D73A7">
        <w:t xml:space="preserve"> </w:t>
      </w:r>
      <w:r w:rsidR="006C2C39" w:rsidRPr="008D73A7">
        <w:t xml:space="preserve">This is in accordance with the </w:t>
      </w:r>
      <w:r w:rsidR="00822E13" w:rsidRPr="008D73A7">
        <w:t xml:space="preserve">permanent </w:t>
      </w:r>
      <w:r w:rsidR="00804369" w:rsidRPr="008D73A7">
        <w:t>m</w:t>
      </w:r>
      <w:r w:rsidR="00171DEC" w:rsidRPr="008D73A7">
        <w:t xml:space="preserve">andate to CEPT </w:t>
      </w:r>
      <w:r w:rsidR="00804369" w:rsidRPr="008D73A7">
        <w:t xml:space="preserve">relating to </w:t>
      </w:r>
      <w:r w:rsidR="00B749E8" w:rsidRPr="008D73A7">
        <w:t xml:space="preserve">Short Range Devices </w:t>
      </w:r>
      <w:r w:rsidR="00822E13" w:rsidRPr="008D73A7">
        <w:t>(SRD</w:t>
      </w:r>
      <w:r w:rsidR="00413F08" w:rsidRPr="008D73A7">
        <w:t>)</w:t>
      </w:r>
      <w:r w:rsidR="00F97E56">
        <w:t xml:space="preserve"> (</w:t>
      </w:r>
      <w:r w:rsidR="00BB2F9D" w:rsidRPr="008D73A7">
        <w:t>s</w:t>
      </w:r>
      <w:r w:rsidR="006C2C39" w:rsidRPr="008D73A7">
        <w:t>ee</w:t>
      </w:r>
      <w:r w:rsidR="008A469E" w:rsidRPr="008D73A7">
        <w:t xml:space="preserve"> </w:t>
      </w:r>
      <w:r w:rsidR="00A225DD" w:rsidRPr="008D73A7">
        <w:fldChar w:fldCharType="begin"/>
      </w:r>
      <w:r w:rsidR="00A225DD" w:rsidRPr="008D73A7">
        <w:instrText xml:space="preserve"> REF _Ref122350611 \w \h </w:instrText>
      </w:r>
      <w:r w:rsidR="00A225DD" w:rsidRPr="008D73A7">
        <w:fldChar w:fldCharType="separate"/>
      </w:r>
      <w:r w:rsidR="00113216" w:rsidRPr="008D73A7">
        <w:t>A</w:t>
      </w:r>
      <w:r w:rsidR="00185D02" w:rsidRPr="008D73A7">
        <w:t>nnex</w:t>
      </w:r>
      <w:r w:rsidR="00113216" w:rsidRPr="008D73A7">
        <w:t xml:space="preserve"> 3</w:t>
      </w:r>
      <w:r w:rsidR="00A225DD" w:rsidRPr="008D73A7">
        <w:fldChar w:fldCharType="end"/>
      </w:r>
      <w:r w:rsidR="00F97E56">
        <w:t>)</w:t>
      </w:r>
      <w:r w:rsidR="006C2C39" w:rsidRPr="008D73A7">
        <w:t>.</w:t>
      </w:r>
    </w:p>
    <w:p w14:paraId="0627E3B1" w14:textId="48A2A550" w:rsidR="00B07B00" w:rsidRPr="008D73A7" w:rsidRDefault="00B07B00" w:rsidP="00E20FFF">
      <w:pPr>
        <w:pStyle w:val="ECCParagraph"/>
        <w:spacing w:before="240" w:after="60"/>
      </w:pPr>
      <w:r w:rsidRPr="008D73A7">
        <w:t xml:space="preserve">The detailed coexistence </w:t>
      </w:r>
      <w:r w:rsidR="00D90DB0" w:rsidRPr="008D73A7">
        <w:t>stud</w:t>
      </w:r>
      <w:r w:rsidR="00076FA5" w:rsidRPr="008D73A7">
        <w:t>ies</w:t>
      </w:r>
      <w:r w:rsidRPr="008D73A7">
        <w:t>, including technical parameters, which are the basis for this Report are provided in ECC Report</w:t>
      </w:r>
      <w:r w:rsidR="002009D0">
        <w:t xml:space="preserve"> </w:t>
      </w:r>
      <w:r w:rsidR="00B546D1" w:rsidRPr="008D73A7">
        <w:t>334</w:t>
      </w:r>
      <w:r w:rsidR="00A01F7D" w:rsidRPr="008D73A7">
        <w:t xml:space="preserve"> </w:t>
      </w:r>
      <w:r w:rsidR="00CC22BC" w:rsidRPr="008D73A7">
        <w:fldChar w:fldCharType="begin"/>
      </w:r>
      <w:r w:rsidR="00CC22BC" w:rsidRPr="008D73A7">
        <w:instrText xml:space="preserve"> REF  ECC_Report_334 \h \n  \* MERGEFORMAT </w:instrText>
      </w:r>
      <w:r w:rsidR="00CC22BC" w:rsidRPr="008D73A7">
        <w:fldChar w:fldCharType="separate"/>
      </w:r>
      <w:r w:rsidR="00113216" w:rsidRPr="008D73A7">
        <w:t>[1]</w:t>
      </w:r>
      <w:r w:rsidR="00CC22BC" w:rsidRPr="008D73A7">
        <w:fldChar w:fldCharType="end"/>
      </w:r>
      <w:r w:rsidR="00076FA5" w:rsidRPr="008D73A7">
        <w:t xml:space="preserve"> and </w:t>
      </w:r>
      <w:r w:rsidR="00185D02" w:rsidRPr="008D73A7">
        <w:t xml:space="preserve">ECC Report </w:t>
      </w:r>
      <w:r w:rsidR="00076FA5" w:rsidRPr="008D73A7">
        <w:t xml:space="preserve">351 </w:t>
      </w:r>
      <w:r w:rsidR="00CA7108" w:rsidRPr="008D73A7">
        <w:fldChar w:fldCharType="begin"/>
      </w:r>
      <w:r w:rsidR="00CA7108" w:rsidRPr="008D73A7">
        <w:instrText xml:space="preserve"> REF _Ref133412098 \r \h </w:instrText>
      </w:r>
      <w:r w:rsidR="00CA7108" w:rsidRPr="008D73A7">
        <w:fldChar w:fldCharType="separate"/>
      </w:r>
      <w:r w:rsidR="00CA7108" w:rsidRPr="008D73A7">
        <w:t>[2]</w:t>
      </w:r>
      <w:r w:rsidR="00CA7108" w:rsidRPr="008D73A7">
        <w:fldChar w:fldCharType="end"/>
      </w:r>
      <w:r w:rsidRPr="008D73A7">
        <w:t>.</w:t>
      </w:r>
    </w:p>
    <w:p w14:paraId="000D24A4" w14:textId="1D61B479" w:rsidR="00036A9C" w:rsidRPr="008D73A7" w:rsidRDefault="00B546D1" w:rsidP="00E20FFF">
      <w:pPr>
        <w:pStyle w:val="ECCBulletsLv1"/>
        <w:numPr>
          <w:ilvl w:val="0"/>
          <w:numId w:val="0"/>
        </w:numPr>
        <w:spacing w:before="240"/>
        <w:rPr>
          <w:szCs w:val="20"/>
        </w:rPr>
      </w:pPr>
      <w:r w:rsidRPr="008D73A7">
        <w:t>ECC Report 334</w:t>
      </w:r>
      <w:r w:rsidR="00A01F7D" w:rsidRPr="008D73A7">
        <w:t xml:space="preserve"> </w:t>
      </w:r>
      <w:r w:rsidR="00076FA5" w:rsidRPr="008D73A7">
        <w:t xml:space="preserve">and </w:t>
      </w:r>
      <w:r w:rsidR="00185D02" w:rsidRPr="008D73A7">
        <w:t>ECC Report</w:t>
      </w:r>
      <w:r w:rsidR="00C26E97" w:rsidRPr="008D73A7">
        <w:t xml:space="preserve"> </w:t>
      </w:r>
      <w:r w:rsidR="00076FA5" w:rsidRPr="008D73A7">
        <w:t xml:space="preserve">351 </w:t>
      </w:r>
      <w:r w:rsidRPr="008D73A7">
        <w:t xml:space="preserve">studied the coexistence scenarios between UWB </w:t>
      </w:r>
      <w:r w:rsidR="00B020D1" w:rsidRPr="008D73A7">
        <w:t xml:space="preserve">radiodetermination </w:t>
      </w:r>
      <w:r w:rsidR="009069F4" w:rsidRPr="008D73A7">
        <w:t>applications in the frequency band 116</w:t>
      </w:r>
      <w:r w:rsidR="002C14E0" w:rsidRPr="008D73A7">
        <w:t>-</w:t>
      </w:r>
      <w:r w:rsidR="009069F4" w:rsidRPr="008D73A7">
        <w:t xml:space="preserve">260 GHz </w:t>
      </w:r>
      <w:r w:rsidRPr="008D73A7">
        <w:t>and the incumbent usages</w:t>
      </w:r>
      <w:r w:rsidR="00706527" w:rsidRPr="008D73A7">
        <w:t xml:space="preserve"> of</w:t>
      </w:r>
      <w:r w:rsidRPr="008D73A7">
        <w:t xml:space="preserve"> </w:t>
      </w:r>
      <w:r w:rsidR="00512D0F" w:rsidRPr="008D73A7">
        <w:t>r</w:t>
      </w:r>
      <w:r w:rsidRPr="008D73A7">
        <w:t xml:space="preserve">adio </w:t>
      </w:r>
      <w:r w:rsidR="00512D0F" w:rsidRPr="008D73A7">
        <w:t>a</w:t>
      </w:r>
      <w:r w:rsidRPr="008D73A7">
        <w:t xml:space="preserve">stronomy </w:t>
      </w:r>
      <w:r w:rsidR="00512D0F" w:rsidRPr="008D73A7">
        <w:t>s</w:t>
      </w:r>
      <w:r w:rsidRPr="008D73A7">
        <w:t xml:space="preserve">ervice (RAS), </w:t>
      </w:r>
      <w:r w:rsidR="00512D0F" w:rsidRPr="008D73A7">
        <w:t>e</w:t>
      </w:r>
      <w:r w:rsidRPr="008D73A7">
        <w:t xml:space="preserve">arth </w:t>
      </w:r>
      <w:r w:rsidR="00512D0F" w:rsidRPr="008D73A7">
        <w:t>e</w:t>
      </w:r>
      <w:r w:rsidRPr="008D73A7">
        <w:t xml:space="preserve">xploration </w:t>
      </w:r>
      <w:r w:rsidR="00512D0F" w:rsidRPr="008D73A7">
        <w:t>s</w:t>
      </w:r>
      <w:r w:rsidRPr="008D73A7">
        <w:t xml:space="preserve">atellite </w:t>
      </w:r>
      <w:r w:rsidR="00512D0F" w:rsidRPr="008D73A7">
        <w:t>s</w:t>
      </w:r>
      <w:r w:rsidRPr="008D73A7">
        <w:t xml:space="preserve">ervice (EESS), </w:t>
      </w:r>
      <w:r w:rsidR="00512D0F" w:rsidRPr="008D73A7">
        <w:t>f</w:t>
      </w:r>
      <w:r w:rsidRPr="008D73A7">
        <w:t xml:space="preserve">ixed </w:t>
      </w:r>
      <w:r w:rsidR="00512D0F" w:rsidRPr="008D73A7">
        <w:t>s</w:t>
      </w:r>
      <w:r w:rsidRPr="008D73A7">
        <w:t xml:space="preserve">ervice (FS) and </w:t>
      </w:r>
      <w:r w:rsidR="00512D0F" w:rsidRPr="008D73A7">
        <w:t>a</w:t>
      </w:r>
      <w:r w:rsidRPr="008D73A7">
        <w:t xml:space="preserve">mateur </w:t>
      </w:r>
      <w:r w:rsidR="00512D0F" w:rsidRPr="008D73A7">
        <w:t>s</w:t>
      </w:r>
      <w:r w:rsidRPr="008D73A7">
        <w:t>ervice.</w:t>
      </w:r>
      <w:r w:rsidR="00036A9C" w:rsidRPr="008D73A7">
        <w:t xml:space="preserve"> The outcome of th</w:t>
      </w:r>
      <w:r w:rsidR="00911C1F" w:rsidRPr="008D73A7">
        <w:t>e</w:t>
      </w:r>
      <w:r w:rsidR="006F661F" w:rsidRPr="008D73A7">
        <w:t>se</w:t>
      </w:r>
      <w:r w:rsidR="00036A9C" w:rsidRPr="008D73A7">
        <w:t xml:space="preserve"> stud</w:t>
      </w:r>
      <w:r w:rsidR="00911C1F" w:rsidRPr="008D73A7">
        <w:t>ies</w:t>
      </w:r>
      <w:r w:rsidR="00036A9C" w:rsidRPr="008D73A7">
        <w:t xml:space="preserve"> has been regulated in ECC Decision</w:t>
      </w:r>
      <w:r w:rsidR="005C00A0" w:rsidRPr="008D73A7">
        <w:t xml:space="preserve"> </w:t>
      </w:r>
      <w:r w:rsidR="00036A9C" w:rsidRPr="008D73A7">
        <w:t xml:space="preserve">(22)03 </w:t>
      </w:r>
      <w:r w:rsidR="00036A9C" w:rsidRPr="008D73A7">
        <w:fldChar w:fldCharType="begin"/>
      </w:r>
      <w:r w:rsidR="00036A9C" w:rsidRPr="008D73A7">
        <w:instrText xml:space="preserve"> REF ECC_DEC_22_03 \w \h </w:instrText>
      </w:r>
      <w:r w:rsidR="00036A9C" w:rsidRPr="008D73A7">
        <w:fldChar w:fldCharType="separate"/>
      </w:r>
      <w:r w:rsidR="00113216" w:rsidRPr="008D73A7">
        <w:t>[4]</w:t>
      </w:r>
      <w:r w:rsidR="00036A9C" w:rsidRPr="008D73A7">
        <w:fldChar w:fldCharType="end"/>
      </w:r>
      <w:r w:rsidR="00036A9C" w:rsidRPr="008D73A7">
        <w:t xml:space="preserve"> in order to allow free circulation and use of </w:t>
      </w:r>
      <w:r w:rsidR="00F777E3" w:rsidRPr="008D73A7">
        <w:t>these specific radiodetermination</w:t>
      </w:r>
      <w:r w:rsidR="00BC7CD8" w:rsidRPr="008D73A7">
        <w:t xml:space="preserve"> </w:t>
      </w:r>
      <w:r w:rsidR="00036A9C" w:rsidRPr="008D73A7">
        <w:t>equipment throughout Europe</w:t>
      </w:r>
      <w:r w:rsidR="00036A9C" w:rsidRPr="008D73A7">
        <w:rPr>
          <w:szCs w:val="20"/>
        </w:rPr>
        <w:t>.</w:t>
      </w:r>
    </w:p>
    <w:p w14:paraId="32A990FE" w14:textId="08F0E3B7" w:rsidR="00A60781" w:rsidRPr="008D73A7" w:rsidRDefault="00A60781" w:rsidP="00E20FFF">
      <w:pPr>
        <w:pStyle w:val="ECCBulletsLv1"/>
        <w:numPr>
          <w:ilvl w:val="0"/>
          <w:numId w:val="0"/>
        </w:numPr>
        <w:spacing w:before="240"/>
        <w:rPr>
          <w:szCs w:val="20"/>
        </w:rPr>
      </w:pPr>
      <w:r w:rsidRPr="008D73A7">
        <w:rPr>
          <w:szCs w:val="20"/>
        </w:rPr>
        <w:t xml:space="preserve">An </w:t>
      </w:r>
      <w:r w:rsidR="00224EE2" w:rsidRPr="008D73A7">
        <w:rPr>
          <w:szCs w:val="20"/>
        </w:rPr>
        <w:t xml:space="preserve">overview of the radiodetermination applications which have been regulated in ECC Decision (22)03 is given in section </w:t>
      </w:r>
      <w:r w:rsidR="00224EE2" w:rsidRPr="008D73A7">
        <w:rPr>
          <w:szCs w:val="20"/>
        </w:rPr>
        <w:fldChar w:fldCharType="begin"/>
      </w:r>
      <w:r w:rsidR="00224EE2" w:rsidRPr="008D73A7">
        <w:rPr>
          <w:szCs w:val="20"/>
        </w:rPr>
        <w:instrText xml:space="preserve"> REF _Ref91958529 \w \h </w:instrText>
      </w:r>
      <w:r w:rsidR="00224EE2" w:rsidRPr="008D73A7">
        <w:rPr>
          <w:szCs w:val="20"/>
        </w:rPr>
      </w:r>
      <w:r w:rsidR="00224EE2" w:rsidRPr="008D73A7">
        <w:rPr>
          <w:szCs w:val="20"/>
        </w:rPr>
        <w:fldChar w:fldCharType="separate"/>
      </w:r>
      <w:r w:rsidR="00113216" w:rsidRPr="008D73A7">
        <w:rPr>
          <w:szCs w:val="20"/>
        </w:rPr>
        <w:t>2.2</w:t>
      </w:r>
      <w:r w:rsidR="00224EE2" w:rsidRPr="008D73A7">
        <w:rPr>
          <w:szCs w:val="20"/>
        </w:rPr>
        <w:fldChar w:fldCharType="end"/>
      </w:r>
      <w:r w:rsidR="00224EE2" w:rsidRPr="008D73A7">
        <w:rPr>
          <w:szCs w:val="20"/>
        </w:rPr>
        <w:t>.</w:t>
      </w:r>
    </w:p>
    <w:p w14:paraId="7E1B667B" w14:textId="224B0927" w:rsidR="005F18FB" w:rsidRPr="008D73A7" w:rsidRDefault="00DD2718" w:rsidP="00415C19">
      <w:pPr>
        <w:pStyle w:val="Heading1"/>
      </w:pPr>
      <w:bookmarkStart w:id="12" w:name="_Toc123634676"/>
      <w:bookmarkStart w:id="13" w:name="_Toc123634766"/>
      <w:bookmarkStart w:id="14" w:name="_Toc135806266"/>
      <w:bookmarkStart w:id="15" w:name="_Toc153443761"/>
      <w:bookmarkStart w:id="16" w:name="_Ref274743743"/>
      <w:bookmarkEnd w:id="11"/>
      <w:r w:rsidRPr="008D73A7">
        <w:lastRenderedPageBreak/>
        <w:t>Radiodetermination</w:t>
      </w:r>
      <w:r w:rsidR="003414D5" w:rsidRPr="008D73A7">
        <w:t xml:space="preserve"> </w:t>
      </w:r>
      <w:r w:rsidR="00362F11" w:rsidRPr="008D73A7">
        <w:t>use cases considered</w:t>
      </w:r>
      <w:bookmarkEnd w:id="12"/>
      <w:bookmarkEnd w:id="13"/>
      <w:bookmarkEnd w:id="14"/>
      <w:bookmarkEnd w:id="15"/>
    </w:p>
    <w:p w14:paraId="37B2D0F8" w14:textId="6D26A1D5" w:rsidR="008D4678" w:rsidRPr="008D73A7" w:rsidRDefault="008D4678" w:rsidP="00A55704">
      <w:pPr>
        <w:pStyle w:val="Heading2"/>
        <w:rPr>
          <w:lang w:val="en-GB"/>
        </w:rPr>
      </w:pPr>
      <w:bookmarkStart w:id="17" w:name="_Toc123634677"/>
      <w:bookmarkStart w:id="18" w:name="_Toc123634767"/>
      <w:bookmarkStart w:id="19" w:name="_Toc135806267"/>
      <w:bookmarkStart w:id="20" w:name="_Toc153443762"/>
      <w:r w:rsidRPr="008D73A7">
        <w:rPr>
          <w:lang w:val="en-GB"/>
        </w:rPr>
        <w:t>Introduction</w:t>
      </w:r>
      <w:bookmarkEnd w:id="17"/>
      <w:bookmarkEnd w:id="18"/>
      <w:bookmarkEnd w:id="19"/>
      <w:bookmarkEnd w:id="20"/>
    </w:p>
    <w:p w14:paraId="1AC40A60" w14:textId="33AAE7B9" w:rsidR="00C61CEC" w:rsidRPr="008D73A7" w:rsidRDefault="00DD2718" w:rsidP="009A0878">
      <w:pPr>
        <w:jc w:val="both"/>
        <w:rPr>
          <w:rFonts w:eastAsiaTheme="minorHAnsi"/>
          <w:lang w:val="en-GB"/>
        </w:rPr>
      </w:pPr>
      <w:bookmarkStart w:id="21" w:name="_Hlk120627560"/>
      <w:r w:rsidRPr="008D73A7">
        <w:rPr>
          <w:rFonts w:eastAsiaTheme="minorHAnsi"/>
          <w:lang w:val="en-GB"/>
        </w:rPr>
        <w:t xml:space="preserve">Radiodetermination </w:t>
      </w:r>
      <w:r w:rsidR="00C61CEC" w:rsidRPr="008D73A7">
        <w:rPr>
          <w:rFonts w:eastAsiaTheme="minorHAnsi"/>
          <w:lang w:val="en-GB"/>
        </w:rPr>
        <w:t xml:space="preserve">applications are advancing into frequency regions beyond </w:t>
      </w:r>
      <w:r w:rsidR="00C4222E" w:rsidRPr="008D73A7">
        <w:rPr>
          <w:rFonts w:eastAsiaTheme="minorHAnsi"/>
          <w:lang w:val="en-GB"/>
        </w:rPr>
        <w:t>100 </w:t>
      </w:r>
      <w:r w:rsidR="00C61CEC" w:rsidRPr="008D73A7">
        <w:rPr>
          <w:rFonts w:eastAsiaTheme="minorHAnsi"/>
          <w:lang w:val="en-GB"/>
        </w:rPr>
        <w:t>GHz</w:t>
      </w:r>
      <w:r w:rsidR="00551C9D" w:rsidRPr="008D73A7">
        <w:rPr>
          <w:rFonts w:eastAsiaTheme="minorHAnsi"/>
          <w:lang w:val="en-GB"/>
        </w:rPr>
        <w:t xml:space="preserve"> where challenging measurement objectives can be adequately satisfied.</w:t>
      </w:r>
    </w:p>
    <w:p w14:paraId="07AC97BA" w14:textId="6F8074F5" w:rsidR="00551C9D" w:rsidRPr="008D73A7" w:rsidRDefault="00551C9D" w:rsidP="009A0878">
      <w:pPr>
        <w:jc w:val="both"/>
        <w:rPr>
          <w:lang w:val="en-GB"/>
        </w:rPr>
      </w:pPr>
      <w:r w:rsidRPr="008D73A7">
        <w:rPr>
          <w:lang w:val="en-GB"/>
        </w:rPr>
        <w:t>With the increasing digitisation of industrial production processes</w:t>
      </w:r>
      <w:r w:rsidR="00E22BA7">
        <w:rPr>
          <w:lang w:val="en-GB"/>
        </w:rPr>
        <w:t>,</w:t>
      </w:r>
      <w:r w:rsidRPr="008D73A7">
        <w:rPr>
          <w:lang w:val="en-GB"/>
        </w:rPr>
        <w:t xml:space="preserve"> an increase of especially industrial automation requirements is expected. More and more individualised products are expected of being fabricated in highly or fully automated lines which contain lots of compact and flexible production units. These units will contain sensors for both, supporting the production process itself and supporting reconfiguration and change.</w:t>
      </w:r>
    </w:p>
    <w:p w14:paraId="0345716C" w14:textId="37F84A33" w:rsidR="00551C9D" w:rsidRPr="008D73A7" w:rsidRDefault="00551C9D" w:rsidP="009A0878">
      <w:pPr>
        <w:jc w:val="both"/>
        <w:rPr>
          <w:rFonts w:eastAsiaTheme="minorHAnsi"/>
          <w:lang w:val="en-GB"/>
        </w:rPr>
      </w:pPr>
      <w:r w:rsidRPr="008D73A7">
        <w:rPr>
          <w:lang w:val="en-GB"/>
        </w:rPr>
        <w:t xml:space="preserve">Thickness measurements in the recently fast-growing field of extruded plastic pipes and quality inspection like roughness determination of surfaces </w:t>
      </w:r>
      <w:r w:rsidRPr="008D73A7">
        <w:rPr>
          <w:rFonts w:eastAsiaTheme="minorHAnsi"/>
          <w:lang w:val="en-GB"/>
        </w:rPr>
        <w:t>highly benefit from covering a wide modulation bandwidth to achieve an excellent range resolution and high measurement precision.</w:t>
      </w:r>
    </w:p>
    <w:p w14:paraId="1A1CEE37" w14:textId="43529EBB" w:rsidR="00551C9D" w:rsidRPr="008D73A7" w:rsidRDefault="00551C9D" w:rsidP="009A0878">
      <w:pPr>
        <w:jc w:val="both"/>
        <w:rPr>
          <w:lang w:val="en-GB"/>
        </w:rPr>
      </w:pPr>
      <w:r w:rsidRPr="008D73A7">
        <w:rPr>
          <w:lang w:val="en-GB"/>
        </w:rPr>
        <w:t>All the sensor systems for industrial purposes have in common that they need to be small, to be easily mounted in all kinds of applications, easily operable and they have to reliably function in harsh and adverse production environments with an outstanding measurement accuracy. They further should be equipped with small or even already chip-integrated antennas. The capability of fulfilling the individual measuring task with very low transmit power goes along with the requirement of supporting short response times which enable the detection and tracking of fast movements within the observation area.</w:t>
      </w:r>
    </w:p>
    <w:p w14:paraId="7CCFF1F5" w14:textId="34A4060F" w:rsidR="00551C9D" w:rsidRPr="008D73A7" w:rsidRDefault="00551C9D" w:rsidP="009A0878">
      <w:pPr>
        <w:jc w:val="both"/>
        <w:rPr>
          <w:lang w:val="en-GB"/>
        </w:rPr>
      </w:pPr>
      <w:r w:rsidRPr="008D73A7">
        <w:rPr>
          <w:lang w:val="en-GB"/>
        </w:rPr>
        <w:t>Indoor radar applications will also play an important role in the home automation market, for intrusion detection or the very challenging contactless vital sign tracking and observation of persons inside a building e.g. in a hospital setting.</w:t>
      </w:r>
    </w:p>
    <w:p w14:paraId="3206656A" w14:textId="2532BB22" w:rsidR="00551C9D" w:rsidRPr="008D73A7" w:rsidRDefault="00551C9D" w:rsidP="009A0878">
      <w:pPr>
        <w:jc w:val="both"/>
        <w:rPr>
          <w:rFonts w:eastAsiaTheme="minorHAnsi"/>
          <w:lang w:val="en-GB"/>
        </w:rPr>
      </w:pPr>
      <w:r w:rsidRPr="008D73A7">
        <w:rPr>
          <w:lang w:val="en-GB"/>
        </w:rPr>
        <w:t xml:space="preserve">All above-mentioned measurement objectives are only achievable with </w:t>
      </w:r>
      <w:r w:rsidR="00EA367F" w:rsidRPr="008D73A7">
        <w:rPr>
          <w:lang w:val="en-GB"/>
        </w:rPr>
        <w:t xml:space="preserve">the </w:t>
      </w:r>
      <w:r w:rsidRPr="008D73A7">
        <w:rPr>
          <w:lang w:val="en-GB"/>
        </w:rPr>
        <w:t xml:space="preserve">new spectrum designations for </w:t>
      </w:r>
      <w:r w:rsidR="00DD2718" w:rsidRPr="008D73A7">
        <w:rPr>
          <w:lang w:val="en-GB"/>
        </w:rPr>
        <w:t xml:space="preserve">these specific radiodetermination </w:t>
      </w:r>
      <w:r w:rsidRPr="008D73A7">
        <w:rPr>
          <w:lang w:val="en-GB"/>
        </w:rPr>
        <w:t>applications</w:t>
      </w:r>
      <w:r w:rsidR="00EC0442" w:rsidRPr="008D73A7">
        <w:rPr>
          <w:lang w:val="en-GB"/>
        </w:rPr>
        <w:t xml:space="preserve"> (</w:t>
      </w:r>
      <w:r w:rsidR="00200134">
        <w:rPr>
          <w:lang w:val="en-GB"/>
        </w:rPr>
        <w:t>see</w:t>
      </w:r>
      <w:r w:rsidR="00EC0442" w:rsidRPr="008D73A7">
        <w:rPr>
          <w:lang w:val="en-GB"/>
        </w:rPr>
        <w:t xml:space="preserve"> </w:t>
      </w:r>
      <w:r w:rsidR="00DF36BE" w:rsidRPr="008D73A7">
        <w:rPr>
          <w:lang w:val="en-GB"/>
        </w:rPr>
        <w:t>ECC Report 334</w:t>
      </w:r>
      <w:r w:rsidR="00D802F3" w:rsidRPr="008D73A7">
        <w:rPr>
          <w:lang w:val="en-GB"/>
        </w:rPr>
        <w:t>,</w:t>
      </w:r>
      <w:r w:rsidR="00DF36BE" w:rsidRPr="008D73A7">
        <w:rPr>
          <w:lang w:val="en-GB"/>
        </w:rPr>
        <w:t xml:space="preserve"> </w:t>
      </w:r>
      <w:r w:rsidR="00444B15" w:rsidRPr="008D73A7">
        <w:rPr>
          <w:lang w:val="en-GB"/>
        </w:rPr>
        <w:fldChar w:fldCharType="begin"/>
      </w:r>
      <w:r w:rsidR="00444B15" w:rsidRPr="008D73A7">
        <w:rPr>
          <w:lang w:val="en-GB"/>
        </w:rPr>
        <w:instrText xml:space="preserve"> REF ECC_Report_334 \h  \* MERGEFORMAT </w:instrText>
      </w:r>
      <w:r w:rsidR="00444B15" w:rsidRPr="008D73A7">
        <w:rPr>
          <w:lang w:val="en-GB"/>
        </w:rPr>
      </w:r>
      <w:r w:rsidR="00444B15" w:rsidRPr="008D73A7">
        <w:rPr>
          <w:lang w:val="en-GB"/>
        </w:rPr>
        <w:fldChar w:fldCharType="end"/>
      </w:r>
      <w:r w:rsidR="00D802F3" w:rsidRPr="008D73A7">
        <w:rPr>
          <w:lang w:val="en-GB"/>
        </w:rPr>
        <w:t>section</w:t>
      </w:r>
      <w:r w:rsidR="00FC466A" w:rsidRPr="008D73A7">
        <w:rPr>
          <w:lang w:val="en-GB"/>
        </w:rPr>
        <w:t xml:space="preserve"> 2.5</w:t>
      </w:r>
      <w:r w:rsidR="00D802F3" w:rsidRPr="008D73A7">
        <w:rPr>
          <w:lang w:val="en-GB"/>
        </w:rPr>
        <w:t xml:space="preserve"> </w:t>
      </w:r>
      <w:r w:rsidR="00D802F3" w:rsidRPr="008D73A7">
        <w:rPr>
          <w:lang w:val="en-GB"/>
        </w:rPr>
        <w:fldChar w:fldCharType="begin"/>
      </w:r>
      <w:r w:rsidR="00D802F3" w:rsidRPr="008D73A7">
        <w:rPr>
          <w:lang w:val="en-GB"/>
        </w:rPr>
        <w:instrText xml:space="preserve"> REF ECC_Report_334 \w \h  \* MERGEFORMAT </w:instrText>
      </w:r>
      <w:r w:rsidR="00D802F3" w:rsidRPr="008D73A7">
        <w:rPr>
          <w:lang w:val="en-GB"/>
        </w:rPr>
      </w:r>
      <w:r w:rsidR="00D802F3" w:rsidRPr="008D73A7">
        <w:rPr>
          <w:lang w:val="en-GB"/>
        </w:rPr>
        <w:fldChar w:fldCharType="separate"/>
      </w:r>
      <w:r w:rsidR="00113216" w:rsidRPr="008D73A7">
        <w:rPr>
          <w:lang w:val="en-GB"/>
        </w:rPr>
        <w:t>[1]</w:t>
      </w:r>
      <w:r w:rsidR="00D802F3" w:rsidRPr="008D73A7">
        <w:rPr>
          <w:lang w:val="en-GB"/>
        </w:rPr>
        <w:fldChar w:fldCharType="end"/>
      </w:r>
      <w:r w:rsidR="00EC0442" w:rsidRPr="008D73A7">
        <w:rPr>
          <w:lang w:val="en-GB"/>
        </w:rPr>
        <w:t>)</w:t>
      </w:r>
      <w:r w:rsidRPr="008D73A7">
        <w:rPr>
          <w:lang w:val="en-GB"/>
        </w:rPr>
        <w:t xml:space="preserve"> in the range above 116 GHz where larger modulation bandwidths can be realised and </w:t>
      </w:r>
      <w:r w:rsidR="004638EA" w:rsidRPr="008D73A7">
        <w:rPr>
          <w:lang w:val="en-GB"/>
        </w:rPr>
        <w:t xml:space="preserve">therefore </w:t>
      </w:r>
      <w:r w:rsidR="004638EA" w:rsidRPr="008D73A7">
        <w:rPr>
          <w:rFonts w:eastAsiaTheme="minorHAnsi"/>
          <w:lang w:val="en-GB"/>
        </w:rPr>
        <w:t xml:space="preserve">challenging measurement objectives can adequately be satisfied. In addition to that, </w:t>
      </w:r>
      <w:r w:rsidRPr="008D73A7">
        <w:rPr>
          <w:lang w:val="en-GB"/>
        </w:rPr>
        <w:t xml:space="preserve">the interference potential towards other spectrum users is lower </w:t>
      </w:r>
      <w:r w:rsidR="004638EA" w:rsidRPr="008D73A7">
        <w:rPr>
          <w:lang w:val="en-GB"/>
        </w:rPr>
        <w:t xml:space="preserve">in this high frequency range </w:t>
      </w:r>
      <w:r w:rsidRPr="008D73A7">
        <w:rPr>
          <w:lang w:val="en-GB"/>
        </w:rPr>
        <w:t>due to the higher free space loss and tendentially higher atmospheric attenuation.</w:t>
      </w:r>
    </w:p>
    <w:p w14:paraId="7BA240CE" w14:textId="2641D4C1" w:rsidR="00EC0442" w:rsidRPr="008D73A7" w:rsidRDefault="00EC0442" w:rsidP="009A0878">
      <w:pPr>
        <w:jc w:val="both"/>
        <w:rPr>
          <w:lang w:val="en-GB"/>
        </w:rPr>
      </w:pPr>
      <w:r w:rsidRPr="008D73A7">
        <w:rPr>
          <w:lang w:val="en-GB"/>
        </w:rPr>
        <w:t xml:space="preserve">The provision of new frequency bands above 116 GHz goes along with the utilisation of new semiconductor technologies. </w:t>
      </w:r>
      <w:r w:rsidR="008C1439" w:rsidRPr="008D73A7">
        <w:rPr>
          <w:lang w:val="en-GB"/>
        </w:rPr>
        <w:t>Several publicly funded projects</w:t>
      </w:r>
      <w:r w:rsidRPr="008D73A7">
        <w:rPr>
          <w:lang w:val="en-GB"/>
        </w:rPr>
        <w:t xml:space="preserve"> </w:t>
      </w:r>
      <w:r w:rsidR="008C1439" w:rsidRPr="008D73A7">
        <w:rPr>
          <w:lang w:val="en-GB"/>
        </w:rPr>
        <w:t>(</w:t>
      </w:r>
      <w:r w:rsidR="00200134">
        <w:rPr>
          <w:lang w:val="en-GB"/>
        </w:rPr>
        <w:t>see</w:t>
      </w:r>
      <w:r w:rsidR="008C1439" w:rsidRPr="008D73A7">
        <w:rPr>
          <w:lang w:val="en-GB"/>
        </w:rPr>
        <w:t xml:space="preserve"> ETSI TR 103 498</w:t>
      </w:r>
      <w:r w:rsidR="00817AB7" w:rsidRPr="008D73A7">
        <w:rPr>
          <w:lang w:val="en-GB"/>
        </w:rPr>
        <w:t>,</w:t>
      </w:r>
      <w:r w:rsidR="008C1439" w:rsidRPr="008D73A7">
        <w:rPr>
          <w:lang w:val="en-GB"/>
        </w:rPr>
        <w:t xml:space="preserve"> </w:t>
      </w:r>
      <w:r w:rsidR="00817AB7" w:rsidRPr="008D73A7">
        <w:rPr>
          <w:lang w:val="en-GB"/>
        </w:rPr>
        <w:t>section</w:t>
      </w:r>
      <w:r w:rsidR="008C1439" w:rsidRPr="008D73A7">
        <w:rPr>
          <w:lang w:val="en-GB"/>
        </w:rPr>
        <w:t xml:space="preserve"> 5.2</w:t>
      </w:r>
      <w:r w:rsidR="00817AB7" w:rsidRPr="008D73A7">
        <w:rPr>
          <w:lang w:val="en-GB"/>
        </w:rPr>
        <w:t xml:space="preserve"> </w:t>
      </w:r>
      <w:r w:rsidR="00817AB7" w:rsidRPr="008D73A7">
        <w:rPr>
          <w:lang w:val="en-GB"/>
        </w:rPr>
        <w:fldChar w:fldCharType="begin"/>
      </w:r>
      <w:r w:rsidR="00817AB7" w:rsidRPr="008D73A7">
        <w:rPr>
          <w:lang w:val="en-GB"/>
        </w:rPr>
        <w:instrText xml:space="preserve"> REF  ETSI_TR_103_498 \h \n  \* MERGEFORMAT </w:instrText>
      </w:r>
      <w:r w:rsidR="00817AB7" w:rsidRPr="008D73A7">
        <w:rPr>
          <w:lang w:val="en-GB"/>
        </w:rPr>
      </w:r>
      <w:r w:rsidR="00817AB7" w:rsidRPr="008D73A7">
        <w:rPr>
          <w:lang w:val="en-GB"/>
        </w:rPr>
        <w:fldChar w:fldCharType="separate"/>
      </w:r>
      <w:r w:rsidR="00817AB7" w:rsidRPr="008D73A7">
        <w:rPr>
          <w:lang w:val="en-GB"/>
        </w:rPr>
        <w:t>[3]</w:t>
      </w:r>
      <w:r w:rsidR="00817AB7" w:rsidRPr="008D73A7">
        <w:rPr>
          <w:lang w:val="en-GB"/>
        </w:rPr>
        <w:fldChar w:fldCharType="end"/>
      </w:r>
      <w:r w:rsidR="008C1439" w:rsidRPr="008D73A7">
        <w:rPr>
          <w:lang w:val="en-GB"/>
        </w:rPr>
        <w:t xml:space="preserve">) </w:t>
      </w:r>
      <w:r w:rsidRPr="008D73A7">
        <w:rPr>
          <w:lang w:val="en-GB"/>
        </w:rPr>
        <w:t>showed that the necessary semiconductor technologies are already available</w:t>
      </w:r>
      <w:r w:rsidR="002D56FC" w:rsidRPr="008D73A7">
        <w:rPr>
          <w:lang w:val="en-GB"/>
        </w:rPr>
        <w:t>.</w:t>
      </w:r>
      <w:r w:rsidRPr="008D73A7">
        <w:rPr>
          <w:lang w:val="en-GB"/>
        </w:rPr>
        <w:t xml:space="preserve"> The 1 GHz available bandwidth </w:t>
      </w:r>
      <w:r w:rsidR="008C1439" w:rsidRPr="008D73A7">
        <w:rPr>
          <w:lang w:val="en-GB"/>
        </w:rPr>
        <w:t>between</w:t>
      </w:r>
      <w:r w:rsidRPr="008D73A7">
        <w:rPr>
          <w:lang w:val="en-GB"/>
        </w:rPr>
        <w:t xml:space="preserve"> 122 GHz </w:t>
      </w:r>
      <w:r w:rsidR="008C1439" w:rsidRPr="008D73A7">
        <w:rPr>
          <w:lang w:val="en-GB"/>
        </w:rPr>
        <w:t xml:space="preserve">and </w:t>
      </w:r>
      <w:r w:rsidRPr="008D73A7">
        <w:rPr>
          <w:lang w:val="en-GB"/>
        </w:rPr>
        <w:t xml:space="preserve">123 GHz and the 2 GHz wide band from 244 GHz to 246 GHz, designated </w:t>
      </w:r>
      <w:r w:rsidR="008C1439" w:rsidRPr="008D73A7">
        <w:rPr>
          <w:lang w:val="en-GB"/>
        </w:rPr>
        <w:t xml:space="preserve">to non-specific </w:t>
      </w:r>
      <w:proofErr w:type="gramStart"/>
      <w:r w:rsidR="002614ED" w:rsidRPr="008D73A7">
        <w:rPr>
          <w:lang w:val="en-GB"/>
        </w:rPr>
        <w:t>S</w:t>
      </w:r>
      <w:r w:rsidR="008C1439" w:rsidRPr="008D73A7">
        <w:rPr>
          <w:lang w:val="en-GB"/>
        </w:rPr>
        <w:t xml:space="preserve">hort </w:t>
      </w:r>
      <w:r w:rsidR="002614ED" w:rsidRPr="008D73A7">
        <w:rPr>
          <w:lang w:val="en-GB"/>
        </w:rPr>
        <w:t>R</w:t>
      </w:r>
      <w:r w:rsidR="008C1439" w:rsidRPr="008D73A7">
        <w:rPr>
          <w:lang w:val="en-GB"/>
        </w:rPr>
        <w:t>ange</w:t>
      </w:r>
      <w:proofErr w:type="gramEnd"/>
      <w:r w:rsidR="008C1439" w:rsidRPr="008D73A7">
        <w:rPr>
          <w:lang w:val="en-GB"/>
        </w:rPr>
        <w:t xml:space="preserve"> </w:t>
      </w:r>
      <w:r w:rsidR="002614ED" w:rsidRPr="008D73A7">
        <w:rPr>
          <w:lang w:val="en-GB"/>
        </w:rPr>
        <w:t>D</w:t>
      </w:r>
      <w:r w:rsidR="008C1439" w:rsidRPr="008D73A7">
        <w:rPr>
          <w:lang w:val="en-GB"/>
        </w:rPr>
        <w:t>evices and also designated for industrial, scientific and medical (ISM) applications as defined in ITU Radio Regulations</w:t>
      </w:r>
      <w:r w:rsidRPr="008D73A7">
        <w:rPr>
          <w:lang w:val="en-GB"/>
        </w:rPr>
        <w:t xml:space="preserve">, are in most cases not sufficient to </w:t>
      </w:r>
      <w:r w:rsidR="00E83176" w:rsidRPr="008D73A7">
        <w:rPr>
          <w:lang w:val="en-GB"/>
        </w:rPr>
        <w:t xml:space="preserve">properly </w:t>
      </w:r>
      <w:r w:rsidRPr="008D73A7">
        <w:rPr>
          <w:lang w:val="en-GB"/>
        </w:rPr>
        <w:t xml:space="preserve">solve the specific </w:t>
      </w:r>
      <w:r w:rsidR="004638EA" w:rsidRPr="008D73A7">
        <w:rPr>
          <w:lang w:val="en-GB"/>
        </w:rPr>
        <w:t xml:space="preserve">and challenging </w:t>
      </w:r>
      <w:r w:rsidRPr="008D73A7">
        <w:rPr>
          <w:lang w:val="en-GB"/>
        </w:rPr>
        <w:t>measurement task.</w:t>
      </w:r>
    </w:p>
    <w:p w14:paraId="438AB65B" w14:textId="78CC91ED" w:rsidR="00484CC1" w:rsidRPr="008D73A7" w:rsidRDefault="00484CC1" w:rsidP="00A55704">
      <w:pPr>
        <w:pStyle w:val="Heading2"/>
        <w:rPr>
          <w:lang w:val="en-GB"/>
        </w:rPr>
      </w:pPr>
      <w:bookmarkStart w:id="22" w:name="_Ref91958529"/>
      <w:bookmarkStart w:id="23" w:name="_Toc123634678"/>
      <w:bookmarkStart w:id="24" w:name="_Toc123634768"/>
      <w:bookmarkStart w:id="25" w:name="_Toc135806268"/>
      <w:bookmarkStart w:id="26" w:name="_Toc153443763"/>
      <w:bookmarkStart w:id="27" w:name="_Hlk120628065"/>
      <w:bookmarkEnd w:id="21"/>
      <w:r w:rsidRPr="008D73A7">
        <w:rPr>
          <w:lang w:val="en-GB"/>
        </w:rPr>
        <w:t>Application overview</w:t>
      </w:r>
      <w:bookmarkEnd w:id="22"/>
      <w:bookmarkEnd w:id="23"/>
      <w:bookmarkEnd w:id="24"/>
      <w:bookmarkEnd w:id="25"/>
      <w:bookmarkEnd w:id="26"/>
    </w:p>
    <w:p w14:paraId="31262EF2" w14:textId="03818FBB" w:rsidR="006E01ED" w:rsidRPr="008D73A7" w:rsidRDefault="0086283B" w:rsidP="00FB3190">
      <w:pPr>
        <w:pStyle w:val="ECCParagraph"/>
        <w:spacing w:before="240" w:after="60"/>
      </w:pPr>
      <w:r w:rsidRPr="008D73A7">
        <w:t>T</w:t>
      </w:r>
      <w:r w:rsidR="006E01ED" w:rsidRPr="008D73A7">
        <w:t xml:space="preserve">he following </w:t>
      </w:r>
      <w:r w:rsidR="00DD2718" w:rsidRPr="008D73A7">
        <w:t xml:space="preserve">radiodetermination </w:t>
      </w:r>
      <w:r w:rsidR="006E01ED" w:rsidRPr="008D73A7">
        <w:t>applications in the band 116</w:t>
      </w:r>
      <w:r w:rsidR="002614ED" w:rsidRPr="008D73A7">
        <w:t>-</w:t>
      </w:r>
      <w:r w:rsidR="006E01ED" w:rsidRPr="008D73A7">
        <w:t xml:space="preserve">260 GHz </w:t>
      </w:r>
      <w:r w:rsidRPr="008D73A7">
        <w:rPr>
          <w:szCs w:val="20"/>
        </w:rPr>
        <w:t>have been identified and studied in compatibility and sharing analyses whose results were set down in ECC Report 334</w:t>
      </w:r>
      <w:r w:rsidR="00CC22BC" w:rsidRPr="008D73A7">
        <w:rPr>
          <w:szCs w:val="20"/>
        </w:rPr>
        <w:t xml:space="preserve"> </w:t>
      </w:r>
      <w:r w:rsidR="00CC22BC" w:rsidRPr="008D73A7">
        <w:fldChar w:fldCharType="begin"/>
      </w:r>
      <w:r w:rsidR="00CC22BC" w:rsidRPr="008D73A7">
        <w:instrText xml:space="preserve"> REF  ECC_Report_334 \h \n  \* MERGEFORMAT </w:instrText>
      </w:r>
      <w:r w:rsidR="00CC22BC" w:rsidRPr="008D73A7">
        <w:fldChar w:fldCharType="separate"/>
      </w:r>
      <w:r w:rsidR="00113216" w:rsidRPr="008D73A7">
        <w:t>[1]</w:t>
      </w:r>
      <w:r w:rsidR="00CC22BC" w:rsidRPr="008D73A7">
        <w:fldChar w:fldCharType="end"/>
      </w:r>
      <w:r w:rsidR="00872AEB" w:rsidRPr="008D73A7">
        <w:t xml:space="preserve"> and </w:t>
      </w:r>
      <w:r w:rsidR="00104156" w:rsidRPr="008D73A7">
        <w:t xml:space="preserve">ECC Report </w:t>
      </w:r>
      <w:r w:rsidR="00872AEB" w:rsidRPr="008D73A7">
        <w:t xml:space="preserve">351 </w:t>
      </w:r>
      <w:r w:rsidR="00104156" w:rsidRPr="008D73A7">
        <w:fldChar w:fldCharType="begin"/>
      </w:r>
      <w:r w:rsidR="00104156" w:rsidRPr="008D73A7">
        <w:instrText xml:space="preserve"> REF _Ref133412098 \r \h </w:instrText>
      </w:r>
      <w:r w:rsidR="00104156" w:rsidRPr="008D73A7">
        <w:fldChar w:fldCharType="separate"/>
      </w:r>
      <w:r w:rsidR="00104156" w:rsidRPr="008D73A7">
        <w:t>[2]</w:t>
      </w:r>
      <w:r w:rsidR="00104156" w:rsidRPr="008D73A7">
        <w:fldChar w:fldCharType="end"/>
      </w:r>
      <w:r w:rsidR="002614ED" w:rsidRPr="008D73A7">
        <w:t>:</w:t>
      </w:r>
    </w:p>
    <w:p w14:paraId="20E3D5DA" w14:textId="7AB54C6D" w:rsidR="006E01ED" w:rsidRPr="008D73A7" w:rsidRDefault="006E01ED" w:rsidP="00AC1609">
      <w:pPr>
        <w:pStyle w:val="ECCBulletsLv1"/>
        <w:ind w:left="340" w:hanging="340"/>
      </w:pPr>
      <w:r w:rsidRPr="008D73A7">
        <w:t>Generic indoor surveillance radar</w:t>
      </w:r>
      <w:r w:rsidR="00FD21DB" w:rsidRPr="008D73A7">
        <w:t xml:space="preserve"> (section </w:t>
      </w:r>
      <w:r w:rsidR="00FD21DB" w:rsidRPr="008D73A7">
        <w:fldChar w:fldCharType="begin"/>
      </w:r>
      <w:r w:rsidR="00FD21DB" w:rsidRPr="008D73A7">
        <w:instrText xml:space="preserve"> REF _Ref127539841 \w \h </w:instrText>
      </w:r>
      <w:r w:rsidR="00FD21DB" w:rsidRPr="008D73A7">
        <w:fldChar w:fldCharType="separate"/>
      </w:r>
      <w:r w:rsidR="00113216" w:rsidRPr="008D73A7">
        <w:t>2.2.1</w:t>
      </w:r>
      <w:r w:rsidR="00FD21DB" w:rsidRPr="008D73A7">
        <w:fldChar w:fldCharType="end"/>
      </w:r>
      <w:r w:rsidR="00FD21DB" w:rsidRPr="008D73A7">
        <w:t>)</w:t>
      </w:r>
      <w:r w:rsidR="003944EB" w:rsidRPr="008D73A7">
        <w:t>;</w:t>
      </w:r>
    </w:p>
    <w:p w14:paraId="5F8FE12A" w14:textId="3602AA7E" w:rsidR="006E01ED" w:rsidRPr="008D73A7" w:rsidRDefault="006E01ED" w:rsidP="00AC1609">
      <w:pPr>
        <w:pStyle w:val="ECCBulletsLv1"/>
        <w:ind w:left="340" w:hanging="340"/>
      </w:pPr>
      <w:r w:rsidRPr="008D73A7">
        <w:t>Radiodetermination systems for industry automation (RDI)</w:t>
      </w:r>
      <w:r w:rsidR="00FD21DB" w:rsidRPr="008D73A7">
        <w:t xml:space="preserve"> (section </w:t>
      </w:r>
      <w:r w:rsidR="00FD21DB" w:rsidRPr="008D73A7">
        <w:fldChar w:fldCharType="begin"/>
      </w:r>
      <w:r w:rsidR="00FD21DB" w:rsidRPr="008D73A7">
        <w:instrText xml:space="preserve"> REF _Ref127539853 \w \h </w:instrText>
      </w:r>
      <w:r w:rsidR="00FD21DB" w:rsidRPr="008D73A7">
        <w:fldChar w:fldCharType="separate"/>
      </w:r>
      <w:r w:rsidR="00113216" w:rsidRPr="008D73A7">
        <w:t>2.2.2</w:t>
      </w:r>
      <w:r w:rsidR="00FD21DB" w:rsidRPr="008D73A7">
        <w:fldChar w:fldCharType="end"/>
      </w:r>
      <w:r w:rsidR="00FD21DB" w:rsidRPr="008D73A7">
        <w:t>)</w:t>
      </w:r>
      <w:r w:rsidR="003944EB" w:rsidRPr="008D73A7">
        <w:t>;</w:t>
      </w:r>
    </w:p>
    <w:p w14:paraId="4EBE6498" w14:textId="5F65F475" w:rsidR="006E01ED" w:rsidRPr="008D73A7" w:rsidRDefault="006E01ED" w:rsidP="00AC1609">
      <w:pPr>
        <w:pStyle w:val="ECCBulletsLv1"/>
        <w:ind w:left="340" w:hanging="340"/>
      </w:pPr>
      <w:r w:rsidRPr="008D73A7">
        <w:t>Level probing radar (LPR)</w:t>
      </w:r>
      <w:r w:rsidR="00FD21DB" w:rsidRPr="008D73A7">
        <w:t xml:space="preserve"> (section </w:t>
      </w:r>
      <w:r w:rsidR="00FD21DB" w:rsidRPr="008D73A7">
        <w:fldChar w:fldCharType="begin"/>
      </w:r>
      <w:r w:rsidR="00FD21DB" w:rsidRPr="008D73A7">
        <w:instrText xml:space="preserve"> REF _Ref127539866 \w \h </w:instrText>
      </w:r>
      <w:r w:rsidR="00FD21DB" w:rsidRPr="008D73A7">
        <w:fldChar w:fldCharType="separate"/>
      </w:r>
      <w:r w:rsidR="00113216" w:rsidRPr="008D73A7">
        <w:t>2.2.3</w:t>
      </w:r>
      <w:r w:rsidR="00FD21DB" w:rsidRPr="008D73A7">
        <w:fldChar w:fldCharType="end"/>
      </w:r>
      <w:r w:rsidR="00FD21DB" w:rsidRPr="008D73A7">
        <w:t>)</w:t>
      </w:r>
      <w:r w:rsidR="003944EB" w:rsidRPr="008D73A7">
        <w:t>;</w:t>
      </w:r>
    </w:p>
    <w:p w14:paraId="79260C0F" w14:textId="331EEA44" w:rsidR="006E01ED" w:rsidRPr="008D73A7" w:rsidRDefault="006E01ED" w:rsidP="00AC1609">
      <w:pPr>
        <w:pStyle w:val="ECCBulletsLv1"/>
        <w:ind w:left="340" w:hanging="340"/>
      </w:pPr>
      <w:r w:rsidRPr="008D73A7">
        <w:t>Contour determination and acquisition (CDR)</w:t>
      </w:r>
      <w:r w:rsidR="00FD21DB" w:rsidRPr="008D73A7">
        <w:t xml:space="preserve"> (section </w:t>
      </w:r>
      <w:r w:rsidR="00FD21DB" w:rsidRPr="008D73A7">
        <w:fldChar w:fldCharType="begin"/>
      </w:r>
      <w:r w:rsidR="00FD21DB" w:rsidRPr="008D73A7">
        <w:instrText xml:space="preserve"> REF _Ref127539875 \w \h </w:instrText>
      </w:r>
      <w:r w:rsidR="00FD21DB" w:rsidRPr="008D73A7">
        <w:fldChar w:fldCharType="separate"/>
      </w:r>
      <w:r w:rsidR="00113216" w:rsidRPr="008D73A7">
        <w:t>2.2.4</w:t>
      </w:r>
      <w:r w:rsidR="00FD21DB" w:rsidRPr="008D73A7">
        <w:fldChar w:fldCharType="end"/>
      </w:r>
      <w:r w:rsidR="00FD21DB" w:rsidRPr="008D73A7">
        <w:t>)</w:t>
      </w:r>
      <w:r w:rsidR="003944EB" w:rsidRPr="008D73A7">
        <w:t>;</w:t>
      </w:r>
    </w:p>
    <w:p w14:paraId="43A98A6B" w14:textId="69B0A5EB" w:rsidR="006E01ED" w:rsidRPr="008D73A7" w:rsidRDefault="006E01ED" w:rsidP="00AC1609">
      <w:pPr>
        <w:pStyle w:val="ECCBulletsLv1"/>
        <w:ind w:left="340" w:hanging="340"/>
      </w:pPr>
      <w:r w:rsidRPr="008D73A7">
        <w:t>Tank level probing radar (TLPR)</w:t>
      </w:r>
      <w:r w:rsidR="00FD21DB" w:rsidRPr="008D73A7">
        <w:t xml:space="preserve"> (section </w:t>
      </w:r>
      <w:r w:rsidR="00FD21DB" w:rsidRPr="008D73A7">
        <w:fldChar w:fldCharType="begin"/>
      </w:r>
      <w:r w:rsidR="00FD21DB" w:rsidRPr="008D73A7">
        <w:instrText xml:space="preserve"> REF _Ref127539887 \w \h </w:instrText>
      </w:r>
      <w:r w:rsidR="00FD21DB" w:rsidRPr="008D73A7">
        <w:fldChar w:fldCharType="separate"/>
      </w:r>
      <w:r w:rsidR="00113216" w:rsidRPr="008D73A7">
        <w:t>2.2.5</w:t>
      </w:r>
      <w:r w:rsidR="00FD21DB" w:rsidRPr="008D73A7">
        <w:fldChar w:fldCharType="end"/>
      </w:r>
      <w:r w:rsidR="00FD21DB" w:rsidRPr="008D73A7">
        <w:t>)</w:t>
      </w:r>
      <w:r w:rsidR="003944EB" w:rsidRPr="008D73A7">
        <w:t>;</w:t>
      </w:r>
    </w:p>
    <w:p w14:paraId="5A300529" w14:textId="1F2BFC70" w:rsidR="006E01ED" w:rsidRPr="008D73A7" w:rsidRDefault="006E01ED" w:rsidP="00C876C7">
      <w:pPr>
        <w:pStyle w:val="ECCBulletsLv1"/>
        <w:ind w:left="340" w:hanging="340"/>
      </w:pPr>
      <w:r w:rsidRPr="008D73A7">
        <w:t>Radiodetermination systems for industry automation in shielded environments (RDI-S)</w:t>
      </w:r>
      <w:r w:rsidR="00FD21DB" w:rsidRPr="008D73A7">
        <w:t xml:space="preserve"> (section </w:t>
      </w:r>
      <w:r w:rsidR="00FD21DB" w:rsidRPr="008D73A7">
        <w:fldChar w:fldCharType="begin"/>
      </w:r>
      <w:r w:rsidR="00FD21DB" w:rsidRPr="008D73A7">
        <w:instrText xml:space="preserve"> REF _Ref127539904 \w \h </w:instrText>
      </w:r>
      <w:r w:rsidR="00FD21DB" w:rsidRPr="008D73A7">
        <w:fldChar w:fldCharType="separate"/>
      </w:r>
      <w:r w:rsidR="00113216" w:rsidRPr="008D73A7">
        <w:t>2.2.6</w:t>
      </w:r>
      <w:r w:rsidR="00FD21DB" w:rsidRPr="008D73A7">
        <w:fldChar w:fldCharType="end"/>
      </w:r>
      <w:r w:rsidR="00FD21DB" w:rsidRPr="008D73A7">
        <w:t>)</w:t>
      </w:r>
      <w:r w:rsidR="00492FC5" w:rsidRPr="008D73A7">
        <w:t>;</w:t>
      </w:r>
    </w:p>
    <w:p w14:paraId="34B74581" w14:textId="1814FB20" w:rsidR="003B6424" w:rsidRPr="008D73A7" w:rsidRDefault="003B6424" w:rsidP="003B6424">
      <w:pPr>
        <w:pStyle w:val="ECCBulletsLv1"/>
        <w:ind w:left="340" w:hanging="340"/>
      </w:pPr>
      <w:r w:rsidRPr="008D73A7">
        <w:t xml:space="preserve">Exterior vehicular radar </w:t>
      </w:r>
      <w:r w:rsidR="004940F0" w:rsidRPr="008D73A7">
        <w:t xml:space="preserve">(EVR) </w:t>
      </w:r>
      <w:r w:rsidRPr="008D73A7">
        <w:t xml:space="preserve">(section </w:t>
      </w:r>
      <w:r w:rsidR="00095B5A" w:rsidRPr="008D73A7">
        <w:fldChar w:fldCharType="begin"/>
      </w:r>
      <w:r w:rsidR="00095B5A" w:rsidRPr="008D73A7">
        <w:instrText xml:space="preserve"> REF _Ref134120275 \r \h </w:instrText>
      </w:r>
      <w:r w:rsidR="00095B5A" w:rsidRPr="008D73A7">
        <w:fldChar w:fldCharType="separate"/>
      </w:r>
      <w:r w:rsidR="00095B5A" w:rsidRPr="008D73A7">
        <w:t>2.2.7</w:t>
      </w:r>
      <w:r w:rsidR="00095B5A" w:rsidRPr="008D73A7">
        <w:fldChar w:fldCharType="end"/>
      </w:r>
      <w:r w:rsidRPr="008D73A7">
        <w:t>)</w:t>
      </w:r>
      <w:r w:rsidR="00492FC5" w:rsidRPr="008D73A7">
        <w:t>;</w:t>
      </w:r>
    </w:p>
    <w:p w14:paraId="4E4626A6" w14:textId="5606F2BB" w:rsidR="00872AEB" w:rsidRPr="008D73A7" w:rsidRDefault="003B6424" w:rsidP="00996751">
      <w:pPr>
        <w:pStyle w:val="ECCBulletsLv1"/>
        <w:ind w:left="340" w:hanging="340"/>
      </w:pPr>
      <w:r w:rsidRPr="008D73A7">
        <w:t>In-cabin vehicular radar</w:t>
      </w:r>
      <w:r w:rsidR="00D2225A" w:rsidRPr="008D73A7">
        <w:t xml:space="preserve"> </w:t>
      </w:r>
      <w:r w:rsidR="004940F0" w:rsidRPr="008D73A7">
        <w:t xml:space="preserve">(IVR) </w:t>
      </w:r>
      <w:r w:rsidR="00D2225A" w:rsidRPr="008D73A7">
        <w:t xml:space="preserve">(section </w:t>
      </w:r>
      <w:r w:rsidR="00095B5A" w:rsidRPr="008D73A7">
        <w:fldChar w:fldCharType="begin"/>
      </w:r>
      <w:r w:rsidR="00095B5A" w:rsidRPr="008D73A7">
        <w:instrText xml:space="preserve"> REF _Ref134120282 \r \h </w:instrText>
      </w:r>
      <w:r w:rsidR="00095B5A" w:rsidRPr="008D73A7">
        <w:fldChar w:fldCharType="separate"/>
      </w:r>
      <w:r w:rsidR="00095B5A" w:rsidRPr="008D73A7">
        <w:t>2.2.8</w:t>
      </w:r>
      <w:r w:rsidR="00095B5A" w:rsidRPr="008D73A7">
        <w:fldChar w:fldCharType="end"/>
      </w:r>
      <w:r w:rsidR="00D2225A" w:rsidRPr="008D73A7">
        <w:t>).</w:t>
      </w:r>
    </w:p>
    <w:p w14:paraId="1C8A0F1B" w14:textId="139D354A" w:rsidR="00DE7D17" w:rsidRPr="008D73A7" w:rsidRDefault="004B5EEE" w:rsidP="00AC1609">
      <w:pPr>
        <w:pStyle w:val="ECCParagraph"/>
      </w:pPr>
      <w:r w:rsidRPr="008D73A7">
        <w:lastRenderedPageBreak/>
        <w:t>The outcome of th</w:t>
      </w:r>
      <w:r w:rsidR="00566EFE" w:rsidRPr="008D73A7">
        <w:t>e</w:t>
      </w:r>
      <w:r w:rsidR="004D6CE8" w:rsidRPr="008D73A7">
        <w:t xml:space="preserve"> ECC Report 334</w:t>
      </w:r>
      <w:r w:rsidRPr="008D73A7">
        <w:t xml:space="preserve"> </w:t>
      </w:r>
      <w:r w:rsidR="00165BE8" w:rsidRPr="008D73A7">
        <w:fldChar w:fldCharType="begin"/>
      </w:r>
      <w:r w:rsidR="00165BE8" w:rsidRPr="008D73A7">
        <w:instrText xml:space="preserve"> REF  ECC_Report_334 \h \n  \* MERGEFORMAT </w:instrText>
      </w:r>
      <w:r w:rsidR="00165BE8" w:rsidRPr="008D73A7">
        <w:fldChar w:fldCharType="separate"/>
      </w:r>
      <w:r w:rsidR="00165BE8" w:rsidRPr="008D73A7">
        <w:t>[1]</w:t>
      </w:r>
      <w:r w:rsidR="00165BE8" w:rsidRPr="008D73A7">
        <w:fldChar w:fldCharType="end"/>
      </w:r>
      <w:r w:rsidR="00165BE8">
        <w:t xml:space="preserve"> </w:t>
      </w:r>
      <w:r w:rsidRPr="008D73A7">
        <w:t>study has been regulated in ECC Decision</w:t>
      </w:r>
      <w:r w:rsidR="005C00A0" w:rsidRPr="008D73A7">
        <w:t xml:space="preserve"> </w:t>
      </w:r>
      <w:r w:rsidRPr="008D73A7">
        <w:t xml:space="preserve">(22)03 </w:t>
      </w:r>
      <w:r w:rsidR="00F85882" w:rsidRPr="008D73A7">
        <w:rPr>
          <w:rFonts w:eastAsia="Calibri"/>
          <w:szCs w:val="22"/>
        </w:rPr>
        <w:fldChar w:fldCharType="begin"/>
      </w:r>
      <w:r w:rsidR="00F85882" w:rsidRPr="008D73A7">
        <w:rPr>
          <w:rFonts w:eastAsia="Calibri"/>
          <w:szCs w:val="22"/>
        </w:rPr>
        <w:instrText xml:space="preserve"> REF ECC_DEC_22_03 \w \h </w:instrText>
      </w:r>
      <w:r w:rsidR="00AC1609" w:rsidRPr="008D73A7">
        <w:rPr>
          <w:rFonts w:eastAsia="Calibri"/>
          <w:szCs w:val="22"/>
        </w:rPr>
        <w:instrText xml:space="preserve"> \* MERGEFORMAT </w:instrText>
      </w:r>
      <w:r w:rsidR="00F85882" w:rsidRPr="008D73A7">
        <w:rPr>
          <w:rFonts w:eastAsia="Calibri"/>
          <w:szCs w:val="22"/>
        </w:rPr>
      </w:r>
      <w:r w:rsidR="00F85882" w:rsidRPr="008D73A7">
        <w:rPr>
          <w:rFonts w:eastAsia="Calibri"/>
          <w:szCs w:val="22"/>
        </w:rPr>
        <w:fldChar w:fldCharType="separate"/>
      </w:r>
      <w:r w:rsidR="00113216" w:rsidRPr="008D73A7">
        <w:rPr>
          <w:rFonts w:eastAsia="Calibri"/>
          <w:szCs w:val="22"/>
        </w:rPr>
        <w:t>[4]</w:t>
      </w:r>
      <w:r w:rsidR="00F85882" w:rsidRPr="008D73A7">
        <w:rPr>
          <w:rFonts w:eastAsia="Calibri"/>
          <w:szCs w:val="22"/>
        </w:rPr>
        <w:fldChar w:fldCharType="end"/>
      </w:r>
      <w:r w:rsidR="00036A9C" w:rsidRPr="008D73A7">
        <w:rPr>
          <w:rFonts w:eastAsia="Calibri"/>
          <w:szCs w:val="22"/>
        </w:rPr>
        <w:t>.</w:t>
      </w:r>
      <w:r w:rsidR="00DE7D17" w:rsidRPr="008D73A7">
        <w:rPr>
          <w:rFonts w:eastAsia="Calibri"/>
          <w:szCs w:val="22"/>
        </w:rPr>
        <w:t xml:space="preserve"> </w:t>
      </w:r>
      <w:r w:rsidR="0086283B" w:rsidRPr="008D73A7">
        <w:t>All above mentioned applications have their own and unique peculiarities,</w:t>
      </w:r>
      <w:r w:rsidR="009B6FDC" w:rsidRPr="008D73A7">
        <w:t xml:space="preserve"> </w:t>
      </w:r>
      <w:r w:rsidR="0086283B" w:rsidRPr="008D73A7">
        <w:t xml:space="preserve">technical parameters and deployment scenarios which influence the interference </w:t>
      </w:r>
      <w:r w:rsidR="009B6FDC" w:rsidRPr="008D73A7">
        <w:t xml:space="preserve">potential and </w:t>
      </w:r>
      <w:r w:rsidR="0086283B" w:rsidRPr="008D73A7">
        <w:t xml:space="preserve">mechanisms to other spectrum users. Furthermore, different frequency ranges have been identified as appropriate and requested for the different applications. Therefore, it was necessary to </w:t>
      </w:r>
      <w:r w:rsidR="009B6FDC" w:rsidRPr="008D73A7">
        <w:t xml:space="preserve">treat all applications individually and </w:t>
      </w:r>
      <w:r w:rsidR="00A73A66" w:rsidRPr="008D73A7">
        <w:t xml:space="preserve">thus </w:t>
      </w:r>
      <w:r w:rsidR="009B6FDC" w:rsidRPr="008D73A7">
        <w:t xml:space="preserve">to </w:t>
      </w:r>
      <w:r w:rsidR="0086283B" w:rsidRPr="008D73A7">
        <w:t xml:space="preserve">conduct </w:t>
      </w:r>
      <w:r w:rsidR="009B6FDC" w:rsidRPr="008D73A7">
        <w:t xml:space="preserve">distinct </w:t>
      </w:r>
      <w:r w:rsidR="0086283B" w:rsidRPr="008D73A7">
        <w:t xml:space="preserve">compatibility studies for each individual application with respect to the existing </w:t>
      </w:r>
      <w:r w:rsidR="00B37972" w:rsidRPr="008D73A7">
        <w:t>r</w:t>
      </w:r>
      <w:r w:rsidR="0086283B" w:rsidRPr="008D73A7">
        <w:t xml:space="preserve">adiocommunication </w:t>
      </w:r>
      <w:r w:rsidR="00B37972" w:rsidRPr="008D73A7">
        <w:t>s</w:t>
      </w:r>
      <w:r w:rsidR="0086283B" w:rsidRPr="008D73A7">
        <w:t>ervices inside or adjacent to the requested frequency range.</w:t>
      </w:r>
    </w:p>
    <w:p w14:paraId="3FE0E656" w14:textId="76779A5D" w:rsidR="00FF33E8" w:rsidRPr="008D73A7" w:rsidRDefault="00FF33E8" w:rsidP="00406659">
      <w:pPr>
        <w:pStyle w:val="Heading3"/>
        <w:rPr>
          <w:lang w:val="en-GB"/>
        </w:rPr>
      </w:pPr>
      <w:bookmarkStart w:id="28" w:name="_Toc123634679"/>
      <w:bookmarkStart w:id="29" w:name="_Toc123634769"/>
      <w:bookmarkStart w:id="30" w:name="_Ref127539841"/>
      <w:bookmarkStart w:id="31" w:name="_Toc135806269"/>
      <w:bookmarkStart w:id="32" w:name="_Hlk86839139"/>
      <w:bookmarkEnd w:id="27"/>
      <w:r w:rsidRPr="008D73A7">
        <w:rPr>
          <w:lang w:val="en-GB"/>
        </w:rPr>
        <w:t>G</w:t>
      </w:r>
      <w:bookmarkStart w:id="33" w:name="_Hlk120628101"/>
      <w:r w:rsidRPr="008D73A7">
        <w:rPr>
          <w:lang w:val="en-GB"/>
        </w:rPr>
        <w:t>eneric indoor surveillance radar</w:t>
      </w:r>
      <w:bookmarkEnd w:id="28"/>
      <w:bookmarkEnd w:id="29"/>
      <w:bookmarkEnd w:id="30"/>
      <w:bookmarkEnd w:id="31"/>
    </w:p>
    <w:bookmarkEnd w:id="32"/>
    <w:p w14:paraId="003E091E" w14:textId="06174895" w:rsidR="0067720C" w:rsidRPr="008D73A7" w:rsidRDefault="0067720C" w:rsidP="009A0878">
      <w:pPr>
        <w:spacing w:after="120"/>
        <w:jc w:val="both"/>
        <w:rPr>
          <w:lang w:val="en-GB"/>
        </w:rPr>
      </w:pPr>
      <w:r w:rsidRPr="008D73A7">
        <w:rPr>
          <w:lang w:val="en-GB"/>
        </w:rPr>
        <w:t>Generic indoor surveillance radar is used for measuring different physical parameters like presence, distance, velocity, or material properties of a target object. The obtained information is further processed and used for automation purposes within the home and building environment (smart home). The generic indoor surveillance radar application is intended for private use and has been divided into the two subcategories hand</w:t>
      </w:r>
      <w:r w:rsidR="00B710B5" w:rsidRPr="008D73A7">
        <w:rPr>
          <w:lang w:val="en-GB"/>
        </w:rPr>
        <w:t>-</w:t>
      </w:r>
      <w:r w:rsidRPr="008D73A7">
        <w:rPr>
          <w:lang w:val="en-GB"/>
        </w:rPr>
        <w:t>held/mobile and fixed generic indoor use.</w:t>
      </w:r>
    </w:p>
    <w:p w14:paraId="088C4FCD" w14:textId="0A3AB1AC" w:rsidR="00FF33E8" w:rsidRPr="008D73A7" w:rsidRDefault="00FF33E8" w:rsidP="00406659">
      <w:pPr>
        <w:pStyle w:val="Heading3"/>
        <w:rPr>
          <w:lang w:val="en-GB"/>
        </w:rPr>
      </w:pPr>
      <w:bookmarkStart w:id="34" w:name="_Toc123634680"/>
      <w:bookmarkStart w:id="35" w:name="_Toc123634770"/>
      <w:bookmarkStart w:id="36" w:name="_Ref127539853"/>
      <w:bookmarkStart w:id="37" w:name="_Toc135806270"/>
      <w:r w:rsidRPr="008D73A7">
        <w:rPr>
          <w:lang w:val="en-GB"/>
        </w:rPr>
        <w:t>Radiodetermination systems for industry automation (RDI)</w:t>
      </w:r>
      <w:bookmarkEnd w:id="34"/>
      <w:bookmarkEnd w:id="35"/>
      <w:bookmarkEnd w:id="36"/>
      <w:bookmarkEnd w:id="37"/>
    </w:p>
    <w:p w14:paraId="0F962C52" w14:textId="5C1520E0" w:rsidR="0067720C" w:rsidRPr="008D73A7" w:rsidRDefault="0067720C" w:rsidP="00AC1609">
      <w:pPr>
        <w:pStyle w:val="ECCParagraph"/>
      </w:pPr>
      <w:r w:rsidRPr="008D73A7">
        <w:t>RDI is solely an industrial and professional application used for measuring different physical parameters like presence, distance, velocity or material properties of a target object. The obtained information is further processed and used exclusively for industrial automation purposes.</w:t>
      </w:r>
    </w:p>
    <w:p w14:paraId="3BF5CCFE" w14:textId="05F836A8" w:rsidR="00FF33E8" w:rsidRPr="008D73A7" w:rsidRDefault="00FF33E8" w:rsidP="00406659">
      <w:pPr>
        <w:pStyle w:val="Heading3"/>
        <w:rPr>
          <w:lang w:val="en-GB"/>
        </w:rPr>
      </w:pPr>
      <w:bookmarkStart w:id="38" w:name="_Toc123634681"/>
      <w:bookmarkStart w:id="39" w:name="_Toc123634771"/>
      <w:bookmarkStart w:id="40" w:name="_Ref127539866"/>
      <w:bookmarkStart w:id="41" w:name="_Toc135806271"/>
      <w:r w:rsidRPr="008D73A7">
        <w:rPr>
          <w:lang w:val="en-GB"/>
        </w:rPr>
        <w:t>Level probing radar (LPR)</w:t>
      </w:r>
      <w:bookmarkEnd w:id="38"/>
      <w:bookmarkEnd w:id="39"/>
      <w:bookmarkEnd w:id="40"/>
      <w:bookmarkEnd w:id="41"/>
    </w:p>
    <w:p w14:paraId="57008E6F" w14:textId="68E12300" w:rsidR="00E44BE5" w:rsidRPr="008D73A7" w:rsidRDefault="00E44BE5" w:rsidP="00AC1609">
      <w:pPr>
        <w:pStyle w:val="ECCParagraph"/>
      </w:pPr>
      <w:r w:rsidRPr="008D73A7">
        <w:rPr>
          <w:rFonts w:eastAsiaTheme="minorHAnsi"/>
        </w:rPr>
        <w:t>Level probing radar (LPR) is an industrial and professional application used in many industries to measure the distance to the surface of various materials and substances (mostly liquids and solids) and thus indirectly the amount of these goods in open-air areas or in tanks with non-attenuating shells (e.g. plastic tanks).</w:t>
      </w:r>
    </w:p>
    <w:p w14:paraId="5FC60DE7" w14:textId="41ECD872" w:rsidR="00FF33E8" w:rsidRPr="008D73A7" w:rsidRDefault="00FF33E8" w:rsidP="00406659">
      <w:pPr>
        <w:pStyle w:val="Heading3"/>
        <w:rPr>
          <w:lang w:val="en-GB"/>
        </w:rPr>
      </w:pPr>
      <w:bookmarkStart w:id="42" w:name="_Toc123634682"/>
      <w:bookmarkStart w:id="43" w:name="_Toc123634772"/>
      <w:bookmarkStart w:id="44" w:name="_Ref127539875"/>
      <w:bookmarkStart w:id="45" w:name="_Toc135806272"/>
      <w:r w:rsidRPr="008D73A7">
        <w:rPr>
          <w:lang w:val="en-GB"/>
        </w:rPr>
        <w:t>Contour determination and acquisition (CDR)</w:t>
      </w:r>
      <w:bookmarkEnd w:id="42"/>
      <w:bookmarkEnd w:id="43"/>
      <w:bookmarkEnd w:id="44"/>
      <w:bookmarkEnd w:id="45"/>
    </w:p>
    <w:p w14:paraId="251BACBC" w14:textId="376638B2" w:rsidR="00E44BE5" w:rsidRPr="008D73A7" w:rsidRDefault="00E44BE5" w:rsidP="00BA6500">
      <w:pPr>
        <w:pStyle w:val="ECCParagraph"/>
        <w:spacing w:before="240" w:after="60"/>
        <w:rPr>
          <w:rFonts w:eastAsiaTheme="minorHAnsi"/>
        </w:rPr>
      </w:pPr>
      <w:r w:rsidRPr="008D73A7">
        <w:rPr>
          <w:rFonts w:eastAsiaTheme="minorHAnsi"/>
        </w:rPr>
        <w:t>Contour determination and acquisition radar sensors (CDR) are the most advanced sensors in the emerging field of bulk level measurement. These sensors are equipped to gather a plurality of distance values to different points located on the surface of the bulk material. These distance values can be used to form a digital representation of the bulk material surface or contour and can consequently be used to determine the volume or mass of material available in the current measurement scenario.</w:t>
      </w:r>
    </w:p>
    <w:p w14:paraId="0C321011" w14:textId="0F3AA8B9" w:rsidR="00882CAE" w:rsidRPr="008D73A7" w:rsidRDefault="00882CAE" w:rsidP="009A0878">
      <w:pPr>
        <w:jc w:val="both"/>
        <w:rPr>
          <w:lang w:val="en-GB"/>
        </w:rPr>
      </w:pPr>
      <w:r w:rsidRPr="008D73A7">
        <w:rPr>
          <w:lang w:val="en-GB"/>
        </w:rPr>
        <w:t>CDR devices are classified in the two categories:</w:t>
      </w:r>
    </w:p>
    <w:p w14:paraId="70CB3062" w14:textId="374AAA09" w:rsidR="00882CAE" w:rsidRPr="008D73A7" w:rsidRDefault="00882CAE" w:rsidP="009A0878">
      <w:pPr>
        <w:pStyle w:val="ListParagraph"/>
        <w:numPr>
          <w:ilvl w:val="0"/>
          <w:numId w:val="34"/>
        </w:numPr>
        <w:spacing w:before="60"/>
        <w:ind w:left="357" w:hanging="357"/>
        <w:jc w:val="both"/>
        <w:rPr>
          <w:lang w:val="en-GB"/>
        </w:rPr>
      </w:pPr>
      <w:r w:rsidRPr="008D73A7">
        <w:rPr>
          <w:lang w:val="en-GB"/>
        </w:rPr>
        <w:t>mechanical- and phased-array CDR (M-</w:t>
      </w:r>
      <w:r w:rsidR="0035788B" w:rsidRPr="008D73A7">
        <w:rPr>
          <w:lang w:val="en-GB"/>
        </w:rPr>
        <w:t xml:space="preserve">CDR and </w:t>
      </w:r>
      <w:r w:rsidRPr="008D73A7">
        <w:rPr>
          <w:lang w:val="en-GB"/>
        </w:rPr>
        <w:t>PA-CDR)</w:t>
      </w:r>
      <w:r w:rsidR="009A0878" w:rsidRPr="008D73A7">
        <w:rPr>
          <w:lang w:val="en-GB"/>
        </w:rPr>
        <w:t>;</w:t>
      </w:r>
    </w:p>
    <w:p w14:paraId="70BA2457" w14:textId="1313F956" w:rsidR="00882CAE" w:rsidRPr="008D73A7" w:rsidRDefault="00882CAE" w:rsidP="009A0878">
      <w:pPr>
        <w:pStyle w:val="ListParagraph"/>
        <w:numPr>
          <w:ilvl w:val="0"/>
          <w:numId w:val="34"/>
        </w:numPr>
        <w:spacing w:before="60"/>
        <w:ind w:left="357" w:hanging="357"/>
        <w:contextualSpacing w:val="0"/>
        <w:jc w:val="both"/>
        <w:rPr>
          <w:lang w:val="en-GB"/>
        </w:rPr>
      </w:pPr>
      <w:r w:rsidRPr="008D73A7">
        <w:rPr>
          <w:lang w:val="en-GB"/>
        </w:rPr>
        <w:t>digital beamforming-CDR (DBF-CDR).</w:t>
      </w:r>
    </w:p>
    <w:p w14:paraId="49AA45BB" w14:textId="063A5D36" w:rsidR="00E67717" w:rsidRPr="008D73A7" w:rsidRDefault="00E67717" w:rsidP="009A0878">
      <w:pPr>
        <w:jc w:val="both"/>
        <w:rPr>
          <w:lang w:val="en-GB"/>
        </w:rPr>
      </w:pPr>
      <w:r w:rsidRPr="008D73A7">
        <w:rPr>
          <w:lang w:val="en-GB"/>
        </w:rPr>
        <w:t xml:space="preserve">The categorisation has been conducted based on the </w:t>
      </w:r>
      <w:r w:rsidR="00307ACD" w:rsidRPr="008D73A7">
        <w:rPr>
          <w:lang w:val="en-GB"/>
        </w:rPr>
        <w:t>acquisition</w:t>
      </w:r>
      <w:r w:rsidRPr="008D73A7">
        <w:rPr>
          <w:lang w:val="en-GB"/>
        </w:rPr>
        <w:t xml:space="preserve"> of angular direction</w:t>
      </w:r>
      <w:r w:rsidR="00307ACD" w:rsidRPr="008D73A7">
        <w:rPr>
          <w:lang w:val="en-GB"/>
        </w:rPr>
        <w:t xml:space="preserve"> information</w:t>
      </w:r>
      <w:r w:rsidRPr="008D73A7">
        <w:rPr>
          <w:lang w:val="en-GB"/>
        </w:rPr>
        <w:t xml:space="preserve"> which can be reali</w:t>
      </w:r>
      <w:r w:rsidR="00BA6500" w:rsidRPr="008D73A7">
        <w:rPr>
          <w:lang w:val="en-GB"/>
        </w:rPr>
        <w:t>s</w:t>
      </w:r>
      <w:r w:rsidRPr="008D73A7">
        <w:rPr>
          <w:lang w:val="en-GB"/>
        </w:rPr>
        <w:t>ed by mechanical tilting of a single antenna (M-CDR) and/or by electronic beam steering of multiple antenna elements forming a M</w:t>
      </w:r>
      <w:r w:rsidR="00701BDE" w:rsidRPr="008D73A7">
        <w:rPr>
          <w:lang w:val="en-GB"/>
        </w:rPr>
        <w:t>I</w:t>
      </w:r>
      <w:r w:rsidRPr="008D73A7">
        <w:rPr>
          <w:lang w:val="en-GB"/>
        </w:rPr>
        <w:t>M</w:t>
      </w:r>
      <w:r w:rsidR="00701BDE" w:rsidRPr="008D73A7">
        <w:rPr>
          <w:lang w:val="en-GB"/>
        </w:rPr>
        <w:t>O</w:t>
      </w:r>
      <w:r w:rsidRPr="008D73A7">
        <w:rPr>
          <w:lang w:val="en-GB"/>
        </w:rPr>
        <w:t xml:space="preserve"> (multiple in</w:t>
      </w:r>
      <w:r w:rsidR="00AB76EE">
        <w:rPr>
          <w:lang w:val="en-GB"/>
        </w:rPr>
        <w:t>put</w:t>
      </w:r>
      <w:r w:rsidRPr="008D73A7">
        <w:rPr>
          <w:lang w:val="en-GB"/>
        </w:rPr>
        <w:t xml:space="preserve"> </w:t>
      </w:r>
      <w:r w:rsidR="006F38B0" w:rsidRPr="008D73A7">
        <w:rPr>
          <w:lang w:val="en-GB"/>
        </w:rPr>
        <w:t>multiple</w:t>
      </w:r>
      <w:r w:rsidRPr="008D73A7">
        <w:rPr>
          <w:lang w:val="en-GB"/>
        </w:rPr>
        <w:t xml:space="preserve"> out</w:t>
      </w:r>
      <w:r w:rsidR="00AB76EE">
        <w:rPr>
          <w:lang w:val="en-GB"/>
        </w:rPr>
        <w:t>put</w:t>
      </w:r>
      <w:r w:rsidRPr="008D73A7">
        <w:rPr>
          <w:lang w:val="en-GB"/>
        </w:rPr>
        <w:t xml:space="preserve">) antenna. In case of electronic beam steering, time multiplexed operation of the multiple </w:t>
      </w:r>
      <w:proofErr w:type="gramStart"/>
      <w:r w:rsidRPr="008D73A7">
        <w:rPr>
          <w:lang w:val="en-GB"/>
        </w:rPr>
        <w:t>transmit</w:t>
      </w:r>
      <w:proofErr w:type="gramEnd"/>
      <w:r w:rsidRPr="008D73A7">
        <w:rPr>
          <w:lang w:val="en-GB"/>
        </w:rPr>
        <w:t xml:space="preserve"> antenna elements (DBF-CDR) </w:t>
      </w:r>
      <w:r w:rsidR="00307ACD" w:rsidRPr="008D73A7">
        <w:rPr>
          <w:lang w:val="en-GB"/>
        </w:rPr>
        <w:t>as well as</w:t>
      </w:r>
      <w:r w:rsidRPr="008D73A7">
        <w:rPr>
          <w:lang w:val="en-GB"/>
        </w:rPr>
        <w:t xml:space="preserve"> parallel operation of the transmit antenna elements (PA-CDR) will be feasible.</w:t>
      </w:r>
    </w:p>
    <w:p w14:paraId="4C104AC2" w14:textId="22387042" w:rsidR="00FF33E8" w:rsidRPr="008D73A7" w:rsidRDefault="00FF33E8" w:rsidP="00406659">
      <w:pPr>
        <w:pStyle w:val="Heading3"/>
        <w:rPr>
          <w:lang w:val="en-GB"/>
        </w:rPr>
      </w:pPr>
      <w:bookmarkStart w:id="46" w:name="_Toc123634683"/>
      <w:bookmarkStart w:id="47" w:name="_Toc123634773"/>
      <w:bookmarkStart w:id="48" w:name="_Ref127539887"/>
      <w:bookmarkStart w:id="49" w:name="_Toc135806273"/>
      <w:r w:rsidRPr="008D73A7">
        <w:rPr>
          <w:lang w:val="en-GB"/>
        </w:rPr>
        <w:t>Tank level probing radar (TLPR)</w:t>
      </w:r>
      <w:bookmarkEnd w:id="46"/>
      <w:bookmarkEnd w:id="47"/>
      <w:bookmarkEnd w:id="48"/>
      <w:bookmarkEnd w:id="49"/>
    </w:p>
    <w:p w14:paraId="501D483F" w14:textId="7ECC0441" w:rsidR="00592EEB" w:rsidRPr="008D73A7" w:rsidRDefault="00592EEB" w:rsidP="00BA6500">
      <w:pPr>
        <w:pStyle w:val="ECCParagraph"/>
        <w:spacing w:before="240" w:after="60"/>
        <w:rPr>
          <w:rFonts w:eastAsiaTheme="minorHAnsi"/>
        </w:rPr>
      </w:pPr>
      <w:r w:rsidRPr="008D73A7">
        <w:rPr>
          <w:rFonts w:eastAsiaTheme="minorHAnsi"/>
        </w:rPr>
        <w:t>Tank level probing radar (TLPR) is an industrial and professional application used in many different industries to determine the amount of a substance (mostly liquids and solids) inside shielded tanks or containers</w:t>
      </w:r>
      <w:r w:rsidR="00A00FF6" w:rsidRPr="008D73A7">
        <w:rPr>
          <w:rFonts w:eastAsiaTheme="minorHAnsi"/>
        </w:rPr>
        <w:t xml:space="preserve"> by means of a distance measurement</w:t>
      </w:r>
      <w:r w:rsidRPr="008D73A7">
        <w:rPr>
          <w:rFonts w:eastAsiaTheme="minorHAnsi"/>
        </w:rPr>
        <w:t>.</w:t>
      </w:r>
    </w:p>
    <w:p w14:paraId="2810C746" w14:textId="73229E69" w:rsidR="00FF33E8" w:rsidRPr="008D73A7" w:rsidRDefault="00FF33E8" w:rsidP="00406659">
      <w:pPr>
        <w:pStyle w:val="Heading3"/>
        <w:rPr>
          <w:lang w:val="en-GB"/>
        </w:rPr>
      </w:pPr>
      <w:bookmarkStart w:id="50" w:name="_Toc123634684"/>
      <w:bookmarkStart w:id="51" w:name="_Toc123634774"/>
      <w:bookmarkStart w:id="52" w:name="_Ref127539904"/>
      <w:bookmarkStart w:id="53" w:name="_Toc135806274"/>
      <w:r w:rsidRPr="008D73A7">
        <w:rPr>
          <w:lang w:val="en-GB"/>
        </w:rPr>
        <w:t>Radiodetermination systems for industry automation in shielded environments (RDI-S)</w:t>
      </w:r>
      <w:bookmarkEnd w:id="50"/>
      <w:bookmarkEnd w:id="51"/>
      <w:bookmarkEnd w:id="52"/>
      <w:bookmarkEnd w:id="53"/>
    </w:p>
    <w:p w14:paraId="55336946" w14:textId="77777777" w:rsidR="00367690" w:rsidRPr="008D73A7" w:rsidRDefault="002F0C29" w:rsidP="00433A36">
      <w:pPr>
        <w:jc w:val="both"/>
        <w:rPr>
          <w:rFonts w:eastAsiaTheme="minorHAnsi"/>
          <w:lang w:val="en-GB"/>
        </w:rPr>
      </w:pPr>
      <w:r w:rsidRPr="008D73A7">
        <w:rPr>
          <w:rFonts w:eastAsiaTheme="minorHAnsi"/>
          <w:lang w:val="en-GB"/>
        </w:rPr>
        <w:t xml:space="preserve">Radiodetermination devices for industry automation to be used indoors or in similarly shielded environments are potentially used in many different industries. All RDI-S sensors have in common that they are used to sense unique frequency dependent features in the wideband frequency response of target objects. One </w:t>
      </w:r>
      <w:r w:rsidRPr="008D73A7">
        <w:rPr>
          <w:rFonts w:eastAsiaTheme="minorHAnsi"/>
          <w:lang w:val="en-GB"/>
        </w:rPr>
        <w:lastRenderedPageBreak/>
        <w:t>category are RDI-S systems for plastic extrusion thickness measurement. Covering a wide contiguous frequency bandwidth allows RDI-S applications to achieve a superior range resolution and measurement precision. The operation of RDI-S sensors is envisaged for industrial purposes only.</w:t>
      </w:r>
    </w:p>
    <w:p w14:paraId="39B80613" w14:textId="4E923115" w:rsidR="00C33FA8" w:rsidRPr="008D73A7" w:rsidRDefault="004D2EDB" w:rsidP="00406659">
      <w:pPr>
        <w:pStyle w:val="Heading3"/>
        <w:rPr>
          <w:lang w:val="en-GB"/>
        </w:rPr>
      </w:pPr>
      <w:bookmarkStart w:id="54" w:name="_Ref134120275"/>
      <w:bookmarkStart w:id="55" w:name="_Toc135806275"/>
      <w:r w:rsidRPr="008D73A7">
        <w:rPr>
          <w:lang w:val="en-GB"/>
        </w:rPr>
        <w:t>Exterior vehicular radar (EVR)</w:t>
      </w:r>
      <w:bookmarkEnd w:id="54"/>
      <w:bookmarkEnd w:id="55"/>
    </w:p>
    <w:p w14:paraId="54E46300" w14:textId="77777777" w:rsidR="004940F0" w:rsidRPr="008D73A7" w:rsidRDefault="004940F0" w:rsidP="001F5773">
      <w:pPr>
        <w:jc w:val="both"/>
        <w:rPr>
          <w:lang w:val="en-GB"/>
        </w:rPr>
      </w:pPr>
      <w:r w:rsidRPr="008D73A7">
        <w:rPr>
          <w:lang w:val="en-GB"/>
        </w:rPr>
        <w:t xml:space="preserve">To perform different functionalities for driving assistance, cars are equipped with different types of radars that are integrated in specific positions onboard the vehicle. </w:t>
      </w:r>
    </w:p>
    <w:p w14:paraId="7E4E33E8" w14:textId="0583D520" w:rsidR="004940F0" w:rsidRPr="008D73A7" w:rsidRDefault="004940F0" w:rsidP="001F5773">
      <w:pPr>
        <w:jc w:val="both"/>
        <w:rPr>
          <w:lang w:val="en-GB"/>
        </w:rPr>
      </w:pPr>
      <w:r w:rsidRPr="008D73A7">
        <w:rPr>
          <w:lang w:val="en-GB"/>
        </w:rPr>
        <w:t>Front and corner radars are used for driving assistance applications requiring long and medium range such as automatic cruise control, lane keep, lane change assist, automatic emergency braking, etc.</w:t>
      </w:r>
    </w:p>
    <w:p w14:paraId="56443437" w14:textId="0D5DA549" w:rsidR="004940F0" w:rsidRPr="008D73A7" w:rsidRDefault="004940F0" w:rsidP="001F5773">
      <w:pPr>
        <w:jc w:val="both"/>
        <w:rPr>
          <w:lang w:val="en-GB"/>
        </w:rPr>
      </w:pPr>
      <w:r w:rsidRPr="008D73A7">
        <w:rPr>
          <w:lang w:val="en-GB"/>
        </w:rPr>
        <w:t xml:space="preserve">On the other hand, applications providing the vehicle with higher degree of autonomy require short and ultra-short-range radars for front, side and rear-view, such that 360° sensing is enabled. Those radars allow to obtain a wide field of view (elevation and azimuth) in the close proximity of the vehicle and enables features like automated parking assistance or autonomous valet parking. To perform such features, the </w:t>
      </w:r>
      <w:r w:rsidR="00D36CBA" w:rsidRPr="008D73A7">
        <w:rPr>
          <w:lang w:val="en-GB"/>
        </w:rPr>
        <w:t>short-range</w:t>
      </w:r>
      <w:r w:rsidRPr="008D73A7">
        <w:rPr>
          <w:lang w:val="en-GB"/>
        </w:rPr>
        <w:t xml:space="preserve"> detection radars should be capable to detect a wide range of objects different in nature to those traditionally detected for driving assistance radars (pedestrian, bicycles, vehicles, </w:t>
      </w:r>
      <w:r w:rsidR="00AC5B15" w:rsidRPr="008D73A7">
        <w:rPr>
          <w:lang w:val="en-GB"/>
        </w:rPr>
        <w:t>etc.</w:t>
      </w:r>
      <w:r w:rsidRPr="008D73A7">
        <w:rPr>
          <w:lang w:val="en-GB"/>
        </w:rPr>
        <w:t>).</w:t>
      </w:r>
    </w:p>
    <w:p w14:paraId="258098A9" w14:textId="091BC7C9" w:rsidR="00C41263" w:rsidRPr="008D73A7" w:rsidRDefault="00C41263" w:rsidP="00406659">
      <w:pPr>
        <w:pStyle w:val="Heading3"/>
        <w:rPr>
          <w:iCs/>
          <w:lang w:val="en-GB"/>
        </w:rPr>
      </w:pPr>
      <w:bookmarkStart w:id="56" w:name="_Ref134120282"/>
      <w:bookmarkStart w:id="57" w:name="_Toc135806276"/>
      <w:r w:rsidRPr="008D73A7">
        <w:rPr>
          <w:lang w:val="en-GB"/>
        </w:rPr>
        <w:t>In-cabin vehicular radar</w:t>
      </w:r>
      <w:r w:rsidR="00C33FA8" w:rsidRPr="008D73A7">
        <w:rPr>
          <w:lang w:val="en-GB"/>
        </w:rPr>
        <w:t xml:space="preserve"> (IVR)</w:t>
      </w:r>
      <w:bookmarkEnd w:id="56"/>
      <w:bookmarkEnd w:id="57"/>
    </w:p>
    <w:p w14:paraId="53340BAE" w14:textId="071C8883" w:rsidR="00897B3A" w:rsidRPr="008D73A7" w:rsidRDefault="001A43F1" w:rsidP="001F5773">
      <w:pPr>
        <w:jc w:val="both"/>
        <w:rPr>
          <w:iCs/>
          <w:lang w:val="en-GB"/>
        </w:rPr>
      </w:pPr>
      <w:r w:rsidRPr="008D73A7">
        <w:rPr>
          <w:rFonts w:eastAsiaTheme="minorHAnsi"/>
          <w:lang w:val="en-GB"/>
        </w:rPr>
        <w:t>In-cabin applications include contactless gesture control, presence detection (including baby/child detection) and vital sign monitoring such as respiration rate, heart rate and heart rate variation. The use of higher frequency ranges further reduces the risk of interference with other automotive radars (e.g. 77 GHz or 79 GHz radars) or wireless communication devices using the 60 GHz band. With the increasing miniaturisation, angular resolution offers the possibility to discriminate between multiple seats inside a car with a single radar sensor with beamforming or MIMO capability.</w:t>
      </w:r>
    </w:p>
    <w:p w14:paraId="26C0CC7A" w14:textId="6C341989" w:rsidR="009242EF" w:rsidRPr="008D73A7" w:rsidRDefault="00C074CC" w:rsidP="004D2EDB">
      <w:pPr>
        <w:rPr>
          <w:rFonts w:eastAsiaTheme="minorHAnsi"/>
          <w:lang w:val="en-GB"/>
        </w:rPr>
      </w:pPr>
      <w:r w:rsidRPr="008D73A7">
        <w:rPr>
          <w:rFonts w:eastAsiaTheme="minorHAnsi"/>
          <w:lang w:val="en-GB"/>
        </w:rPr>
        <w:t>P</w:t>
      </w:r>
      <w:r w:rsidR="009242EF" w:rsidRPr="008D73A7">
        <w:rPr>
          <w:rFonts w:eastAsiaTheme="minorHAnsi"/>
          <w:lang w:val="en-GB"/>
        </w:rPr>
        <w:t>lanned common use cases</w:t>
      </w:r>
      <w:r w:rsidRPr="008D73A7">
        <w:rPr>
          <w:rFonts w:eastAsiaTheme="minorHAnsi"/>
          <w:lang w:val="en-GB"/>
        </w:rPr>
        <w:t xml:space="preserve"> include</w:t>
      </w:r>
      <w:r w:rsidR="00AC5B15" w:rsidRPr="008D73A7">
        <w:rPr>
          <w:rFonts w:eastAsiaTheme="minorHAnsi"/>
          <w:lang w:val="en-GB"/>
        </w:rPr>
        <w:t>:</w:t>
      </w:r>
    </w:p>
    <w:p w14:paraId="4D713864" w14:textId="77777777" w:rsidR="009242EF" w:rsidRPr="008D73A7" w:rsidRDefault="009242EF" w:rsidP="00284AE9">
      <w:pPr>
        <w:pStyle w:val="ECCBulletsLv1"/>
        <w:ind w:left="340" w:hanging="340"/>
      </w:pPr>
      <w:r w:rsidRPr="008D73A7">
        <w:t>Gesture detection/proximity detection: for example, a fine finger motion for manipulating controls/settings;</w:t>
      </w:r>
    </w:p>
    <w:p w14:paraId="0B8D2687" w14:textId="77777777" w:rsidR="009242EF" w:rsidRPr="008D73A7" w:rsidRDefault="009242EF" w:rsidP="00284AE9">
      <w:pPr>
        <w:pStyle w:val="ECCBulletsLv1"/>
        <w:ind w:left="340" w:hanging="340"/>
      </w:pPr>
      <w:r w:rsidRPr="008D73A7">
        <w:t>Passenger presence and seating location detection: for example, assessing occupancy at one or more seats, which can be in a vehicle or in a room. Such functions are often meant to classify the occupancy, e.g. distinguishing between a bag and a person on a seat, thus requiring accurate scene information. Distinguishing between multiple occupants can be done with digital beam forming;</w:t>
      </w:r>
    </w:p>
    <w:p w14:paraId="410BC67C" w14:textId="78770002" w:rsidR="009242EF" w:rsidRPr="008D73A7" w:rsidRDefault="009242EF" w:rsidP="00284AE9">
      <w:pPr>
        <w:pStyle w:val="ECCBulletsLv1"/>
        <w:ind w:left="340" w:hanging="340"/>
      </w:pPr>
      <w:r w:rsidRPr="008D73A7">
        <w:t xml:space="preserve">Forgotten occupant detection: for example, the presence of vital signs is detected by evaluating micro-motion caused by a heartbeat and/or breathing. This use-case </w:t>
      </w:r>
      <w:r w:rsidR="00932393" w:rsidRPr="008D73A7">
        <w:t>also includes</w:t>
      </w:r>
      <w:r w:rsidRPr="008D73A7">
        <w:t xml:space="preserve"> child presence detection, a human safety related feature, which is going to be awarded by the European New Car Assessment Programme (Euro NCAP) from 2023. The main function is to detect babies and small children left behind in a vehicle and to prevent harm or the possible death from heat stroke;</w:t>
      </w:r>
    </w:p>
    <w:p w14:paraId="7BCA5AC9" w14:textId="77777777" w:rsidR="009242EF" w:rsidRPr="008D73A7" w:rsidRDefault="009242EF" w:rsidP="00284AE9">
      <w:pPr>
        <w:pStyle w:val="ECCBulletsLv1"/>
        <w:ind w:left="340" w:hanging="340"/>
      </w:pPr>
      <w:r w:rsidRPr="008D73A7">
        <w:t>Occupant posture detection: for example, assessing the contour of the body to determine upper body location, e.g. in support of vehicle safety systems deployment;</w:t>
      </w:r>
    </w:p>
    <w:p w14:paraId="1D09C5C3" w14:textId="79B5DF7E" w:rsidR="009242EF" w:rsidRPr="008D73A7" w:rsidRDefault="009242EF" w:rsidP="00284AE9">
      <w:pPr>
        <w:pStyle w:val="ECCBulletsLv1"/>
        <w:ind w:left="340" w:hanging="340"/>
      </w:pPr>
      <w:r w:rsidRPr="008D73A7">
        <w:t>Upper body/head position and tracking: for example, for detection of driver attentiveness of occupant’s vital sign tracking (heartbeat/breathing): for example, assessment of the physical well-being e.g. inside a vehicle</w:t>
      </w:r>
      <w:r w:rsidR="003015CC">
        <w:t xml:space="preserve"> </w:t>
      </w:r>
      <w:r w:rsidRPr="008D73A7">
        <w:t>of a person (or persons) in the scene. The presence and evolution of life signs is detected by assessing micro-motion caused by a heartbeat and/or breathing;</w:t>
      </w:r>
    </w:p>
    <w:p w14:paraId="4F09FFD8" w14:textId="1AF47D51" w:rsidR="009242EF" w:rsidRPr="008D73A7" w:rsidRDefault="009242EF" w:rsidP="00284AE9">
      <w:pPr>
        <w:pStyle w:val="ECCBulletsLv1"/>
        <w:ind w:left="340" w:hanging="340"/>
      </w:pPr>
      <w:r w:rsidRPr="008D73A7">
        <w:rPr>
          <w:rFonts w:eastAsiaTheme="minorHAnsi"/>
        </w:rPr>
        <w:t>Intrusion detection system.</w:t>
      </w:r>
    </w:p>
    <w:p w14:paraId="16FE6A2F" w14:textId="77777777" w:rsidR="00C41263" w:rsidRPr="008D73A7" w:rsidRDefault="00C41263" w:rsidP="00433A36">
      <w:pPr>
        <w:jc w:val="both"/>
        <w:rPr>
          <w:rFonts w:eastAsiaTheme="minorHAnsi"/>
          <w:lang w:val="en-GB"/>
        </w:rPr>
      </w:pPr>
    </w:p>
    <w:p w14:paraId="69ECD567" w14:textId="2C7FE385" w:rsidR="00694EDA" w:rsidRPr="008D73A7" w:rsidRDefault="00694EDA" w:rsidP="00415C19">
      <w:pPr>
        <w:pStyle w:val="Heading1"/>
      </w:pPr>
      <w:bookmarkStart w:id="58" w:name="_Toc123634685"/>
      <w:bookmarkStart w:id="59" w:name="_Toc123634775"/>
      <w:bookmarkStart w:id="60" w:name="_Toc135806277"/>
      <w:bookmarkStart w:id="61" w:name="_Toc153443764"/>
      <w:bookmarkEnd w:id="33"/>
      <w:r w:rsidRPr="008D73A7">
        <w:lastRenderedPageBreak/>
        <w:t>Review of coexistence issues</w:t>
      </w:r>
      <w:bookmarkEnd w:id="58"/>
      <w:bookmarkEnd w:id="59"/>
      <w:bookmarkEnd w:id="60"/>
      <w:bookmarkEnd w:id="61"/>
    </w:p>
    <w:p w14:paraId="3AE1AA9D" w14:textId="7CD3F980" w:rsidR="000902F6" w:rsidRPr="008D73A7" w:rsidRDefault="009539AD" w:rsidP="00A55704">
      <w:pPr>
        <w:pStyle w:val="Heading2"/>
        <w:rPr>
          <w:lang w:val="en-GB"/>
        </w:rPr>
      </w:pPr>
      <w:bookmarkStart w:id="62" w:name="_Toc123634686"/>
      <w:bookmarkStart w:id="63" w:name="_Toc123634776"/>
      <w:bookmarkStart w:id="64" w:name="_Toc135806278"/>
      <w:bookmarkStart w:id="65" w:name="_Toc153443765"/>
      <w:r w:rsidRPr="008D73A7">
        <w:rPr>
          <w:lang w:val="en-GB"/>
        </w:rPr>
        <w:t>Overview</w:t>
      </w:r>
      <w:bookmarkEnd w:id="62"/>
      <w:bookmarkEnd w:id="63"/>
      <w:bookmarkEnd w:id="64"/>
      <w:bookmarkEnd w:id="65"/>
    </w:p>
    <w:p w14:paraId="7F9B30F1" w14:textId="139194E7" w:rsidR="009539AD" w:rsidRPr="008D73A7" w:rsidRDefault="009539AD" w:rsidP="006C3462">
      <w:pPr>
        <w:jc w:val="both"/>
        <w:rPr>
          <w:lang w:val="en-GB"/>
        </w:rPr>
      </w:pPr>
      <w:bookmarkStart w:id="66" w:name="_Hlk120628846"/>
      <w:r w:rsidRPr="008D73A7">
        <w:rPr>
          <w:lang w:val="en-GB"/>
        </w:rPr>
        <w:t xml:space="preserve">The concept, the technical properties and deployment characteristics of the related applications listed in section </w:t>
      </w:r>
      <w:r w:rsidR="00A0240B" w:rsidRPr="008D73A7">
        <w:rPr>
          <w:highlight w:val="yellow"/>
          <w:lang w:val="en-GB"/>
        </w:rPr>
        <w:fldChar w:fldCharType="begin"/>
      </w:r>
      <w:r w:rsidR="00A0240B" w:rsidRPr="008D73A7">
        <w:rPr>
          <w:lang w:val="en-GB"/>
        </w:rPr>
        <w:instrText xml:space="preserve"> REF _Ref91958529 \r \h </w:instrText>
      </w:r>
      <w:r w:rsidR="00AC1609" w:rsidRPr="008D73A7">
        <w:rPr>
          <w:highlight w:val="yellow"/>
          <w:lang w:val="en-GB"/>
        </w:rPr>
        <w:instrText xml:space="preserve"> \* MERGEFORMAT </w:instrText>
      </w:r>
      <w:r w:rsidR="00A0240B" w:rsidRPr="008D73A7">
        <w:rPr>
          <w:highlight w:val="yellow"/>
          <w:lang w:val="en-GB"/>
        </w:rPr>
      </w:r>
      <w:r w:rsidR="00A0240B" w:rsidRPr="008D73A7">
        <w:rPr>
          <w:highlight w:val="yellow"/>
          <w:lang w:val="en-GB"/>
        </w:rPr>
        <w:fldChar w:fldCharType="separate"/>
      </w:r>
      <w:r w:rsidR="00113216" w:rsidRPr="008D73A7">
        <w:rPr>
          <w:lang w:val="en-GB"/>
        </w:rPr>
        <w:t>2.2</w:t>
      </w:r>
      <w:r w:rsidR="00A0240B" w:rsidRPr="008D73A7">
        <w:rPr>
          <w:highlight w:val="yellow"/>
          <w:lang w:val="en-GB"/>
        </w:rPr>
        <w:fldChar w:fldCharType="end"/>
      </w:r>
      <w:r w:rsidRPr="008D73A7">
        <w:rPr>
          <w:lang w:val="en-GB"/>
        </w:rPr>
        <w:t xml:space="preserve"> were communicated to CEPT with appropriate request for authorisation of use of spectrum in ETSI TR 103 498</w:t>
      </w:r>
      <w:r w:rsidRPr="008D73A7">
        <w:rPr>
          <w:rFonts w:eastAsiaTheme="minorHAnsi"/>
          <w:lang w:val="en-GB"/>
        </w:rPr>
        <w:t xml:space="preserve"> </w:t>
      </w:r>
      <w:r w:rsidRPr="008D73A7">
        <w:rPr>
          <w:lang w:val="en-GB"/>
        </w:rPr>
        <w:fldChar w:fldCharType="begin"/>
      </w:r>
      <w:r w:rsidRPr="008D73A7">
        <w:rPr>
          <w:lang w:val="en-GB"/>
        </w:rPr>
        <w:instrText xml:space="preserve"> REF  ETSI_TR_103_498 \h \n  \* MERGEFORMAT </w:instrText>
      </w:r>
      <w:r w:rsidRPr="008D73A7">
        <w:rPr>
          <w:lang w:val="en-GB"/>
        </w:rPr>
      </w:r>
      <w:r w:rsidRPr="008D73A7">
        <w:rPr>
          <w:lang w:val="en-GB"/>
        </w:rPr>
        <w:fldChar w:fldCharType="separate"/>
      </w:r>
      <w:r w:rsidR="00113216" w:rsidRPr="008D73A7">
        <w:rPr>
          <w:lang w:val="en-GB"/>
        </w:rPr>
        <w:t>[3]</w:t>
      </w:r>
      <w:r w:rsidRPr="008D73A7">
        <w:rPr>
          <w:lang w:val="en-GB"/>
        </w:rPr>
        <w:fldChar w:fldCharType="end"/>
      </w:r>
      <w:r w:rsidRPr="008D73A7">
        <w:rPr>
          <w:rFonts w:eastAsiaTheme="minorHAnsi"/>
          <w:lang w:val="en-GB"/>
        </w:rPr>
        <w:t xml:space="preserve">. </w:t>
      </w:r>
      <w:r w:rsidRPr="008D73A7">
        <w:rPr>
          <w:lang w:val="en-GB"/>
        </w:rPr>
        <w:t xml:space="preserve">For these applications, different candidate frequency bands in the frequency range from 116 GHz up to 260 GHz have been </w:t>
      </w:r>
      <w:r w:rsidR="00176AFD" w:rsidRPr="008D73A7">
        <w:rPr>
          <w:lang w:val="en-GB"/>
        </w:rPr>
        <w:t>identified</w:t>
      </w:r>
      <w:r w:rsidRPr="008D73A7">
        <w:rPr>
          <w:lang w:val="en-GB"/>
        </w:rPr>
        <w:t xml:space="preserve"> (see ECC Report 334</w:t>
      </w:r>
      <w:r w:rsidR="00690D5D" w:rsidRPr="008D73A7">
        <w:rPr>
          <w:lang w:val="en-GB"/>
        </w:rPr>
        <w:t>,</w:t>
      </w:r>
      <w:r w:rsidRPr="008D73A7">
        <w:rPr>
          <w:lang w:val="en-GB"/>
        </w:rPr>
        <w:t xml:space="preserve"> section 2.2 and section 3.1</w:t>
      </w:r>
      <w:r w:rsidR="00690D5D" w:rsidRPr="008D73A7">
        <w:rPr>
          <w:lang w:val="en-GB"/>
        </w:rPr>
        <w:t xml:space="preserve"> </w:t>
      </w:r>
      <w:r w:rsidR="00690D5D" w:rsidRPr="008D73A7">
        <w:rPr>
          <w:lang w:val="en-GB"/>
        </w:rPr>
        <w:fldChar w:fldCharType="begin"/>
      </w:r>
      <w:r w:rsidR="00690D5D" w:rsidRPr="008D73A7">
        <w:rPr>
          <w:lang w:val="en-GB"/>
        </w:rPr>
        <w:instrText xml:space="preserve"> REF  ECC_Report_334 \h \n  \* MERGEFORMAT </w:instrText>
      </w:r>
      <w:r w:rsidR="00690D5D" w:rsidRPr="008D73A7">
        <w:rPr>
          <w:lang w:val="en-GB"/>
        </w:rPr>
      </w:r>
      <w:r w:rsidR="00690D5D" w:rsidRPr="008D73A7">
        <w:rPr>
          <w:lang w:val="en-GB"/>
        </w:rPr>
        <w:fldChar w:fldCharType="separate"/>
      </w:r>
      <w:r w:rsidR="00113216" w:rsidRPr="008D73A7">
        <w:rPr>
          <w:lang w:val="en-GB"/>
        </w:rPr>
        <w:t>[1]</w:t>
      </w:r>
      <w:r w:rsidR="00690D5D" w:rsidRPr="008D73A7">
        <w:rPr>
          <w:lang w:val="en-GB"/>
        </w:rPr>
        <w:fldChar w:fldCharType="end"/>
      </w:r>
      <w:r w:rsidR="00CF4DCD" w:rsidRPr="008D73A7">
        <w:rPr>
          <w:lang w:val="en-GB"/>
        </w:rPr>
        <w:t xml:space="preserve"> and ECC Report 351</w:t>
      </w:r>
      <w:r w:rsidR="007B3A8F" w:rsidRPr="008D73A7">
        <w:rPr>
          <w:lang w:val="en-GB"/>
        </w:rPr>
        <w:t>, section</w:t>
      </w:r>
      <w:r w:rsidR="00930DAF" w:rsidRPr="008D73A7">
        <w:rPr>
          <w:lang w:val="en-GB"/>
        </w:rPr>
        <w:t xml:space="preserve"> 2.1.2 and </w:t>
      </w:r>
      <w:r w:rsidR="003807A7" w:rsidRPr="008D73A7">
        <w:rPr>
          <w:lang w:val="en-GB"/>
        </w:rPr>
        <w:t xml:space="preserve">section </w:t>
      </w:r>
      <w:r w:rsidR="00930DAF" w:rsidRPr="008D73A7">
        <w:rPr>
          <w:lang w:val="en-GB"/>
        </w:rPr>
        <w:t>2.2.2</w:t>
      </w:r>
      <w:r w:rsidR="003F2F9A" w:rsidRPr="008D73A7">
        <w:rPr>
          <w:lang w:val="en-GB"/>
        </w:rPr>
        <w:t xml:space="preserve"> </w:t>
      </w:r>
      <w:r w:rsidR="003F2F9A" w:rsidRPr="008D73A7">
        <w:rPr>
          <w:lang w:val="en-GB"/>
        </w:rPr>
        <w:fldChar w:fldCharType="begin"/>
      </w:r>
      <w:r w:rsidR="003F2F9A" w:rsidRPr="008D73A7">
        <w:rPr>
          <w:lang w:val="en-GB"/>
        </w:rPr>
        <w:instrText xml:space="preserve"> REF _Ref133412098 \r \h </w:instrText>
      </w:r>
      <w:r w:rsidR="003F2F9A" w:rsidRPr="008D73A7">
        <w:rPr>
          <w:lang w:val="en-GB"/>
        </w:rPr>
      </w:r>
      <w:r w:rsidR="003F2F9A" w:rsidRPr="008D73A7">
        <w:rPr>
          <w:lang w:val="en-GB"/>
        </w:rPr>
        <w:fldChar w:fldCharType="separate"/>
      </w:r>
      <w:r w:rsidR="003F2F9A" w:rsidRPr="008D73A7">
        <w:rPr>
          <w:lang w:val="en-GB"/>
        </w:rPr>
        <w:t>[2]</w:t>
      </w:r>
      <w:r w:rsidR="003F2F9A" w:rsidRPr="008D73A7">
        <w:rPr>
          <w:lang w:val="en-GB"/>
        </w:rPr>
        <w:fldChar w:fldCharType="end"/>
      </w:r>
      <w:r w:rsidRPr="008D73A7">
        <w:rPr>
          <w:lang w:val="en-GB"/>
        </w:rPr>
        <w:t>) and investigated in MCL-based deterministic analyses.</w:t>
      </w:r>
    </w:p>
    <w:p w14:paraId="7FB1970A" w14:textId="0489F3E3" w:rsidR="009539AD" w:rsidRPr="008D73A7" w:rsidRDefault="009539AD" w:rsidP="006C3462">
      <w:pPr>
        <w:jc w:val="both"/>
        <w:rPr>
          <w:lang w:val="en-GB"/>
        </w:rPr>
      </w:pPr>
      <w:r w:rsidRPr="008D73A7">
        <w:rPr>
          <w:lang w:val="en-GB"/>
        </w:rPr>
        <w:t>It should be noted that the analyses in ECC Report</w:t>
      </w:r>
      <w:r w:rsidR="00941F97" w:rsidRPr="008D73A7">
        <w:rPr>
          <w:lang w:val="en-GB"/>
        </w:rPr>
        <w:t xml:space="preserve"> </w:t>
      </w:r>
      <w:r w:rsidRPr="008D73A7">
        <w:rPr>
          <w:lang w:val="en-GB"/>
        </w:rPr>
        <w:t xml:space="preserve">334 </w:t>
      </w:r>
      <w:r w:rsidR="00DC20FC" w:rsidRPr="008D73A7">
        <w:rPr>
          <w:lang w:val="en-GB"/>
        </w:rPr>
        <w:t xml:space="preserve">and </w:t>
      </w:r>
      <w:r w:rsidR="00104156" w:rsidRPr="008D73A7">
        <w:rPr>
          <w:lang w:val="en-GB"/>
        </w:rPr>
        <w:t xml:space="preserve">ECC Report </w:t>
      </w:r>
      <w:r w:rsidR="00DC20FC" w:rsidRPr="008D73A7">
        <w:rPr>
          <w:lang w:val="en-GB"/>
        </w:rPr>
        <w:t xml:space="preserve">351 </w:t>
      </w:r>
      <w:r w:rsidRPr="008D73A7">
        <w:rPr>
          <w:lang w:val="en-GB"/>
        </w:rPr>
        <w:t xml:space="preserve">do not cover </w:t>
      </w:r>
      <w:r w:rsidRPr="008D73A7">
        <w:rPr>
          <w:rFonts w:eastAsiaTheme="minorHAnsi"/>
          <w:lang w:val="en-GB"/>
        </w:rPr>
        <w:t>generic</w:t>
      </w:r>
      <w:r w:rsidR="003F5B33" w:rsidRPr="008D73A7">
        <w:rPr>
          <w:rFonts w:eastAsiaTheme="minorHAnsi"/>
          <w:lang w:val="en-GB"/>
        </w:rPr>
        <w:t xml:space="preserve"> </w:t>
      </w:r>
      <w:r w:rsidR="001D6B15" w:rsidRPr="008D73A7">
        <w:rPr>
          <w:rFonts w:eastAsiaTheme="minorHAnsi"/>
          <w:lang w:val="en-GB"/>
        </w:rPr>
        <w:t>Extremely High Frequency</w:t>
      </w:r>
      <w:r w:rsidRPr="008D73A7">
        <w:rPr>
          <w:rFonts w:eastAsiaTheme="minorHAnsi"/>
          <w:lang w:val="en-GB"/>
        </w:rPr>
        <w:t xml:space="preserve"> </w:t>
      </w:r>
      <w:r w:rsidR="001D6B15" w:rsidRPr="008D73A7">
        <w:rPr>
          <w:rFonts w:eastAsiaTheme="minorHAnsi"/>
          <w:lang w:val="en-GB"/>
        </w:rPr>
        <w:t>(</w:t>
      </w:r>
      <w:r w:rsidRPr="008D73A7">
        <w:rPr>
          <w:rFonts w:eastAsiaTheme="minorHAnsi"/>
          <w:lang w:val="en-GB"/>
        </w:rPr>
        <w:t>EHF</w:t>
      </w:r>
      <w:r w:rsidR="001D6B15" w:rsidRPr="008D73A7">
        <w:rPr>
          <w:rFonts w:eastAsiaTheme="minorHAnsi"/>
          <w:lang w:val="en-GB"/>
        </w:rPr>
        <w:t>)</w:t>
      </w:r>
      <w:r w:rsidRPr="008D73A7">
        <w:rPr>
          <w:rFonts w:eastAsiaTheme="minorHAnsi"/>
          <w:lang w:val="en-GB"/>
        </w:rPr>
        <w:t xml:space="preserve"> regulations for use by terrestrial services as authorised in one CEPT country. The studies performed when making these national regulations used different sharing criteria.</w:t>
      </w:r>
    </w:p>
    <w:p w14:paraId="5AFC66D3" w14:textId="726893FA" w:rsidR="009539AD" w:rsidRPr="008D73A7" w:rsidRDefault="009539AD" w:rsidP="006C3462">
      <w:pPr>
        <w:jc w:val="both"/>
        <w:rPr>
          <w:lang w:val="en-GB"/>
        </w:rPr>
      </w:pPr>
      <w:r w:rsidRPr="008D73A7">
        <w:rPr>
          <w:lang w:val="en-GB"/>
        </w:rPr>
        <w:t xml:space="preserve">The following </w:t>
      </w:r>
      <w:r w:rsidR="00F15004" w:rsidRPr="008D73A7">
        <w:rPr>
          <w:lang w:val="en-GB"/>
        </w:rPr>
        <w:t>r</w:t>
      </w:r>
      <w:r w:rsidRPr="008D73A7">
        <w:rPr>
          <w:lang w:val="en-GB"/>
        </w:rPr>
        <w:t xml:space="preserve">adio </w:t>
      </w:r>
      <w:r w:rsidR="00F15004" w:rsidRPr="008D73A7">
        <w:rPr>
          <w:lang w:val="en-GB"/>
        </w:rPr>
        <w:t>s</w:t>
      </w:r>
      <w:r w:rsidRPr="008D73A7">
        <w:rPr>
          <w:lang w:val="en-GB"/>
        </w:rPr>
        <w:t xml:space="preserve">ervices, operating either in these candidate bands or adjacent to them, have been identified as possible victims of interference arising from the mentioned </w:t>
      </w:r>
      <w:r w:rsidR="00DD2718" w:rsidRPr="008D73A7">
        <w:rPr>
          <w:lang w:val="en-GB"/>
        </w:rPr>
        <w:t xml:space="preserve">radiodetermination </w:t>
      </w:r>
      <w:r w:rsidRPr="008D73A7">
        <w:rPr>
          <w:lang w:val="en-GB"/>
        </w:rPr>
        <w:t>applications (ECC Report 334</w:t>
      </w:r>
      <w:r w:rsidR="00F26F60" w:rsidRPr="008D73A7">
        <w:rPr>
          <w:lang w:val="en-GB"/>
        </w:rPr>
        <w:t>,</w:t>
      </w:r>
      <w:r w:rsidRPr="008D73A7">
        <w:rPr>
          <w:lang w:val="en-GB"/>
        </w:rPr>
        <w:t xml:space="preserve"> section 3.2</w:t>
      </w:r>
      <w:r w:rsidR="003231FC" w:rsidRPr="008D73A7">
        <w:rPr>
          <w:lang w:val="en-GB"/>
        </w:rPr>
        <w:t xml:space="preserve"> and ECC Report 351</w:t>
      </w:r>
      <w:r w:rsidR="001C31D9" w:rsidRPr="008D73A7">
        <w:rPr>
          <w:lang w:val="en-GB"/>
        </w:rPr>
        <w:t>,</w:t>
      </w:r>
      <w:r w:rsidR="003231FC" w:rsidRPr="008D73A7">
        <w:rPr>
          <w:lang w:val="en-GB"/>
        </w:rPr>
        <w:t xml:space="preserve"> section </w:t>
      </w:r>
      <w:r w:rsidR="00864C07" w:rsidRPr="008D73A7">
        <w:rPr>
          <w:lang w:val="en-GB"/>
        </w:rPr>
        <w:t>2.1.2</w:t>
      </w:r>
      <w:r w:rsidRPr="008D73A7">
        <w:rPr>
          <w:lang w:val="en-GB"/>
        </w:rPr>
        <w:t>):</w:t>
      </w:r>
    </w:p>
    <w:p w14:paraId="200180CD" w14:textId="3EDE3706" w:rsidR="009539AD" w:rsidRPr="008D73A7" w:rsidRDefault="001C31D9" w:rsidP="001F5773">
      <w:pPr>
        <w:pStyle w:val="ECCBulletsLv1"/>
        <w:ind w:left="340" w:hanging="340"/>
      </w:pPr>
      <w:r w:rsidRPr="008D73A7">
        <w:t>r</w:t>
      </w:r>
      <w:r w:rsidR="009539AD" w:rsidRPr="008D73A7">
        <w:t xml:space="preserve">adio </w:t>
      </w:r>
      <w:r w:rsidR="003231FC" w:rsidRPr="008D73A7">
        <w:t>a</w:t>
      </w:r>
      <w:r w:rsidR="009539AD" w:rsidRPr="008D73A7">
        <w:t xml:space="preserve">stronomy </w:t>
      </w:r>
      <w:r w:rsidR="003231FC" w:rsidRPr="008D73A7">
        <w:t>s</w:t>
      </w:r>
      <w:r w:rsidR="009539AD" w:rsidRPr="008D73A7">
        <w:t>ervice;</w:t>
      </w:r>
    </w:p>
    <w:p w14:paraId="74B6EB45" w14:textId="6DF1B52C" w:rsidR="009539AD" w:rsidRPr="008D73A7" w:rsidRDefault="001C31D9" w:rsidP="001F5773">
      <w:pPr>
        <w:pStyle w:val="ECCBulletsLv1"/>
        <w:ind w:left="340" w:hanging="340"/>
      </w:pPr>
      <w:r w:rsidRPr="008D73A7">
        <w:t>f</w:t>
      </w:r>
      <w:r w:rsidR="009539AD" w:rsidRPr="008D73A7">
        <w:t xml:space="preserve">ixed </w:t>
      </w:r>
      <w:r w:rsidR="003231FC" w:rsidRPr="008D73A7">
        <w:t>s</w:t>
      </w:r>
      <w:r w:rsidR="009539AD" w:rsidRPr="008D73A7">
        <w:t>ervice;</w:t>
      </w:r>
    </w:p>
    <w:p w14:paraId="286CBC1D" w14:textId="6CC04A93" w:rsidR="009539AD" w:rsidRPr="008D73A7" w:rsidRDefault="001C31D9" w:rsidP="001F5773">
      <w:pPr>
        <w:pStyle w:val="ECCBulletsLv1"/>
        <w:ind w:left="340" w:hanging="340"/>
      </w:pPr>
      <w:r w:rsidRPr="008D73A7">
        <w:t>e</w:t>
      </w:r>
      <w:r w:rsidR="009539AD" w:rsidRPr="008D73A7">
        <w:t xml:space="preserve">arth </w:t>
      </w:r>
      <w:r w:rsidR="003231FC" w:rsidRPr="008D73A7">
        <w:t>e</w:t>
      </w:r>
      <w:r w:rsidR="009539AD" w:rsidRPr="008D73A7">
        <w:t xml:space="preserve">xploration </w:t>
      </w:r>
      <w:r w:rsidR="003231FC" w:rsidRPr="008D73A7">
        <w:t>s</w:t>
      </w:r>
      <w:r w:rsidR="009539AD" w:rsidRPr="008D73A7">
        <w:t xml:space="preserve">atellite </w:t>
      </w:r>
      <w:r w:rsidR="003231FC" w:rsidRPr="008D73A7">
        <w:t>s</w:t>
      </w:r>
      <w:r w:rsidR="009539AD" w:rsidRPr="008D73A7">
        <w:t>ervice (passive);</w:t>
      </w:r>
    </w:p>
    <w:p w14:paraId="6E797CB9" w14:textId="27F9D154" w:rsidR="009539AD" w:rsidRPr="008D73A7" w:rsidRDefault="001C31D9" w:rsidP="001F5773">
      <w:pPr>
        <w:pStyle w:val="ECCBulletsLv1"/>
        <w:ind w:left="340" w:hanging="340"/>
      </w:pPr>
      <w:r w:rsidRPr="008D73A7">
        <w:t>a</w:t>
      </w:r>
      <w:r w:rsidR="009539AD" w:rsidRPr="008D73A7">
        <w:t xml:space="preserve">mateur </w:t>
      </w:r>
      <w:r w:rsidR="003231FC" w:rsidRPr="008D73A7">
        <w:t>s</w:t>
      </w:r>
      <w:r w:rsidR="009539AD" w:rsidRPr="008D73A7">
        <w:t>ervice;</w:t>
      </w:r>
    </w:p>
    <w:p w14:paraId="45B2BD64" w14:textId="35E05AF5" w:rsidR="009539AD" w:rsidRPr="008D73A7" w:rsidRDefault="001C31D9" w:rsidP="001F5773">
      <w:pPr>
        <w:pStyle w:val="ECCBulletsLv1"/>
        <w:ind w:left="340" w:hanging="340"/>
      </w:pPr>
      <w:r w:rsidRPr="008D73A7">
        <w:t>m</w:t>
      </w:r>
      <w:r w:rsidR="009539AD" w:rsidRPr="008D73A7">
        <w:t xml:space="preserve">obile </w:t>
      </w:r>
      <w:r w:rsidR="003231FC" w:rsidRPr="008D73A7">
        <w:t xml:space="preserve">service </w:t>
      </w:r>
      <w:r w:rsidR="009539AD" w:rsidRPr="008D73A7">
        <w:t>(not studied).</w:t>
      </w:r>
    </w:p>
    <w:p w14:paraId="75188CA7" w14:textId="4A683ADD" w:rsidR="009539AD" w:rsidRPr="008D73A7" w:rsidRDefault="009539AD" w:rsidP="006C3462">
      <w:pPr>
        <w:spacing w:after="240"/>
        <w:jc w:val="both"/>
        <w:rPr>
          <w:lang w:val="en-GB"/>
        </w:rPr>
      </w:pPr>
      <w:r w:rsidRPr="008D73A7">
        <w:rPr>
          <w:lang w:val="en-GB"/>
        </w:rPr>
        <w:t xml:space="preserve">A detailed graphical overview of the band assignments to these </w:t>
      </w:r>
      <w:r w:rsidR="00574B25" w:rsidRPr="008D73A7">
        <w:rPr>
          <w:lang w:val="en-GB"/>
        </w:rPr>
        <w:t>r</w:t>
      </w:r>
      <w:r w:rsidRPr="008D73A7">
        <w:rPr>
          <w:lang w:val="en-GB"/>
        </w:rPr>
        <w:t>adio</w:t>
      </w:r>
      <w:r w:rsidR="00574B25" w:rsidRPr="008D73A7">
        <w:rPr>
          <w:lang w:val="en-GB"/>
        </w:rPr>
        <w:t>communication</w:t>
      </w:r>
      <w:r w:rsidRPr="008D73A7">
        <w:rPr>
          <w:lang w:val="en-GB"/>
        </w:rPr>
        <w:t xml:space="preserve"> </w:t>
      </w:r>
      <w:r w:rsidR="00574B25" w:rsidRPr="008D73A7">
        <w:rPr>
          <w:lang w:val="en-GB"/>
        </w:rPr>
        <w:t>s</w:t>
      </w:r>
      <w:r w:rsidRPr="008D73A7">
        <w:rPr>
          <w:lang w:val="en-GB"/>
        </w:rPr>
        <w:t>ervices</w:t>
      </w:r>
      <w:r w:rsidR="00F62209" w:rsidRPr="008D73A7">
        <w:rPr>
          <w:lang w:val="en-GB"/>
        </w:rPr>
        <w:t>,</w:t>
      </w:r>
      <w:r w:rsidRPr="008D73A7">
        <w:rPr>
          <w:lang w:val="en-GB"/>
        </w:rPr>
        <w:t xml:space="preserve"> inside and nearby each investigated candidate band</w:t>
      </w:r>
      <w:r w:rsidR="00F62209" w:rsidRPr="008D73A7">
        <w:rPr>
          <w:lang w:val="en-GB"/>
        </w:rPr>
        <w:t>,</w:t>
      </w:r>
      <w:r w:rsidRPr="008D73A7">
        <w:rPr>
          <w:lang w:val="en-GB"/>
        </w:rPr>
        <w:t xml:space="preserve"> is given in ECC Report 334</w:t>
      </w:r>
      <w:r w:rsidR="00F26F60" w:rsidRPr="008D73A7">
        <w:rPr>
          <w:lang w:val="en-GB"/>
        </w:rPr>
        <w:t>,</w:t>
      </w:r>
      <w:r w:rsidRPr="008D73A7">
        <w:rPr>
          <w:lang w:val="en-GB"/>
        </w:rPr>
        <w:t xml:space="preserve"> section 3.3.</w:t>
      </w:r>
    </w:p>
    <w:p w14:paraId="49D8CF04" w14:textId="318AB1ED" w:rsidR="009539AD" w:rsidRPr="008D73A7" w:rsidRDefault="009539AD" w:rsidP="006C3462">
      <w:pPr>
        <w:spacing w:after="240"/>
        <w:jc w:val="both"/>
        <w:rPr>
          <w:lang w:val="en-GB"/>
        </w:rPr>
      </w:pPr>
      <w:r w:rsidRPr="008D73A7">
        <w:rPr>
          <w:lang w:val="en-GB"/>
        </w:rPr>
        <w:t xml:space="preserve">The evaluation of the maximum interference ranges for the different </w:t>
      </w:r>
      <w:r w:rsidR="00DD2718" w:rsidRPr="008D73A7">
        <w:rPr>
          <w:lang w:val="en-GB"/>
        </w:rPr>
        <w:t xml:space="preserve">radiodetermination </w:t>
      </w:r>
      <w:r w:rsidRPr="008D73A7">
        <w:rPr>
          <w:lang w:val="en-GB"/>
        </w:rPr>
        <w:t xml:space="preserve">applications under consideration for all terrestrial victims was carried out using an MCL deterministic approach by applying a worst-case interference scenario of one single interferer to one terrestrial victim receiver. All MCL calculations have been performed with line-of-sight (LOS) conditions (except for those interferers which are only located indoors) and without any natural shielding, like vegetation and other obstacles, located in the direct path from the interferer to the victim. It should be noted that as </w:t>
      </w:r>
      <w:r w:rsidR="00DD2718" w:rsidRPr="008D73A7">
        <w:rPr>
          <w:lang w:val="en-GB"/>
        </w:rPr>
        <w:t xml:space="preserve">radiodetermination SRD are </w:t>
      </w:r>
      <w:r w:rsidRPr="008D73A7">
        <w:rPr>
          <w:lang w:val="en-GB"/>
        </w:rPr>
        <w:t>not defined as radiocommunication service</w:t>
      </w:r>
      <w:r w:rsidR="008072F0" w:rsidRPr="008D73A7">
        <w:rPr>
          <w:lang w:val="en-GB"/>
        </w:rPr>
        <w:t>s</w:t>
      </w:r>
      <w:r w:rsidRPr="008D73A7">
        <w:rPr>
          <w:lang w:val="en-GB"/>
        </w:rPr>
        <w:t xml:space="preserve"> and </w:t>
      </w:r>
      <w:r w:rsidR="008072F0" w:rsidRPr="008D73A7">
        <w:rPr>
          <w:lang w:val="en-GB"/>
        </w:rPr>
        <w:t xml:space="preserve">that </w:t>
      </w:r>
      <w:r w:rsidRPr="008D73A7">
        <w:rPr>
          <w:lang w:val="en-GB"/>
        </w:rPr>
        <w:t xml:space="preserve">there are a number of different </w:t>
      </w:r>
      <w:r w:rsidR="00DD2718" w:rsidRPr="008D73A7">
        <w:rPr>
          <w:lang w:val="en-GB"/>
        </w:rPr>
        <w:t xml:space="preserve">radiodetermination </w:t>
      </w:r>
      <w:r w:rsidRPr="008D73A7">
        <w:rPr>
          <w:lang w:val="en-GB"/>
        </w:rPr>
        <w:t>applications being studied in this Report, a degree of caution has been taken when looking at sharing impacts and criteria used. As a result, all calculated interference impacts represent the most conservative estimates, which in many real-life scenarios will be further reduced due to the aforementioned natural shielding mechanisms.</w:t>
      </w:r>
    </w:p>
    <w:p w14:paraId="1D8A991B" w14:textId="77777777" w:rsidR="009539AD" w:rsidRPr="008D73A7" w:rsidRDefault="009539AD" w:rsidP="006C3462">
      <w:pPr>
        <w:spacing w:after="240"/>
        <w:jc w:val="both"/>
        <w:rPr>
          <w:lang w:val="en-GB"/>
        </w:rPr>
      </w:pPr>
      <w:r w:rsidRPr="008D73A7">
        <w:rPr>
          <w:lang w:val="en-GB"/>
        </w:rPr>
        <w:t>For the space-based victims, like EESS, the margins to the protection criteria, i.e. the maximum interference level in the victim receiver, have been also calculated in a single-entry scenario assuming worst-case conditions. In addition, a scenario where the aggregation of numerous interfering devices located in the satellite field of view on Earth’s surface have been considered.</w:t>
      </w:r>
    </w:p>
    <w:p w14:paraId="692073AD" w14:textId="420263FB" w:rsidR="009539AD" w:rsidRPr="008D73A7" w:rsidRDefault="009539AD" w:rsidP="006C3462">
      <w:pPr>
        <w:spacing w:after="240"/>
        <w:jc w:val="both"/>
        <w:rPr>
          <w:lang w:val="en-GB"/>
        </w:rPr>
      </w:pPr>
      <w:r w:rsidRPr="008D73A7">
        <w:rPr>
          <w:lang w:val="en-GB"/>
        </w:rPr>
        <w:t>The calculations are provided in separate calculation sheets which are annexed to ECC Report 334</w:t>
      </w:r>
      <w:r w:rsidR="00A12CAB" w:rsidRPr="008D73A7">
        <w:rPr>
          <w:lang w:val="en-GB"/>
        </w:rPr>
        <w:t xml:space="preserve"> and </w:t>
      </w:r>
      <w:r w:rsidR="00104156" w:rsidRPr="008D73A7">
        <w:rPr>
          <w:lang w:val="en-GB"/>
        </w:rPr>
        <w:t xml:space="preserve">ECC Report </w:t>
      </w:r>
      <w:r w:rsidR="00A12CAB" w:rsidRPr="008D73A7">
        <w:rPr>
          <w:lang w:val="en-GB"/>
        </w:rPr>
        <w:t>351</w:t>
      </w:r>
      <w:r w:rsidRPr="008D73A7">
        <w:rPr>
          <w:lang w:val="en-GB"/>
        </w:rPr>
        <w:t xml:space="preserve">. The results of these studies and the conclusions are provided in section </w:t>
      </w:r>
      <w:r w:rsidR="003807A7" w:rsidRPr="008D73A7">
        <w:rPr>
          <w:lang w:val="en-GB"/>
        </w:rPr>
        <w:fldChar w:fldCharType="begin"/>
      </w:r>
      <w:r w:rsidR="003807A7" w:rsidRPr="008D73A7">
        <w:rPr>
          <w:lang w:val="en-GB"/>
        </w:rPr>
        <w:instrText xml:space="preserve"> REF _Ref135742598 \r \h </w:instrText>
      </w:r>
      <w:r w:rsidR="003807A7" w:rsidRPr="008D73A7">
        <w:rPr>
          <w:lang w:val="en-GB"/>
        </w:rPr>
      </w:r>
      <w:r w:rsidR="003807A7" w:rsidRPr="008D73A7">
        <w:rPr>
          <w:lang w:val="en-GB"/>
        </w:rPr>
        <w:fldChar w:fldCharType="separate"/>
      </w:r>
      <w:r w:rsidR="003807A7" w:rsidRPr="008D73A7">
        <w:rPr>
          <w:lang w:val="en-GB"/>
        </w:rPr>
        <w:t>4</w:t>
      </w:r>
      <w:r w:rsidR="003807A7" w:rsidRPr="008D73A7">
        <w:rPr>
          <w:lang w:val="en-GB"/>
        </w:rPr>
        <w:fldChar w:fldCharType="end"/>
      </w:r>
      <w:r w:rsidRPr="008D73A7">
        <w:rPr>
          <w:lang w:val="en-GB"/>
        </w:rPr>
        <w:t>.</w:t>
      </w:r>
    </w:p>
    <w:p w14:paraId="1D02B002" w14:textId="0B2DA753" w:rsidR="009539AD" w:rsidRPr="008D73A7" w:rsidRDefault="009539AD" w:rsidP="006C3462">
      <w:pPr>
        <w:spacing w:after="240"/>
        <w:jc w:val="both"/>
        <w:rPr>
          <w:lang w:val="en-GB"/>
        </w:rPr>
      </w:pPr>
      <w:r w:rsidRPr="008D73A7">
        <w:rPr>
          <w:lang w:val="en-GB"/>
        </w:rPr>
        <w:t xml:space="preserve">Finally, </w:t>
      </w:r>
      <w:r w:rsidR="00A12CAB" w:rsidRPr="008D73A7">
        <w:rPr>
          <w:lang w:val="en-GB"/>
        </w:rPr>
        <w:t xml:space="preserve">it </w:t>
      </w:r>
      <w:r w:rsidRPr="008D73A7">
        <w:rPr>
          <w:lang w:val="en-GB"/>
        </w:rPr>
        <w:t xml:space="preserve">is worth to mention that the conducted calculations were supported by </w:t>
      </w:r>
      <w:r w:rsidR="00923FE7" w:rsidRPr="008D73A7">
        <w:rPr>
          <w:lang w:val="en-GB"/>
        </w:rPr>
        <w:t xml:space="preserve">three </w:t>
      </w:r>
      <w:r w:rsidRPr="008D73A7">
        <w:rPr>
          <w:lang w:val="en-GB"/>
        </w:rPr>
        <w:t>specific actual measurement campaigns. In the first campaign the transmission attenuation of typical building materials has been evaluated in the frequency range 120-175 GHz (see ECC Report 334</w:t>
      </w:r>
      <w:r w:rsidR="00FC748D" w:rsidRPr="008D73A7">
        <w:rPr>
          <w:lang w:val="en-GB"/>
        </w:rPr>
        <w:t>,</w:t>
      </w:r>
      <w:r w:rsidRPr="008D73A7">
        <w:rPr>
          <w:lang w:val="en-GB"/>
        </w:rPr>
        <w:t xml:space="preserve"> </w:t>
      </w:r>
      <w:r w:rsidR="00FC748D" w:rsidRPr="008D73A7">
        <w:rPr>
          <w:lang w:val="en-GB"/>
        </w:rPr>
        <w:t>a</w:t>
      </w:r>
      <w:r w:rsidRPr="008D73A7">
        <w:rPr>
          <w:lang w:val="en-GB"/>
        </w:rPr>
        <w:t>nnex 2). This was necessary in order to determine reasonable values for the indoor to outdoor attenuation for all applications which are only used indoors, like RDI-S.</w:t>
      </w:r>
    </w:p>
    <w:p w14:paraId="0B26EF62" w14:textId="3E1E7D11" w:rsidR="009539AD" w:rsidRPr="008D73A7" w:rsidRDefault="009539AD" w:rsidP="006C3462">
      <w:pPr>
        <w:spacing w:after="240"/>
        <w:jc w:val="both"/>
        <w:rPr>
          <w:lang w:val="en-GB"/>
        </w:rPr>
      </w:pPr>
      <w:r w:rsidRPr="008D73A7">
        <w:rPr>
          <w:lang w:val="en-GB"/>
        </w:rPr>
        <w:t>In the second measurement trial</w:t>
      </w:r>
      <w:r w:rsidR="004A2589">
        <w:rPr>
          <w:lang w:val="en-GB"/>
        </w:rPr>
        <w:t>,</w:t>
      </w:r>
      <w:r w:rsidRPr="008D73A7">
        <w:rPr>
          <w:lang w:val="en-GB"/>
        </w:rPr>
        <w:t xml:space="preserve"> the reflection attenuation of a flat and smooth sand surface in different angles of incidence has been evaluated in the frequency range from 140 GHz up to 330 GHz (see ECC Report 334</w:t>
      </w:r>
      <w:r w:rsidR="00FC748D" w:rsidRPr="008D73A7">
        <w:rPr>
          <w:lang w:val="en-GB"/>
        </w:rPr>
        <w:t>,</w:t>
      </w:r>
      <w:r w:rsidRPr="008D73A7">
        <w:rPr>
          <w:lang w:val="en-GB"/>
        </w:rPr>
        <w:t xml:space="preserve"> </w:t>
      </w:r>
      <w:r w:rsidR="00FC748D" w:rsidRPr="008D73A7">
        <w:rPr>
          <w:lang w:val="en-GB"/>
        </w:rPr>
        <w:t>a</w:t>
      </w:r>
      <w:r w:rsidRPr="008D73A7">
        <w:rPr>
          <w:lang w:val="en-GB"/>
        </w:rPr>
        <w:t>nnex 3). The reflection attenuation of this ideal sand surface has been used in the study for level probing radar (LPR) and contour detection radar (CDR) as a worst-case reflection scenario.</w:t>
      </w:r>
    </w:p>
    <w:p w14:paraId="30A1AE82" w14:textId="393C3F1D" w:rsidR="00923FE7" w:rsidRPr="008D73A7" w:rsidRDefault="00923FE7" w:rsidP="006C3462">
      <w:pPr>
        <w:spacing w:after="240"/>
        <w:jc w:val="both"/>
        <w:rPr>
          <w:lang w:val="en-GB"/>
        </w:rPr>
      </w:pPr>
      <w:r w:rsidRPr="008D73A7">
        <w:rPr>
          <w:lang w:val="en-GB"/>
        </w:rPr>
        <w:t>A third measurement campaign, documented in ECC Report 351</w:t>
      </w:r>
      <w:r w:rsidR="00054B9F" w:rsidRPr="008D73A7">
        <w:rPr>
          <w:lang w:val="en-GB"/>
        </w:rPr>
        <w:t>, a</w:t>
      </w:r>
      <w:r w:rsidRPr="008D73A7">
        <w:rPr>
          <w:lang w:val="en-GB"/>
        </w:rPr>
        <w:t>nnex 1, investigated the attenuation provided by car bodies with and without sunroof towards EESS</w:t>
      </w:r>
      <w:r w:rsidR="004D2EDB" w:rsidRPr="008D73A7">
        <w:rPr>
          <w:lang w:val="en-GB"/>
        </w:rPr>
        <w:t xml:space="preserve"> </w:t>
      </w:r>
      <w:r w:rsidRPr="008D73A7">
        <w:rPr>
          <w:lang w:val="en-GB"/>
        </w:rPr>
        <w:t>(passive).</w:t>
      </w:r>
    </w:p>
    <w:p w14:paraId="3D635789" w14:textId="4FA431D3" w:rsidR="0024605A" w:rsidRPr="008D73A7" w:rsidRDefault="00833698" w:rsidP="006C3462">
      <w:pPr>
        <w:jc w:val="both"/>
        <w:rPr>
          <w:lang w:val="en-GB"/>
        </w:rPr>
      </w:pPr>
      <w:r w:rsidRPr="008D73A7">
        <w:rPr>
          <w:lang w:val="en-GB"/>
        </w:rPr>
        <w:lastRenderedPageBreak/>
        <w:fldChar w:fldCharType="begin"/>
      </w:r>
      <w:r w:rsidRPr="008D73A7">
        <w:rPr>
          <w:lang w:val="en-GB"/>
        </w:rPr>
        <w:instrText xml:space="preserve"> REF _Ref135743083 \h </w:instrText>
      </w:r>
      <w:r w:rsidRPr="008D73A7">
        <w:rPr>
          <w:lang w:val="en-GB"/>
        </w:rPr>
      </w:r>
      <w:r w:rsidRPr="008D73A7">
        <w:rPr>
          <w:lang w:val="en-GB"/>
        </w:rPr>
        <w:fldChar w:fldCharType="separate"/>
      </w:r>
      <w:r w:rsidRPr="008D73A7">
        <w:rPr>
          <w:lang w:val="en-GB"/>
        </w:rPr>
        <w:t>Table 1</w:t>
      </w:r>
      <w:r w:rsidRPr="008D73A7">
        <w:rPr>
          <w:lang w:val="en-GB"/>
        </w:rPr>
        <w:fldChar w:fldCharType="end"/>
      </w:r>
      <w:r w:rsidR="0024605A" w:rsidRPr="008D73A7">
        <w:rPr>
          <w:lang w:val="en-GB"/>
        </w:rPr>
        <w:t xml:space="preserve"> shows the graphical representation of the compatibility situation between the </w:t>
      </w:r>
      <w:r w:rsidR="007754A3" w:rsidRPr="008D73A7">
        <w:rPr>
          <w:lang w:val="en-GB"/>
        </w:rPr>
        <w:t xml:space="preserve">following </w:t>
      </w:r>
      <w:r w:rsidR="0024605A" w:rsidRPr="008D73A7">
        <w:rPr>
          <w:lang w:val="en-GB"/>
        </w:rPr>
        <w:t xml:space="preserve">investigated </w:t>
      </w:r>
      <w:r w:rsidR="008072F0" w:rsidRPr="008D73A7">
        <w:rPr>
          <w:lang w:val="en-GB"/>
        </w:rPr>
        <w:t xml:space="preserve">specific radiodetermination </w:t>
      </w:r>
      <w:r w:rsidR="0024605A" w:rsidRPr="008D73A7">
        <w:rPr>
          <w:lang w:val="en-GB"/>
        </w:rPr>
        <w:t>applications</w:t>
      </w:r>
      <w:r w:rsidR="00C71C07" w:rsidRPr="008D73A7">
        <w:rPr>
          <w:lang w:val="en-GB"/>
        </w:rPr>
        <w:t>:</w:t>
      </w:r>
    </w:p>
    <w:p w14:paraId="27220AB3" w14:textId="3E4F9C56" w:rsidR="0024605A" w:rsidRPr="008D73A7" w:rsidRDefault="0024605A" w:rsidP="00AC1609">
      <w:pPr>
        <w:pStyle w:val="ECCBulletsLv1"/>
        <w:ind w:left="340" w:hanging="340"/>
      </w:pPr>
      <w:r w:rsidRPr="008D73A7">
        <w:t>Generic indoor surveillance radar</w:t>
      </w:r>
      <w:r w:rsidR="006705FC">
        <w:t>,</w:t>
      </w:r>
    </w:p>
    <w:p w14:paraId="60013D08" w14:textId="0F2D6FFA" w:rsidR="0024605A" w:rsidRPr="008D73A7" w:rsidRDefault="0024605A" w:rsidP="00AC1609">
      <w:pPr>
        <w:pStyle w:val="ECCBulletsLv1"/>
        <w:ind w:left="340" w:hanging="340"/>
      </w:pPr>
      <w:r w:rsidRPr="008D73A7">
        <w:t>Radiodetermination systems for industry automation (RDI)</w:t>
      </w:r>
      <w:r w:rsidR="006705FC">
        <w:t>,</w:t>
      </w:r>
    </w:p>
    <w:p w14:paraId="2A8F4B1A" w14:textId="5D2D9067" w:rsidR="0024605A" w:rsidRPr="008D73A7" w:rsidRDefault="0024605A" w:rsidP="00AC1609">
      <w:pPr>
        <w:pStyle w:val="ECCBulletsLv1"/>
        <w:ind w:left="340" w:hanging="340"/>
      </w:pPr>
      <w:r w:rsidRPr="008D73A7">
        <w:t>Short-range assist and surrounding monitoring for vehicles and autonomous systems</w:t>
      </w:r>
      <w:r w:rsidR="006705FC">
        <w:t>,</w:t>
      </w:r>
    </w:p>
    <w:p w14:paraId="5640ED33" w14:textId="38099D4E" w:rsidR="0024605A" w:rsidRPr="008D73A7" w:rsidRDefault="0024605A" w:rsidP="00AC1609">
      <w:pPr>
        <w:pStyle w:val="ECCBulletsLv1"/>
        <w:ind w:left="340" w:hanging="340"/>
      </w:pPr>
      <w:r w:rsidRPr="008D73A7">
        <w:t>Level probing radar (LPR)</w:t>
      </w:r>
      <w:r w:rsidR="006705FC">
        <w:t>,</w:t>
      </w:r>
    </w:p>
    <w:p w14:paraId="13D8A5AE" w14:textId="63E483AA" w:rsidR="0024605A" w:rsidRPr="008D73A7" w:rsidRDefault="0024605A" w:rsidP="00AC1609">
      <w:pPr>
        <w:pStyle w:val="ECCBulletsLv1"/>
        <w:ind w:left="340" w:hanging="340"/>
      </w:pPr>
      <w:r w:rsidRPr="008D73A7">
        <w:t>Contour determination and acquisition radar (CDR)</w:t>
      </w:r>
      <w:r w:rsidR="006705FC">
        <w:t>,</w:t>
      </w:r>
    </w:p>
    <w:p w14:paraId="7958CA1E" w14:textId="509BF1CA" w:rsidR="0024605A" w:rsidRPr="008D73A7" w:rsidRDefault="0024605A" w:rsidP="00AC1609">
      <w:pPr>
        <w:pStyle w:val="ECCBulletsLv1"/>
        <w:ind w:left="340" w:hanging="340"/>
      </w:pPr>
      <w:r w:rsidRPr="008D73A7">
        <w:t xml:space="preserve">Tank </w:t>
      </w:r>
      <w:r w:rsidR="006705FC">
        <w:t>l</w:t>
      </w:r>
      <w:r w:rsidRPr="008D73A7">
        <w:t>evel probing radar (TLPR)</w:t>
      </w:r>
      <w:r w:rsidR="006705FC">
        <w:t>,</w:t>
      </w:r>
    </w:p>
    <w:p w14:paraId="5E4ECCCB" w14:textId="0997B4D8" w:rsidR="0024605A" w:rsidRPr="008D73A7" w:rsidRDefault="0024605A" w:rsidP="001F2288">
      <w:pPr>
        <w:pStyle w:val="ECCBulletsLv1"/>
        <w:ind w:left="340" w:hanging="340"/>
      </w:pPr>
      <w:r w:rsidRPr="008D73A7">
        <w:t>Radiodetermination systems for industry automation in shielded environments (RDI-S)</w:t>
      </w:r>
      <w:r w:rsidR="006705FC">
        <w:t>,</w:t>
      </w:r>
    </w:p>
    <w:p w14:paraId="5530C028" w14:textId="1C016982" w:rsidR="00DF621C" w:rsidRPr="008D73A7" w:rsidRDefault="00DF621C" w:rsidP="00DF621C">
      <w:pPr>
        <w:pStyle w:val="ECCBulletsLv1"/>
        <w:ind w:left="340" w:hanging="340"/>
      </w:pPr>
      <w:r w:rsidRPr="008D73A7">
        <w:t>Exterior vehicular radar</w:t>
      </w:r>
      <w:r w:rsidR="00C33FA8" w:rsidRPr="008D73A7">
        <w:t xml:space="preserve"> (EVR)</w:t>
      </w:r>
      <w:r w:rsidR="006705FC">
        <w:t>,</w:t>
      </w:r>
    </w:p>
    <w:p w14:paraId="5DB64D47" w14:textId="7D396C0D" w:rsidR="00DF621C" w:rsidRPr="008D73A7" w:rsidRDefault="00DF621C" w:rsidP="001F2288">
      <w:pPr>
        <w:pStyle w:val="ECCBulletsLv1"/>
        <w:ind w:left="340" w:hanging="340"/>
      </w:pPr>
      <w:r w:rsidRPr="008D73A7">
        <w:t xml:space="preserve">In-cabin vehicular radar </w:t>
      </w:r>
      <w:r w:rsidR="00C33FA8" w:rsidRPr="008D73A7">
        <w:t>(IVR)</w:t>
      </w:r>
      <w:r w:rsidR="006705FC">
        <w:t>,</w:t>
      </w:r>
    </w:p>
    <w:p w14:paraId="1013772B" w14:textId="1DB68758" w:rsidR="0024605A" w:rsidRPr="008D73A7" w:rsidRDefault="00231025" w:rsidP="006C3462">
      <w:pPr>
        <w:jc w:val="both"/>
        <w:rPr>
          <w:lang w:val="en-GB"/>
        </w:rPr>
      </w:pPr>
      <w:r w:rsidRPr="008D73A7">
        <w:rPr>
          <w:lang w:val="en-GB"/>
        </w:rPr>
        <w:t>p</w:t>
      </w:r>
      <w:r w:rsidR="00206E9C" w:rsidRPr="008D73A7">
        <w:rPr>
          <w:lang w:val="en-GB"/>
        </w:rPr>
        <w:t>lotted against</w:t>
      </w:r>
      <w:r w:rsidR="0024605A" w:rsidRPr="008D73A7">
        <w:rPr>
          <w:lang w:val="en-GB"/>
        </w:rPr>
        <w:t xml:space="preserve"> the </w:t>
      </w:r>
      <w:r w:rsidR="00FB12FA" w:rsidRPr="008D73A7">
        <w:rPr>
          <w:lang w:val="en-GB"/>
        </w:rPr>
        <w:t xml:space="preserve">frequency </w:t>
      </w:r>
      <w:r w:rsidR="001C4E06" w:rsidRPr="008D73A7">
        <w:rPr>
          <w:lang w:val="en-GB"/>
        </w:rPr>
        <w:t>bands used by</w:t>
      </w:r>
      <w:r w:rsidR="00FB41E4" w:rsidRPr="008D73A7">
        <w:rPr>
          <w:lang w:val="en-GB"/>
        </w:rPr>
        <w:t xml:space="preserve"> the</w:t>
      </w:r>
      <w:r w:rsidR="006160BF" w:rsidRPr="008D73A7">
        <w:rPr>
          <w:lang w:val="en-GB"/>
        </w:rPr>
        <w:t xml:space="preserve"> identified</w:t>
      </w:r>
      <w:r w:rsidR="00FB41E4" w:rsidRPr="008D73A7">
        <w:rPr>
          <w:lang w:val="en-GB"/>
        </w:rPr>
        <w:t xml:space="preserve"> </w:t>
      </w:r>
      <w:r w:rsidR="0024605A" w:rsidRPr="008D73A7">
        <w:rPr>
          <w:lang w:val="en-GB"/>
        </w:rPr>
        <w:t xml:space="preserve">victim </w:t>
      </w:r>
      <w:r w:rsidR="00860257" w:rsidRPr="008D73A7">
        <w:rPr>
          <w:lang w:val="en-GB"/>
        </w:rPr>
        <w:t>r</w:t>
      </w:r>
      <w:r w:rsidR="0024605A" w:rsidRPr="008D73A7">
        <w:rPr>
          <w:lang w:val="en-GB"/>
        </w:rPr>
        <w:t xml:space="preserve">adio </w:t>
      </w:r>
      <w:r w:rsidR="00860257" w:rsidRPr="008D73A7">
        <w:rPr>
          <w:lang w:val="en-GB"/>
        </w:rPr>
        <w:t>s</w:t>
      </w:r>
      <w:r w:rsidR="0024605A" w:rsidRPr="008D73A7">
        <w:rPr>
          <w:lang w:val="en-GB"/>
        </w:rPr>
        <w:t>ervices</w:t>
      </w:r>
      <w:r w:rsidR="002F389F" w:rsidRPr="008D73A7">
        <w:rPr>
          <w:lang w:val="en-GB"/>
        </w:rPr>
        <w:t>:</w:t>
      </w:r>
    </w:p>
    <w:p w14:paraId="55CF63EB" w14:textId="3278D94C" w:rsidR="0024605A" w:rsidRPr="008D73A7" w:rsidRDefault="00C71C07" w:rsidP="009C18AB">
      <w:pPr>
        <w:pStyle w:val="ECCBulletsLv1"/>
        <w:ind w:left="340" w:hanging="340"/>
      </w:pPr>
      <w:r w:rsidRPr="008D73A7">
        <w:t>r</w:t>
      </w:r>
      <w:r w:rsidR="0024605A" w:rsidRPr="008D73A7">
        <w:t xml:space="preserve">adio </w:t>
      </w:r>
      <w:r w:rsidR="00860257" w:rsidRPr="008D73A7">
        <w:t>a</w:t>
      </w:r>
      <w:r w:rsidR="0024605A" w:rsidRPr="008D73A7">
        <w:t xml:space="preserve">stronomy </w:t>
      </w:r>
      <w:r w:rsidR="00DF621C" w:rsidRPr="008D73A7">
        <w:t>s</w:t>
      </w:r>
      <w:r w:rsidR="0024605A" w:rsidRPr="008D73A7">
        <w:t>ervice (RAS)</w:t>
      </w:r>
      <w:r w:rsidR="006705FC">
        <w:t>,</w:t>
      </w:r>
    </w:p>
    <w:p w14:paraId="10390A29" w14:textId="61350AE1" w:rsidR="0024605A" w:rsidRPr="008D73A7" w:rsidRDefault="00C71C07" w:rsidP="009C18AB">
      <w:pPr>
        <w:pStyle w:val="ECCBulletsLv1"/>
        <w:ind w:left="340" w:hanging="340"/>
      </w:pPr>
      <w:r w:rsidRPr="008D73A7">
        <w:t>f</w:t>
      </w:r>
      <w:r w:rsidR="0024605A" w:rsidRPr="008D73A7">
        <w:t xml:space="preserve">ixed </w:t>
      </w:r>
      <w:r w:rsidR="00DF621C" w:rsidRPr="008D73A7">
        <w:t>s</w:t>
      </w:r>
      <w:r w:rsidR="0024605A" w:rsidRPr="008D73A7">
        <w:t>ervice (FS)</w:t>
      </w:r>
      <w:r w:rsidR="006705FC">
        <w:t>,</w:t>
      </w:r>
    </w:p>
    <w:p w14:paraId="77478DEC" w14:textId="4AEF4483" w:rsidR="0024605A" w:rsidRPr="008D73A7" w:rsidRDefault="00C71C07" w:rsidP="009C18AB">
      <w:pPr>
        <w:pStyle w:val="ECCBulletsLv1"/>
        <w:ind w:left="340" w:hanging="340"/>
      </w:pPr>
      <w:r w:rsidRPr="008D73A7">
        <w:t>e</w:t>
      </w:r>
      <w:r w:rsidR="0024605A" w:rsidRPr="008D73A7">
        <w:t xml:space="preserve">arth </w:t>
      </w:r>
      <w:r w:rsidR="00DF621C" w:rsidRPr="008D73A7">
        <w:t>e</w:t>
      </w:r>
      <w:r w:rsidR="0024605A" w:rsidRPr="008D73A7">
        <w:t xml:space="preserve">xploration </w:t>
      </w:r>
      <w:r w:rsidR="00DF621C" w:rsidRPr="008D73A7">
        <w:t>s</w:t>
      </w:r>
      <w:r w:rsidR="0024605A" w:rsidRPr="008D73A7">
        <w:t xml:space="preserve">atellite </w:t>
      </w:r>
      <w:r w:rsidR="00DF621C" w:rsidRPr="008D73A7">
        <w:t>s</w:t>
      </w:r>
      <w:r w:rsidR="0024605A" w:rsidRPr="008D73A7">
        <w:t>ervice (EESS)</w:t>
      </w:r>
      <w:r w:rsidR="006705FC">
        <w:t>,</w:t>
      </w:r>
    </w:p>
    <w:p w14:paraId="0F1C9E6F" w14:textId="42614662" w:rsidR="0024605A" w:rsidRPr="008D73A7" w:rsidRDefault="00C71C07" w:rsidP="00284AE9">
      <w:pPr>
        <w:pStyle w:val="ECCBulletsLv1"/>
        <w:ind w:left="340" w:hanging="340"/>
      </w:pPr>
      <w:r w:rsidRPr="008D73A7">
        <w:t>a</w:t>
      </w:r>
      <w:r w:rsidR="0024605A" w:rsidRPr="008D73A7">
        <w:t xml:space="preserve">mateur </w:t>
      </w:r>
      <w:r w:rsidR="00DF621C" w:rsidRPr="008D73A7">
        <w:t>s</w:t>
      </w:r>
      <w:r w:rsidR="0024605A" w:rsidRPr="008D73A7">
        <w:t>ervice</w:t>
      </w:r>
      <w:r w:rsidR="0061151D" w:rsidRPr="008D73A7">
        <w:t>.</w:t>
      </w:r>
    </w:p>
    <w:p w14:paraId="6FBA2DFC" w14:textId="63C60BC1" w:rsidR="009539AD" w:rsidRPr="008D73A7" w:rsidRDefault="00C15B12" w:rsidP="006C3462">
      <w:pPr>
        <w:jc w:val="both"/>
        <w:rPr>
          <w:lang w:val="en-GB"/>
        </w:rPr>
      </w:pPr>
      <w:r w:rsidRPr="008D73A7">
        <w:rPr>
          <w:lang w:val="en-GB"/>
        </w:rPr>
        <w:t xml:space="preserve">The </w:t>
      </w:r>
      <w:r w:rsidR="00AE0C57" w:rsidRPr="008D73A7">
        <w:rPr>
          <w:lang w:val="en-GB"/>
        </w:rPr>
        <w:t xml:space="preserve">compatibility </w:t>
      </w:r>
      <w:r w:rsidR="00FD343D" w:rsidRPr="008D73A7">
        <w:rPr>
          <w:lang w:val="en-GB"/>
        </w:rPr>
        <w:t xml:space="preserve">situation was </w:t>
      </w:r>
      <w:r w:rsidR="00325164" w:rsidRPr="008D73A7">
        <w:rPr>
          <w:lang w:val="en-GB"/>
        </w:rPr>
        <w:t>derived from</w:t>
      </w:r>
      <w:r w:rsidR="001B0CAD" w:rsidRPr="008D73A7">
        <w:rPr>
          <w:lang w:val="en-GB"/>
        </w:rPr>
        <w:t xml:space="preserve"> the</w:t>
      </w:r>
      <w:r w:rsidR="0024605A" w:rsidRPr="008D73A7">
        <w:rPr>
          <w:lang w:val="en-GB"/>
        </w:rPr>
        <w:t xml:space="preserve"> various conducted studies </w:t>
      </w:r>
      <w:r w:rsidR="005954DF" w:rsidRPr="008D73A7">
        <w:rPr>
          <w:lang w:val="en-GB"/>
        </w:rPr>
        <w:t>set out</w:t>
      </w:r>
      <w:r w:rsidR="0024605A" w:rsidRPr="008D73A7">
        <w:rPr>
          <w:lang w:val="en-GB"/>
        </w:rPr>
        <w:t xml:space="preserve"> in </w:t>
      </w:r>
      <w:r w:rsidR="00451CF7" w:rsidRPr="008D73A7">
        <w:rPr>
          <w:lang w:val="en-GB"/>
        </w:rPr>
        <w:t>ECC Report 334</w:t>
      </w:r>
      <w:r w:rsidR="00FC748D" w:rsidRPr="008D73A7">
        <w:rPr>
          <w:lang w:val="en-GB"/>
        </w:rPr>
        <w:t>,</w:t>
      </w:r>
      <w:r w:rsidR="00451CF7" w:rsidRPr="008D73A7">
        <w:rPr>
          <w:lang w:val="en-GB"/>
        </w:rPr>
        <w:t xml:space="preserve"> </w:t>
      </w:r>
      <w:r w:rsidR="0024605A" w:rsidRPr="008D73A7">
        <w:rPr>
          <w:lang w:val="en-GB"/>
        </w:rPr>
        <w:t xml:space="preserve">sections </w:t>
      </w:r>
      <w:r w:rsidR="00451CF7" w:rsidRPr="008D73A7">
        <w:rPr>
          <w:lang w:val="en-GB"/>
        </w:rPr>
        <w:t>8.1</w:t>
      </w:r>
      <w:r w:rsidR="0024605A" w:rsidRPr="008D73A7">
        <w:rPr>
          <w:lang w:val="en-GB"/>
        </w:rPr>
        <w:t xml:space="preserve"> to</w:t>
      </w:r>
      <w:r w:rsidR="00451CF7" w:rsidRPr="008D73A7">
        <w:rPr>
          <w:lang w:val="en-GB"/>
        </w:rPr>
        <w:t xml:space="preserve"> 8.8</w:t>
      </w:r>
      <w:r w:rsidR="00DF621C" w:rsidRPr="008D73A7">
        <w:rPr>
          <w:lang w:val="en-GB"/>
        </w:rPr>
        <w:t xml:space="preserve"> </w:t>
      </w:r>
      <w:r w:rsidR="00E31F4D" w:rsidRPr="008D73A7">
        <w:rPr>
          <w:lang w:val="en-GB"/>
        </w:rPr>
        <w:t>and in ECC Report 351</w:t>
      </w:r>
      <w:r w:rsidR="008B6B57" w:rsidRPr="008D73A7">
        <w:rPr>
          <w:lang w:val="en-GB"/>
        </w:rPr>
        <w:t>,</w:t>
      </w:r>
      <w:r w:rsidR="00E31F4D" w:rsidRPr="008D73A7">
        <w:rPr>
          <w:lang w:val="en-GB"/>
        </w:rPr>
        <w:t xml:space="preserve"> section </w:t>
      </w:r>
      <w:r w:rsidR="003B1986" w:rsidRPr="008D73A7">
        <w:rPr>
          <w:lang w:val="en-GB"/>
        </w:rPr>
        <w:t xml:space="preserve">7.1 and </w:t>
      </w:r>
      <w:r w:rsidR="0038561A" w:rsidRPr="008D73A7">
        <w:rPr>
          <w:lang w:val="en-GB"/>
        </w:rPr>
        <w:t xml:space="preserve">section </w:t>
      </w:r>
      <w:r w:rsidR="003B1986" w:rsidRPr="008D73A7">
        <w:rPr>
          <w:lang w:val="en-GB"/>
        </w:rPr>
        <w:t>7.2</w:t>
      </w:r>
      <w:r w:rsidR="0024605A" w:rsidRPr="008D73A7">
        <w:rPr>
          <w:lang w:val="en-GB"/>
        </w:rPr>
        <w:t xml:space="preserve">. The green marked frequency bands indicate that compatibility can be ensured under the technical conditions </w:t>
      </w:r>
      <w:r w:rsidR="003F3EED" w:rsidRPr="008D73A7">
        <w:rPr>
          <w:lang w:val="en-GB"/>
        </w:rPr>
        <w:t xml:space="preserve">shown in </w:t>
      </w:r>
      <w:r w:rsidR="002D54D1" w:rsidRPr="008D73A7">
        <w:rPr>
          <w:lang w:val="en-GB"/>
        </w:rPr>
        <w:fldChar w:fldCharType="begin"/>
      </w:r>
      <w:r w:rsidR="002D54D1" w:rsidRPr="008D73A7">
        <w:rPr>
          <w:lang w:val="en-GB"/>
        </w:rPr>
        <w:instrText xml:space="preserve"> REF _Ref135742787 \r \h </w:instrText>
      </w:r>
      <w:r w:rsidR="002D54D1" w:rsidRPr="008D73A7">
        <w:rPr>
          <w:lang w:val="en-GB"/>
        </w:rPr>
      </w:r>
      <w:r w:rsidR="002D54D1" w:rsidRPr="008D73A7">
        <w:rPr>
          <w:lang w:val="en-GB"/>
        </w:rPr>
        <w:fldChar w:fldCharType="separate"/>
      </w:r>
      <w:r w:rsidR="002D54D1" w:rsidRPr="008D73A7">
        <w:rPr>
          <w:lang w:val="en-GB"/>
        </w:rPr>
        <w:t>Annex 1</w:t>
      </w:r>
      <w:r w:rsidR="002D54D1" w:rsidRPr="008D73A7">
        <w:rPr>
          <w:lang w:val="en-GB"/>
        </w:rPr>
        <w:fldChar w:fldCharType="end"/>
      </w:r>
      <w:r w:rsidR="003F3EED" w:rsidRPr="008D73A7">
        <w:rPr>
          <w:lang w:val="en-GB"/>
        </w:rPr>
        <w:t xml:space="preserve"> </w:t>
      </w:r>
      <w:r w:rsidR="0024605A" w:rsidRPr="008D73A7">
        <w:rPr>
          <w:lang w:val="en-GB"/>
        </w:rPr>
        <w:t>without the implementation of additional mitigation measures.</w:t>
      </w:r>
    </w:p>
    <w:p w14:paraId="588366C8" w14:textId="107FC4C8" w:rsidR="00BD0B7C" w:rsidRPr="008D73A7" w:rsidRDefault="00BD0B7C" w:rsidP="006E1C0A">
      <w:pPr>
        <w:pStyle w:val="Caption"/>
        <w:rPr>
          <w:lang w:val="en-GB"/>
        </w:rPr>
      </w:pPr>
      <w:bookmarkStart w:id="67" w:name="_Ref135743083"/>
      <w:r w:rsidRPr="008D73A7">
        <w:rPr>
          <w:lang w:val="en-GB"/>
        </w:rPr>
        <w:t xml:space="preserve">Table </w:t>
      </w:r>
      <w:r w:rsidRPr="008D73A7">
        <w:rPr>
          <w:lang w:val="en-GB"/>
        </w:rPr>
        <w:fldChar w:fldCharType="begin"/>
      </w:r>
      <w:r w:rsidRPr="008D73A7">
        <w:rPr>
          <w:lang w:val="en-GB"/>
        </w:rPr>
        <w:instrText xml:space="preserve"> SEQ Table \* ARABIC </w:instrText>
      </w:r>
      <w:r w:rsidRPr="008D73A7">
        <w:rPr>
          <w:lang w:val="en-GB"/>
        </w:rPr>
        <w:fldChar w:fldCharType="separate"/>
      </w:r>
      <w:r w:rsidRPr="008D73A7">
        <w:rPr>
          <w:lang w:val="en-GB"/>
        </w:rPr>
        <w:t>1</w:t>
      </w:r>
      <w:r w:rsidRPr="008D73A7">
        <w:rPr>
          <w:lang w:val="en-GB"/>
        </w:rPr>
        <w:fldChar w:fldCharType="end"/>
      </w:r>
      <w:bookmarkEnd w:id="67"/>
      <w:r w:rsidRPr="008D73A7">
        <w:rPr>
          <w:lang w:val="en-GB"/>
        </w:rPr>
        <w:t>:</w:t>
      </w:r>
      <w:r w:rsidR="00E67AAC" w:rsidRPr="008D73A7">
        <w:rPr>
          <w:lang w:val="en-GB"/>
        </w:rPr>
        <w:t xml:space="preserve"> Compatibility situation between the investigated specific radiodetermination applications and all considered </w:t>
      </w:r>
      <w:r w:rsidR="009938BF" w:rsidRPr="008D73A7">
        <w:rPr>
          <w:lang w:val="en-GB"/>
        </w:rPr>
        <w:t>r</w:t>
      </w:r>
      <w:r w:rsidR="00E67AAC" w:rsidRPr="008D73A7">
        <w:rPr>
          <w:lang w:val="en-GB"/>
        </w:rPr>
        <w:t xml:space="preserve">adio </w:t>
      </w:r>
      <w:r w:rsidR="009938BF" w:rsidRPr="008D73A7">
        <w:rPr>
          <w:lang w:val="en-GB"/>
        </w:rPr>
        <w:t>s</w:t>
      </w:r>
      <w:r w:rsidR="00E67AAC" w:rsidRPr="008D73A7">
        <w:rPr>
          <w:lang w:val="en-GB"/>
        </w:rPr>
        <w:t>ervices</w:t>
      </w:r>
    </w:p>
    <w:tbl>
      <w:tblPr>
        <w:tblW w:w="9619" w:type="dxa"/>
        <w:tblLayout w:type="fixed"/>
        <w:tblLook w:val="04A0" w:firstRow="1" w:lastRow="0" w:firstColumn="1" w:lastColumn="0" w:noHBand="0" w:noVBand="1"/>
      </w:tblPr>
      <w:tblGrid>
        <w:gridCol w:w="1521"/>
        <w:gridCol w:w="1213"/>
        <w:gridCol w:w="1502"/>
        <w:gridCol w:w="708"/>
        <w:gridCol w:w="707"/>
        <w:gridCol w:w="708"/>
        <w:gridCol w:w="850"/>
        <w:gridCol w:w="862"/>
        <w:gridCol w:w="685"/>
        <w:gridCol w:w="627"/>
        <w:gridCol w:w="236"/>
      </w:tblGrid>
      <w:tr w:rsidR="00BB70EB" w:rsidRPr="008D73A7" w14:paraId="40AB28A9" w14:textId="77777777" w:rsidTr="00FD220C">
        <w:trPr>
          <w:gridAfter w:val="1"/>
          <w:wAfter w:w="236" w:type="dxa"/>
          <w:trHeight w:val="270"/>
        </w:trPr>
        <w:tc>
          <w:tcPr>
            <w:tcW w:w="152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hideMark/>
          </w:tcPr>
          <w:p w14:paraId="70B3ADE1" w14:textId="77777777" w:rsidR="0009427B" w:rsidRDefault="00BB70EB" w:rsidP="00BB70EB">
            <w:pPr>
              <w:spacing w:before="0" w:after="0"/>
              <w:jc w:val="center"/>
              <w:rPr>
                <w:rFonts w:cs="Arial"/>
                <w:b/>
                <w:bCs/>
                <w:color w:val="FFFFFF" w:themeColor="background1"/>
                <w:szCs w:val="20"/>
                <w:lang w:val="en-GB" w:eastAsia="en-GB"/>
              </w:rPr>
            </w:pPr>
            <w:r w:rsidRPr="008D73A7">
              <w:rPr>
                <w:rFonts w:cs="Arial"/>
                <w:b/>
                <w:bCs/>
                <w:color w:val="FFFFFF" w:themeColor="background1"/>
                <w:szCs w:val="20"/>
                <w:lang w:val="en-GB" w:eastAsia="en-GB"/>
              </w:rPr>
              <w:t xml:space="preserve">Frequency bands </w:t>
            </w:r>
          </w:p>
          <w:p w14:paraId="415A2A92" w14:textId="21CDD6BC" w:rsidR="00BB70EB" w:rsidRPr="008D73A7" w:rsidRDefault="00BB70EB" w:rsidP="00BB70EB">
            <w:pPr>
              <w:spacing w:before="0" w:after="0"/>
              <w:jc w:val="center"/>
              <w:rPr>
                <w:rFonts w:cs="Arial"/>
                <w:b/>
                <w:bCs/>
                <w:color w:val="FFFFFF" w:themeColor="background1"/>
                <w:szCs w:val="20"/>
                <w:lang w:val="en-GB" w:eastAsia="en-GB"/>
              </w:rPr>
            </w:pPr>
            <w:r w:rsidRPr="008D73A7">
              <w:rPr>
                <w:rFonts w:cs="Arial"/>
                <w:b/>
                <w:bCs/>
                <w:color w:val="FFFFFF" w:themeColor="background1"/>
                <w:szCs w:val="20"/>
                <w:lang w:val="en-GB" w:eastAsia="en-GB"/>
              </w:rPr>
              <w:t>(GHz)</w:t>
            </w:r>
          </w:p>
        </w:tc>
        <w:tc>
          <w:tcPr>
            <w:tcW w:w="121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hideMark/>
          </w:tcPr>
          <w:p w14:paraId="3B1FFE9A" w14:textId="4B6EAB66" w:rsidR="00BB70EB" w:rsidRPr="008D73A7" w:rsidRDefault="006F661F" w:rsidP="00BB70EB">
            <w:pPr>
              <w:spacing w:before="0" w:after="0"/>
              <w:jc w:val="center"/>
              <w:rPr>
                <w:rFonts w:cs="Arial"/>
                <w:b/>
                <w:bCs/>
                <w:color w:val="FFFFFF" w:themeColor="background1"/>
                <w:szCs w:val="20"/>
                <w:lang w:val="en-GB" w:eastAsia="en-GB"/>
              </w:rPr>
            </w:pPr>
            <w:r w:rsidRPr="008D73A7">
              <w:rPr>
                <w:rFonts w:cs="Arial"/>
                <w:b/>
                <w:bCs/>
                <w:color w:val="FFFFFF" w:themeColor="background1"/>
                <w:szCs w:val="20"/>
                <w:lang w:val="en-GB" w:eastAsia="en-GB"/>
              </w:rPr>
              <w:t>RR N°</w:t>
            </w:r>
            <w:r w:rsidR="00BB70EB" w:rsidRPr="008D73A7">
              <w:rPr>
                <w:rFonts w:cs="Arial"/>
                <w:b/>
                <w:bCs/>
                <w:color w:val="FFFFFF" w:themeColor="background1"/>
                <w:szCs w:val="20"/>
                <w:lang w:val="en-GB" w:eastAsia="en-GB"/>
              </w:rPr>
              <w:t>5.340 protected</w:t>
            </w:r>
          </w:p>
        </w:tc>
        <w:tc>
          <w:tcPr>
            <w:tcW w:w="5337" w:type="dxa"/>
            <w:gridSpan w:val="6"/>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bottom"/>
            <w:hideMark/>
          </w:tcPr>
          <w:p w14:paraId="5577326F" w14:textId="77777777" w:rsidR="00BB70EB" w:rsidRPr="008D73A7" w:rsidRDefault="00BB70EB" w:rsidP="006E1C0A">
            <w:pPr>
              <w:spacing w:before="120" w:after="120"/>
              <w:jc w:val="center"/>
              <w:rPr>
                <w:rFonts w:cs="Arial"/>
                <w:b/>
                <w:bCs/>
                <w:color w:val="FFFFFF" w:themeColor="background1"/>
                <w:szCs w:val="20"/>
                <w:lang w:val="en-GB" w:eastAsia="en-GB"/>
              </w:rPr>
            </w:pPr>
            <w:r w:rsidRPr="008D73A7">
              <w:rPr>
                <w:rFonts w:cs="Arial"/>
                <w:b/>
                <w:bCs/>
                <w:color w:val="FFFFFF" w:themeColor="background1"/>
                <w:szCs w:val="20"/>
                <w:lang w:val="en-GB" w:eastAsia="en-GB"/>
              </w:rPr>
              <w:t>ECC Report 334</w:t>
            </w:r>
            <w:r w:rsidRPr="008D73A7">
              <w:rPr>
                <w:rFonts w:cs="Arial"/>
                <w:b/>
                <w:bCs/>
                <w:color w:val="FFFFFF" w:themeColor="background1"/>
                <w:szCs w:val="20"/>
                <w:lang w:val="en-GB" w:eastAsia="en-GB"/>
              </w:rPr>
              <w:br/>
              <w:t>Investigated applications</w:t>
            </w:r>
          </w:p>
        </w:tc>
        <w:tc>
          <w:tcPr>
            <w:tcW w:w="1312"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bottom"/>
            <w:hideMark/>
          </w:tcPr>
          <w:p w14:paraId="58D6BA05" w14:textId="77777777" w:rsidR="00BB70EB" w:rsidRPr="008D73A7" w:rsidRDefault="00BB70EB" w:rsidP="006E1C0A">
            <w:pPr>
              <w:spacing w:before="120" w:after="120"/>
              <w:jc w:val="center"/>
              <w:rPr>
                <w:rFonts w:cs="Arial"/>
                <w:b/>
                <w:bCs/>
                <w:color w:val="FFFFFF" w:themeColor="background1"/>
                <w:szCs w:val="20"/>
                <w:lang w:val="en-GB" w:eastAsia="en-GB"/>
              </w:rPr>
            </w:pPr>
            <w:r w:rsidRPr="008D73A7">
              <w:rPr>
                <w:rFonts w:cs="Arial"/>
                <w:b/>
                <w:bCs/>
                <w:color w:val="FFFFFF" w:themeColor="background1"/>
                <w:szCs w:val="20"/>
                <w:lang w:val="en-GB" w:eastAsia="en-GB"/>
              </w:rPr>
              <w:t>ECC Report 351</w:t>
            </w:r>
          </w:p>
        </w:tc>
      </w:tr>
      <w:tr w:rsidR="00BB70EB" w:rsidRPr="008D73A7" w14:paraId="024543A8" w14:textId="77777777" w:rsidTr="00FD220C">
        <w:trPr>
          <w:trHeight w:val="260"/>
        </w:trPr>
        <w:tc>
          <w:tcPr>
            <w:tcW w:w="152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hideMark/>
          </w:tcPr>
          <w:p w14:paraId="0143A2E1" w14:textId="77777777" w:rsidR="00BB70EB" w:rsidRPr="008D73A7" w:rsidRDefault="00BB70EB" w:rsidP="00BB70EB">
            <w:pPr>
              <w:spacing w:before="0" w:after="0"/>
              <w:rPr>
                <w:rFonts w:cs="Arial"/>
                <w:b/>
                <w:bCs/>
                <w:color w:val="FFFFFF" w:themeColor="background1"/>
                <w:szCs w:val="20"/>
                <w:lang w:val="en-GB" w:eastAsia="en-GB"/>
              </w:rPr>
            </w:pPr>
          </w:p>
        </w:tc>
        <w:tc>
          <w:tcPr>
            <w:tcW w:w="121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hideMark/>
          </w:tcPr>
          <w:p w14:paraId="1ACC5028" w14:textId="77777777" w:rsidR="00BB70EB" w:rsidRPr="008D73A7" w:rsidRDefault="00BB70EB" w:rsidP="00BB70EB">
            <w:pPr>
              <w:spacing w:before="0" w:after="0"/>
              <w:rPr>
                <w:rFonts w:cs="Arial"/>
                <w:b/>
                <w:bCs/>
                <w:color w:val="FFFFFF" w:themeColor="background1"/>
                <w:szCs w:val="20"/>
                <w:lang w:val="en-GB" w:eastAsia="en-GB"/>
              </w:rPr>
            </w:pPr>
          </w:p>
        </w:tc>
        <w:tc>
          <w:tcPr>
            <w:tcW w:w="5337" w:type="dxa"/>
            <w:gridSpan w:val="6"/>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hideMark/>
          </w:tcPr>
          <w:p w14:paraId="2B2BCDC6" w14:textId="77777777" w:rsidR="00BB70EB" w:rsidRPr="008D73A7" w:rsidRDefault="00BB70EB" w:rsidP="00BB70EB">
            <w:pPr>
              <w:spacing w:before="0" w:after="0"/>
              <w:rPr>
                <w:rFonts w:cs="Arial"/>
                <w:b/>
                <w:bCs/>
                <w:color w:val="FFFFFF" w:themeColor="background1"/>
                <w:szCs w:val="20"/>
                <w:lang w:val="en-GB" w:eastAsia="en-GB"/>
              </w:rPr>
            </w:pPr>
          </w:p>
        </w:tc>
        <w:tc>
          <w:tcPr>
            <w:tcW w:w="1312"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hideMark/>
          </w:tcPr>
          <w:p w14:paraId="4A81EF98" w14:textId="77777777" w:rsidR="00BB70EB" w:rsidRPr="008D73A7" w:rsidRDefault="00BB70EB" w:rsidP="00BB70EB">
            <w:pPr>
              <w:spacing w:before="0" w:after="0"/>
              <w:rPr>
                <w:rFonts w:cs="Arial"/>
                <w:b/>
                <w:bCs/>
                <w:color w:val="FFFFFF" w:themeColor="background1"/>
                <w:szCs w:val="20"/>
                <w:lang w:val="en-GB" w:eastAsia="en-GB"/>
              </w:rPr>
            </w:pPr>
          </w:p>
        </w:tc>
        <w:tc>
          <w:tcPr>
            <w:tcW w:w="236" w:type="dxa"/>
            <w:tcBorders>
              <w:top w:val="nil"/>
              <w:left w:val="single" w:sz="4" w:space="0" w:color="FFFFFF" w:themeColor="background1"/>
              <w:bottom w:val="nil"/>
              <w:right w:val="nil"/>
            </w:tcBorders>
            <w:shd w:val="clear" w:color="auto" w:fill="auto"/>
            <w:noWrap/>
            <w:vAlign w:val="bottom"/>
            <w:hideMark/>
          </w:tcPr>
          <w:p w14:paraId="75D1876C" w14:textId="77777777" w:rsidR="00BB70EB" w:rsidRPr="008D73A7" w:rsidRDefault="00BB70EB" w:rsidP="00BB70EB">
            <w:pPr>
              <w:spacing w:before="0" w:after="0"/>
              <w:jc w:val="center"/>
              <w:rPr>
                <w:rFonts w:cs="Arial"/>
                <w:b/>
                <w:bCs/>
                <w:szCs w:val="20"/>
                <w:lang w:val="en-GB" w:eastAsia="en-GB"/>
              </w:rPr>
            </w:pPr>
          </w:p>
        </w:tc>
      </w:tr>
      <w:tr w:rsidR="004D2EDB" w:rsidRPr="008D73A7" w14:paraId="2A632EAB" w14:textId="77777777" w:rsidTr="00FD220C">
        <w:trPr>
          <w:trHeight w:val="250"/>
        </w:trPr>
        <w:tc>
          <w:tcPr>
            <w:tcW w:w="152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hideMark/>
          </w:tcPr>
          <w:p w14:paraId="36413C9A" w14:textId="77777777" w:rsidR="00BB70EB" w:rsidRPr="008D73A7" w:rsidRDefault="00BB70EB" w:rsidP="00BB70EB">
            <w:pPr>
              <w:spacing w:before="0" w:after="0"/>
              <w:rPr>
                <w:rFonts w:cs="Arial"/>
                <w:b/>
                <w:bCs/>
                <w:color w:val="FFFFFF" w:themeColor="background1"/>
                <w:szCs w:val="20"/>
                <w:lang w:val="en-GB" w:eastAsia="en-GB"/>
              </w:rPr>
            </w:pPr>
          </w:p>
        </w:tc>
        <w:tc>
          <w:tcPr>
            <w:tcW w:w="1213"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hideMark/>
          </w:tcPr>
          <w:p w14:paraId="7FBEBF1A" w14:textId="77777777" w:rsidR="00BB70EB" w:rsidRPr="008D73A7" w:rsidRDefault="00BB70EB" w:rsidP="00BB70EB">
            <w:pPr>
              <w:spacing w:before="0" w:after="0"/>
              <w:rPr>
                <w:rFonts w:cs="Arial"/>
                <w:b/>
                <w:bCs/>
                <w:color w:val="FFFFFF" w:themeColor="background1"/>
                <w:szCs w:val="20"/>
                <w:lang w:val="en-GB" w:eastAsia="en-GB"/>
              </w:rPr>
            </w:pPr>
          </w:p>
        </w:tc>
        <w:tc>
          <w:tcPr>
            <w:tcW w:w="150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hideMark/>
          </w:tcPr>
          <w:p w14:paraId="53B65383" w14:textId="77777777" w:rsidR="00BB70EB" w:rsidRPr="008D73A7" w:rsidRDefault="00BB70EB" w:rsidP="00BB70EB">
            <w:pPr>
              <w:spacing w:before="0" w:after="0"/>
              <w:jc w:val="center"/>
              <w:rPr>
                <w:rFonts w:cs="Arial"/>
                <w:b/>
                <w:bCs/>
                <w:color w:val="FFFFFF" w:themeColor="background1"/>
                <w:szCs w:val="20"/>
                <w:lang w:val="en-GB" w:eastAsia="en-GB"/>
              </w:rPr>
            </w:pPr>
            <w:r w:rsidRPr="008D73A7">
              <w:rPr>
                <w:rFonts w:cs="Arial"/>
                <w:b/>
                <w:bCs/>
                <w:color w:val="FFFFFF" w:themeColor="background1"/>
                <w:szCs w:val="20"/>
                <w:lang w:val="en-GB" w:eastAsia="en-GB"/>
              </w:rPr>
              <w:t>Indoor surveillance radar</w:t>
            </w:r>
          </w:p>
        </w:tc>
        <w:tc>
          <w:tcPr>
            <w:tcW w:w="70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hideMark/>
          </w:tcPr>
          <w:p w14:paraId="14AEA73A" w14:textId="77777777" w:rsidR="00BB70EB" w:rsidRPr="008D73A7" w:rsidRDefault="00BB70EB" w:rsidP="00BB70EB">
            <w:pPr>
              <w:spacing w:before="0" w:after="0"/>
              <w:jc w:val="center"/>
              <w:rPr>
                <w:rFonts w:cs="Arial"/>
                <w:b/>
                <w:bCs/>
                <w:color w:val="FFFFFF" w:themeColor="background1"/>
                <w:szCs w:val="20"/>
                <w:lang w:val="en-GB" w:eastAsia="en-GB"/>
              </w:rPr>
            </w:pPr>
            <w:r w:rsidRPr="008D73A7">
              <w:rPr>
                <w:rFonts w:cs="Arial"/>
                <w:b/>
                <w:bCs/>
                <w:color w:val="FFFFFF" w:themeColor="background1"/>
                <w:szCs w:val="20"/>
                <w:lang w:val="en-GB" w:eastAsia="en-GB"/>
              </w:rPr>
              <w:t>RDI</w:t>
            </w:r>
          </w:p>
        </w:tc>
        <w:tc>
          <w:tcPr>
            <w:tcW w:w="70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hideMark/>
          </w:tcPr>
          <w:p w14:paraId="0B521F5C" w14:textId="77777777" w:rsidR="00BB70EB" w:rsidRPr="008D73A7" w:rsidRDefault="00BB70EB" w:rsidP="00BB70EB">
            <w:pPr>
              <w:spacing w:before="0" w:after="0"/>
              <w:jc w:val="center"/>
              <w:rPr>
                <w:rFonts w:cs="Arial"/>
                <w:b/>
                <w:bCs/>
                <w:color w:val="FFFFFF" w:themeColor="background1"/>
                <w:szCs w:val="20"/>
                <w:lang w:val="en-GB" w:eastAsia="en-GB"/>
              </w:rPr>
            </w:pPr>
            <w:r w:rsidRPr="008D73A7">
              <w:rPr>
                <w:rFonts w:cs="Arial"/>
                <w:b/>
                <w:bCs/>
                <w:color w:val="FFFFFF" w:themeColor="background1"/>
                <w:szCs w:val="20"/>
                <w:lang w:val="en-GB" w:eastAsia="en-GB"/>
              </w:rPr>
              <w:t>LPR</w:t>
            </w:r>
          </w:p>
        </w:tc>
        <w:tc>
          <w:tcPr>
            <w:tcW w:w="70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hideMark/>
          </w:tcPr>
          <w:p w14:paraId="6889C43E" w14:textId="77777777" w:rsidR="00BB70EB" w:rsidRPr="008D73A7" w:rsidRDefault="00BB70EB" w:rsidP="00BB70EB">
            <w:pPr>
              <w:spacing w:before="0" w:after="0"/>
              <w:jc w:val="center"/>
              <w:rPr>
                <w:rFonts w:cs="Arial"/>
                <w:b/>
                <w:bCs/>
                <w:color w:val="FFFFFF" w:themeColor="background1"/>
                <w:szCs w:val="20"/>
                <w:lang w:val="en-GB" w:eastAsia="en-GB"/>
              </w:rPr>
            </w:pPr>
            <w:r w:rsidRPr="008D73A7">
              <w:rPr>
                <w:rFonts w:cs="Arial"/>
                <w:b/>
                <w:bCs/>
                <w:color w:val="FFFFFF" w:themeColor="background1"/>
                <w:szCs w:val="20"/>
                <w:lang w:val="en-GB" w:eastAsia="en-GB"/>
              </w:rPr>
              <w:t>CDR</w:t>
            </w:r>
          </w:p>
        </w:tc>
        <w:tc>
          <w:tcPr>
            <w:tcW w:w="8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hideMark/>
          </w:tcPr>
          <w:p w14:paraId="083A64BB" w14:textId="77777777" w:rsidR="00BB70EB" w:rsidRPr="008D73A7" w:rsidRDefault="00BB70EB" w:rsidP="00BB70EB">
            <w:pPr>
              <w:spacing w:before="0" w:after="0"/>
              <w:jc w:val="center"/>
              <w:rPr>
                <w:rFonts w:cs="Arial"/>
                <w:b/>
                <w:bCs/>
                <w:color w:val="FFFFFF" w:themeColor="background1"/>
                <w:szCs w:val="20"/>
                <w:lang w:val="en-GB" w:eastAsia="en-GB"/>
              </w:rPr>
            </w:pPr>
            <w:r w:rsidRPr="008D73A7">
              <w:rPr>
                <w:rFonts w:cs="Arial"/>
                <w:b/>
                <w:bCs/>
                <w:color w:val="FFFFFF" w:themeColor="background1"/>
                <w:szCs w:val="20"/>
                <w:lang w:val="en-GB" w:eastAsia="en-GB"/>
              </w:rPr>
              <w:t>TLPR</w:t>
            </w:r>
          </w:p>
        </w:tc>
        <w:tc>
          <w:tcPr>
            <w:tcW w:w="86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hideMark/>
          </w:tcPr>
          <w:p w14:paraId="4337041E" w14:textId="5832DF90" w:rsidR="00BB70EB" w:rsidRPr="006D4290" w:rsidRDefault="00BB70EB" w:rsidP="00BB70EB">
            <w:pPr>
              <w:spacing w:before="0" w:after="0"/>
              <w:jc w:val="center"/>
              <w:rPr>
                <w:rFonts w:cs="Arial"/>
                <w:b/>
                <w:bCs/>
                <w:color w:val="FFFFFF" w:themeColor="background1"/>
                <w:sz w:val="16"/>
                <w:szCs w:val="16"/>
                <w:lang w:val="en-GB" w:eastAsia="en-GB"/>
              </w:rPr>
            </w:pPr>
            <w:r w:rsidRPr="008D73A7">
              <w:rPr>
                <w:rFonts w:cs="Arial"/>
                <w:b/>
                <w:bCs/>
                <w:color w:val="FFFFFF" w:themeColor="background1"/>
                <w:szCs w:val="20"/>
                <w:lang w:val="en-GB" w:eastAsia="en-GB"/>
              </w:rPr>
              <w:t>RDI-S</w:t>
            </w:r>
            <w:r w:rsidR="00FD09BB">
              <w:rPr>
                <w:rFonts w:cs="Arial"/>
                <w:b/>
                <w:bCs/>
                <w:color w:val="FFFFFF" w:themeColor="background1"/>
                <w:sz w:val="16"/>
                <w:szCs w:val="16"/>
                <w:lang w:val="en-GB" w:eastAsia="en-GB"/>
              </w:rPr>
              <w:t xml:space="preserve"> (Note 1)</w:t>
            </w:r>
          </w:p>
        </w:tc>
        <w:tc>
          <w:tcPr>
            <w:tcW w:w="68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hideMark/>
          </w:tcPr>
          <w:p w14:paraId="30A5D6DB" w14:textId="77777777" w:rsidR="00BB70EB" w:rsidRPr="008D73A7" w:rsidRDefault="00BB70EB" w:rsidP="00BB70EB">
            <w:pPr>
              <w:spacing w:before="0" w:after="0"/>
              <w:jc w:val="center"/>
              <w:rPr>
                <w:rFonts w:cs="Arial"/>
                <w:b/>
                <w:bCs/>
                <w:color w:val="FFFFFF" w:themeColor="background1"/>
                <w:szCs w:val="20"/>
                <w:lang w:val="en-GB" w:eastAsia="en-GB"/>
              </w:rPr>
            </w:pPr>
            <w:r w:rsidRPr="008D73A7">
              <w:rPr>
                <w:rFonts w:cs="Arial"/>
                <w:b/>
                <w:bCs/>
                <w:color w:val="FFFFFF" w:themeColor="background1"/>
                <w:szCs w:val="20"/>
                <w:lang w:val="en-GB" w:eastAsia="en-GB"/>
              </w:rPr>
              <w:t>EVR</w:t>
            </w:r>
          </w:p>
        </w:tc>
        <w:tc>
          <w:tcPr>
            <w:tcW w:w="62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hideMark/>
          </w:tcPr>
          <w:p w14:paraId="65304EDF" w14:textId="77777777" w:rsidR="00BB70EB" w:rsidRPr="008D73A7" w:rsidRDefault="00BB70EB" w:rsidP="00BB70EB">
            <w:pPr>
              <w:spacing w:before="0" w:after="0"/>
              <w:jc w:val="center"/>
              <w:rPr>
                <w:rFonts w:cs="Arial"/>
                <w:b/>
                <w:bCs/>
                <w:color w:val="FFFFFF" w:themeColor="background1"/>
                <w:szCs w:val="20"/>
                <w:lang w:val="en-GB" w:eastAsia="en-GB"/>
              </w:rPr>
            </w:pPr>
            <w:r w:rsidRPr="008D73A7">
              <w:rPr>
                <w:rFonts w:cs="Arial"/>
                <w:b/>
                <w:bCs/>
                <w:color w:val="FFFFFF" w:themeColor="background1"/>
                <w:szCs w:val="20"/>
                <w:lang w:val="en-GB" w:eastAsia="en-GB"/>
              </w:rPr>
              <w:t>IVR</w:t>
            </w:r>
          </w:p>
        </w:tc>
        <w:tc>
          <w:tcPr>
            <w:tcW w:w="236" w:type="dxa"/>
            <w:tcBorders>
              <w:left w:val="single" w:sz="4" w:space="0" w:color="FFFFFF" w:themeColor="background1"/>
            </w:tcBorders>
            <w:vAlign w:val="center"/>
            <w:hideMark/>
          </w:tcPr>
          <w:p w14:paraId="094EAD83"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28B9D37D" w14:textId="77777777" w:rsidTr="00FD220C">
        <w:trPr>
          <w:trHeight w:val="260"/>
        </w:trPr>
        <w:tc>
          <w:tcPr>
            <w:tcW w:w="1521" w:type="dxa"/>
            <w:vMerge/>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hideMark/>
          </w:tcPr>
          <w:p w14:paraId="3A0212D0" w14:textId="77777777" w:rsidR="00BB70EB" w:rsidRPr="008D73A7" w:rsidRDefault="00BB70EB" w:rsidP="00BB70EB">
            <w:pPr>
              <w:spacing w:before="0" w:after="0"/>
              <w:rPr>
                <w:rFonts w:cs="Arial"/>
                <w:b/>
                <w:bCs/>
                <w:szCs w:val="20"/>
                <w:lang w:val="en-GB" w:eastAsia="en-GB"/>
              </w:rPr>
            </w:pPr>
          </w:p>
        </w:tc>
        <w:tc>
          <w:tcPr>
            <w:tcW w:w="1213" w:type="dxa"/>
            <w:vMerge/>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hideMark/>
          </w:tcPr>
          <w:p w14:paraId="7C989458" w14:textId="77777777" w:rsidR="00BB70EB" w:rsidRPr="008D73A7" w:rsidRDefault="00BB70EB" w:rsidP="00BB70EB">
            <w:pPr>
              <w:spacing w:before="0" w:after="0"/>
              <w:rPr>
                <w:rFonts w:cs="Arial"/>
                <w:b/>
                <w:bCs/>
                <w:szCs w:val="20"/>
                <w:lang w:val="en-GB" w:eastAsia="en-GB"/>
              </w:rPr>
            </w:pPr>
          </w:p>
        </w:tc>
        <w:tc>
          <w:tcPr>
            <w:tcW w:w="1502" w:type="dxa"/>
            <w:vMerge/>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hideMark/>
          </w:tcPr>
          <w:p w14:paraId="047FEB8F" w14:textId="77777777" w:rsidR="00BB70EB" w:rsidRPr="008D73A7" w:rsidRDefault="00BB70EB" w:rsidP="00BB70EB">
            <w:pPr>
              <w:spacing w:before="0" w:after="0"/>
              <w:rPr>
                <w:rFonts w:cs="Arial"/>
                <w:b/>
                <w:bCs/>
                <w:szCs w:val="20"/>
                <w:lang w:val="en-GB" w:eastAsia="en-GB"/>
              </w:rPr>
            </w:pPr>
          </w:p>
        </w:tc>
        <w:tc>
          <w:tcPr>
            <w:tcW w:w="708" w:type="dxa"/>
            <w:vMerge/>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hideMark/>
          </w:tcPr>
          <w:p w14:paraId="3A7C7C88" w14:textId="77777777" w:rsidR="00BB70EB" w:rsidRPr="008D73A7" w:rsidRDefault="00BB70EB" w:rsidP="00BB70EB">
            <w:pPr>
              <w:spacing w:before="0" w:after="0"/>
              <w:rPr>
                <w:rFonts w:cs="Arial"/>
                <w:b/>
                <w:bCs/>
                <w:szCs w:val="20"/>
                <w:lang w:val="en-GB" w:eastAsia="en-GB"/>
              </w:rPr>
            </w:pPr>
          </w:p>
        </w:tc>
        <w:tc>
          <w:tcPr>
            <w:tcW w:w="707" w:type="dxa"/>
            <w:vMerge/>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hideMark/>
          </w:tcPr>
          <w:p w14:paraId="54C22DFE" w14:textId="77777777" w:rsidR="00BB70EB" w:rsidRPr="008D73A7" w:rsidRDefault="00BB70EB" w:rsidP="00BB70EB">
            <w:pPr>
              <w:spacing w:before="0" w:after="0"/>
              <w:rPr>
                <w:rFonts w:cs="Arial"/>
                <w:b/>
                <w:bCs/>
                <w:szCs w:val="20"/>
                <w:lang w:val="en-GB" w:eastAsia="en-GB"/>
              </w:rPr>
            </w:pPr>
          </w:p>
        </w:tc>
        <w:tc>
          <w:tcPr>
            <w:tcW w:w="708" w:type="dxa"/>
            <w:vMerge/>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hideMark/>
          </w:tcPr>
          <w:p w14:paraId="386B5924" w14:textId="77777777" w:rsidR="00BB70EB" w:rsidRPr="008D73A7" w:rsidRDefault="00BB70EB" w:rsidP="00BB70EB">
            <w:pPr>
              <w:spacing w:before="0" w:after="0"/>
              <w:rPr>
                <w:rFonts w:cs="Arial"/>
                <w:b/>
                <w:bCs/>
                <w:szCs w:val="20"/>
                <w:lang w:val="en-GB" w:eastAsia="en-GB"/>
              </w:rPr>
            </w:pPr>
          </w:p>
        </w:tc>
        <w:tc>
          <w:tcPr>
            <w:tcW w:w="850" w:type="dxa"/>
            <w:vMerge/>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hideMark/>
          </w:tcPr>
          <w:p w14:paraId="09479B30" w14:textId="77777777" w:rsidR="00BB70EB" w:rsidRPr="008D73A7" w:rsidRDefault="00BB70EB" w:rsidP="00BB70EB">
            <w:pPr>
              <w:spacing w:before="0" w:after="0"/>
              <w:rPr>
                <w:rFonts w:cs="Arial"/>
                <w:b/>
                <w:bCs/>
                <w:szCs w:val="20"/>
                <w:lang w:val="en-GB" w:eastAsia="en-GB"/>
              </w:rPr>
            </w:pPr>
          </w:p>
        </w:tc>
        <w:tc>
          <w:tcPr>
            <w:tcW w:w="862" w:type="dxa"/>
            <w:vMerge/>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hideMark/>
          </w:tcPr>
          <w:p w14:paraId="1B194380" w14:textId="77777777" w:rsidR="00BB70EB" w:rsidRPr="008D73A7" w:rsidRDefault="00BB70EB" w:rsidP="00BB70EB">
            <w:pPr>
              <w:spacing w:before="0" w:after="0"/>
              <w:rPr>
                <w:rFonts w:cs="Arial"/>
                <w:b/>
                <w:bCs/>
                <w:szCs w:val="20"/>
                <w:lang w:val="en-GB" w:eastAsia="en-GB"/>
              </w:rPr>
            </w:pPr>
          </w:p>
        </w:tc>
        <w:tc>
          <w:tcPr>
            <w:tcW w:w="685" w:type="dxa"/>
            <w:vMerge/>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hideMark/>
          </w:tcPr>
          <w:p w14:paraId="333F4EC8" w14:textId="77777777" w:rsidR="00BB70EB" w:rsidRPr="008D73A7" w:rsidRDefault="00BB70EB" w:rsidP="00BB70EB">
            <w:pPr>
              <w:spacing w:before="0" w:after="0"/>
              <w:rPr>
                <w:rFonts w:cs="Arial"/>
                <w:b/>
                <w:bCs/>
                <w:szCs w:val="20"/>
                <w:lang w:val="en-GB" w:eastAsia="en-GB"/>
              </w:rPr>
            </w:pPr>
          </w:p>
        </w:tc>
        <w:tc>
          <w:tcPr>
            <w:tcW w:w="627" w:type="dxa"/>
            <w:vMerge/>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hideMark/>
          </w:tcPr>
          <w:p w14:paraId="1EBE1ADC" w14:textId="77777777" w:rsidR="00BB70EB" w:rsidRPr="008D73A7" w:rsidRDefault="00BB70EB" w:rsidP="00BB70EB">
            <w:pPr>
              <w:spacing w:before="0" w:after="0"/>
              <w:rPr>
                <w:rFonts w:cs="Arial"/>
                <w:b/>
                <w:bCs/>
                <w:szCs w:val="20"/>
                <w:lang w:val="en-GB" w:eastAsia="en-GB"/>
              </w:rPr>
            </w:pPr>
          </w:p>
        </w:tc>
        <w:tc>
          <w:tcPr>
            <w:tcW w:w="236" w:type="dxa"/>
            <w:tcBorders>
              <w:top w:val="nil"/>
              <w:left w:val="single" w:sz="4" w:space="0" w:color="FFFFFF" w:themeColor="background1"/>
              <w:bottom w:val="nil"/>
              <w:right w:val="nil"/>
            </w:tcBorders>
            <w:shd w:val="clear" w:color="auto" w:fill="auto"/>
            <w:noWrap/>
            <w:vAlign w:val="bottom"/>
            <w:hideMark/>
          </w:tcPr>
          <w:p w14:paraId="7E193958" w14:textId="77777777" w:rsidR="00BB70EB" w:rsidRPr="008D73A7" w:rsidRDefault="00BB70EB" w:rsidP="00BB70EB">
            <w:pPr>
              <w:spacing w:before="0" w:after="0"/>
              <w:jc w:val="center"/>
              <w:rPr>
                <w:rFonts w:cs="Arial"/>
                <w:b/>
                <w:bCs/>
                <w:szCs w:val="20"/>
                <w:lang w:val="en-GB" w:eastAsia="en-GB"/>
              </w:rPr>
            </w:pPr>
          </w:p>
        </w:tc>
      </w:tr>
      <w:tr w:rsidR="004D2EDB" w:rsidRPr="008D73A7" w14:paraId="53B8C833" w14:textId="77777777" w:rsidTr="00FD220C">
        <w:trPr>
          <w:trHeight w:val="270"/>
        </w:trPr>
        <w:tc>
          <w:tcPr>
            <w:tcW w:w="1521"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7BF33940" w14:textId="2F8D9055" w:rsidR="00BB70EB" w:rsidRPr="008D73A7" w:rsidRDefault="00BB70EB" w:rsidP="006E1C0A">
            <w:pPr>
              <w:spacing w:before="60"/>
              <w:rPr>
                <w:rFonts w:cs="Arial"/>
                <w:szCs w:val="20"/>
                <w:lang w:val="en-GB" w:eastAsia="en-GB"/>
              </w:rPr>
            </w:pPr>
            <w:r w:rsidRPr="008D73A7">
              <w:rPr>
                <w:rFonts w:cs="Arial"/>
                <w:szCs w:val="20"/>
                <w:lang w:val="en-GB" w:eastAsia="en-GB"/>
              </w:rPr>
              <w:t>114.25-116</w:t>
            </w:r>
          </w:p>
        </w:tc>
        <w:tc>
          <w:tcPr>
            <w:tcW w:w="1213"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3CE83A18" w14:textId="77777777" w:rsidR="00BB70EB" w:rsidRPr="008D73A7" w:rsidRDefault="00BB70EB" w:rsidP="006E1C0A">
            <w:pPr>
              <w:spacing w:before="60"/>
              <w:jc w:val="right"/>
              <w:rPr>
                <w:rFonts w:cs="Arial"/>
                <w:szCs w:val="20"/>
                <w:lang w:val="en-GB" w:eastAsia="en-GB"/>
              </w:rPr>
            </w:pPr>
            <w:r w:rsidRPr="008D73A7">
              <w:rPr>
                <w:rFonts w:cs="Arial"/>
                <w:szCs w:val="20"/>
                <w:lang w:val="en-GB" w:eastAsia="en-GB"/>
              </w:rPr>
              <w:t>5.340</w:t>
            </w:r>
          </w:p>
        </w:tc>
        <w:tc>
          <w:tcPr>
            <w:tcW w:w="1502"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34098FA6"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6DD8A07A"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7"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2A916BF9"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27E7E87B"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50"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06CE72EE"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62"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391BC970"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85"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7A0B9145"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27"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28D0FE20"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236" w:type="dxa"/>
            <w:tcBorders>
              <w:left w:val="single" w:sz="4" w:space="0" w:color="D2232A"/>
            </w:tcBorders>
            <w:vAlign w:val="center"/>
            <w:hideMark/>
          </w:tcPr>
          <w:p w14:paraId="74B1E76A"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6A5CF6BA" w14:textId="77777777" w:rsidTr="00FD220C">
        <w:trPr>
          <w:trHeight w:val="260"/>
        </w:trPr>
        <w:tc>
          <w:tcPr>
            <w:tcW w:w="1521"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0E4BF237" w14:textId="77777777" w:rsidR="00BB70EB" w:rsidRPr="008D73A7" w:rsidRDefault="00BB70EB" w:rsidP="006E1C0A">
            <w:pPr>
              <w:spacing w:before="60"/>
              <w:rPr>
                <w:rFonts w:cs="Arial"/>
                <w:szCs w:val="20"/>
                <w:lang w:val="en-GB" w:eastAsia="en-GB"/>
              </w:rPr>
            </w:pPr>
            <w:r w:rsidRPr="008D73A7">
              <w:rPr>
                <w:rFonts w:cs="Arial"/>
                <w:szCs w:val="20"/>
                <w:lang w:val="en-GB" w:eastAsia="en-GB"/>
              </w:rPr>
              <w:t>116-122.25</w:t>
            </w:r>
          </w:p>
        </w:tc>
        <w:tc>
          <w:tcPr>
            <w:tcW w:w="1213"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1297E1FA"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1502" w:type="dxa"/>
            <w:tcBorders>
              <w:top w:val="single" w:sz="4" w:space="0" w:color="D2232A"/>
              <w:left w:val="single" w:sz="4" w:space="0" w:color="D2232A"/>
              <w:bottom w:val="single" w:sz="4" w:space="0" w:color="D2232A"/>
              <w:right w:val="single" w:sz="4" w:space="0" w:color="D2232A"/>
            </w:tcBorders>
            <w:shd w:val="clear" w:color="000000" w:fill="FF0000"/>
            <w:noWrap/>
            <w:vAlign w:val="bottom"/>
            <w:hideMark/>
          </w:tcPr>
          <w:p w14:paraId="67C4FDEC" w14:textId="77777777" w:rsidR="00BB70EB" w:rsidRPr="008D73A7" w:rsidRDefault="00BB70EB" w:rsidP="006E1C0A">
            <w:pPr>
              <w:spacing w:before="60"/>
              <w:rPr>
                <w:rFonts w:cs="Arial"/>
                <w:color w:val="FF0000"/>
                <w:szCs w:val="20"/>
                <w:lang w:val="en-GB" w:eastAsia="en-GB"/>
              </w:rPr>
            </w:pPr>
            <w:r w:rsidRPr="008D73A7">
              <w:rPr>
                <w:rFonts w:cs="Arial"/>
                <w:color w:val="FF0000"/>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000000" w:fill="FF0000"/>
            <w:noWrap/>
            <w:vAlign w:val="bottom"/>
            <w:hideMark/>
          </w:tcPr>
          <w:p w14:paraId="0B4E393A"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7"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52F62E86"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4963BD52"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50"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1262C92F"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62"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72CCD41B"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85" w:type="dxa"/>
            <w:tcBorders>
              <w:top w:val="single" w:sz="4" w:space="0" w:color="D2232A"/>
              <w:left w:val="single" w:sz="4" w:space="0" w:color="D2232A"/>
              <w:bottom w:val="single" w:sz="4" w:space="0" w:color="D2232A"/>
              <w:right w:val="single" w:sz="4" w:space="0" w:color="D2232A"/>
            </w:tcBorders>
            <w:shd w:val="clear" w:color="000000" w:fill="FF0000"/>
            <w:noWrap/>
            <w:vAlign w:val="bottom"/>
            <w:hideMark/>
          </w:tcPr>
          <w:p w14:paraId="36F20D50" w14:textId="77777777" w:rsidR="00BB70EB" w:rsidRPr="008D73A7" w:rsidRDefault="00BB70EB" w:rsidP="006E1C0A">
            <w:pPr>
              <w:spacing w:before="60"/>
              <w:rPr>
                <w:rFonts w:cs="Arial"/>
                <w:color w:val="FF0000"/>
                <w:szCs w:val="20"/>
                <w:lang w:val="en-GB" w:eastAsia="en-GB"/>
              </w:rPr>
            </w:pPr>
            <w:r w:rsidRPr="008D73A7">
              <w:rPr>
                <w:rFonts w:cs="Arial"/>
                <w:color w:val="FF0000"/>
                <w:szCs w:val="20"/>
                <w:lang w:val="en-GB" w:eastAsia="en-GB"/>
              </w:rPr>
              <w:t> </w:t>
            </w:r>
          </w:p>
        </w:tc>
        <w:tc>
          <w:tcPr>
            <w:tcW w:w="627" w:type="dxa"/>
            <w:tcBorders>
              <w:top w:val="single" w:sz="4" w:space="0" w:color="D2232A"/>
              <w:left w:val="single" w:sz="4" w:space="0" w:color="D2232A"/>
              <w:bottom w:val="single" w:sz="4" w:space="0" w:color="D2232A"/>
              <w:right w:val="single" w:sz="4" w:space="0" w:color="D2232A"/>
            </w:tcBorders>
            <w:shd w:val="clear" w:color="000000" w:fill="FF0000"/>
            <w:noWrap/>
            <w:vAlign w:val="bottom"/>
            <w:hideMark/>
          </w:tcPr>
          <w:p w14:paraId="7EF5997D" w14:textId="77777777" w:rsidR="00BB70EB" w:rsidRPr="008D73A7" w:rsidRDefault="00BB70EB" w:rsidP="006E1C0A">
            <w:pPr>
              <w:spacing w:before="60"/>
              <w:rPr>
                <w:rFonts w:cs="Arial"/>
                <w:color w:val="FF0000"/>
                <w:szCs w:val="20"/>
                <w:lang w:val="en-GB" w:eastAsia="en-GB"/>
              </w:rPr>
            </w:pPr>
            <w:r w:rsidRPr="008D73A7">
              <w:rPr>
                <w:rFonts w:cs="Arial"/>
                <w:color w:val="FF0000"/>
                <w:szCs w:val="20"/>
                <w:lang w:val="en-GB" w:eastAsia="en-GB"/>
              </w:rPr>
              <w:t> </w:t>
            </w:r>
          </w:p>
        </w:tc>
        <w:tc>
          <w:tcPr>
            <w:tcW w:w="236" w:type="dxa"/>
            <w:tcBorders>
              <w:left w:val="single" w:sz="4" w:space="0" w:color="D2232A"/>
            </w:tcBorders>
            <w:vAlign w:val="center"/>
            <w:hideMark/>
          </w:tcPr>
          <w:p w14:paraId="2F0E520A"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071E245A" w14:textId="77777777" w:rsidTr="00FD220C">
        <w:trPr>
          <w:trHeight w:val="260"/>
        </w:trPr>
        <w:tc>
          <w:tcPr>
            <w:tcW w:w="1521"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3EF85CCF" w14:textId="77777777" w:rsidR="00BB70EB" w:rsidRPr="008D73A7" w:rsidRDefault="00BB70EB" w:rsidP="006E1C0A">
            <w:pPr>
              <w:spacing w:before="60"/>
              <w:rPr>
                <w:rFonts w:cs="Arial"/>
                <w:szCs w:val="20"/>
                <w:lang w:val="en-GB" w:eastAsia="en-GB"/>
              </w:rPr>
            </w:pPr>
            <w:r w:rsidRPr="008D73A7">
              <w:rPr>
                <w:rFonts w:cs="Arial"/>
                <w:szCs w:val="20"/>
                <w:lang w:val="en-GB" w:eastAsia="en-GB"/>
              </w:rPr>
              <w:t>122.25-123</w:t>
            </w:r>
          </w:p>
        </w:tc>
        <w:tc>
          <w:tcPr>
            <w:tcW w:w="1213"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590D3E4D"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1502"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6C1BE64A"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000000" w:fill="FF0000"/>
            <w:noWrap/>
            <w:vAlign w:val="bottom"/>
            <w:hideMark/>
          </w:tcPr>
          <w:p w14:paraId="055E8851"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7"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16A04067"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1CD37301"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50"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76EFC10E"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62"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66CE322A"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85"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0F676DAC"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27"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0DE70EFE"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236" w:type="dxa"/>
            <w:tcBorders>
              <w:left w:val="single" w:sz="4" w:space="0" w:color="D2232A"/>
            </w:tcBorders>
            <w:vAlign w:val="center"/>
            <w:hideMark/>
          </w:tcPr>
          <w:p w14:paraId="7436DFE4"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493A4327" w14:textId="77777777" w:rsidTr="00FD220C">
        <w:trPr>
          <w:trHeight w:val="260"/>
        </w:trPr>
        <w:tc>
          <w:tcPr>
            <w:tcW w:w="1521"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1C762FA9" w14:textId="77777777" w:rsidR="00BB70EB" w:rsidRPr="008D73A7" w:rsidRDefault="00BB70EB" w:rsidP="00575C35">
            <w:pPr>
              <w:spacing w:before="60"/>
              <w:rPr>
                <w:rFonts w:cs="Arial"/>
                <w:szCs w:val="20"/>
                <w:lang w:val="en-GB" w:eastAsia="en-GB"/>
              </w:rPr>
            </w:pPr>
            <w:r w:rsidRPr="008D73A7">
              <w:rPr>
                <w:rFonts w:cs="Arial"/>
                <w:szCs w:val="20"/>
                <w:lang w:val="en-GB" w:eastAsia="en-GB"/>
              </w:rPr>
              <w:t>123-130</w:t>
            </w:r>
          </w:p>
        </w:tc>
        <w:tc>
          <w:tcPr>
            <w:tcW w:w="1213"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7D0F2D0C"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1502"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4A403093"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000000" w:fill="FF0000"/>
            <w:noWrap/>
            <w:vAlign w:val="bottom"/>
            <w:hideMark/>
          </w:tcPr>
          <w:p w14:paraId="1B946420"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707"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26D1E89B"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5DD55900"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850"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5CC434E8"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862"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6E2E954D"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685"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0C228FD4"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627"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24F47E60"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236" w:type="dxa"/>
            <w:tcBorders>
              <w:left w:val="single" w:sz="4" w:space="0" w:color="D2232A"/>
            </w:tcBorders>
            <w:vAlign w:val="center"/>
            <w:hideMark/>
          </w:tcPr>
          <w:p w14:paraId="52A0F1DB"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36F876EC" w14:textId="77777777" w:rsidTr="00FD220C">
        <w:trPr>
          <w:trHeight w:val="260"/>
        </w:trPr>
        <w:tc>
          <w:tcPr>
            <w:tcW w:w="1521"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42E6B829" w14:textId="77777777" w:rsidR="00BB70EB" w:rsidRPr="008D73A7" w:rsidRDefault="00BB70EB" w:rsidP="006E1C0A">
            <w:pPr>
              <w:spacing w:before="60"/>
              <w:rPr>
                <w:rFonts w:cs="Arial"/>
                <w:szCs w:val="20"/>
                <w:lang w:val="en-GB" w:eastAsia="en-GB"/>
              </w:rPr>
            </w:pPr>
            <w:r w:rsidRPr="008D73A7">
              <w:rPr>
                <w:rFonts w:cs="Arial"/>
                <w:szCs w:val="20"/>
                <w:lang w:val="en-GB" w:eastAsia="en-GB"/>
              </w:rPr>
              <w:t>130-134</w:t>
            </w:r>
          </w:p>
        </w:tc>
        <w:tc>
          <w:tcPr>
            <w:tcW w:w="1213"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2833C38E"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1502"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64E1DD13"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47EB0E79"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7"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1F97195E"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02B4E3B9"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50"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7090E900"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62"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02479912"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85"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0FC7F985"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27"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05BC1CB8"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236" w:type="dxa"/>
            <w:tcBorders>
              <w:left w:val="single" w:sz="4" w:space="0" w:color="D2232A"/>
            </w:tcBorders>
            <w:vAlign w:val="center"/>
            <w:hideMark/>
          </w:tcPr>
          <w:p w14:paraId="1CA66835"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7543FB8A" w14:textId="77777777" w:rsidTr="00FD220C">
        <w:trPr>
          <w:trHeight w:val="260"/>
        </w:trPr>
        <w:tc>
          <w:tcPr>
            <w:tcW w:w="1521"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74F70204" w14:textId="77777777" w:rsidR="00BB70EB" w:rsidRPr="008D73A7" w:rsidRDefault="00BB70EB" w:rsidP="006E1C0A">
            <w:pPr>
              <w:spacing w:before="60"/>
              <w:rPr>
                <w:rFonts w:cs="Arial"/>
                <w:szCs w:val="20"/>
                <w:lang w:val="en-GB" w:eastAsia="en-GB"/>
              </w:rPr>
            </w:pPr>
            <w:r w:rsidRPr="008D73A7">
              <w:rPr>
                <w:rFonts w:cs="Arial"/>
                <w:szCs w:val="20"/>
                <w:lang w:val="en-GB" w:eastAsia="en-GB"/>
              </w:rPr>
              <w:t>134-141</w:t>
            </w:r>
          </w:p>
        </w:tc>
        <w:tc>
          <w:tcPr>
            <w:tcW w:w="1213"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43153BD4"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1502"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20A50EE8"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000000" w:fill="FF0000"/>
            <w:noWrap/>
            <w:vAlign w:val="bottom"/>
            <w:hideMark/>
          </w:tcPr>
          <w:p w14:paraId="77399A6B"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7"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77E5E74A"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49E6FBCA"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50"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3D56629A"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62"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36118F34"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85"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5AAF8EE3"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27"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1C0981DE"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236" w:type="dxa"/>
            <w:tcBorders>
              <w:left w:val="single" w:sz="4" w:space="0" w:color="D2232A"/>
            </w:tcBorders>
            <w:vAlign w:val="center"/>
            <w:hideMark/>
          </w:tcPr>
          <w:p w14:paraId="33C7EE9A"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19BCC894" w14:textId="77777777" w:rsidTr="00FD220C">
        <w:trPr>
          <w:trHeight w:val="270"/>
        </w:trPr>
        <w:tc>
          <w:tcPr>
            <w:tcW w:w="1521"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1E7825D4" w14:textId="77777777" w:rsidR="00BB70EB" w:rsidRPr="008D73A7" w:rsidRDefault="00BB70EB" w:rsidP="006E1C0A">
            <w:pPr>
              <w:spacing w:before="60"/>
              <w:rPr>
                <w:rFonts w:cs="Arial"/>
                <w:szCs w:val="20"/>
                <w:lang w:val="en-GB" w:eastAsia="en-GB"/>
              </w:rPr>
            </w:pPr>
            <w:r w:rsidRPr="008D73A7">
              <w:rPr>
                <w:rFonts w:cs="Arial"/>
                <w:szCs w:val="20"/>
                <w:lang w:val="en-GB" w:eastAsia="en-GB"/>
              </w:rPr>
              <w:t>141-148.5</w:t>
            </w:r>
          </w:p>
        </w:tc>
        <w:tc>
          <w:tcPr>
            <w:tcW w:w="1213"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024FEA2B"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1502"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4ED73748"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31709FD3"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7"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48B023E4"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285DAB2F"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50"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2C7CFD3F"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62"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520C2530"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85"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36FB9155"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27"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6C033D1F"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236" w:type="dxa"/>
            <w:tcBorders>
              <w:left w:val="single" w:sz="4" w:space="0" w:color="D2232A"/>
            </w:tcBorders>
            <w:vAlign w:val="center"/>
            <w:hideMark/>
          </w:tcPr>
          <w:p w14:paraId="534CC6E5"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45B43075" w14:textId="77777777" w:rsidTr="00FD220C">
        <w:trPr>
          <w:trHeight w:val="270"/>
        </w:trPr>
        <w:tc>
          <w:tcPr>
            <w:tcW w:w="1521"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4D977C17" w14:textId="77777777" w:rsidR="00BB70EB" w:rsidRPr="008D73A7" w:rsidRDefault="00BB70EB" w:rsidP="00575C35">
            <w:pPr>
              <w:spacing w:before="60"/>
              <w:rPr>
                <w:rFonts w:cs="Arial"/>
                <w:szCs w:val="20"/>
                <w:lang w:val="en-GB" w:eastAsia="en-GB"/>
              </w:rPr>
            </w:pPr>
            <w:r w:rsidRPr="008D73A7">
              <w:rPr>
                <w:rFonts w:cs="Arial"/>
                <w:szCs w:val="20"/>
                <w:lang w:val="en-GB" w:eastAsia="en-GB"/>
              </w:rPr>
              <w:t>148.5-151.5</w:t>
            </w:r>
          </w:p>
        </w:tc>
        <w:tc>
          <w:tcPr>
            <w:tcW w:w="1213"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47806B3A" w14:textId="77777777" w:rsidR="00BB70EB" w:rsidRPr="008D73A7" w:rsidRDefault="00BB70EB" w:rsidP="00575C35">
            <w:pPr>
              <w:spacing w:before="60"/>
              <w:jc w:val="right"/>
              <w:rPr>
                <w:rFonts w:cs="Arial"/>
                <w:szCs w:val="20"/>
                <w:lang w:val="en-GB" w:eastAsia="en-GB"/>
              </w:rPr>
            </w:pPr>
            <w:r w:rsidRPr="008D73A7">
              <w:rPr>
                <w:rFonts w:cs="Arial"/>
                <w:szCs w:val="20"/>
                <w:lang w:val="en-GB" w:eastAsia="en-GB"/>
              </w:rPr>
              <w:t>5.340</w:t>
            </w:r>
          </w:p>
        </w:tc>
        <w:tc>
          <w:tcPr>
            <w:tcW w:w="1502"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249E66FD"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6BE1C65C"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707"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4F839814"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066E1D66"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850"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496A7545"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862" w:type="dxa"/>
            <w:tcBorders>
              <w:top w:val="single" w:sz="4" w:space="0" w:color="D2232A"/>
              <w:left w:val="single" w:sz="4" w:space="0" w:color="D2232A"/>
              <w:bottom w:val="single" w:sz="4" w:space="0" w:color="D2232A"/>
              <w:right w:val="single" w:sz="4" w:space="0" w:color="D2232A"/>
            </w:tcBorders>
            <w:shd w:val="pct12" w:color="FF0000" w:fill="00B050"/>
            <w:noWrap/>
            <w:vAlign w:val="bottom"/>
            <w:hideMark/>
          </w:tcPr>
          <w:p w14:paraId="1421C025"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685"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6DD50A61"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627"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20FC1B42"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236" w:type="dxa"/>
            <w:tcBorders>
              <w:left w:val="single" w:sz="4" w:space="0" w:color="D2232A"/>
            </w:tcBorders>
            <w:vAlign w:val="center"/>
            <w:hideMark/>
          </w:tcPr>
          <w:p w14:paraId="02AE7BBC"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75D2D5A0" w14:textId="77777777" w:rsidTr="00FD220C">
        <w:trPr>
          <w:trHeight w:val="260"/>
        </w:trPr>
        <w:tc>
          <w:tcPr>
            <w:tcW w:w="1521"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3D101AE7" w14:textId="77777777" w:rsidR="00BB70EB" w:rsidRPr="008D73A7" w:rsidRDefault="00BB70EB" w:rsidP="006E1C0A">
            <w:pPr>
              <w:spacing w:before="60"/>
              <w:rPr>
                <w:rFonts w:cs="Arial"/>
                <w:szCs w:val="20"/>
                <w:lang w:val="en-GB" w:eastAsia="en-GB"/>
              </w:rPr>
            </w:pPr>
            <w:r w:rsidRPr="008D73A7">
              <w:rPr>
                <w:rFonts w:cs="Arial"/>
                <w:szCs w:val="20"/>
                <w:lang w:val="en-GB" w:eastAsia="en-GB"/>
              </w:rPr>
              <w:t>151.5-155.5</w:t>
            </w:r>
          </w:p>
        </w:tc>
        <w:tc>
          <w:tcPr>
            <w:tcW w:w="1213"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2DE4EC75"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1502"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4250047E"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12C93443"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7"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4BE6A3B0"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6A227D5D"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50"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48303E3D"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62"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7DD081BF"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85"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430E898D"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27"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1FBFC828"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236" w:type="dxa"/>
            <w:tcBorders>
              <w:left w:val="single" w:sz="4" w:space="0" w:color="D2232A"/>
            </w:tcBorders>
            <w:vAlign w:val="center"/>
            <w:hideMark/>
          </w:tcPr>
          <w:p w14:paraId="1B6E6985"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061BCB13" w14:textId="77777777" w:rsidTr="00FD220C">
        <w:trPr>
          <w:trHeight w:val="260"/>
        </w:trPr>
        <w:tc>
          <w:tcPr>
            <w:tcW w:w="1521"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345A51D0" w14:textId="77777777" w:rsidR="00BB70EB" w:rsidRPr="008D73A7" w:rsidRDefault="00BB70EB" w:rsidP="00575C35">
            <w:pPr>
              <w:spacing w:before="60"/>
              <w:rPr>
                <w:rFonts w:cs="Arial"/>
                <w:szCs w:val="20"/>
                <w:lang w:val="en-GB" w:eastAsia="en-GB"/>
              </w:rPr>
            </w:pPr>
            <w:r w:rsidRPr="008D73A7">
              <w:rPr>
                <w:rFonts w:cs="Arial"/>
                <w:szCs w:val="20"/>
                <w:lang w:val="en-GB" w:eastAsia="en-GB"/>
              </w:rPr>
              <w:t>155.5-158.5</w:t>
            </w:r>
          </w:p>
        </w:tc>
        <w:tc>
          <w:tcPr>
            <w:tcW w:w="1213"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0801679E"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1502"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38F0BDB7"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06AADA7E"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707"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638CD269"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2C7100A7"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850"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0632DFD6"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862"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68C1CE0F"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685"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6E0B13ED"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627"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3A085C51"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236" w:type="dxa"/>
            <w:tcBorders>
              <w:left w:val="single" w:sz="4" w:space="0" w:color="D2232A"/>
            </w:tcBorders>
            <w:vAlign w:val="center"/>
            <w:hideMark/>
          </w:tcPr>
          <w:p w14:paraId="6DCA5495"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6C35A43E" w14:textId="77777777" w:rsidTr="00FD220C">
        <w:trPr>
          <w:trHeight w:val="270"/>
        </w:trPr>
        <w:tc>
          <w:tcPr>
            <w:tcW w:w="1521"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734A3D97" w14:textId="77777777" w:rsidR="00BB70EB" w:rsidRPr="008D73A7" w:rsidRDefault="00BB70EB" w:rsidP="00575C35">
            <w:pPr>
              <w:spacing w:before="60"/>
              <w:rPr>
                <w:rFonts w:cs="Arial"/>
                <w:szCs w:val="20"/>
                <w:lang w:val="en-GB" w:eastAsia="en-GB"/>
              </w:rPr>
            </w:pPr>
            <w:r w:rsidRPr="008D73A7">
              <w:rPr>
                <w:rFonts w:cs="Arial"/>
                <w:szCs w:val="20"/>
                <w:lang w:val="en-GB" w:eastAsia="en-GB"/>
              </w:rPr>
              <w:t>158.5-164</w:t>
            </w:r>
          </w:p>
        </w:tc>
        <w:tc>
          <w:tcPr>
            <w:tcW w:w="1213"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0229B1B6"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1502"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14933D4E"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6FA396ED"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707"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71E1FEC7"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05F7FBBA"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850"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1580C38C"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862"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07DA9573"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685"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67A40A1B"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627"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1B24A9E4"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236" w:type="dxa"/>
            <w:tcBorders>
              <w:left w:val="single" w:sz="4" w:space="0" w:color="D2232A"/>
            </w:tcBorders>
            <w:vAlign w:val="center"/>
            <w:hideMark/>
          </w:tcPr>
          <w:p w14:paraId="689661DF"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0BB9880E" w14:textId="77777777" w:rsidTr="00FD220C">
        <w:trPr>
          <w:trHeight w:val="270"/>
        </w:trPr>
        <w:tc>
          <w:tcPr>
            <w:tcW w:w="1521"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60EABE81" w14:textId="77777777" w:rsidR="00BB70EB" w:rsidRPr="008D73A7" w:rsidRDefault="00BB70EB" w:rsidP="00575C35">
            <w:pPr>
              <w:spacing w:before="60"/>
              <w:rPr>
                <w:rFonts w:cs="Arial"/>
                <w:szCs w:val="20"/>
                <w:lang w:val="en-GB" w:eastAsia="en-GB"/>
              </w:rPr>
            </w:pPr>
            <w:r w:rsidRPr="008D73A7">
              <w:rPr>
                <w:rFonts w:cs="Arial"/>
                <w:szCs w:val="20"/>
                <w:lang w:val="en-GB" w:eastAsia="en-GB"/>
              </w:rPr>
              <w:t>164-167</w:t>
            </w:r>
          </w:p>
        </w:tc>
        <w:tc>
          <w:tcPr>
            <w:tcW w:w="1213"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289B4EEE" w14:textId="77777777" w:rsidR="00BB70EB" w:rsidRPr="008D73A7" w:rsidRDefault="00BB70EB" w:rsidP="00575C35">
            <w:pPr>
              <w:spacing w:before="60"/>
              <w:jc w:val="right"/>
              <w:rPr>
                <w:rFonts w:cs="Arial"/>
                <w:szCs w:val="20"/>
                <w:lang w:val="en-GB" w:eastAsia="en-GB"/>
              </w:rPr>
            </w:pPr>
            <w:r w:rsidRPr="008D73A7">
              <w:rPr>
                <w:rFonts w:cs="Arial"/>
                <w:szCs w:val="20"/>
                <w:lang w:val="en-GB" w:eastAsia="en-GB"/>
              </w:rPr>
              <w:t>5.340</w:t>
            </w:r>
          </w:p>
        </w:tc>
        <w:tc>
          <w:tcPr>
            <w:tcW w:w="1502"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692FC1CC"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682A97EF"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707"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45138A16"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19A534CD"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850"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71E768E6"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862" w:type="dxa"/>
            <w:tcBorders>
              <w:top w:val="single" w:sz="4" w:space="0" w:color="D2232A"/>
              <w:left w:val="single" w:sz="4" w:space="0" w:color="D2232A"/>
              <w:bottom w:val="single" w:sz="4" w:space="0" w:color="D2232A"/>
              <w:right w:val="single" w:sz="4" w:space="0" w:color="D2232A"/>
            </w:tcBorders>
            <w:shd w:val="pct12" w:color="FF0000" w:fill="00B050"/>
            <w:noWrap/>
            <w:vAlign w:val="bottom"/>
            <w:hideMark/>
          </w:tcPr>
          <w:p w14:paraId="55B023E2"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685"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615D7755"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627"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59B7D6BD"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236" w:type="dxa"/>
            <w:tcBorders>
              <w:left w:val="single" w:sz="4" w:space="0" w:color="D2232A"/>
            </w:tcBorders>
            <w:vAlign w:val="center"/>
            <w:hideMark/>
          </w:tcPr>
          <w:p w14:paraId="7CB5E8D9"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498FEA30" w14:textId="77777777" w:rsidTr="00FD220C">
        <w:trPr>
          <w:trHeight w:val="260"/>
        </w:trPr>
        <w:tc>
          <w:tcPr>
            <w:tcW w:w="1521"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0A3D11C8" w14:textId="77777777" w:rsidR="00BB70EB" w:rsidRPr="008D73A7" w:rsidRDefault="00BB70EB" w:rsidP="00575C35">
            <w:pPr>
              <w:spacing w:before="60"/>
              <w:rPr>
                <w:rFonts w:cs="Arial"/>
                <w:szCs w:val="20"/>
                <w:lang w:val="en-GB" w:eastAsia="en-GB"/>
              </w:rPr>
            </w:pPr>
            <w:r w:rsidRPr="008D73A7">
              <w:rPr>
                <w:rFonts w:cs="Arial"/>
                <w:szCs w:val="20"/>
                <w:lang w:val="en-GB" w:eastAsia="en-GB"/>
              </w:rPr>
              <w:t>167-174.8</w:t>
            </w:r>
          </w:p>
        </w:tc>
        <w:tc>
          <w:tcPr>
            <w:tcW w:w="1213"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63DFEBA3"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1502"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205FBF15"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14324D91"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707"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68D66B58"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04E10D9A"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850"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48D37F5F"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862"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74CA42B7"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685"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0E6E5334"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627"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397ABAF2"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236" w:type="dxa"/>
            <w:tcBorders>
              <w:left w:val="single" w:sz="4" w:space="0" w:color="D2232A"/>
            </w:tcBorders>
            <w:vAlign w:val="center"/>
            <w:hideMark/>
          </w:tcPr>
          <w:p w14:paraId="3462B393"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47E24CA6" w14:textId="77777777" w:rsidTr="00FD220C">
        <w:trPr>
          <w:trHeight w:val="270"/>
        </w:trPr>
        <w:tc>
          <w:tcPr>
            <w:tcW w:w="1521"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311820D6" w14:textId="77777777" w:rsidR="00BB70EB" w:rsidRPr="008D73A7" w:rsidRDefault="00BB70EB" w:rsidP="00575C35">
            <w:pPr>
              <w:spacing w:before="60"/>
              <w:rPr>
                <w:rFonts w:cs="Arial"/>
                <w:szCs w:val="20"/>
                <w:lang w:val="en-GB" w:eastAsia="en-GB"/>
              </w:rPr>
            </w:pPr>
            <w:r w:rsidRPr="008D73A7">
              <w:rPr>
                <w:rFonts w:cs="Arial"/>
                <w:szCs w:val="20"/>
                <w:lang w:val="en-GB" w:eastAsia="en-GB"/>
              </w:rPr>
              <w:t>174.8-182</w:t>
            </w:r>
          </w:p>
        </w:tc>
        <w:tc>
          <w:tcPr>
            <w:tcW w:w="1213"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05B06CB7"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1502"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5C475A15"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3857BAE9"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707"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18AA49F9"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57E49A51"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850"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7800EC7D"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862"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567D7A29"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685"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26C44F63"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627"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5426504C"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236" w:type="dxa"/>
            <w:tcBorders>
              <w:left w:val="single" w:sz="4" w:space="0" w:color="D2232A"/>
            </w:tcBorders>
            <w:vAlign w:val="center"/>
            <w:hideMark/>
          </w:tcPr>
          <w:p w14:paraId="5CE34A73"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00F22CA4" w14:textId="77777777" w:rsidTr="00FD220C">
        <w:trPr>
          <w:trHeight w:val="270"/>
        </w:trPr>
        <w:tc>
          <w:tcPr>
            <w:tcW w:w="1521"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6146B78A" w14:textId="77777777" w:rsidR="00BB70EB" w:rsidRPr="008D73A7" w:rsidRDefault="00BB70EB" w:rsidP="00575C35">
            <w:pPr>
              <w:spacing w:before="60"/>
              <w:rPr>
                <w:rFonts w:cs="Arial"/>
                <w:szCs w:val="20"/>
                <w:lang w:val="en-GB" w:eastAsia="en-GB"/>
              </w:rPr>
            </w:pPr>
            <w:r w:rsidRPr="008D73A7">
              <w:rPr>
                <w:rFonts w:cs="Arial"/>
                <w:szCs w:val="20"/>
                <w:lang w:val="en-GB" w:eastAsia="en-GB"/>
              </w:rPr>
              <w:t>182-185</w:t>
            </w:r>
          </w:p>
        </w:tc>
        <w:tc>
          <w:tcPr>
            <w:tcW w:w="1213"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70FC0EBC" w14:textId="77777777" w:rsidR="00BB70EB" w:rsidRPr="008D73A7" w:rsidRDefault="00BB70EB" w:rsidP="00575C35">
            <w:pPr>
              <w:spacing w:before="60"/>
              <w:jc w:val="right"/>
              <w:rPr>
                <w:rFonts w:cs="Arial"/>
                <w:szCs w:val="20"/>
                <w:lang w:val="en-GB" w:eastAsia="en-GB"/>
              </w:rPr>
            </w:pPr>
            <w:r w:rsidRPr="008D73A7">
              <w:rPr>
                <w:rFonts w:cs="Arial"/>
                <w:szCs w:val="20"/>
                <w:lang w:val="en-GB" w:eastAsia="en-GB"/>
              </w:rPr>
              <w:t>5.340</w:t>
            </w:r>
          </w:p>
        </w:tc>
        <w:tc>
          <w:tcPr>
            <w:tcW w:w="1502"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10CE27D4"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4FDAA849"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707"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1276E22C"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75CF69CE"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850"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311AEA0A"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862" w:type="dxa"/>
            <w:tcBorders>
              <w:top w:val="single" w:sz="4" w:space="0" w:color="D2232A"/>
              <w:left w:val="single" w:sz="4" w:space="0" w:color="D2232A"/>
              <w:bottom w:val="single" w:sz="4" w:space="0" w:color="D2232A"/>
              <w:right w:val="single" w:sz="4" w:space="0" w:color="D2232A"/>
            </w:tcBorders>
            <w:shd w:val="pct12" w:color="FF0000" w:fill="00B050"/>
            <w:noWrap/>
            <w:vAlign w:val="bottom"/>
            <w:hideMark/>
          </w:tcPr>
          <w:p w14:paraId="7091522E"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685"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120A92AB"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627"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3AA96996"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236" w:type="dxa"/>
            <w:tcBorders>
              <w:left w:val="single" w:sz="4" w:space="0" w:color="D2232A"/>
            </w:tcBorders>
            <w:vAlign w:val="center"/>
            <w:hideMark/>
          </w:tcPr>
          <w:p w14:paraId="10447391"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5694AE27" w14:textId="77777777" w:rsidTr="00FD220C">
        <w:trPr>
          <w:trHeight w:val="270"/>
        </w:trPr>
        <w:tc>
          <w:tcPr>
            <w:tcW w:w="1521"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2D68B808" w14:textId="77777777" w:rsidR="00BB70EB" w:rsidRPr="008D73A7" w:rsidRDefault="00BB70EB" w:rsidP="00575C35">
            <w:pPr>
              <w:spacing w:before="60"/>
              <w:rPr>
                <w:rFonts w:cs="Arial"/>
                <w:szCs w:val="20"/>
                <w:lang w:val="en-GB" w:eastAsia="en-GB"/>
              </w:rPr>
            </w:pPr>
            <w:r w:rsidRPr="008D73A7">
              <w:rPr>
                <w:rFonts w:cs="Arial"/>
                <w:szCs w:val="20"/>
                <w:lang w:val="en-GB" w:eastAsia="en-GB"/>
              </w:rPr>
              <w:t>185-190</w:t>
            </w:r>
          </w:p>
        </w:tc>
        <w:tc>
          <w:tcPr>
            <w:tcW w:w="1213"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2568E2A6"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1502"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43CBC8AE"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7BDE94E6"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707"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250325A8"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04C8594E"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850"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1516AC74"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862"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21E28A93"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685"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0AEAF83B"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627"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7341A634" w14:textId="77777777" w:rsidR="00BB70EB" w:rsidRPr="008D73A7" w:rsidRDefault="00BB70EB" w:rsidP="00575C35">
            <w:pPr>
              <w:spacing w:before="60"/>
              <w:rPr>
                <w:rFonts w:cs="Arial"/>
                <w:szCs w:val="20"/>
                <w:lang w:val="en-GB" w:eastAsia="en-GB"/>
              </w:rPr>
            </w:pPr>
            <w:r w:rsidRPr="008D73A7">
              <w:rPr>
                <w:rFonts w:cs="Arial"/>
                <w:szCs w:val="20"/>
                <w:lang w:val="en-GB" w:eastAsia="en-GB"/>
              </w:rPr>
              <w:t> </w:t>
            </w:r>
          </w:p>
        </w:tc>
        <w:tc>
          <w:tcPr>
            <w:tcW w:w="236" w:type="dxa"/>
            <w:tcBorders>
              <w:left w:val="single" w:sz="4" w:space="0" w:color="D2232A"/>
            </w:tcBorders>
            <w:vAlign w:val="center"/>
            <w:hideMark/>
          </w:tcPr>
          <w:p w14:paraId="389210A0"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7651B5BE" w14:textId="77777777" w:rsidTr="00FD220C">
        <w:trPr>
          <w:trHeight w:val="270"/>
        </w:trPr>
        <w:tc>
          <w:tcPr>
            <w:tcW w:w="1521"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20E9FAD1" w14:textId="3121EF5A" w:rsidR="00BB70EB" w:rsidRPr="008D73A7" w:rsidRDefault="00BB70EB" w:rsidP="0049741A">
            <w:pPr>
              <w:spacing w:before="60"/>
              <w:rPr>
                <w:rFonts w:cs="Arial"/>
                <w:szCs w:val="20"/>
                <w:lang w:val="en-GB" w:eastAsia="en-GB"/>
              </w:rPr>
            </w:pPr>
            <w:r w:rsidRPr="008D73A7">
              <w:rPr>
                <w:rFonts w:cs="Arial"/>
                <w:szCs w:val="20"/>
                <w:lang w:val="en-GB" w:eastAsia="en-GB"/>
              </w:rPr>
              <w:lastRenderedPageBreak/>
              <w:t>190-191.8</w:t>
            </w:r>
          </w:p>
        </w:tc>
        <w:tc>
          <w:tcPr>
            <w:tcW w:w="1213"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4B47E5F0" w14:textId="77777777" w:rsidR="00BB70EB" w:rsidRPr="008D73A7" w:rsidRDefault="00BB70EB" w:rsidP="0049741A">
            <w:pPr>
              <w:spacing w:before="60"/>
              <w:jc w:val="right"/>
              <w:rPr>
                <w:rFonts w:cs="Arial"/>
                <w:szCs w:val="20"/>
                <w:lang w:val="en-GB" w:eastAsia="en-GB"/>
              </w:rPr>
            </w:pPr>
            <w:r w:rsidRPr="008D73A7">
              <w:rPr>
                <w:rFonts w:cs="Arial"/>
                <w:szCs w:val="20"/>
                <w:lang w:val="en-GB" w:eastAsia="en-GB"/>
              </w:rPr>
              <w:t>5.340</w:t>
            </w:r>
          </w:p>
        </w:tc>
        <w:tc>
          <w:tcPr>
            <w:tcW w:w="1502"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204D0301" w14:textId="77777777" w:rsidR="00BB70EB" w:rsidRPr="008D73A7" w:rsidRDefault="00BB70EB" w:rsidP="0049741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4578F689" w14:textId="77777777" w:rsidR="00BB70EB" w:rsidRPr="008D73A7" w:rsidRDefault="00BB70EB" w:rsidP="0049741A">
            <w:pPr>
              <w:spacing w:before="60"/>
              <w:rPr>
                <w:rFonts w:cs="Arial"/>
                <w:szCs w:val="20"/>
                <w:lang w:val="en-GB" w:eastAsia="en-GB"/>
              </w:rPr>
            </w:pPr>
            <w:r w:rsidRPr="008D73A7">
              <w:rPr>
                <w:rFonts w:cs="Arial"/>
                <w:szCs w:val="20"/>
                <w:lang w:val="en-GB" w:eastAsia="en-GB"/>
              </w:rPr>
              <w:t> </w:t>
            </w:r>
          </w:p>
        </w:tc>
        <w:tc>
          <w:tcPr>
            <w:tcW w:w="707"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4C96AFF3" w14:textId="77777777" w:rsidR="00BB70EB" w:rsidRPr="008D73A7" w:rsidRDefault="00BB70EB" w:rsidP="0049741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4BE8D05F" w14:textId="77777777" w:rsidR="00BB70EB" w:rsidRPr="008D73A7" w:rsidRDefault="00BB70EB" w:rsidP="0049741A">
            <w:pPr>
              <w:spacing w:before="60"/>
              <w:rPr>
                <w:rFonts w:cs="Arial"/>
                <w:szCs w:val="20"/>
                <w:lang w:val="en-GB" w:eastAsia="en-GB"/>
              </w:rPr>
            </w:pPr>
            <w:r w:rsidRPr="008D73A7">
              <w:rPr>
                <w:rFonts w:cs="Arial"/>
                <w:szCs w:val="20"/>
                <w:lang w:val="en-GB" w:eastAsia="en-GB"/>
              </w:rPr>
              <w:t> </w:t>
            </w:r>
          </w:p>
        </w:tc>
        <w:tc>
          <w:tcPr>
            <w:tcW w:w="850"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3D8EB736" w14:textId="77777777" w:rsidR="00BB70EB" w:rsidRPr="008D73A7" w:rsidRDefault="00BB70EB" w:rsidP="0049741A">
            <w:pPr>
              <w:spacing w:before="60"/>
              <w:rPr>
                <w:rFonts w:cs="Arial"/>
                <w:szCs w:val="20"/>
                <w:lang w:val="en-GB" w:eastAsia="en-GB"/>
              </w:rPr>
            </w:pPr>
            <w:r w:rsidRPr="008D73A7">
              <w:rPr>
                <w:rFonts w:cs="Arial"/>
                <w:szCs w:val="20"/>
                <w:lang w:val="en-GB" w:eastAsia="en-GB"/>
              </w:rPr>
              <w:t> </w:t>
            </w:r>
          </w:p>
        </w:tc>
        <w:tc>
          <w:tcPr>
            <w:tcW w:w="862" w:type="dxa"/>
            <w:tcBorders>
              <w:top w:val="single" w:sz="4" w:space="0" w:color="D2232A"/>
              <w:left w:val="single" w:sz="4" w:space="0" w:color="D2232A"/>
              <w:bottom w:val="single" w:sz="4" w:space="0" w:color="D2232A"/>
              <w:right w:val="single" w:sz="4" w:space="0" w:color="D2232A"/>
            </w:tcBorders>
            <w:shd w:val="pct12" w:color="FF0000" w:fill="00B050"/>
            <w:noWrap/>
            <w:vAlign w:val="bottom"/>
            <w:hideMark/>
          </w:tcPr>
          <w:p w14:paraId="27175F45" w14:textId="77777777" w:rsidR="00BB70EB" w:rsidRPr="008D73A7" w:rsidRDefault="00BB70EB" w:rsidP="0049741A">
            <w:pPr>
              <w:spacing w:before="60"/>
              <w:rPr>
                <w:rFonts w:cs="Arial"/>
                <w:szCs w:val="20"/>
                <w:lang w:val="en-GB" w:eastAsia="en-GB"/>
              </w:rPr>
            </w:pPr>
            <w:r w:rsidRPr="008D73A7">
              <w:rPr>
                <w:rFonts w:cs="Arial"/>
                <w:szCs w:val="20"/>
                <w:lang w:val="en-GB" w:eastAsia="en-GB"/>
              </w:rPr>
              <w:t> </w:t>
            </w:r>
          </w:p>
        </w:tc>
        <w:tc>
          <w:tcPr>
            <w:tcW w:w="685"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46AEACF0" w14:textId="77777777" w:rsidR="00BB70EB" w:rsidRPr="008D73A7" w:rsidRDefault="00BB70EB" w:rsidP="0049741A">
            <w:pPr>
              <w:spacing w:before="60"/>
              <w:rPr>
                <w:rFonts w:cs="Arial"/>
                <w:szCs w:val="20"/>
                <w:lang w:val="en-GB" w:eastAsia="en-GB"/>
              </w:rPr>
            </w:pPr>
            <w:r w:rsidRPr="008D73A7">
              <w:rPr>
                <w:rFonts w:cs="Arial"/>
                <w:szCs w:val="20"/>
                <w:lang w:val="en-GB" w:eastAsia="en-GB"/>
              </w:rPr>
              <w:t> </w:t>
            </w:r>
          </w:p>
        </w:tc>
        <w:tc>
          <w:tcPr>
            <w:tcW w:w="627"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362D48FB" w14:textId="77777777" w:rsidR="00BB70EB" w:rsidRPr="008D73A7" w:rsidRDefault="00BB70EB" w:rsidP="0049741A">
            <w:pPr>
              <w:spacing w:before="60"/>
              <w:rPr>
                <w:rFonts w:cs="Arial"/>
                <w:szCs w:val="20"/>
                <w:lang w:val="en-GB" w:eastAsia="en-GB"/>
              </w:rPr>
            </w:pPr>
            <w:r w:rsidRPr="008D73A7">
              <w:rPr>
                <w:rFonts w:cs="Arial"/>
                <w:szCs w:val="20"/>
                <w:lang w:val="en-GB" w:eastAsia="en-GB"/>
              </w:rPr>
              <w:t> </w:t>
            </w:r>
          </w:p>
        </w:tc>
        <w:tc>
          <w:tcPr>
            <w:tcW w:w="236" w:type="dxa"/>
            <w:tcBorders>
              <w:left w:val="single" w:sz="4" w:space="0" w:color="D2232A"/>
            </w:tcBorders>
            <w:vAlign w:val="center"/>
            <w:hideMark/>
          </w:tcPr>
          <w:p w14:paraId="02559E34"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317EB0D1" w14:textId="77777777" w:rsidTr="00FD220C">
        <w:trPr>
          <w:trHeight w:val="270"/>
        </w:trPr>
        <w:tc>
          <w:tcPr>
            <w:tcW w:w="1521"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67E949CA" w14:textId="77777777" w:rsidR="00BB70EB" w:rsidRPr="008D73A7" w:rsidRDefault="00BB70EB" w:rsidP="006E1C0A">
            <w:pPr>
              <w:spacing w:before="60"/>
              <w:rPr>
                <w:rFonts w:cs="Arial"/>
                <w:szCs w:val="20"/>
                <w:lang w:val="en-GB" w:eastAsia="en-GB"/>
              </w:rPr>
            </w:pPr>
            <w:r w:rsidRPr="008D73A7">
              <w:rPr>
                <w:rFonts w:cs="Arial"/>
                <w:szCs w:val="20"/>
                <w:lang w:val="en-GB" w:eastAsia="en-GB"/>
              </w:rPr>
              <w:t>191.8-200</w:t>
            </w:r>
          </w:p>
        </w:tc>
        <w:tc>
          <w:tcPr>
            <w:tcW w:w="1213"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7BC0AB7D"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1502"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297FC3D6"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2588B219"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7"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08253C42"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178554EB"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50"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711783E6"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62"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2E2C082A"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85"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6A42059A"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27"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01DDD6B1"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236" w:type="dxa"/>
            <w:tcBorders>
              <w:left w:val="single" w:sz="4" w:space="0" w:color="D2232A"/>
            </w:tcBorders>
            <w:vAlign w:val="center"/>
            <w:hideMark/>
          </w:tcPr>
          <w:p w14:paraId="3681ED70"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688CB88A" w14:textId="77777777" w:rsidTr="00FD220C">
        <w:trPr>
          <w:trHeight w:val="270"/>
        </w:trPr>
        <w:tc>
          <w:tcPr>
            <w:tcW w:w="1521"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64520536" w14:textId="77777777" w:rsidR="00BB70EB" w:rsidRPr="008D73A7" w:rsidRDefault="00BB70EB" w:rsidP="006E1C0A">
            <w:pPr>
              <w:spacing w:before="60"/>
              <w:rPr>
                <w:rFonts w:cs="Arial"/>
                <w:szCs w:val="20"/>
                <w:lang w:val="en-GB" w:eastAsia="en-GB"/>
              </w:rPr>
            </w:pPr>
            <w:r w:rsidRPr="008D73A7">
              <w:rPr>
                <w:rFonts w:cs="Arial"/>
                <w:szCs w:val="20"/>
                <w:lang w:val="en-GB" w:eastAsia="en-GB"/>
              </w:rPr>
              <w:t>200-209</w:t>
            </w:r>
          </w:p>
        </w:tc>
        <w:tc>
          <w:tcPr>
            <w:tcW w:w="1213"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399EC6CE" w14:textId="77777777" w:rsidR="00BB70EB" w:rsidRPr="008D73A7" w:rsidRDefault="00BB70EB" w:rsidP="006E1C0A">
            <w:pPr>
              <w:spacing w:before="60"/>
              <w:jc w:val="right"/>
              <w:rPr>
                <w:rFonts w:cs="Arial"/>
                <w:szCs w:val="20"/>
                <w:lang w:val="en-GB" w:eastAsia="en-GB"/>
              </w:rPr>
            </w:pPr>
            <w:r w:rsidRPr="008D73A7">
              <w:rPr>
                <w:rFonts w:cs="Arial"/>
                <w:szCs w:val="20"/>
                <w:lang w:val="en-GB" w:eastAsia="en-GB"/>
              </w:rPr>
              <w:t>5.340</w:t>
            </w:r>
          </w:p>
        </w:tc>
        <w:tc>
          <w:tcPr>
            <w:tcW w:w="1502"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1B3D8CAD"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234A9966"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7"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7FEB9BA4"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0CBEEE9F"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50"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13D50FF9"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62" w:type="dxa"/>
            <w:tcBorders>
              <w:top w:val="single" w:sz="4" w:space="0" w:color="D2232A"/>
              <w:left w:val="single" w:sz="4" w:space="0" w:color="D2232A"/>
              <w:bottom w:val="single" w:sz="4" w:space="0" w:color="D2232A"/>
              <w:right w:val="single" w:sz="4" w:space="0" w:color="D2232A"/>
            </w:tcBorders>
            <w:shd w:val="pct12" w:color="FF0000" w:fill="00B050"/>
            <w:noWrap/>
            <w:vAlign w:val="bottom"/>
            <w:hideMark/>
          </w:tcPr>
          <w:p w14:paraId="6FD27E7F"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85"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794BD36E"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27"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6CFB288E"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236" w:type="dxa"/>
            <w:tcBorders>
              <w:left w:val="single" w:sz="4" w:space="0" w:color="D2232A"/>
            </w:tcBorders>
            <w:vAlign w:val="center"/>
            <w:hideMark/>
          </w:tcPr>
          <w:p w14:paraId="7A4FCAB1"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446BCADA" w14:textId="77777777" w:rsidTr="00FD220C">
        <w:trPr>
          <w:trHeight w:val="270"/>
        </w:trPr>
        <w:tc>
          <w:tcPr>
            <w:tcW w:w="1521"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79EB93DA" w14:textId="77777777" w:rsidR="00BB70EB" w:rsidRPr="008D73A7" w:rsidRDefault="00BB70EB" w:rsidP="006E1C0A">
            <w:pPr>
              <w:spacing w:before="60"/>
              <w:rPr>
                <w:rFonts w:cs="Arial"/>
                <w:szCs w:val="20"/>
                <w:lang w:val="en-GB" w:eastAsia="en-GB"/>
              </w:rPr>
            </w:pPr>
            <w:r w:rsidRPr="008D73A7">
              <w:rPr>
                <w:rFonts w:cs="Arial"/>
                <w:szCs w:val="20"/>
                <w:lang w:val="en-GB" w:eastAsia="en-GB"/>
              </w:rPr>
              <w:t>209-226</w:t>
            </w:r>
          </w:p>
        </w:tc>
        <w:tc>
          <w:tcPr>
            <w:tcW w:w="1213"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5D941684"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1502"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1530BDC4"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09ECCCB1"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7"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5C755686"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1C8543AD"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50"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3F81F407"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62"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777B8283"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85"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584AD0DA"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27"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493B1F60"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236" w:type="dxa"/>
            <w:tcBorders>
              <w:left w:val="single" w:sz="4" w:space="0" w:color="D2232A"/>
            </w:tcBorders>
            <w:vAlign w:val="center"/>
            <w:hideMark/>
          </w:tcPr>
          <w:p w14:paraId="7C2F7A17"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45C58B37" w14:textId="77777777" w:rsidTr="00FD220C">
        <w:trPr>
          <w:trHeight w:val="270"/>
        </w:trPr>
        <w:tc>
          <w:tcPr>
            <w:tcW w:w="1521"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7651E8D4" w14:textId="77777777" w:rsidR="00BB70EB" w:rsidRPr="008D73A7" w:rsidRDefault="00BB70EB" w:rsidP="006E1C0A">
            <w:pPr>
              <w:spacing w:before="60"/>
              <w:rPr>
                <w:rFonts w:cs="Arial"/>
                <w:szCs w:val="20"/>
                <w:lang w:val="en-GB" w:eastAsia="en-GB"/>
              </w:rPr>
            </w:pPr>
            <w:r w:rsidRPr="008D73A7">
              <w:rPr>
                <w:rFonts w:cs="Arial"/>
                <w:szCs w:val="20"/>
                <w:lang w:val="en-GB" w:eastAsia="en-GB"/>
              </w:rPr>
              <w:t>226-231.5</w:t>
            </w:r>
          </w:p>
        </w:tc>
        <w:tc>
          <w:tcPr>
            <w:tcW w:w="1213"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3F5E12D7" w14:textId="77777777" w:rsidR="00BB70EB" w:rsidRPr="008D73A7" w:rsidRDefault="00BB70EB" w:rsidP="006E1C0A">
            <w:pPr>
              <w:spacing w:before="60"/>
              <w:jc w:val="right"/>
              <w:rPr>
                <w:rFonts w:cs="Arial"/>
                <w:szCs w:val="20"/>
                <w:lang w:val="en-GB" w:eastAsia="en-GB"/>
              </w:rPr>
            </w:pPr>
            <w:r w:rsidRPr="008D73A7">
              <w:rPr>
                <w:rFonts w:cs="Arial"/>
                <w:szCs w:val="20"/>
                <w:lang w:val="en-GB" w:eastAsia="en-GB"/>
              </w:rPr>
              <w:t>5.340</w:t>
            </w:r>
          </w:p>
        </w:tc>
        <w:tc>
          <w:tcPr>
            <w:tcW w:w="1502"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17058578"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49DE0B62"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7"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666790AE"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2E265A80"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50"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106A9A93"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62" w:type="dxa"/>
            <w:tcBorders>
              <w:top w:val="single" w:sz="4" w:space="0" w:color="D2232A"/>
              <w:left w:val="single" w:sz="4" w:space="0" w:color="D2232A"/>
              <w:bottom w:val="single" w:sz="4" w:space="0" w:color="D2232A"/>
              <w:right w:val="single" w:sz="4" w:space="0" w:color="D2232A"/>
            </w:tcBorders>
            <w:shd w:val="pct12" w:color="FF0000" w:fill="00B050"/>
            <w:noWrap/>
            <w:vAlign w:val="bottom"/>
            <w:hideMark/>
          </w:tcPr>
          <w:p w14:paraId="64B8A41C"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85"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1A7CB48B"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27"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3D270154"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236" w:type="dxa"/>
            <w:tcBorders>
              <w:left w:val="single" w:sz="4" w:space="0" w:color="D2232A"/>
            </w:tcBorders>
            <w:vAlign w:val="center"/>
            <w:hideMark/>
          </w:tcPr>
          <w:p w14:paraId="1C6ABC46"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3ADC6F68" w14:textId="77777777" w:rsidTr="00FD220C">
        <w:trPr>
          <w:trHeight w:val="260"/>
        </w:trPr>
        <w:tc>
          <w:tcPr>
            <w:tcW w:w="1521"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467AA940" w14:textId="77777777" w:rsidR="00BB70EB" w:rsidRPr="008D73A7" w:rsidRDefault="00BB70EB" w:rsidP="006E1C0A">
            <w:pPr>
              <w:spacing w:before="60"/>
              <w:rPr>
                <w:rFonts w:cs="Arial"/>
                <w:szCs w:val="20"/>
                <w:lang w:val="en-GB" w:eastAsia="en-GB"/>
              </w:rPr>
            </w:pPr>
            <w:r w:rsidRPr="008D73A7">
              <w:rPr>
                <w:rFonts w:cs="Arial"/>
                <w:szCs w:val="20"/>
                <w:lang w:val="en-GB" w:eastAsia="en-GB"/>
              </w:rPr>
              <w:t>231.5-235</w:t>
            </w:r>
          </w:p>
        </w:tc>
        <w:tc>
          <w:tcPr>
            <w:tcW w:w="1213"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6ABBE825"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1502"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45C5C2DC"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4ED14F95"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7"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4EE6E2EA"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0A9C1868"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50"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216108C1"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62"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229985B8"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85"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76ABA0C2"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27"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3143262B"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236" w:type="dxa"/>
            <w:tcBorders>
              <w:left w:val="single" w:sz="4" w:space="0" w:color="D2232A"/>
            </w:tcBorders>
            <w:vAlign w:val="center"/>
            <w:hideMark/>
          </w:tcPr>
          <w:p w14:paraId="781C047A"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26861527" w14:textId="77777777" w:rsidTr="00FD220C">
        <w:trPr>
          <w:trHeight w:val="260"/>
        </w:trPr>
        <w:tc>
          <w:tcPr>
            <w:tcW w:w="1521"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12B6D74A" w14:textId="77777777" w:rsidR="00BB70EB" w:rsidRPr="008D73A7" w:rsidRDefault="00BB70EB" w:rsidP="006E1C0A">
            <w:pPr>
              <w:spacing w:before="60"/>
              <w:rPr>
                <w:rFonts w:cs="Arial"/>
                <w:szCs w:val="20"/>
                <w:lang w:val="en-GB" w:eastAsia="en-GB"/>
              </w:rPr>
            </w:pPr>
            <w:r w:rsidRPr="008D73A7">
              <w:rPr>
                <w:rFonts w:cs="Arial"/>
                <w:szCs w:val="20"/>
                <w:lang w:val="en-GB" w:eastAsia="en-GB"/>
              </w:rPr>
              <w:t>235-238</w:t>
            </w:r>
          </w:p>
        </w:tc>
        <w:tc>
          <w:tcPr>
            <w:tcW w:w="1213"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0B6DF1E0"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1502"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13E4D680"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4D05A1D9"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7"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6C1EE842"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78C1116D"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50"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21C680B4"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62"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574447D7"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85"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7184E3C3"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27"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122295D2"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236" w:type="dxa"/>
            <w:tcBorders>
              <w:left w:val="single" w:sz="4" w:space="0" w:color="D2232A"/>
            </w:tcBorders>
            <w:vAlign w:val="center"/>
            <w:hideMark/>
          </w:tcPr>
          <w:p w14:paraId="53DA5502"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75E04988" w14:textId="77777777" w:rsidTr="00FD220C">
        <w:trPr>
          <w:trHeight w:val="260"/>
        </w:trPr>
        <w:tc>
          <w:tcPr>
            <w:tcW w:w="1521"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536506BD" w14:textId="77777777" w:rsidR="00BB70EB" w:rsidRPr="008D73A7" w:rsidRDefault="00BB70EB" w:rsidP="006E1C0A">
            <w:pPr>
              <w:spacing w:before="60"/>
              <w:rPr>
                <w:rFonts w:cs="Arial"/>
                <w:szCs w:val="20"/>
                <w:lang w:val="en-GB" w:eastAsia="en-GB"/>
              </w:rPr>
            </w:pPr>
            <w:r w:rsidRPr="008D73A7">
              <w:rPr>
                <w:rFonts w:cs="Arial"/>
                <w:szCs w:val="20"/>
                <w:lang w:val="en-GB" w:eastAsia="en-GB"/>
              </w:rPr>
              <w:t>238-241</w:t>
            </w:r>
          </w:p>
        </w:tc>
        <w:tc>
          <w:tcPr>
            <w:tcW w:w="1213"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65C051CE"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1502"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1E0F412D"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4A44200E"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7"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328EA895"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25E61A65"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50"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078F6C5C"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62"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243CCCD5"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85"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4B8ABED3"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27"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24C78E61"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236" w:type="dxa"/>
            <w:tcBorders>
              <w:left w:val="single" w:sz="4" w:space="0" w:color="D2232A"/>
            </w:tcBorders>
            <w:vAlign w:val="center"/>
            <w:hideMark/>
          </w:tcPr>
          <w:p w14:paraId="16ADDE08"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778251AA" w14:textId="77777777" w:rsidTr="00FD220C">
        <w:trPr>
          <w:trHeight w:val="270"/>
        </w:trPr>
        <w:tc>
          <w:tcPr>
            <w:tcW w:w="1521"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4DF18F0C" w14:textId="77777777" w:rsidR="00BB70EB" w:rsidRPr="008D73A7" w:rsidRDefault="00BB70EB" w:rsidP="006E1C0A">
            <w:pPr>
              <w:spacing w:before="60"/>
              <w:rPr>
                <w:rFonts w:cs="Arial"/>
                <w:szCs w:val="20"/>
                <w:lang w:val="en-GB" w:eastAsia="en-GB"/>
              </w:rPr>
            </w:pPr>
            <w:r w:rsidRPr="008D73A7">
              <w:rPr>
                <w:rFonts w:cs="Arial"/>
                <w:szCs w:val="20"/>
                <w:lang w:val="en-GB" w:eastAsia="en-GB"/>
              </w:rPr>
              <w:t>241-250</w:t>
            </w:r>
          </w:p>
        </w:tc>
        <w:tc>
          <w:tcPr>
            <w:tcW w:w="1213"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47099FCB"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1502"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5743FFD1"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66B9E34B"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7"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0451A372"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4AF7EECE"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50"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24913CFD"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62"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72DD7BD1"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85"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35E3ECD3"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27"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040123B6"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236" w:type="dxa"/>
            <w:tcBorders>
              <w:left w:val="single" w:sz="4" w:space="0" w:color="D2232A"/>
            </w:tcBorders>
            <w:vAlign w:val="center"/>
            <w:hideMark/>
          </w:tcPr>
          <w:p w14:paraId="3AC3B46A"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1BD5C9AF" w14:textId="77777777" w:rsidTr="00FD220C">
        <w:trPr>
          <w:trHeight w:val="270"/>
        </w:trPr>
        <w:tc>
          <w:tcPr>
            <w:tcW w:w="1521"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244984A5" w14:textId="77777777" w:rsidR="00BB70EB" w:rsidRPr="008D73A7" w:rsidRDefault="00BB70EB" w:rsidP="006E1C0A">
            <w:pPr>
              <w:spacing w:before="60"/>
              <w:rPr>
                <w:rFonts w:cs="Arial"/>
                <w:szCs w:val="20"/>
                <w:lang w:val="en-GB" w:eastAsia="en-GB"/>
              </w:rPr>
            </w:pPr>
            <w:r w:rsidRPr="008D73A7">
              <w:rPr>
                <w:rFonts w:cs="Arial"/>
                <w:szCs w:val="20"/>
                <w:lang w:val="en-GB" w:eastAsia="en-GB"/>
              </w:rPr>
              <w:t>250-252</w:t>
            </w:r>
          </w:p>
        </w:tc>
        <w:tc>
          <w:tcPr>
            <w:tcW w:w="1213"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337268EA" w14:textId="77777777" w:rsidR="00BB70EB" w:rsidRPr="008D73A7" w:rsidRDefault="00BB70EB" w:rsidP="006E1C0A">
            <w:pPr>
              <w:spacing w:before="60"/>
              <w:jc w:val="right"/>
              <w:rPr>
                <w:rFonts w:cs="Arial"/>
                <w:szCs w:val="20"/>
                <w:lang w:val="en-GB" w:eastAsia="en-GB"/>
              </w:rPr>
            </w:pPr>
            <w:r w:rsidRPr="008D73A7">
              <w:rPr>
                <w:rFonts w:cs="Arial"/>
                <w:szCs w:val="20"/>
                <w:lang w:val="en-GB" w:eastAsia="en-GB"/>
              </w:rPr>
              <w:t>5.340</w:t>
            </w:r>
          </w:p>
        </w:tc>
        <w:tc>
          <w:tcPr>
            <w:tcW w:w="1502"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472F961D"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079EA21B"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7"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6BBD8D38"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61DF8C03"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50"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580B33DE"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62" w:type="dxa"/>
            <w:tcBorders>
              <w:top w:val="single" w:sz="4" w:space="0" w:color="D2232A"/>
              <w:left w:val="single" w:sz="4" w:space="0" w:color="D2232A"/>
              <w:bottom w:val="single" w:sz="4" w:space="0" w:color="D2232A"/>
              <w:right w:val="single" w:sz="4" w:space="0" w:color="D2232A"/>
            </w:tcBorders>
            <w:shd w:val="pct12" w:color="FF0000" w:fill="00B050"/>
            <w:noWrap/>
            <w:vAlign w:val="bottom"/>
            <w:hideMark/>
          </w:tcPr>
          <w:p w14:paraId="40D1B140"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85"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4789C9C7"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27" w:type="dxa"/>
            <w:tcBorders>
              <w:top w:val="single" w:sz="4" w:space="0" w:color="D2232A"/>
              <w:left w:val="single" w:sz="4" w:space="0" w:color="D2232A"/>
              <w:bottom w:val="single" w:sz="4" w:space="0" w:color="D2232A"/>
              <w:right w:val="single" w:sz="4" w:space="0" w:color="D2232A"/>
            </w:tcBorders>
            <w:shd w:val="pct12" w:color="FF0000" w:fill="auto"/>
            <w:noWrap/>
            <w:vAlign w:val="bottom"/>
            <w:hideMark/>
          </w:tcPr>
          <w:p w14:paraId="0C0EB5DB"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236" w:type="dxa"/>
            <w:tcBorders>
              <w:left w:val="single" w:sz="4" w:space="0" w:color="D2232A"/>
            </w:tcBorders>
            <w:vAlign w:val="center"/>
            <w:hideMark/>
          </w:tcPr>
          <w:p w14:paraId="2B634EE1"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66F7ABB4" w14:textId="77777777" w:rsidTr="00FD220C">
        <w:trPr>
          <w:trHeight w:val="270"/>
        </w:trPr>
        <w:tc>
          <w:tcPr>
            <w:tcW w:w="1521"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73A6FE09" w14:textId="77777777" w:rsidR="00BB70EB" w:rsidRPr="008D73A7" w:rsidRDefault="00BB70EB" w:rsidP="006E1C0A">
            <w:pPr>
              <w:spacing w:before="60"/>
              <w:rPr>
                <w:rFonts w:cs="Arial"/>
                <w:szCs w:val="20"/>
                <w:lang w:val="en-GB" w:eastAsia="en-GB"/>
              </w:rPr>
            </w:pPr>
            <w:r w:rsidRPr="008D73A7">
              <w:rPr>
                <w:rFonts w:cs="Arial"/>
                <w:szCs w:val="20"/>
                <w:lang w:val="en-GB" w:eastAsia="en-GB"/>
              </w:rPr>
              <w:t>252-260</w:t>
            </w:r>
          </w:p>
        </w:tc>
        <w:tc>
          <w:tcPr>
            <w:tcW w:w="1213"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686C99B3"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1502"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295160BD"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31F8FE0A"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7"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38369522"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708"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2104087A"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50"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32C602F8"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862" w:type="dxa"/>
            <w:tcBorders>
              <w:top w:val="single" w:sz="4" w:space="0" w:color="D2232A"/>
              <w:left w:val="single" w:sz="4" w:space="0" w:color="D2232A"/>
              <w:bottom w:val="single" w:sz="4" w:space="0" w:color="D2232A"/>
              <w:right w:val="single" w:sz="4" w:space="0" w:color="D2232A"/>
            </w:tcBorders>
            <w:shd w:val="clear" w:color="000000" w:fill="00B050"/>
            <w:noWrap/>
            <w:vAlign w:val="bottom"/>
            <w:hideMark/>
          </w:tcPr>
          <w:p w14:paraId="716CA4FB"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85"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7002168F"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627" w:type="dxa"/>
            <w:tcBorders>
              <w:top w:val="single" w:sz="4" w:space="0" w:color="D2232A"/>
              <w:left w:val="single" w:sz="4" w:space="0" w:color="D2232A"/>
              <w:bottom w:val="single" w:sz="4" w:space="0" w:color="D2232A"/>
              <w:right w:val="single" w:sz="4" w:space="0" w:color="D2232A"/>
            </w:tcBorders>
            <w:shd w:val="clear" w:color="auto" w:fill="auto"/>
            <w:noWrap/>
            <w:vAlign w:val="bottom"/>
            <w:hideMark/>
          </w:tcPr>
          <w:p w14:paraId="1B286303" w14:textId="77777777" w:rsidR="00BB70EB" w:rsidRPr="008D73A7" w:rsidRDefault="00BB70EB" w:rsidP="006E1C0A">
            <w:pPr>
              <w:spacing w:before="60"/>
              <w:rPr>
                <w:rFonts w:cs="Arial"/>
                <w:szCs w:val="20"/>
                <w:lang w:val="en-GB" w:eastAsia="en-GB"/>
              </w:rPr>
            </w:pPr>
            <w:r w:rsidRPr="008D73A7">
              <w:rPr>
                <w:rFonts w:cs="Arial"/>
                <w:szCs w:val="20"/>
                <w:lang w:val="en-GB" w:eastAsia="en-GB"/>
              </w:rPr>
              <w:t> </w:t>
            </w:r>
          </w:p>
        </w:tc>
        <w:tc>
          <w:tcPr>
            <w:tcW w:w="236" w:type="dxa"/>
            <w:tcBorders>
              <w:left w:val="single" w:sz="4" w:space="0" w:color="D2232A"/>
            </w:tcBorders>
            <w:vAlign w:val="center"/>
            <w:hideMark/>
          </w:tcPr>
          <w:p w14:paraId="776B35B0" w14:textId="77777777" w:rsidR="00BB70EB" w:rsidRPr="008D73A7" w:rsidRDefault="00BB70EB" w:rsidP="00BB70EB">
            <w:pPr>
              <w:spacing w:before="0" w:after="0"/>
              <w:rPr>
                <w:rFonts w:ascii="Times New Roman" w:hAnsi="Times New Roman"/>
                <w:szCs w:val="20"/>
                <w:lang w:val="en-GB" w:eastAsia="en-GB"/>
              </w:rPr>
            </w:pPr>
          </w:p>
        </w:tc>
      </w:tr>
      <w:tr w:rsidR="00FD220C" w:rsidRPr="008D73A7" w14:paraId="1FC5B13E" w14:textId="77777777" w:rsidTr="00741B58">
        <w:trPr>
          <w:trHeight w:val="270"/>
        </w:trPr>
        <w:tc>
          <w:tcPr>
            <w:tcW w:w="9619" w:type="dxa"/>
            <w:gridSpan w:val="11"/>
            <w:tcBorders>
              <w:top w:val="single" w:sz="4" w:space="0" w:color="D2232A"/>
              <w:left w:val="single" w:sz="4" w:space="0" w:color="D2232A"/>
              <w:bottom w:val="single" w:sz="4" w:space="0" w:color="D2232A"/>
            </w:tcBorders>
            <w:shd w:val="clear" w:color="auto" w:fill="auto"/>
            <w:noWrap/>
            <w:vAlign w:val="bottom"/>
          </w:tcPr>
          <w:p w14:paraId="2E76D492" w14:textId="37BDC8A4" w:rsidR="00FD220C" w:rsidRPr="002F586F" w:rsidRDefault="00FC16DD" w:rsidP="00BB70EB">
            <w:pPr>
              <w:spacing w:before="0" w:after="0"/>
              <w:rPr>
                <w:rFonts w:ascii="Times New Roman" w:hAnsi="Times New Roman"/>
                <w:sz w:val="16"/>
                <w:szCs w:val="16"/>
                <w:lang w:val="en-GB" w:eastAsia="en-GB"/>
              </w:rPr>
            </w:pPr>
            <w:r w:rsidRPr="002F586F">
              <w:rPr>
                <w:sz w:val="16"/>
                <w:szCs w:val="16"/>
              </w:rPr>
              <w:t>Note</w:t>
            </w:r>
            <w:r>
              <w:rPr>
                <w:sz w:val="16"/>
                <w:szCs w:val="16"/>
              </w:rPr>
              <w:t xml:space="preserve"> 1</w:t>
            </w:r>
            <w:r w:rsidRPr="002F586F">
              <w:rPr>
                <w:sz w:val="16"/>
                <w:szCs w:val="16"/>
              </w:rPr>
              <w:t>:</w:t>
            </w:r>
            <w:r w:rsidR="004048D5">
              <w:rPr>
                <w:sz w:val="16"/>
                <w:szCs w:val="16"/>
              </w:rPr>
              <w:t xml:space="preserve"> </w:t>
            </w:r>
            <w:r w:rsidR="004048D5" w:rsidRPr="004048D5">
              <w:rPr>
                <w:sz w:val="16"/>
                <w:szCs w:val="16"/>
              </w:rPr>
              <w:t>RDI-S equipment shall only be operated indoors (i.e. inside a building) or inside similarly shielded environments</w:t>
            </w:r>
          </w:p>
        </w:tc>
      </w:tr>
      <w:tr w:rsidR="004D2EDB" w:rsidRPr="008D73A7" w14:paraId="171ABD7F" w14:textId="77777777" w:rsidTr="00FD220C">
        <w:trPr>
          <w:trHeight w:val="250"/>
        </w:trPr>
        <w:tc>
          <w:tcPr>
            <w:tcW w:w="1521" w:type="dxa"/>
            <w:tcBorders>
              <w:top w:val="single" w:sz="4" w:space="0" w:color="D2232A"/>
              <w:left w:val="nil"/>
              <w:bottom w:val="nil"/>
              <w:right w:val="nil"/>
            </w:tcBorders>
            <w:shd w:val="clear" w:color="auto" w:fill="auto"/>
            <w:noWrap/>
            <w:vAlign w:val="bottom"/>
            <w:hideMark/>
          </w:tcPr>
          <w:p w14:paraId="46830184" w14:textId="77777777" w:rsidR="00BB70EB" w:rsidRPr="008D73A7" w:rsidRDefault="00BB70EB" w:rsidP="00F044BB">
            <w:pPr>
              <w:spacing w:before="60"/>
              <w:rPr>
                <w:rFonts w:cs="Arial"/>
                <w:szCs w:val="20"/>
                <w:lang w:val="en-GB" w:eastAsia="en-GB"/>
              </w:rPr>
            </w:pPr>
          </w:p>
        </w:tc>
        <w:tc>
          <w:tcPr>
            <w:tcW w:w="1213" w:type="dxa"/>
            <w:tcBorders>
              <w:top w:val="single" w:sz="4" w:space="0" w:color="D2232A"/>
              <w:left w:val="nil"/>
              <w:bottom w:val="nil"/>
              <w:right w:val="nil"/>
            </w:tcBorders>
            <w:shd w:val="clear" w:color="auto" w:fill="auto"/>
            <w:noWrap/>
            <w:vAlign w:val="bottom"/>
            <w:hideMark/>
          </w:tcPr>
          <w:p w14:paraId="2ADDF8B9" w14:textId="77777777" w:rsidR="00BB70EB" w:rsidRPr="008D73A7" w:rsidRDefault="00BB70EB" w:rsidP="00F044BB">
            <w:pPr>
              <w:spacing w:before="60"/>
              <w:rPr>
                <w:rFonts w:ascii="Times New Roman" w:hAnsi="Times New Roman"/>
                <w:szCs w:val="20"/>
                <w:lang w:val="en-GB" w:eastAsia="en-GB"/>
              </w:rPr>
            </w:pPr>
          </w:p>
        </w:tc>
        <w:tc>
          <w:tcPr>
            <w:tcW w:w="1502" w:type="dxa"/>
            <w:tcBorders>
              <w:top w:val="single" w:sz="4" w:space="0" w:color="D2232A"/>
              <w:left w:val="nil"/>
              <w:bottom w:val="nil"/>
              <w:right w:val="nil"/>
            </w:tcBorders>
            <w:shd w:val="clear" w:color="auto" w:fill="auto"/>
            <w:noWrap/>
            <w:vAlign w:val="bottom"/>
            <w:hideMark/>
          </w:tcPr>
          <w:p w14:paraId="209BADE5" w14:textId="77777777" w:rsidR="00BB70EB" w:rsidRPr="008D73A7" w:rsidRDefault="00BB70EB" w:rsidP="00F044BB">
            <w:pPr>
              <w:spacing w:before="60"/>
              <w:rPr>
                <w:rFonts w:ascii="Times New Roman" w:hAnsi="Times New Roman"/>
                <w:szCs w:val="20"/>
                <w:lang w:val="en-GB" w:eastAsia="en-GB"/>
              </w:rPr>
            </w:pPr>
          </w:p>
        </w:tc>
        <w:tc>
          <w:tcPr>
            <w:tcW w:w="708" w:type="dxa"/>
            <w:tcBorders>
              <w:top w:val="single" w:sz="4" w:space="0" w:color="D2232A"/>
              <w:left w:val="nil"/>
              <w:bottom w:val="nil"/>
              <w:right w:val="nil"/>
            </w:tcBorders>
            <w:shd w:val="clear" w:color="auto" w:fill="auto"/>
            <w:noWrap/>
            <w:vAlign w:val="bottom"/>
            <w:hideMark/>
          </w:tcPr>
          <w:p w14:paraId="0F6AF81F" w14:textId="77777777" w:rsidR="00BB70EB" w:rsidRPr="008D73A7" w:rsidRDefault="00BB70EB" w:rsidP="00F044BB">
            <w:pPr>
              <w:spacing w:before="60"/>
              <w:rPr>
                <w:rFonts w:ascii="Times New Roman" w:hAnsi="Times New Roman"/>
                <w:szCs w:val="20"/>
                <w:lang w:val="en-GB" w:eastAsia="en-GB"/>
              </w:rPr>
            </w:pPr>
          </w:p>
        </w:tc>
        <w:tc>
          <w:tcPr>
            <w:tcW w:w="707" w:type="dxa"/>
            <w:tcBorders>
              <w:top w:val="single" w:sz="4" w:space="0" w:color="D2232A"/>
              <w:left w:val="nil"/>
              <w:bottom w:val="nil"/>
              <w:right w:val="nil"/>
            </w:tcBorders>
            <w:shd w:val="clear" w:color="auto" w:fill="auto"/>
            <w:noWrap/>
            <w:vAlign w:val="bottom"/>
            <w:hideMark/>
          </w:tcPr>
          <w:p w14:paraId="15BD6D25" w14:textId="77777777" w:rsidR="00BB70EB" w:rsidRPr="008D73A7" w:rsidRDefault="00BB70EB" w:rsidP="00F044BB">
            <w:pPr>
              <w:spacing w:before="60"/>
              <w:rPr>
                <w:rFonts w:ascii="Times New Roman" w:hAnsi="Times New Roman"/>
                <w:szCs w:val="20"/>
                <w:lang w:val="en-GB" w:eastAsia="en-GB"/>
              </w:rPr>
            </w:pPr>
          </w:p>
        </w:tc>
        <w:tc>
          <w:tcPr>
            <w:tcW w:w="708" w:type="dxa"/>
            <w:tcBorders>
              <w:top w:val="single" w:sz="4" w:space="0" w:color="D2232A"/>
              <w:left w:val="nil"/>
              <w:bottom w:val="nil"/>
              <w:right w:val="nil"/>
            </w:tcBorders>
            <w:shd w:val="clear" w:color="auto" w:fill="auto"/>
            <w:noWrap/>
            <w:vAlign w:val="bottom"/>
            <w:hideMark/>
          </w:tcPr>
          <w:p w14:paraId="1F10DA8B" w14:textId="77777777" w:rsidR="00BB70EB" w:rsidRPr="008D73A7" w:rsidRDefault="00BB70EB" w:rsidP="00F044BB">
            <w:pPr>
              <w:spacing w:before="60"/>
              <w:rPr>
                <w:rFonts w:ascii="Times New Roman" w:hAnsi="Times New Roman"/>
                <w:szCs w:val="20"/>
                <w:lang w:val="en-GB" w:eastAsia="en-GB"/>
              </w:rPr>
            </w:pPr>
          </w:p>
        </w:tc>
        <w:tc>
          <w:tcPr>
            <w:tcW w:w="850" w:type="dxa"/>
            <w:tcBorders>
              <w:top w:val="single" w:sz="4" w:space="0" w:color="D2232A"/>
              <w:left w:val="nil"/>
              <w:bottom w:val="nil"/>
              <w:right w:val="nil"/>
            </w:tcBorders>
            <w:shd w:val="clear" w:color="auto" w:fill="auto"/>
            <w:noWrap/>
            <w:vAlign w:val="bottom"/>
            <w:hideMark/>
          </w:tcPr>
          <w:p w14:paraId="649CBF84" w14:textId="77777777" w:rsidR="00BB70EB" w:rsidRPr="008D73A7" w:rsidRDefault="00BB70EB" w:rsidP="00F044BB">
            <w:pPr>
              <w:spacing w:before="60"/>
              <w:rPr>
                <w:rFonts w:ascii="Times New Roman" w:hAnsi="Times New Roman"/>
                <w:szCs w:val="20"/>
                <w:lang w:val="en-GB" w:eastAsia="en-GB"/>
              </w:rPr>
            </w:pPr>
          </w:p>
        </w:tc>
        <w:tc>
          <w:tcPr>
            <w:tcW w:w="862" w:type="dxa"/>
            <w:tcBorders>
              <w:top w:val="single" w:sz="4" w:space="0" w:color="D2232A"/>
              <w:left w:val="nil"/>
              <w:bottom w:val="nil"/>
              <w:right w:val="nil"/>
            </w:tcBorders>
            <w:shd w:val="clear" w:color="auto" w:fill="auto"/>
            <w:noWrap/>
            <w:vAlign w:val="bottom"/>
            <w:hideMark/>
          </w:tcPr>
          <w:p w14:paraId="6C6C0D8E" w14:textId="77777777" w:rsidR="00BB70EB" w:rsidRPr="008D73A7" w:rsidRDefault="00BB70EB" w:rsidP="00F044BB">
            <w:pPr>
              <w:spacing w:before="60"/>
              <w:rPr>
                <w:rFonts w:ascii="Times New Roman" w:hAnsi="Times New Roman"/>
                <w:szCs w:val="20"/>
                <w:lang w:val="en-GB" w:eastAsia="en-GB"/>
              </w:rPr>
            </w:pPr>
          </w:p>
        </w:tc>
        <w:tc>
          <w:tcPr>
            <w:tcW w:w="685" w:type="dxa"/>
            <w:tcBorders>
              <w:top w:val="single" w:sz="4" w:space="0" w:color="D2232A"/>
              <w:left w:val="nil"/>
              <w:bottom w:val="nil"/>
              <w:right w:val="nil"/>
            </w:tcBorders>
            <w:shd w:val="clear" w:color="auto" w:fill="auto"/>
            <w:noWrap/>
            <w:vAlign w:val="bottom"/>
            <w:hideMark/>
          </w:tcPr>
          <w:p w14:paraId="0851024A" w14:textId="77777777" w:rsidR="00BB70EB" w:rsidRPr="008D73A7" w:rsidRDefault="00BB70EB" w:rsidP="00F044BB">
            <w:pPr>
              <w:spacing w:before="60"/>
              <w:rPr>
                <w:rFonts w:ascii="Times New Roman" w:hAnsi="Times New Roman"/>
                <w:szCs w:val="20"/>
                <w:lang w:val="en-GB" w:eastAsia="en-GB"/>
              </w:rPr>
            </w:pPr>
          </w:p>
        </w:tc>
        <w:tc>
          <w:tcPr>
            <w:tcW w:w="627" w:type="dxa"/>
            <w:tcBorders>
              <w:top w:val="single" w:sz="4" w:space="0" w:color="D2232A"/>
              <w:left w:val="nil"/>
              <w:bottom w:val="nil"/>
              <w:right w:val="nil"/>
            </w:tcBorders>
            <w:shd w:val="clear" w:color="auto" w:fill="auto"/>
            <w:noWrap/>
            <w:vAlign w:val="bottom"/>
            <w:hideMark/>
          </w:tcPr>
          <w:p w14:paraId="26D1948C" w14:textId="77777777" w:rsidR="00BB70EB" w:rsidRPr="008D73A7" w:rsidRDefault="00BB70EB" w:rsidP="00F044BB">
            <w:pPr>
              <w:spacing w:before="60"/>
              <w:rPr>
                <w:rFonts w:ascii="Times New Roman" w:hAnsi="Times New Roman"/>
                <w:szCs w:val="20"/>
                <w:lang w:val="en-GB" w:eastAsia="en-GB"/>
              </w:rPr>
            </w:pPr>
          </w:p>
        </w:tc>
        <w:tc>
          <w:tcPr>
            <w:tcW w:w="236" w:type="dxa"/>
            <w:vAlign w:val="center"/>
            <w:hideMark/>
          </w:tcPr>
          <w:p w14:paraId="513C7329" w14:textId="77777777" w:rsidR="00BB70EB" w:rsidRPr="008D73A7" w:rsidRDefault="00BB70EB" w:rsidP="00BB70EB">
            <w:pPr>
              <w:spacing w:before="0" w:after="0"/>
              <w:rPr>
                <w:rFonts w:ascii="Times New Roman" w:hAnsi="Times New Roman"/>
                <w:szCs w:val="20"/>
                <w:lang w:val="en-GB" w:eastAsia="en-GB"/>
              </w:rPr>
            </w:pPr>
          </w:p>
        </w:tc>
      </w:tr>
      <w:tr w:rsidR="00BB70EB" w:rsidRPr="008D73A7" w14:paraId="1F24B677" w14:textId="77777777" w:rsidTr="00FD220C">
        <w:trPr>
          <w:trHeight w:val="250"/>
        </w:trPr>
        <w:tc>
          <w:tcPr>
            <w:tcW w:w="1521"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7E45D31" w14:textId="77777777" w:rsidR="00BB70EB" w:rsidRPr="008D73A7" w:rsidRDefault="00BB70EB" w:rsidP="00F044BB">
            <w:pPr>
              <w:spacing w:before="60"/>
              <w:rPr>
                <w:rFonts w:cs="Arial"/>
                <w:szCs w:val="20"/>
                <w:lang w:val="en-GB" w:eastAsia="en-GB"/>
              </w:rPr>
            </w:pPr>
            <w:r w:rsidRPr="008D73A7">
              <w:rPr>
                <w:rFonts w:cs="Arial"/>
                <w:szCs w:val="20"/>
                <w:lang w:val="en-GB" w:eastAsia="en-GB"/>
              </w:rPr>
              <w:t> </w:t>
            </w:r>
          </w:p>
        </w:tc>
        <w:tc>
          <w:tcPr>
            <w:tcW w:w="7862" w:type="dxa"/>
            <w:gridSpan w:val="9"/>
            <w:vMerge w:val="restart"/>
            <w:tcBorders>
              <w:top w:val="single" w:sz="4" w:space="0" w:color="auto"/>
              <w:left w:val="single" w:sz="4" w:space="0" w:color="auto"/>
              <w:bottom w:val="single" w:sz="4" w:space="0" w:color="000000"/>
              <w:right w:val="single" w:sz="4" w:space="0" w:color="000000"/>
            </w:tcBorders>
            <w:shd w:val="clear" w:color="auto" w:fill="auto"/>
            <w:hideMark/>
          </w:tcPr>
          <w:p w14:paraId="0ED81983" w14:textId="1DC44499" w:rsidR="00BB70EB" w:rsidRPr="008D73A7" w:rsidRDefault="00BB70EB" w:rsidP="00F044BB">
            <w:pPr>
              <w:spacing w:before="60"/>
              <w:rPr>
                <w:rFonts w:cs="Arial"/>
                <w:szCs w:val="20"/>
                <w:lang w:val="en-GB" w:eastAsia="en-GB"/>
              </w:rPr>
            </w:pPr>
            <w:r w:rsidRPr="008D73A7">
              <w:rPr>
                <w:rFonts w:cs="Arial"/>
                <w:szCs w:val="20"/>
                <w:lang w:val="en-GB" w:eastAsia="en-GB"/>
              </w:rPr>
              <w:t xml:space="preserve">Compatibility </w:t>
            </w:r>
            <w:r w:rsidRPr="008D73A7">
              <w:rPr>
                <w:rFonts w:cs="Arial"/>
                <w:b/>
                <w:bCs/>
                <w:szCs w:val="20"/>
                <w:lang w:val="en-GB" w:eastAsia="en-GB"/>
              </w:rPr>
              <w:t>can</w:t>
            </w:r>
            <w:r w:rsidRPr="008D73A7">
              <w:rPr>
                <w:rFonts w:cs="Arial"/>
                <w:szCs w:val="20"/>
                <w:lang w:val="en-GB" w:eastAsia="en-GB"/>
              </w:rPr>
              <w:t xml:space="preserve"> be ensured without the implementation of additional mitigation measures under the conditions summarised in</w:t>
            </w:r>
            <w:r w:rsidRPr="008D73A7">
              <w:rPr>
                <w:rFonts w:cs="Arial"/>
                <w:szCs w:val="20"/>
                <w:lang w:val="en-GB" w:eastAsia="en-GB"/>
              </w:rPr>
              <w:br/>
              <w:t xml:space="preserve">- ECC Report 334, </w:t>
            </w:r>
            <w:r w:rsidR="00521282">
              <w:rPr>
                <w:rFonts w:cs="Arial"/>
                <w:szCs w:val="20"/>
                <w:lang w:val="en-GB" w:eastAsia="en-GB"/>
              </w:rPr>
              <w:t>section</w:t>
            </w:r>
            <w:r w:rsidRPr="008D73A7">
              <w:rPr>
                <w:rFonts w:cs="Arial"/>
                <w:szCs w:val="20"/>
                <w:lang w:val="en-GB" w:eastAsia="en-GB"/>
              </w:rPr>
              <w:t xml:space="preserve"> 8 and the technical conditions in chapters 4 to 7, and</w:t>
            </w:r>
            <w:r w:rsidRPr="008D73A7">
              <w:rPr>
                <w:rFonts w:cs="Arial"/>
                <w:szCs w:val="20"/>
                <w:lang w:val="en-GB" w:eastAsia="en-GB"/>
              </w:rPr>
              <w:br/>
              <w:t xml:space="preserve">- ECC Report 351, </w:t>
            </w:r>
            <w:r w:rsidR="00521282">
              <w:rPr>
                <w:rFonts w:cs="Arial"/>
                <w:szCs w:val="20"/>
                <w:lang w:val="en-GB" w:eastAsia="en-GB"/>
              </w:rPr>
              <w:t>section</w:t>
            </w:r>
            <w:r w:rsidRPr="008D73A7">
              <w:rPr>
                <w:rFonts w:cs="Arial"/>
                <w:szCs w:val="20"/>
                <w:lang w:val="en-GB" w:eastAsia="en-GB"/>
              </w:rPr>
              <w:t xml:space="preserve"> 7 and the technical conditions in chapters 3 to 6.</w:t>
            </w:r>
          </w:p>
        </w:tc>
        <w:tc>
          <w:tcPr>
            <w:tcW w:w="236" w:type="dxa"/>
            <w:vAlign w:val="center"/>
            <w:hideMark/>
          </w:tcPr>
          <w:p w14:paraId="1357820C" w14:textId="77777777" w:rsidR="00BB70EB" w:rsidRPr="008D73A7" w:rsidRDefault="00BB70EB" w:rsidP="00BB70EB">
            <w:pPr>
              <w:spacing w:before="0" w:after="0"/>
              <w:rPr>
                <w:rFonts w:ascii="Times New Roman" w:hAnsi="Times New Roman"/>
                <w:szCs w:val="20"/>
                <w:lang w:val="en-GB" w:eastAsia="en-GB"/>
              </w:rPr>
            </w:pPr>
          </w:p>
        </w:tc>
      </w:tr>
      <w:tr w:rsidR="00BB70EB" w:rsidRPr="008D73A7" w14:paraId="5F8F44CD" w14:textId="77777777" w:rsidTr="00FD220C">
        <w:trPr>
          <w:trHeight w:val="250"/>
        </w:trPr>
        <w:tc>
          <w:tcPr>
            <w:tcW w:w="1521" w:type="dxa"/>
            <w:tcBorders>
              <w:top w:val="nil"/>
              <w:left w:val="nil"/>
              <w:bottom w:val="nil"/>
              <w:right w:val="nil"/>
            </w:tcBorders>
            <w:shd w:val="clear" w:color="auto" w:fill="auto"/>
            <w:vAlign w:val="bottom"/>
            <w:hideMark/>
          </w:tcPr>
          <w:p w14:paraId="5E78BE3B" w14:textId="77777777" w:rsidR="00BB70EB" w:rsidRPr="008D73A7" w:rsidRDefault="00BB70EB" w:rsidP="00F044BB">
            <w:pPr>
              <w:spacing w:before="60"/>
              <w:rPr>
                <w:rFonts w:cs="Arial"/>
                <w:szCs w:val="20"/>
                <w:lang w:val="en-GB" w:eastAsia="en-GB"/>
              </w:rPr>
            </w:pPr>
          </w:p>
        </w:tc>
        <w:tc>
          <w:tcPr>
            <w:tcW w:w="7862" w:type="dxa"/>
            <w:gridSpan w:val="9"/>
            <w:vMerge/>
            <w:tcBorders>
              <w:top w:val="nil"/>
              <w:left w:val="nil"/>
              <w:bottom w:val="nil"/>
              <w:right w:val="nil"/>
            </w:tcBorders>
            <w:vAlign w:val="center"/>
            <w:hideMark/>
          </w:tcPr>
          <w:p w14:paraId="5926D6D1" w14:textId="77777777" w:rsidR="00BB70EB" w:rsidRPr="008D73A7" w:rsidRDefault="00BB70EB" w:rsidP="00F044BB">
            <w:pPr>
              <w:spacing w:before="60"/>
              <w:rPr>
                <w:rFonts w:cs="Arial"/>
                <w:szCs w:val="20"/>
                <w:lang w:val="en-GB" w:eastAsia="en-GB"/>
              </w:rPr>
            </w:pPr>
          </w:p>
        </w:tc>
        <w:tc>
          <w:tcPr>
            <w:tcW w:w="236" w:type="dxa"/>
            <w:vAlign w:val="center"/>
            <w:hideMark/>
          </w:tcPr>
          <w:p w14:paraId="420BF3A8" w14:textId="77777777" w:rsidR="00BB70EB" w:rsidRPr="008D73A7" w:rsidRDefault="00BB70EB" w:rsidP="00BB70EB">
            <w:pPr>
              <w:spacing w:before="0" w:after="0"/>
              <w:rPr>
                <w:rFonts w:ascii="Times New Roman" w:hAnsi="Times New Roman"/>
                <w:szCs w:val="20"/>
                <w:lang w:val="en-GB" w:eastAsia="en-GB"/>
              </w:rPr>
            </w:pPr>
          </w:p>
        </w:tc>
      </w:tr>
      <w:tr w:rsidR="00BB70EB" w:rsidRPr="008D73A7" w14:paraId="3E01CF2F" w14:textId="77777777" w:rsidTr="00FD220C">
        <w:trPr>
          <w:trHeight w:val="250"/>
        </w:trPr>
        <w:tc>
          <w:tcPr>
            <w:tcW w:w="1521" w:type="dxa"/>
            <w:tcBorders>
              <w:top w:val="nil"/>
              <w:left w:val="nil"/>
              <w:bottom w:val="nil"/>
              <w:right w:val="nil"/>
            </w:tcBorders>
            <w:shd w:val="clear" w:color="auto" w:fill="auto"/>
            <w:vAlign w:val="bottom"/>
            <w:hideMark/>
          </w:tcPr>
          <w:p w14:paraId="164F6556" w14:textId="77777777" w:rsidR="00BB70EB" w:rsidRPr="008D73A7" w:rsidRDefault="00BB70EB" w:rsidP="00F044BB">
            <w:pPr>
              <w:spacing w:before="60"/>
              <w:rPr>
                <w:rFonts w:ascii="Times New Roman" w:hAnsi="Times New Roman"/>
                <w:szCs w:val="20"/>
                <w:lang w:val="en-GB" w:eastAsia="en-GB"/>
              </w:rPr>
            </w:pPr>
          </w:p>
        </w:tc>
        <w:tc>
          <w:tcPr>
            <w:tcW w:w="7862" w:type="dxa"/>
            <w:gridSpan w:val="9"/>
            <w:vMerge/>
            <w:tcBorders>
              <w:top w:val="nil"/>
              <w:left w:val="nil"/>
              <w:bottom w:val="nil"/>
              <w:right w:val="nil"/>
            </w:tcBorders>
            <w:vAlign w:val="center"/>
            <w:hideMark/>
          </w:tcPr>
          <w:p w14:paraId="7EEF4731" w14:textId="77777777" w:rsidR="00BB70EB" w:rsidRPr="008D73A7" w:rsidRDefault="00BB70EB" w:rsidP="00F044BB">
            <w:pPr>
              <w:spacing w:before="60"/>
              <w:rPr>
                <w:rFonts w:cs="Arial"/>
                <w:szCs w:val="20"/>
                <w:lang w:val="en-GB" w:eastAsia="en-GB"/>
              </w:rPr>
            </w:pPr>
          </w:p>
        </w:tc>
        <w:tc>
          <w:tcPr>
            <w:tcW w:w="236" w:type="dxa"/>
            <w:vAlign w:val="center"/>
            <w:hideMark/>
          </w:tcPr>
          <w:p w14:paraId="3C8B106C" w14:textId="77777777" w:rsidR="00BB70EB" w:rsidRPr="008D73A7" w:rsidRDefault="00BB70EB" w:rsidP="00BB70EB">
            <w:pPr>
              <w:spacing w:before="0" w:after="0"/>
              <w:rPr>
                <w:rFonts w:ascii="Times New Roman" w:hAnsi="Times New Roman"/>
                <w:szCs w:val="20"/>
                <w:lang w:val="en-GB" w:eastAsia="en-GB"/>
              </w:rPr>
            </w:pPr>
          </w:p>
        </w:tc>
      </w:tr>
      <w:tr w:rsidR="004D2EDB" w:rsidRPr="008D73A7" w14:paraId="1E0BD8D3" w14:textId="77777777" w:rsidTr="00FD220C">
        <w:trPr>
          <w:trHeight w:val="250"/>
        </w:trPr>
        <w:tc>
          <w:tcPr>
            <w:tcW w:w="1521" w:type="dxa"/>
            <w:tcBorders>
              <w:top w:val="nil"/>
              <w:left w:val="nil"/>
              <w:bottom w:val="nil"/>
              <w:right w:val="nil"/>
            </w:tcBorders>
            <w:shd w:val="clear" w:color="auto" w:fill="auto"/>
            <w:noWrap/>
            <w:vAlign w:val="bottom"/>
            <w:hideMark/>
          </w:tcPr>
          <w:p w14:paraId="29AB5FF2" w14:textId="77777777" w:rsidR="00BB70EB" w:rsidRPr="008D73A7" w:rsidRDefault="00BB70EB" w:rsidP="00F044BB">
            <w:pPr>
              <w:spacing w:before="60"/>
              <w:rPr>
                <w:rFonts w:ascii="Times New Roman" w:hAnsi="Times New Roman"/>
                <w:szCs w:val="20"/>
                <w:lang w:val="en-GB" w:eastAsia="en-GB"/>
              </w:rPr>
            </w:pPr>
          </w:p>
        </w:tc>
        <w:tc>
          <w:tcPr>
            <w:tcW w:w="1213" w:type="dxa"/>
            <w:tcBorders>
              <w:top w:val="nil"/>
              <w:left w:val="nil"/>
              <w:bottom w:val="nil"/>
              <w:right w:val="nil"/>
            </w:tcBorders>
            <w:shd w:val="clear" w:color="auto" w:fill="auto"/>
            <w:noWrap/>
            <w:vAlign w:val="bottom"/>
            <w:hideMark/>
          </w:tcPr>
          <w:p w14:paraId="2E8C96B7" w14:textId="77777777" w:rsidR="00BB70EB" w:rsidRPr="008D73A7" w:rsidRDefault="00BB70EB" w:rsidP="00F044BB">
            <w:pPr>
              <w:spacing w:before="60"/>
              <w:rPr>
                <w:rFonts w:ascii="Times New Roman" w:hAnsi="Times New Roman"/>
                <w:szCs w:val="20"/>
                <w:lang w:val="en-GB" w:eastAsia="en-GB"/>
              </w:rPr>
            </w:pPr>
          </w:p>
        </w:tc>
        <w:tc>
          <w:tcPr>
            <w:tcW w:w="1502" w:type="dxa"/>
            <w:tcBorders>
              <w:top w:val="nil"/>
              <w:left w:val="nil"/>
              <w:bottom w:val="nil"/>
              <w:right w:val="nil"/>
            </w:tcBorders>
            <w:shd w:val="clear" w:color="auto" w:fill="auto"/>
            <w:noWrap/>
            <w:vAlign w:val="bottom"/>
            <w:hideMark/>
          </w:tcPr>
          <w:p w14:paraId="627EAF1D" w14:textId="77777777" w:rsidR="00BB70EB" w:rsidRPr="008D73A7" w:rsidRDefault="00BB70EB" w:rsidP="00F044BB">
            <w:pPr>
              <w:spacing w:before="60"/>
              <w:rPr>
                <w:rFonts w:ascii="Times New Roman" w:hAnsi="Times New Roman"/>
                <w:szCs w:val="20"/>
                <w:lang w:val="en-GB" w:eastAsia="en-GB"/>
              </w:rPr>
            </w:pPr>
          </w:p>
        </w:tc>
        <w:tc>
          <w:tcPr>
            <w:tcW w:w="708" w:type="dxa"/>
            <w:tcBorders>
              <w:top w:val="nil"/>
              <w:left w:val="nil"/>
              <w:bottom w:val="nil"/>
              <w:right w:val="nil"/>
            </w:tcBorders>
            <w:shd w:val="clear" w:color="auto" w:fill="auto"/>
            <w:noWrap/>
            <w:vAlign w:val="bottom"/>
            <w:hideMark/>
          </w:tcPr>
          <w:p w14:paraId="3110D410" w14:textId="77777777" w:rsidR="00BB70EB" w:rsidRPr="008D73A7" w:rsidRDefault="00BB70EB" w:rsidP="00F044BB">
            <w:pPr>
              <w:spacing w:before="60"/>
              <w:rPr>
                <w:rFonts w:ascii="Times New Roman" w:hAnsi="Times New Roman"/>
                <w:szCs w:val="20"/>
                <w:lang w:val="en-GB" w:eastAsia="en-GB"/>
              </w:rPr>
            </w:pPr>
          </w:p>
        </w:tc>
        <w:tc>
          <w:tcPr>
            <w:tcW w:w="707" w:type="dxa"/>
            <w:tcBorders>
              <w:top w:val="nil"/>
              <w:left w:val="nil"/>
              <w:bottom w:val="nil"/>
              <w:right w:val="nil"/>
            </w:tcBorders>
            <w:shd w:val="clear" w:color="auto" w:fill="auto"/>
            <w:noWrap/>
            <w:vAlign w:val="bottom"/>
            <w:hideMark/>
          </w:tcPr>
          <w:p w14:paraId="6DA42C32" w14:textId="77777777" w:rsidR="00BB70EB" w:rsidRPr="008D73A7" w:rsidRDefault="00BB70EB" w:rsidP="00F044BB">
            <w:pPr>
              <w:spacing w:before="60"/>
              <w:rPr>
                <w:rFonts w:ascii="Times New Roman" w:hAnsi="Times New Roman"/>
                <w:szCs w:val="20"/>
                <w:lang w:val="en-GB" w:eastAsia="en-GB"/>
              </w:rPr>
            </w:pPr>
          </w:p>
        </w:tc>
        <w:tc>
          <w:tcPr>
            <w:tcW w:w="708" w:type="dxa"/>
            <w:tcBorders>
              <w:top w:val="nil"/>
              <w:left w:val="nil"/>
              <w:bottom w:val="nil"/>
              <w:right w:val="nil"/>
            </w:tcBorders>
            <w:shd w:val="clear" w:color="auto" w:fill="auto"/>
            <w:noWrap/>
            <w:vAlign w:val="bottom"/>
            <w:hideMark/>
          </w:tcPr>
          <w:p w14:paraId="4E4077D1" w14:textId="77777777" w:rsidR="00BB70EB" w:rsidRPr="008D73A7" w:rsidRDefault="00BB70EB" w:rsidP="00F044BB">
            <w:pPr>
              <w:spacing w:before="60"/>
              <w:rPr>
                <w:rFonts w:ascii="Times New Roman" w:hAnsi="Times New Roman"/>
                <w:szCs w:val="20"/>
                <w:lang w:val="en-GB" w:eastAsia="en-GB"/>
              </w:rPr>
            </w:pPr>
          </w:p>
        </w:tc>
        <w:tc>
          <w:tcPr>
            <w:tcW w:w="850" w:type="dxa"/>
            <w:tcBorders>
              <w:top w:val="nil"/>
              <w:left w:val="nil"/>
              <w:bottom w:val="nil"/>
              <w:right w:val="nil"/>
            </w:tcBorders>
            <w:shd w:val="clear" w:color="auto" w:fill="auto"/>
            <w:noWrap/>
            <w:vAlign w:val="bottom"/>
            <w:hideMark/>
          </w:tcPr>
          <w:p w14:paraId="1A417E4B" w14:textId="77777777" w:rsidR="00BB70EB" w:rsidRPr="008D73A7" w:rsidRDefault="00BB70EB" w:rsidP="00F044BB">
            <w:pPr>
              <w:spacing w:before="60"/>
              <w:rPr>
                <w:rFonts w:ascii="Times New Roman" w:hAnsi="Times New Roman"/>
                <w:szCs w:val="20"/>
                <w:lang w:val="en-GB" w:eastAsia="en-GB"/>
              </w:rPr>
            </w:pPr>
          </w:p>
        </w:tc>
        <w:tc>
          <w:tcPr>
            <w:tcW w:w="862" w:type="dxa"/>
            <w:tcBorders>
              <w:top w:val="nil"/>
              <w:left w:val="nil"/>
              <w:bottom w:val="nil"/>
              <w:right w:val="nil"/>
            </w:tcBorders>
            <w:shd w:val="clear" w:color="auto" w:fill="auto"/>
            <w:noWrap/>
            <w:vAlign w:val="bottom"/>
            <w:hideMark/>
          </w:tcPr>
          <w:p w14:paraId="5D96D644" w14:textId="77777777" w:rsidR="00BB70EB" w:rsidRPr="008D73A7" w:rsidRDefault="00BB70EB" w:rsidP="00F044BB">
            <w:pPr>
              <w:spacing w:before="60"/>
              <w:rPr>
                <w:rFonts w:ascii="Times New Roman" w:hAnsi="Times New Roman"/>
                <w:szCs w:val="20"/>
                <w:lang w:val="en-GB" w:eastAsia="en-GB"/>
              </w:rPr>
            </w:pPr>
          </w:p>
        </w:tc>
        <w:tc>
          <w:tcPr>
            <w:tcW w:w="685" w:type="dxa"/>
            <w:tcBorders>
              <w:top w:val="nil"/>
              <w:left w:val="nil"/>
              <w:bottom w:val="nil"/>
              <w:right w:val="nil"/>
            </w:tcBorders>
            <w:shd w:val="clear" w:color="auto" w:fill="auto"/>
            <w:noWrap/>
            <w:vAlign w:val="bottom"/>
            <w:hideMark/>
          </w:tcPr>
          <w:p w14:paraId="7EA6D26E" w14:textId="77777777" w:rsidR="00BB70EB" w:rsidRPr="008D73A7" w:rsidRDefault="00BB70EB" w:rsidP="00F044BB">
            <w:pPr>
              <w:spacing w:before="60"/>
              <w:rPr>
                <w:rFonts w:ascii="Times New Roman" w:hAnsi="Times New Roman"/>
                <w:szCs w:val="20"/>
                <w:lang w:val="en-GB" w:eastAsia="en-GB"/>
              </w:rPr>
            </w:pPr>
          </w:p>
        </w:tc>
        <w:tc>
          <w:tcPr>
            <w:tcW w:w="627" w:type="dxa"/>
            <w:tcBorders>
              <w:top w:val="nil"/>
              <w:left w:val="nil"/>
              <w:bottom w:val="nil"/>
              <w:right w:val="nil"/>
            </w:tcBorders>
            <w:shd w:val="clear" w:color="auto" w:fill="auto"/>
            <w:noWrap/>
            <w:vAlign w:val="bottom"/>
            <w:hideMark/>
          </w:tcPr>
          <w:p w14:paraId="60E3BD18" w14:textId="77777777" w:rsidR="00BB70EB" w:rsidRPr="008D73A7" w:rsidRDefault="00BB70EB" w:rsidP="00F044BB">
            <w:pPr>
              <w:spacing w:before="60"/>
              <w:rPr>
                <w:rFonts w:ascii="Times New Roman" w:hAnsi="Times New Roman"/>
                <w:szCs w:val="20"/>
                <w:lang w:val="en-GB" w:eastAsia="en-GB"/>
              </w:rPr>
            </w:pPr>
          </w:p>
        </w:tc>
        <w:tc>
          <w:tcPr>
            <w:tcW w:w="236" w:type="dxa"/>
            <w:vAlign w:val="center"/>
            <w:hideMark/>
          </w:tcPr>
          <w:p w14:paraId="1BDA3ABB" w14:textId="77777777" w:rsidR="00BB70EB" w:rsidRPr="008D73A7" w:rsidRDefault="00BB70EB" w:rsidP="00BB70EB">
            <w:pPr>
              <w:spacing w:before="0" w:after="0"/>
              <w:rPr>
                <w:rFonts w:ascii="Times New Roman" w:hAnsi="Times New Roman"/>
                <w:szCs w:val="20"/>
                <w:lang w:val="en-GB" w:eastAsia="en-GB"/>
              </w:rPr>
            </w:pPr>
          </w:p>
        </w:tc>
      </w:tr>
      <w:tr w:rsidR="00BB70EB" w:rsidRPr="008D73A7" w14:paraId="02E3357A" w14:textId="77777777" w:rsidTr="00FD220C">
        <w:trPr>
          <w:trHeight w:val="250"/>
        </w:trPr>
        <w:tc>
          <w:tcPr>
            <w:tcW w:w="152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789D5AB" w14:textId="77777777" w:rsidR="00BB70EB" w:rsidRPr="008D73A7" w:rsidRDefault="00BB70EB" w:rsidP="00F044BB">
            <w:pPr>
              <w:spacing w:before="60"/>
              <w:rPr>
                <w:rFonts w:cs="Arial"/>
                <w:szCs w:val="20"/>
                <w:lang w:val="en-GB" w:eastAsia="en-GB"/>
              </w:rPr>
            </w:pPr>
            <w:r w:rsidRPr="008D73A7">
              <w:rPr>
                <w:rFonts w:cs="Arial"/>
                <w:szCs w:val="20"/>
                <w:lang w:val="en-GB" w:eastAsia="en-GB"/>
              </w:rPr>
              <w:t> </w:t>
            </w:r>
          </w:p>
        </w:tc>
        <w:tc>
          <w:tcPr>
            <w:tcW w:w="7862" w:type="dxa"/>
            <w:gridSpan w:val="9"/>
            <w:vMerge w:val="restart"/>
            <w:tcBorders>
              <w:top w:val="single" w:sz="4" w:space="0" w:color="auto"/>
              <w:left w:val="single" w:sz="4" w:space="0" w:color="auto"/>
              <w:bottom w:val="single" w:sz="4" w:space="0" w:color="000000"/>
              <w:right w:val="single" w:sz="4" w:space="0" w:color="000000"/>
            </w:tcBorders>
            <w:shd w:val="clear" w:color="auto" w:fill="auto"/>
            <w:hideMark/>
          </w:tcPr>
          <w:p w14:paraId="0DD6D1BF" w14:textId="451F507F" w:rsidR="00BB70EB" w:rsidRPr="008D73A7" w:rsidRDefault="00BB70EB" w:rsidP="00F044BB">
            <w:pPr>
              <w:spacing w:before="60"/>
              <w:rPr>
                <w:rFonts w:cs="Arial"/>
                <w:szCs w:val="20"/>
                <w:lang w:val="en-GB" w:eastAsia="en-GB"/>
              </w:rPr>
            </w:pPr>
            <w:r w:rsidRPr="008D73A7">
              <w:rPr>
                <w:rFonts w:cs="Arial"/>
                <w:szCs w:val="20"/>
                <w:lang w:val="en-GB" w:eastAsia="en-GB"/>
              </w:rPr>
              <w:t xml:space="preserve">Compatibility </w:t>
            </w:r>
            <w:r w:rsidRPr="008D73A7">
              <w:rPr>
                <w:rFonts w:cs="Arial"/>
                <w:b/>
                <w:bCs/>
                <w:szCs w:val="20"/>
                <w:lang w:val="en-GB" w:eastAsia="en-GB"/>
              </w:rPr>
              <w:t>cannot</w:t>
            </w:r>
            <w:r w:rsidRPr="008D73A7">
              <w:rPr>
                <w:rFonts w:cs="Arial"/>
                <w:szCs w:val="20"/>
                <w:lang w:val="en-GB" w:eastAsia="en-GB"/>
              </w:rPr>
              <w:t xml:space="preserve"> be ensured without the implementation of additional mitigation measures under the conditions summarised in</w:t>
            </w:r>
            <w:r w:rsidRPr="008D73A7">
              <w:rPr>
                <w:rFonts w:cs="Arial"/>
                <w:szCs w:val="20"/>
                <w:lang w:val="en-GB" w:eastAsia="en-GB"/>
              </w:rPr>
              <w:br/>
              <w:t xml:space="preserve">- ECC Report 334, </w:t>
            </w:r>
            <w:r w:rsidR="00521282">
              <w:rPr>
                <w:rFonts w:cs="Arial"/>
                <w:szCs w:val="20"/>
                <w:lang w:val="en-GB" w:eastAsia="en-GB"/>
              </w:rPr>
              <w:t>section</w:t>
            </w:r>
            <w:r w:rsidRPr="008D73A7">
              <w:rPr>
                <w:rFonts w:cs="Arial"/>
                <w:szCs w:val="20"/>
                <w:lang w:val="en-GB" w:eastAsia="en-GB"/>
              </w:rPr>
              <w:t xml:space="preserve"> 8 and the technical conditions in chapters 4 to 7, and</w:t>
            </w:r>
            <w:r w:rsidRPr="008D73A7">
              <w:rPr>
                <w:rFonts w:cs="Arial"/>
                <w:szCs w:val="20"/>
                <w:lang w:val="en-GB" w:eastAsia="en-GB"/>
              </w:rPr>
              <w:br/>
              <w:t xml:space="preserve">- ECC Report 351, </w:t>
            </w:r>
            <w:r w:rsidR="00521282">
              <w:rPr>
                <w:rFonts w:cs="Arial"/>
                <w:szCs w:val="20"/>
                <w:lang w:val="en-GB" w:eastAsia="en-GB"/>
              </w:rPr>
              <w:t>section</w:t>
            </w:r>
            <w:r w:rsidRPr="008D73A7">
              <w:rPr>
                <w:rFonts w:cs="Arial"/>
                <w:szCs w:val="20"/>
                <w:lang w:val="en-GB" w:eastAsia="en-GB"/>
              </w:rPr>
              <w:t xml:space="preserve"> 7 and the technical conditions in chapters 3 to 6.</w:t>
            </w:r>
          </w:p>
        </w:tc>
        <w:tc>
          <w:tcPr>
            <w:tcW w:w="236" w:type="dxa"/>
            <w:vAlign w:val="center"/>
            <w:hideMark/>
          </w:tcPr>
          <w:p w14:paraId="053950F3" w14:textId="77777777" w:rsidR="00BB70EB" w:rsidRPr="008D73A7" w:rsidRDefault="00BB70EB" w:rsidP="00BB70EB">
            <w:pPr>
              <w:spacing w:before="0" w:after="0"/>
              <w:rPr>
                <w:rFonts w:ascii="Times New Roman" w:hAnsi="Times New Roman"/>
                <w:szCs w:val="20"/>
                <w:lang w:val="en-GB" w:eastAsia="en-GB"/>
              </w:rPr>
            </w:pPr>
          </w:p>
        </w:tc>
      </w:tr>
      <w:tr w:rsidR="00BB70EB" w:rsidRPr="008D73A7" w14:paraId="41FE6F91" w14:textId="77777777" w:rsidTr="00FD220C">
        <w:trPr>
          <w:trHeight w:val="250"/>
        </w:trPr>
        <w:tc>
          <w:tcPr>
            <w:tcW w:w="1521" w:type="dxa"/>
            <w:tcBorders>
              <w:top w:val="nil"/>
              <w:left w:val="nil"/>
              <w:bottom w:val="nil"/>
              <w:right w:val="nil"/>
            </w:tcBorders>
            <w:shd w:val="clear" w:color="auto" w:fill="auto"/>
            <w:noWrap/>
            <w:vAlign w:val="bottom"/>
            <w:hideMark/>
          </w:tcPr>
          <w:p w14:paraId="61872976" w14:textId="77777777" w:rsidR="00BB70EB" w:rsidRPr="008D73A7" w:rsidRDefault="00BB70EB" w:rsidP="00F044BB">
            <w:pPr>
              <w:spacing w:before="60"/>
              <w:rPr>
                <w:rFonts w:cs="Arial"/>
                <w:szCs w:val="20"/>
                <w:lang w:val="en-GB" w:eastAsia="en-GB"/>
              </w:rPr>
            </w:pPr>
          </w:p>
        </w:tc>
        <w:tc>
          <w:tcPr>
            <w:tcW w:w="7862" w:type="dxa"/>
            <w:gridSpan w:val="9"/>
            <w:vMerge/>
            <w:tcBorders>
              <w:top w:val="nil"/>
              <w:left w:val="nil"/>
              <w:bottom w:val="nil"/>
              <w:right w:val="nil"/>
            </w:tcBorders>
            <w:vAlign w:val="center"/>
            <w:hideMark/>
          </w:tcPr>
          <w:p w14:paraId="194E9127" w14:textId="77777777" w:rsidR="00BB70EB" w:rsidRPr="008D73A7" w:rsidRDefault="00BB70EB" w:rsidP="00F044BB">
            <w:pPr>
              <w:spacing w:before="60"/>
              <w:rPr>
                <w:rFonts w:cs="Arial"/>
                <w:szCs w:val="20"/>
                <w:lang w:val="en-GB" w:eastAsia="en-GB"/>
              </w:rPr>
            </w:pPr>
          </w:p>
        </w:tc>
        <w:tc>
          <w:tcPr>
            <w:tcW w:w="236" w:type="dxa"/>
            <w:vAlign w:val="center"/>
            <w:hideMark/>
          </w:tcPr>
          <w:p w14:paraId="76234441" w14:textId="77777777" w:rsidR="00BB70EB" w:rsidRPr="008D73A7" w:rsidRDefault="00BB70EB" w:rsidP="00BB70EB">
            <w:pPr>
              <w:spacing w:before="0" w:after="0"/>
              <w:rPr>
                <w:rFonts w:ascii="Times New Roman" w:hAnsi="Times New Roman"/>
                <w:szCs w:val="20"/>
                <w:lang w:val="en-GB" w:eastAsia="en-GB"/>
              </w:rPr>
            </w:pPr>
          </w:p>
        </w:tc>
      </w:tr>
      <w:tr w:rsidR="00BB70EB" w:rsidRPr="008D73A7" w14:paraId="57ED6475" w14:textId="77777777" w:rsidTr="00FD220C">
        <w:trPr>
          <w:trHeight w:val="250"/>
        </w:trPr>
        <w:tc>
          <w:tcPr>
            <w:tcW w:w="1521" w:type="dxa"/>
            <w:tcBorders>
              <w:top w:val="nil"/>
              <w:left w:val="nil"/>
              <w:bottom w:val="nil"/>
              <w:right w:val="nil"/>
            </w:tcBorders>
            <w:shd w:val="clear" w:color="auto" w:fill="auto"/>
            <w:noWrap/>
            <w:vAlign w:val="bottom"/>
            <w:hideMark/>
          </w:tcPr>
          <w:p w14:paraId="590AF48D" w14:textId="77777777" w:rsidR="00BB70EB" w:rsidRPr="008D73A7" w:rsidRDefault="00BB70EB" w:rsidP="000A25A1">
            <w:pPr>
              <w:spacing w:before="60"/>
              <w:rPr>
                <w:rFonts w:ascii="Times New Roman" w:hAnsi="Times New Roman"/>
                <w:szCs w:val="20"/>
                <w:lang w:val="en-GB" w:eastAsia="en-GB"/>
              </w:rPr>
            </w:pPr>
          </w:p>
        </w:tc>
        <w:tc>
          <w:tcPr>
            <w:tcW w:w="7862" w:type="dxa"/>
            <w:gridSpan w:val="9"/>
            <w:vMerge/>
            <w:tcBorders>
              <w:top w:val="nil"/>
              <w:left w:val="nil"/>
              <w:bottom w:val="nil"/>
              <w:right w:val="nil"/>
            </w:tcBorders>
            <w:vAlign w:val="center"/>
            <w:hideMark/>
          </w:tcPr>
          <w:p w14:paraId="1454AE20" w14:textId="77777777" w:rsidR="00BB70EB" w:rsidRPr="008D73A7" w:rsidRDefault="00BB70EB" w:rsidP="00BB70EB">
            <w:pPr>
              <w:spacing w:before="0" w:after="0"/>
              <w:rPr>
                <w:rFonts w:cs="Arial"/>
                <w:szCs w:val="20"/>
                <w:lang w:val="en-GB" w:eastAsia="en-GB"/>
              </w:rPr>
            </w:pPr>
          </w:p>
        </w:tc>
        <w:tc>
          <w:tcPr>
            <w:tcW w:w="236" w:type="dxa"/>
            <w:vAlign w:val="center"/>
            <w:hideMark/>
          </w:tcPr>
          <w:p w14:paraId="0FA8C07E" w14:textId="77777777" w:rsidR="00BB70EB" w:rsidRPr="008D73A7" w:rsidRDefault="00BB70EB" w:rsidP="00BB70EB">
            <w:pPr>
              <w:spacing w:before="0" w:after="0"/>
              <w:rPr>
                <w:rFonts w:ascii="Times New Roman" w:hAnsi="Times New Roman"/>
                <w:szCs w:val="20"/>
                <w:lang w:val="en-GB" w:eastAsia="en-GB"/>
              </w:rPr>
            </w:pPr>
          </w:p>
        </w:tc>
      </w:tr>
      <w:tr w:rsidR="00BB70EB" w:rsidRPr="008D73A7" w14:paraId="6FEE6FDA" w14:textId="77777777" w:rsidTr="00FD220C">
        <w:trPr>
          <w:trHeight w:val="250"/>
        </w:trPr>
        <w:tc>
          <w:tcPr>
            <w:tcW w:w="1521" w:type="dxa"/>
            <w:tcBorders>
              <w:top w:val="nil"/>
              <w:left w:val="nil"/>
              <w:bottom w:val="nil"/>
              <w:right w:val="nil"/>
            </w:tcBorders>
            <w:shd w:val="clear" w:color="auto" w:fill="auto"/>
            <w:noWrap/>
            <w:vAlign w:val="bottom"/>
            <w:hideMark/>
          </w:tcPr>
          <w:p w14:paraId="4933CFAB" w14:textId="77777777" w:rsidR="00BB70EB" w:rsidRPr="008D73A7" w:rsidRDefault="00BB70EB" w:rsidP="000A25A1">
            <w:pPr>
              <w:spacing w:before="60"/>
              <w:rPr>
                <w:rFonts w:ascii="Times New Roman" w:hAnsi="Times New Roman"/>
                <w:szCs w:val="20"/>
                <w:lang w:val="en-GB" w:eastAsia="en-GB"/>
              </w:rPr>
            </w:pPr>
          </w:p>
        </w:tc>
        <w:tc>
          <w:tcPr>
            <w:tcW w:w="7862" w:type="dxa"/>
            <w:gridSpan w:val="9"/>
            <w:vMerge/>
            <w:tcBorders>
              <w:top w:val="nil"/>
              <w:left w:val="nil"/>
              <w:bottom w:val="nil"/>
              <w:right w:val="nil"/>
            </w:tcBorders>
            <w:vAlign w:val="center"/>
            <w:hideMark/>
          </w:tcPr>
          <w:p w14:paraId="63B2B3ED" w14:textId="77777777" w:rsidR="00BB70EB" w:rsidRPr="008D73A7" w:rsidRDefault="00BB70EB" w:rsidP="00BB70EB">
            <w:pPr>
              <w:spacing w:before="0" w:after="0"/>
              <w:rPr>
                <w:rFonts w:cs="Arial"/>
                <w:szCs w:val="20"/>
                <w:lang w:val="en-GB" w:eastAsia="en-GB"/>
              </w:rPr>
            </w:pPr>
          </w:p>
        </w:tc>
        <w:tc>
          <w:tcPr>
            <w:tcW w:w="236" w:type="dxa"/>
            <w:vAlign w:val="center"/>
            <w:hideMark/>
          </w:tcPr>
          <w:p w14:paraId="59AD7F03" w14:textId="77777777" w:rsidR="00BB70EB" w:rsidRPr="008D73A7" w:rsidRDefault="00BB70EB" w:rsidP="00BB70EB">
            <w:pPr>
              <w:spacing w:before="0" w:after="0"/>
              <w:rPr>
                <w:rFonts w:ascii="Times New Roman" w:hAnsi="Times New Roman"/>
                <w:szCs w:val="20"/>
                <w:lang w:val="en-GB" w:eastAsia="en-GB"/>
              </w:rPr>
            </w:pPr>
          </w:p>
        </w:tc>
      </w:tr>
    </w:tbl>
    <w:p w14:paraId="4B4FDADA" w14:textId="6C746006" w:rsidR="00783832" w:rsidRPr="008D73A7" w:rsidRDefault="00783832" w:rsidP="00A55704">
      <w:pPr>
        <w:pStyle w:val="Heading2"/>
        <w:rPr>
          <w:lang w:val="en-GB"/>
        </w:rPr>
      </w:pPr>
      <w:bookmarkStart w:id="68" w:name="_Ref67399621"/>
      <w:bookmarkStart w:id="69" w:name="_Toc84325447"/>
      <w:bookmarkStart w:id="70" w:name="_Toc94608221"/>
      <w:bookmarkStart w:id="71" w:name="_Toc123634687"/>
      <w:bookmarkStart w:id="72" w:name="_Toc123634777"/>
      <w:bookmarkStart w:id="73" w:name="_Toc135806279"/>
      <w:bookmarkStart w:id="74" w:name="_Toc153443766"/>
      <w:bookmarkStart w:id="75" w:name="_Hlk120628880"/>
      <w:bookmarkEnd w:id="66"/>
      <w:r w:rsidRPr="008D73A7">
        <w:rPr>
          <w:lang w:val="en-GB"/>
        </w:rPr>
        <w:t>Generic indoor surveillance radar</w:t>
      </w:r>
      <w:bookmarkEnd w:id="68"/>
      <w:bookmarkEnd w:id="69"/>
      <w:bookmarkEnd w:id="70"/>
      <w:bookmarkEnd w:id="71"/>
      <w:bookmarkEnd w:id="72"/>
      <w:bookmarkEnd w:id="73"/>
      <w:bookmarkEnd w:id="74"/>
    </w:p>
    <w:p w14:paraId="4794C6FB" w14:textId="74638514" w:rsidR="00783832" w:rsidRPr="008D73A7" w:rsidRDefault="0001210D" w:rsidP="00406659">
      <w:pPr>
        <w:pStyle w:val="Heading3"/>
        <w:rPr>
          <w:lang w:val="en-GB"/>
        </w:rPr>
      </w:pPr>
      <w:bookmarkStart w:id="76" w:name="_Toc123634688"/>
      <w:bookmarkStart w:id="77" w:name="_Toc123634778"/>
      <w:bookmarkStart w:id="78" w:name="_Toc135806280"/>
      <w:bookmarkStart w:id="79" w:name="_Hlk120628901"/>
      <w:bookmarkEnd w:id="75"/>
      <w:r w:rsidRPr="008D73A7">
        <w:rPr>
          <w:lang w:val="en-GB"/>
        </w:rPr>
        <w:t>Summary</w:t>
      </w:r>
      <w:bookmarkEnd w:id="76"/>
      <w:bookmarkEnd w:id="77"/>
      <w:bookmarkEnd w:id="78"/>
    </w:p>
    <w:p w14:paraId="120ED0DB" w14:textId="2DA5F7EF" w:rsidR="0001210D" w:rsidRPr="008D73A7" w:rsidRDefault="0001210D" w:rsidP="006138F7">
      <w:pPr>
        <w:spacing w:after="240"/>
        <w:jc w:val="both"/>
        <w:rPr>
          <w:lang w:val="en-GB"/>
        </w:rPr>
      </w:pPr>
      <w:r w:rsidRPr="008D73A7">
        <w:rPr>
          <w:lang w:val="en-GB"/>
        </w:rPr>
        <w:t xml:space="preserve">For generic indoor surveillance radar the candidate frequency bands </w:t>
      </w:r>
      <w:r w:rsidRPr="008D73A7">
        <w:rPr>
          <w:rFonts w:eastAsiaTheme="minorHAnsi"/>
          <w:lang w:val="en-GB"/>
        </w:rPr>
        <w:t>116</w:t>
      </w:r>
      <w:r w:rsidR="00666B9A" w:rsidRPr="008D73A7">
        <w:rPr>
          <w:rFonts w:eastAsiaTheme="minorHAnsi"/>
          <w:lang w:val="en-GB"/>
        </w:rPr>
        <w:t>-</w:t>
      </w:r>
      <w:r w:rsidRPr="008D73A7">
        <w:rPr>
          <w:rFonts w:eastAsiaTheme="minorHAnsi"/>
          <w:lang w:val="en-GB"/>
        </w:rPr>
        <w:t>130 GHz, 134</w:t>
      </w:r>
      <w:r w:rsidR="00666B9A" w:rsidRPr="008D73A7">
        <w:rPr>
          <w:rFonts w:eastAsiaTheme="minorHAnsi"/>
          <w:lang w:val="en-GB"/>
        </w:rPr>
        <w:t>-</w:t>
      </w:r>
      <w:r w:rsidRPr="008D73A7">
        <w:rPr>
          <w:rFonts w:eastAsiaTheme="minorHAnsi"/>
          <w:lang w:val="en-GB"/>
        </w:rPr>
        <w:t>141 GHz and 141</w:t>
      </w:r>
      <w:r w:rsidR="0032717C">
        <w:rPr>
          <w:rFonts w:eastAsiaTheme="minorHAnsi"/>
          <w:lang w:val="en-GB"/>
        </w:rPr>
        <w:t>-</w:t>
      </w:r>
      <w:r w:rsidRPr="008D73A7">
        <w:rPr>
          <w:rFonts w:eastAsiaTheme="minorHAnsi"/>
          <w:lang w:val="en-GB"/>
        </w:rPr>
        <w:t xml:space="preserve">148.5 GHz have been studied for both categories of such devices, hand-held/mobile and fixed. </w:t>
      </w:r>
      <w:r w:rsidRPr="008D73A7">
        <w:rPr>
          <w:lang w:val="en-GB"/>
        </w:rPr>
        <w:t>It turned out that only in the bands 122.25</w:t>
      </w:r>
      <w:r w:rsidR="00666B9A" w:rsidRPr="008D73A7">
        <w:rPr>
          <w:lang w:val="en-GB"/>
        </w:rPr>
        <w:t>-</w:t>
      </w:r>
      <w:r w:rsidRPr="008D73A7">
        <w:rPr>
          <w:lang w:val="en-GB"/>
        </w:rPr>
        <w:t>130 GHz, 134</w:t>
      </w:r>
      <w:r w:rsidR="00666B9A" w:rsidRPr="008D73A7">
        <w:rPr>
          <w:lang w:val="en-GB"/>
        </w:rPr>
        <w:t>-</w:t>
      </w:r>
      <w:r w:rsidRPr="008D73A7">
        <w:rPr>
          <w:lang w:val="en-GB"/>
        </w:rPr>
        <w:t>141 GHz and 141</w:t>
      </w:r>
      <w:r w:rsidR="00666B9A" w:rsidRPr="008D73A7">
        <w:rPr>
          <w:lang w:val="en-GB"/>
        </w:rPr>
        <w:t>-</w:t>
      </w:r>
      <w:r w:rsidRPr="008D73A7">
        <w:rPr>
          <w:lang w:val="en-GB"/>
        </w:rPr>
        <w:t xml:space="preserve">148.5 GHz compatibility between generic indoor surveillance radars and all investigated </w:t>
      </w:r>
      <w:r w:rsidR="009938BF" w:rsidRPr="008D73A7">
        <w:rPr>
          <w:lang w:val="en-GB"/>
        </w:rPr>
        <w:t>r</w:t>
      </w:r>
      <w:r w:rsidRPr="008D73A7">
        <w:rPr>
          <w:lang w:val="en-GB"/>
        </w:rPr>
        <w:t xml:space="preserve">adio </w:t>
      </w:r>
      <w:r w:rsidR="00C111EF" w:rsidRPr="008D73A7">
        <w:rPr>
          <w:lang w:val="en-GB"/>
        </w:rPr>
        <w:t>s</w:t>
      </w:r>
      <w:r w:rsidRPr="008D73A7">
        <w:rPr>
          <w:lang w:val="en-GB"/>
        </w:rPr>
        <w:t>ervices can be ensured.</w:t>
      </w:r>
    </w:p>
    <w:p w14:paraId="5D6F2C56" w14:textId="14BA52A6" w:rsidR="0001210D" w:rsidRPr="008D73A7" w:rsidRDefault="0001210D" w:rsidP="006138F7">
      <w:pPr>
        <w:spacing w:after="240"/>
        <w:jc w:val="both"/>
        <w:rPr>
          <w:lang w:val="en-GB"/>
        </w:rPr>
      </w:pPr>
      <w:r w:rsidRPr="008D73A7">
        <w:rPr>
          <w:lang w:val="en-GB"/>
        </w:rPr>
        <w:t>The lower portion, 116</w:t>
      </w:r>
      <w:r w:rsidR="00666B9A" w:rsidRPr="008D73A7">
        <w:rPr>
          <w:lang w:val="en-GB"/>
        </w:rPr>
        <w:t>-</w:t>
      </w:r>
      <w:r w:rsidRPr="008D73A7">
        <w:rPr>
          <w:lang w:val="en-GB"/>
        </w:rPr>
        <w:t>122.25 GHz, of the whole candidate band 116</w:t>
      </w:r>
      <w:r w:rsidR="00666B9A" w:rsidRPr="008D73A7">
        <w:rPr>
          <w:lang w:val="en-GB"/>
        </w:rPr>
        <w:t>-</w:t>
      </w:r>
      <w:r w:rsidRPr="008D73A7">
        <w:rPr>
          <w:lang w:val="en-GB"/>
        </w:rPr>
        <w:t xml:space="preserve">130 GHz has also been investigated. However, compatibility between generic indoor surveillance radar sensors and EESS (passive) cannot be ensured in this band portion assuming the power levels given in </w:t>
      </w:r>
      <w:r w:rsidR="005D2059" w:rsidRPr="008D73A7">
        <w:rPr>
          <w:lang w:val="en-GB"/>
        </w:rPr>
        <w:t>ECC Report 334</w:t>
      </w:r>
      <w:r w:rsidR="00690D5D" w:rsidRPr="008D73A7">
        <w:rPr>
          <w:lang w:val="en-GB"/>
        </w:rPr>
        <w:t>,</w:t>
      </w:r>
      <w:r w:rsidR="005D2059" w:rsidRPr="008D73A7">
        <w:rPr>
          <w:lang w:val="en-GB"/>
        </w:rPr>
        <w:t xml:space="preserve"> </w:t>
      </w:r>
      <w:r w:rsidRPr="008D73A7">
        <w:rPr>
          <w:lang w:val="en-GB"/>
        </w:rPr>
        <w:t>section</w:t>
      </w:r>
      <w:r w:rsidR="00567189" w:rsidRPr="008D73A7">
        <w:rPr>
          <w:lang w:val="en-GB"/>
        </w:rPr>
        <w:t xml:space="preserve"> </w:t>
      </w:r>
      <w:r w:rsidR="00546FE3" w:rsidRPr="008D73A7">
        <w:rPr>
          <w:lang w:val="en-GB"/>
        </w:rPr>
        <w:t>6.1.1</w:t>
      </w:r>
      <w:r w:rsidR="00690D5D" w:rsidRPr="008D73A7">
        <w:rPr>
          <w:lang w:val="en-GB"/>
        </w:rPr>
        <w:t xml:space="preserve"> </w:t>
      </w:r>
      <w:r w:rsidR="00690D5D" w:rsidRPr="008D73A7">
        <w:rPr>
          <w:lang w:val="en-GB"/>
        </w:rPr>
        <w:fldChar w:fldCharType="begin"/>
      </w:r>
      <w:r w:rsidR="00690D5D" w:rsidRPr="008D73A7">
        <w:rPr>
          <w:lang w:val="en-GB"/>
        </w:rPr>
        <w:instrText xml:space="preserve"> REF  ECC_Report_334 \h \n  \* MERGEFORMAT </w:instrText>
      </w:r>
      <w:r w:rsidR="00690D5D" w:rsidRPr="008D73A7">
        <w:rPr>
          <w:lang w:val="en-GB"/>
        </w:rPr>
      </w:r>
      <w:r w:rsidR="00690D5D" w:rsidRPr="008D73A7">
        <w:rPr>
          <w:lang w:val="en-GB"/>
        </w:rPr>
        <w:fldChar w:fldCharType="separate"/>
      </w:r>
      <w:r w:rsidR="00113216" w:rsidRPr="008D73A7">
        <w:rPr>
          <w:lang w:val="en-GB"/>
        </w:rPr>
        <w:t>[1]</w:t>
      </w:r>
      <w:r w:rsidR="00690D5D" w:rsidRPr="008D73A7">
        <w:rPr>
          <w:lang w:val="en-GB"/>
        </w:rPr>
        <w:fldChar w:fldCharType="end"/>
      </w:r>
      <w:r w:rsidRPr="008D73A7">
        <w:rPr>
          <w:lang w:val="en-GB"/>
        </w:rPr>
        <w:t>.</w:t>
      </w:r>
    </w:p>
    <w:p w14:paraId="0D04C3B9" w14:textId="77777777" w:rsidR="0001210D" w:rsidRPr="008D73A7" w:rsidRDefault="0001210D" w:rsidP="006138F7">
      <w:pPr>
        <w:jc w:val="both"/>
        <w:rPr>
          <w:rFonts w:eastAsiaTheme="minorHAnsi"/>
          <w:lang w:val="en-GB"/>
        </w:rPr>
      </w:pPr>
      <w:r w:rsidRPr="008D73A7">
        <w:rPr>
          <w:rFonts w:eastAsiaTheme="minorHAnsi"/>
          <w:lang w:val="en-GB"/>
        </w:rPr>
        <w:t>The following protection requirements have been assumed:</w:t>
      </w:r>
    </w:p>
    <w:p w14:paraId="0AD559F1" w14:textId="2B3377F9" w:rsidR="0001210D" w:rsidRPr="008D73A7" w:rsidRDefault="00D62091" w:rsidP="009C18AB">
      <w:pPr>
        <w:pStyle w:val="ECCBulletsLv1"/>
        <w:ind w:left="340" w:hanging="340"/>
      </w:pPr>
      <w:r w:rsidRPr="008D73A7">
        <w:t>r</w:t>
      </w:r>
      <w:r w:rsidR="0001210D" w:rsidRPr="008D73A7">
        <w:t xml:space="preserve">adio </w:t>
      </w:r>
      <w:r w:rsidR="00D27FD0" w:rsidRPr="008D73A7">
        <w:t>a</w:t>
      </w:r>
      <w:r w:rsidR="0001210D" w:rsidRPr="008D73A7">
        <w:t>stronomy: Separation distance smaller than 20 km</w:t>
      </w:r>
      <w:r w:rsidR="00FC748D" w:rsidRPr="008D73A7">
        <w:t>;</w:t>
      </w:r>
    </w:p>
    <w:p w14:paraId="35E81BD6" w14:textId="708E4F31" w:rsidR="0001210D" w:rsidRPr="008D73A7" w:rsidRDefault="00D62091" w:rsidP="009C18AB">
      <w:pPr>
        <w:pStyle w:val="ECCBulletsLv1"/>
        <w:ind w:left="340" w:hanging="340"/>
      </w:pPr>
      <w:r w:rsidRPr="008D73A7">
        <w:t>f</w:t>
      </w:r>
      <w:r w:rsidR="0001210D" w:rsidRPr="008D73A7">
        <w:t xml:space="preserve">ixed </w:t>
      </w:r>
      <w:r w:rsidR="00D27FD0" w:rsidRPr="008D73A7">
        <w:t>s</w:t>
      </w:r>
      <w:r w:rsidR="0001210D" w:rsidRPr="008D73A7">
        <w:t xml:space="preserve">ervice and </w:t>
      </w:r>
      <w:r w:rsidR="00D27FD0" w:rsidRPr="008D73A7">
        <w:t>a</w:t>
      </w:r>
      <w:r w:rsidR="0001210D" w:rsidRPr="008D73A7">
        <w:t xml:space="preserve">mateur </w:t>
      </w:r>
      <w:r w:rsidR="00D27FD0" w:rsidRPr="008D73A7">
        <w:t>s</w:t>
      </w:r>
      <w:r w:rsidR="0001210D" w:rsidRPr="008D73A7">
        <w:t>ervice: Separation distance smaller than 300 m</w:t>
      </w:r>
      <w:r w:rsidR="00FC748D" w:rsidRPr="008D73A7">
        <w:t>;</w:t>
      </w:r>
    </w:p>
    <w:p w14:paraId="2480BDCE" w14:textId="1E80EC6F" w:rsidR="0001210D" w:rsidRPr="008D73A7" w:rsidRDefault="00D62091" w:rsidP="00DB49BB">
      <w:pPr>
        <w:pStyle w:val="ECCBulletsLv1"/>
        <w:ind w:left="340" w:hanging="340"/>
      </w:pPr>
      <w:r w:rsidRPr="008D73A7">
        <w:t>e</w:t>
      </w:r>
      <w:r w:rsidR="0001210D" w:rsidRPr="008D73A7">
        <w:t xml:space="preserve">arth </w:t>
      </w:r>
      <w:r w:rsidR="00D27FD0" w:rsidRPr="008D73A7">
        <w:t>e</w:t>
      </w:r>
      <w:r w:rsidR="0001210D" w:rsidRPr="008D73A7">
        <w:t xml:space="preserve">xploration </w:t>
      </w:r>
      <w:r w:rsidR="00D27FD0" w:rsidRPr="008D73A7">
        <w:t>s</w:t>
      </w:r>
      <w:r w:rsidR="0001210D" w:rsidRPr="008D73A7">
        <w:t xml:space="preserve">atellite </w:t>
      </w:r>
      <w:r w:rsidR="00D27FD0" w:rsidRPr="008D73A7">
        <w:t>s</w:t>
      </w:r>
      <w:r w:rsidR="0001210D" w:rsidRPr="008D73A7">
        <w:t xml:space="preserve">ervice (passive): positive margin to the maximum interference level in the victim receiver (see </w:t>
      </w:r>
      <w:r w:rsidR="00BF3E07" w:rsidRPr="008D73A7">
        <w:t>ECC Report 334</w:t>
      </w:r>
      <w:r w:rsidR="00FC748D" w:rsidRPr="008D73A7">
        <w:t>,</w:t>
      </w:r>
      <w:r w:rsidR="00BF3E07" w:rsidRPr="008D73A7">
        <w:t xml:space="preserve"> </w:t>
      </w:r>
      <w:r w:rsidR="0001210D" w:rsidRPr="008D73A7">
        <w:t xml:space="preserve">section </w:t>
      </w:r>
      <w:r w:rsidR="007C737A" w:rsidRPr="008D73A7">
        <w:t>3.5.4.2</w:t>
      </w:r>
      <w:r w:rsidR="0001210D" w:rsidRPr="008D73A7">
        <w:t>).</w:t>
      </w:r>
    </w:p>
    <w:p w14:paraId="79FE523D" w14:textId="77777777" w:rsidR="0001210D" w:rsidRPr="008D73A7" w:rsidRDefault="0001210D" w:rsidP="0001210D">
      <w:pPr>
        <w:rPr>
          <w:lang w:val="en-GB"/>
        </w:rPr>
      </w:pPr>
      <w:r w:rsidRPr="008D73A7">
        <w:rPr>
          <w:lang w:val="en-GB"/>
        </w:rPr>
        <w:t>All fixed generic indoor surveillance radars should comply with the following (installation) requirements:</w:t>
      </w:r>
    </w:p>
    <w:p w14:paraId="2CA5D62A" w14:textId="459F7FDB" w:rsidR="0001210D" w:rsidRPr="008D73A7" w:rsidRDefault="0001210D" w:rsidP="009C18AB">
      <w:pPr>
        <w:pStyle w:val="ECCBulletsLv1"/>
        <w:ind w:left="340" w:hanging="340"/>
      </w:pPr>
      <w:r w:rsidRPr="008D73A7">
        <w:t>Fixed generic indoor surveillance radars shall only be installed and operated inside buildings</w:t>
      </w:r>
      <w:r w:rsidR="00FC748D" w:rsidRPr="008D73A7">
        <w:t>;</w:t>
      </w:r>
    </w:p>
    <w:p w14:paraId="7115C13A" w14:textId="12F8D7C4" w:rsidR="0001210D" w:rsidRPr="008D73A7" w:rsidRDefault="0001210D" w:rsidP="009C18AB">
      <w:pPr>
        <w:pStyle w:val="ECCBulletsLv1"/>
        <w:ind w:left="340" w:hanging="340"/>
      </w:pPr>
      <w:r w:rsidRPr="008D73A7">
        <w:t>Users and installers have to ensure that fixed generic indoor surveillance radars, although installed inside a building, do not perform a function outside the building structure, such as for example the detection of persons outside the building (e.g. through wall imaging)</w:t>
      </w:r>
      <w:r w:rsidR="00FC748D" w:rsidRPr="008D73A7">
        <w:t>;</w:t>
      </w:r>
    </w:p>
    <w:p w14:paraId="6AA2C235" w14:textId="77777777" w:rsidR="0001210D" w:rsidRPr="008D73A7" w:rsidRDefault="0001210D" w:rsidP="00DB49BB">
      <w:pPr>
        <w:pStyle w:val="ECCBulletsLv1"/>
        <w:ind w:left="340" w:hanging="340"/>
      </w:pPr>
      <w:r w:rsidRPr="008D73A7">
        <w:lastRenderedPageBreak/>
        <w:t>The provider is required to inform the users and installers of fixed generic indoor surveillance equipment about the installation requirements and the additional special mounting instructions.</w:t>
      </w:r>
    </w:p>
    <w:p w14:paraId="01015A14" w14:textId="77777777" w:rsidR="0001210D" w:rsidRPr="008D73A7" w:rsidRDefault="0001210D" w:rsidP="0001210D">
      <w:pPr>
        <w:rPr>
          <w:lang w:val="en-GB"/>
        </w:rPr>
      </w:pPr>
      <w:r w:rsidRPr="008D73A7">
        <w:rPr>
          <w:lang w:val="en-GB"/>
        </w:rPr>
        <w:t>In addition, the following antenna requirement is proposed:</w:t>
      </w:r>
    </w:p>
    <w:p w14:paraId="2BE9572E" w14:textId="77777777" w:rsidR="0001210D" w:rsidRPr="008D73A7" w:rsidRDefault="0001210D" w:rsidP="0001210D">
      <w:pPr>
        <w:pStyle w:val="ECCBulletsLv1"/>
        <w:ind w:left="340" w:hanging="340"/>
      </w:pPr>
      <w:r w:rsidRPr="008D73A7">
        <w:t>For fixed generic indoor surveillance radars, the mean e.i.r.p. above 0° elevation shall be limited to 12 dBm (8 dB below the maximum mean e.i.r.p. of 20 dBm).</w:t>
      </w:r>
    </w:p>
    <w:p w14:paraId="7C82E206" w14:textId="73A0EF4D" w:rsidR="00783832" w:rsidRPr="008D73A7" w:rsidRDefault="00A06466" w:rsidP="00406659">
      <w:pPr>
        <w:pStyle w:val="Heading3"/>
        <w:rPr>
          <w:lang w:val="en-GB"/>
        </w:rPr>
      </w:pPr>
      <w:bookmarkStart w:id="80" w:name="_Toc123634689"/>
      <w:bookmarkStart w:id="81" w:name="_Toc123634779"/>
      <w:bookmarkStart w:id="82" w:name="_Toc135806281"/>
      <w:bookmarkEnd w:id="79"/>
      <w:r>
        <w:rPr>
          <w:lang w:val="en-GB"/>
        </w:rPr>
        <w:t>R</w:t>
      </w:r>
      <w:r w:rsidR="008F03C4" w:rsidRPr="008D73A7">
        <w:rPr>
          <w:lang w:val="en-GB"/>
        </w:rPr>
        <w:t xml:space="preserve">adio </w:t>
      </w:r>
      <w:r w:rsidR="00F50BA8" w:rsidRPr="008D73A7">
        <w:rPr>
          <w:lang w:val="en-GB"/>
        </w:rPr>
        <w:t>a</w:t>
      </w:r>
      <w:r w:rsidR="008F03C4" w:rsidRPr="008D73A7">
        <w:rPr>
          <w:lang w:val="en-GB"/>
        </w:rPr>
        <w:t>stronomy</w:t>
      </w:r>
      <w:bookmarkEnd w:id="80"/>
      <w:bookmarkEnd w:id="81"/>
      <w:bookmarkEnd w:id="82"/>
    </w:p>
    <w:p w14:paraId="3686DE25" w14:textId="5D5FF439" w:rsidR="008F03C4" w:rsidRPr="008D73A7" w:rsidRDefault="008F03C4" w:rsidP="008F03C4">
      <w:pPr>
        <w:pStyle w:val="ECCParagraph"/>
      </w:pPr>
      <w:r w:rsidRPr="008D73A7">
        <w:t>The separation distances in the lower frequency range 123</w:t>
      </w:r>
      <w:r w:rsidR="00666B9A" w:rsidRPr="008D73A7">
        <w:t>-</w:t>
      </w:r>
      <w:r w:rsidRPr="008D73A7">
        <w:t>158.5</w:t>
      </w:r>
      <w:r w:rsidR="002B273A" w:rsidRPr="008D73A7">
        <w:t> </w:t>
      </w:r>
      <w:r w:rsidRPr="008D73A7">
        <w:t>GHz obtained in the single-entry study are for the fixed generic indoor surveillance radar devices 35.2</w:t>
      </w:r>
      <w:r w:rsidR="003F26FD" w:rsidRPr="008D73A7">
        <w:t> </w:t>
      </w:r>
      <w:r w:rsidRPr="008D73A7">
        <w:t>km for the outdoor consideration and 10.7</w:t>
      </w:r>
      <w:r w:rsidR="002B273A" w:rsidRPr="008D73A7">
        <w:t> </w:t>
      </w:r>
      <w:r w:rsidRPr="008D73A7">
        <w:t>km for the indoor case. For the hand-held/mobile generic indoor surveillance equipment the separation distances are 19</w:t>
      </w:r>
      <w:r w:rsidR="002B273A" w:rsidRPr="008D73A7">
        <w:t> </w:t>
      </w:r>
      <w:r w:rsidRPr="008D73A7">
        <w:t>km for the outdoor consideration and 1.6</w:t>
      </w:r>
      <w:r w:rsidR="002B273A" w:rsidRPr="008D73A7">
        <w:t> </w:t>
      </w:r>
      <w:r w:rsidRPr="008D73A7">
        <w:t>km for the indoor case.</w:t>
      </w:r>
    </w:p>
    <w:p w14:paraId="6F050476" w14:textId="7C81BF6D" w:rsidR="008F03C4" w:rsidRPr="008D73A7" w:rsidRDefault="008F03C4" w:rsidP="008F03C4">
      <w:pPr>
        <w:pStyle w:val="ECCParagraph"/>
      </w:pPr>
      <w:r w:rsidRPr="008D73A7">
        <w:t>Therefore, to reach compatibility for the fixed indoor equipment an installation requirement limiting the related mean e.i.r.p. to a maximal value of 12</w:t>
      </w:r>
      <w:r w:rsidR="002B273A" w:rsidRPr="008D73A7">
        <w:t> </w:t>
      </w:r>
      <w:r w:rsidRPr="008D73A7">
        <w:t>dBm for elevation angles larger than 0° could be requested. In this case the separation distance would drop to 17.5</w:t>
      </w:r>
      <w:r w:rsidR="002B273A" w:rsidRPr="008D73A7">
        <w:t> </w:t>
      </w:r>
      <w:r w:rsidRPr="008D73A7">
        <w:t>km for the outdoor consideration.</w:t>
      </w:r>
    </w:p>
    <w:p w14:paraId="2E890699" w14:textId="58F3D175" w:rsidR="008F03C4" w:rsidRPr="008D73A7" w:rsidRDefault="008F03C4" w:rsidP="008F03C4">
      <w:pPr>
        <w:pStyle w:val="ECCParagraph"/>
      </w:pPr>
      <w:r w:rsidRPr="008D73A7">
        <w:t>For the frequency bands 76</w:t>
      </w:r>
      <w:r w:rsidR="00666B9A" w:rsidRPr="008D73A7">
        <w:t>-</w:t>
      </w:r>
      <w:r w:rsidRPr="008D73A7">
        <w:t>116</w:t>
      </w:r>
      <w:r w:rsidR="002B273A" w:rsidRPr="008D73A7">
        <w:t> </w:t>
      </w:r>
      <w:r w:rsidRPr="008D73A7">
        <w:t>GHz, 148.5</w:t>
      </w:r>
      <w:r w:rsidR="00666B9A" w:rsidRPr="008D73A7">
        <w:t>-</w:t>
      </w:r>
      <w:r w:rsidRPr="008D73A7">
        <w:t>151.5</w:t>
      </w:r>
      <w:r w:rsidR="002B273A" w:rsidRPr="008D73A7">
        <w:t> </w:t>
      </w:r>
      <w:r w:rsidRPr="008D73A7">
        <w:t>GHz (adjacent frequency situation) compatibility can be ensured between both types of generic indoor surveillance radar equipment and RAS without the implementation of additional mitigation techniques. The separation distances obtained in the MCL calculations are all below 5</w:t>
      </w:r>
      <w:r w:rsidR="002B273A" w:rsidRPr="008D73A7">
        <w:t> </w:t>
      </w:r>
      <w:r w:rsidRPr="008D73A7">
        <w:t>km.</w:t>
      </w:r>
    </w:p>
    <w:p w14:paraId="587D1A68" w14:textId="123D67E1" w:rsidR="008F03C4" w:rsidRPr="008D73A7" w:rsidRDefault="008F03C4" w:rsidP="00A21275">
      <w:pPr>
        <w:pStyle w:val="ECCParagraph"/>
      </w:pPr>
      <w:r w:rsidRPr="008D73A7">
        <w:t xml:space="preserve">Operational solutions to implement these separation distances were not studied in </w:t>
      </w:r>
      <w:r w:rsidR="00BF3E07" w:rsidRPr="008D73A7">
        <w:t>ECC Report 334</w:t>
      </w:r>
      <w:r w:rsidR="00AB24A9" w:rsidRPr="008D73A7">
        <w:t xml:space="preserve"> </w:t>
      </w:r>
      <w:r w:rsidR="00AB24A9" w:rsidRPr="008D73A7">
        <w:fldChar w:fldCharType="begin"/>
      </w:r>
      <w:r w:rsidR="00AB24A9" w:rsidRPr="008D73A7">
        <w:instrText xml:space="preserve"> REF ECC_Report_334 \w \h </w:instrText>
      </w:r>
      <w:r w:rsidR="00AB24A9" w:rsidRPr="008D73A7">
        <w:fldChar w:fldCharType="separate"/>
      </w:r>
      <w:r w:rsidR="00113216" w:rsidRPr="008D73A7">
        <w:t>[1]</w:t>
      </w:r>
      <w:r w:rsidR="00AB24A9" w:rsidRPr="008D73A7">
        <w:fldChar w:fldCharType="end"/>
      </w:r>
      <w:r w:rsidRPr="008D73A7">
        <w:t>.</w:t>
      </w:r>
    </w:p>
    <w:p w14:paraId="38CB69B0" w14:textId="027936D3" w:rsidR="008F03C4" w:rsidRPr="008D73A7" w:rsidRDefault="00A06466" w:rsidP="00406659">
      <w:pPr>
        <w:pStyle w:val="Heading3"/>
        <w:rPr>
          <w:lang w:val="en-GB"/>
        </w:rPr>
      </w:pPr>
      <w:bookmarkStart w:id="83" w:name="_Toc123634690"/>
      <w:bookmarkStart w:id="84" w:name="_Toc123634780"/>
      <w:bookmarkStart w:id="85" w:name="_Toc135806282"/>
      <w:r>
        <w:rPr>
          <w:lang w:val="en-GB"/>
        </w:rPr>
        <w:t>F</w:t>
      </w:r>
      <w:r w:rsidR="008F03C4" w:rsidRPr="008D73A7">
        <w:rPr>
          <w:lang w:val="en-GB"/>
        </w:rPr>
        <w:t xml:space="preserve">ixed </w:t>
      </w:r>
      <w:r w:rsidR="00045AA7" w:rsidRPr="008D73A7">
        <w:rPr>
          <w:lang w:val="en-GB"/>
        </w:rPr>
        <w:t>s</w:t>
      </w:r>
      <w:r w:rsidR="008F03C4" w:rsidRPr="008D73A7">
        <w:rPr>
          <w:lang w:val="en-GB"/>
        </w:rPr>
        <w:t>ervice</w:t>
      </w:r>
      <w:bookmarkEnd w:id="83"/>
      <w:bookmarkEnd w:id="84"/>
      <w:bookmarkEnd w:id="85"/>
    </w:p>
    <w:p w14:paraId="5AC63671" w14:textId="7EFA12C6" w:rsidR="008F03C4" w:rsidRPr="008D73A7" w:rsidRDefault="008F03C4" w:rsidP="002B273A">
      <w:pPr>
        <w:pStyle w:val="ECCParagraph"/>
      </w:pPr>
      <w:r w:rsidRPr="008D73A7">
        <w:t xml:space="preserve">For evaluating the compatibility between generic indoor surveillance radar and FS the two worst-case interference scenarios in </w:t>
      </w:r>
      <w:r w:rsidR="00A70FA4" w:rsidRPr="008D73A7">
        <w:t>ECC Report 334</w:t>
      </w:r>
      <w:r w:rsidR="0050164C" w:rsidRPr="008D73A7">
        <w:t>,</w:t>
      </w:r>
      <w:r w:rsidR="00A70FA4" w:rsidRPr="008D73A7">
        <w:t xml:space="preserve"> </w:t>
      </w:r>
      <w:r w:rsidR="00952300" w:rsidRPr="008D73A7">
        <w:t>f</w:t>
      </w:r>
      <w:r w:rsidRPr="008D73A7">
        <w:t xml:space="preserve">igure 3 and </w:t>
      </w:r>
      <w:r w:rsidR="00952300" w:rsidRPr="008D73A7">
        <w:t>f</w:t>
      </w:r>
      <w:r w:rsidRPr="008D73A7">
        <w:t xml:space="preserve">igure 4 have been defined (see </w:t>
      </w:r>
      <w:r w:rsidR="00BF3E07" w:rsidRPr="008D73A7">
        <w:t>ECC Report 334</w:t>
      </w:r>
      <w:r w:rsidR="00FC748D" w:rsidRPr="008D73A7">
        <w:t>,</w:t>
      </w:r>
      <w:r w:rsidR="00BF3E07" w:rsidRPr="008D73A7">
        <w:t xml:space="preserve"> </w:t>
      </w:r>
      <w:r w:rsidRPr="008D73A7">
        <w:t>section 2.2.1.6). In both scenarios it is valid that separation distances smaller than 300</w:t>
      </w:r>
      <w:r w:rsidR="002B273A" w:rsidRPr="008D73A7">
        <w:t> </w:t>
      </w:r>
      <w:r w:rsidRPr="008D73A7">
        <w:t>m result in compatibility between RDI and FS such that a coexistence of both systems is always given. Separation distances larger than 300</w:t>
      </w:r>
      <w:r w:rsidR="002B273A" w:rsidRPr="008D73A7">
        <w:t> </w:t>
      </w:r>
      <w:r w:rsidRPr="008D73A7">
        <w:t xml:space="preserve">m in contrast produce interference to the FS receiver such that the protection requirements identified in </w:t>
      </w:r>
      <w:r w:rsidR="00BF3E07" w:rsidRPr="008D73A7">
        <w:t>ECC Report 334</w:t>
      </w:r>
      <w:r w:rsidR="00F26F60" w:rsidRPr="008D73A7">
        <w:t>,</w:t>
      </w:r>
      <w:r w:rsidR="00BF3E07" w:rsidRPr="008D73A7">
        <w:t xml:space="preserve"> </w:t>
      </w:r>
      <w:r w:rsidRPr="008D73A7">
        <w:t xml:space="preserve">section 3.5.3 </w:t>
      </w:r>
      <w:proofErr w:type="gramStart"/>
      <w:r w:rsidRPr="008D73A7">
        <w:t>are</w:t>
      </w:r>
      <w:proofErr w:type="gramEnd"/>
      <w:r w:rsidRPr="008D73A7">
        <w:t xml:space="preserve"> not fulfilled. In this case</w:t>
      </w:r>
      <w:r w:rsidR="003236B2" w:rsidRPr="008D73A7">
        <w:t>,</w:t>
      </w:r>
      <w:r w:rsidRPr="008D73A7">
        <w:t xml:space="preserve"> the coexistence of both systems is not possible in the respective scenario without further protection measures.</w:t>
      </w:r>
    </w:p>
    <w:p w14:paraId="01237C79" w14:textId="13074084" w:rsidR="008F03C4" w:rsidRPr="008D73A7" w:rsidRDefault="008F03C4" w:rsidP="008F03C4">
      <w:pPr>
        <w:pStyle w:val="ECCParagraph"/>
      </w:pPr>
      <w:r w:rsidRPr="008D73A7">
        <w:t>For the hand-held/mobile and fixed generic indoor surveillance equipment the largest separation distance in the in-band interference situation was determined to be 290</w:t>
      </w:r>
      <w:r w:rsidR="00FB32F4" w:rsidRPr="008D73A7">
        <w:t> </w:t>
      </w:r>
      <w:r w:rsidRPr="008D73A7">
        <w:t>m. For the adjacent band situation, the separation distance was determined to be 50</w:t>
      </w:r>
      <w:r w:rsidR="00BF3E07" w:rsidRPr="008D73A7">
        <w:t> </w:t>
      </w:r>
      <w:r w:rsidRPr="008D73A7">
        <w:t>m.</w:t>
      </w:r>
    </w:p>
    <w:p w14:paraId="496AE541" w14:textId="5B739B94" w:rsidR="008F03C4" w:rsidRPr="008D73A7" w:rsidRDefault="008F03C4" w:rsidP="008F03C4">
      <w:pPr>
        <w:pStyle w:val="ECCParagraph"/>
      </w:pPr>
      <w:r w:rsidRPr="008D73A7">
        <w:t>If in addition the antenna pattern (8</w:t>
      </w:r>
      <w:r w:rsidR="00FB32F4" w:rsidRPr="008D73A7">
        <w:t> </w:t>
      </w:r>
      <w:r w:rsidRPr="008D73A7">
        <w:t>dB below the maximum mean e.i.r.p</w:t>
      </w:r>
      <w:r w:rsidR="009566F2" w:rsidRPr="008D73A7">
        <w:t>.</w:t>
      </w:r>
      <w:r w:rsidRPr="008D73A7">
        <w:t xml:space="preserve"> above an elevation of larger than 0°) was considered for the fixed generic indoor surveillance radar a smaller separation distance and thus a lower probability of interference would result. The same would apply to both generic indoor surveillance device categories if a clutter loss was considered in the terrestrial path.</w:t>
      </w:r>
    </w:p>
    <w:p w14:paraId="6C8BDDD5" w14:textId="24E9CA67" w:rsidR="008F03C4" w:rsidRPr="008D73A7" w:rsidRDefault="008F03C4" w:rsidP="00A21275">
      <w:pPr>
        <w:pStyle w:val="ECCParagraph"/>
      </w:pPr>
      <w:r w:rsidRPr="008D73A7">
        <w:t>In the aggregate consideration the number of required devices in order to interfere with the FS receiver (in the worst-case 17 per floor) would by far outnumber the expected device numbers per house (5) or per flat (3).</w:t>
      </w:r>
    </w:p>
    <w:p w14:paraId="33E41C91" w14:textId="474F9695" w:rsidR="008F03C4" w:rsidRPr="008D73A7" w:rsidRDefault="00A06466" w:rsidP="00406659">
      <w:pPr>
        <w:pStyle w:val="Heading3"/>
        <w:rPr>
          <w:lang w:val="en-GB"/>
        </w:rPr>
      </w:pPr>
      <w:bookmarkStart w:id="86" w:name="_Ref67858645"/>
      <w:bookmarkStart w:id="87" w:name="_Toc84325451"/>
      <w:bookmarkStart w:id="88" w:name="_Toc94608225"/>
      <w:bookmarkStart w:id="89" w:name="_Toc123634691"/>
      <w:bookmarkStart w:id="90" w:name="_Toc123634781"/>
      <w:bookmarkStart w:id="91" w:name="_Toc135806283"/>
      <w:r>
        <w:rPr>
          <w:lang w:val="en-GB"/>
        </w:rPr>
        <w:t>E</w:t>
      </w:r>
      <w:r w:rsidR="008F03C4" w:rsidRPr="008D73A7">
        <w:rPr>
          <w:lang w:val="en-GB"/>
        </w:rPr>
        <w:t xml:space="preserve">arth </w:t>
      </w:r>
      <w:r w:rsidR="00045AA7" w:rsidRPr="008D73A7">
        <w:rPr>
          <w:lang w:val="en-GB"/>
        </w:rPr>
        <w:t>e</w:t>
      </w:r>
      <w:r w:rsidR="008F03C4" w:rsidRPr="008D73A7">
        <w:rPr>
          <w:lang w:val="en-GB"/>
        </w:rPr>
        <w:t xml:space="preserve">xploration </w:t>
      </w:r>
      <w:r w:rsidR="00045AA7" w:rsidRPr="008D73A7">
        <w:rPr>
          <w:lang w:val="en-GB"/>
        </w:rPr>
        <w:t>s</w:t>
      </w:r>
      <w:r w:rsidR="008F03C4" w:rsidRPr="008D73A7">
        <w:rPr>
          <w:lang w:val="en-GB"/>
        </w:rPr>
        <w:t xml:space="preserve">atellite </w:t>
      </w:r>
      <w:r w:rsidR="00045AA7" w:rsidRPr="008D73A7">
        <w:rPr>
          <w:lang w:val="en-GB"/>
        </w:rPr>
        <w:t>s</w:t>
      </w:r>
      <w:r w:rsidR="008F03C4" w:rsidRPr="008D73A7">
        <w:rPr>
          <w:lang w:val="en-GB"/>
        </w:rPr>
        <w:t>ervice (Passive)</w:t>
      </w:r>
      <w:bookmarkEnd w:id="86"/>
      <w:bookmarkEnd w:id="87"/>
      <w:bookmarkEnd w:id="88"/>
      <w:bookmarkEnd w:id="89"/>
      <w:bookmarkEnd w:id="90"/>
      <w:bookmarkEnd w:id="91"/>
    </w:p>
    <w:p w14:paraId="14392CE7" w14:textId="5921B2BB" w:rsidR="008F03C4" w:rsidRPr="008D73A7" w:rsidRDefault="008F03C4" w:rsidP="008F03C4">
      <w:pPr>
        <w:pStyle w:val="ECCParagraph"/>
      </w:pPr>
      <w:r w:rsidRPr="008D73A7">
        <w:t>For the single-entry consideration</w:t>
      </w:r>
      <w:r w:rsidR="00B856DC" w:rsidRPr="008D73A7">
        <w:t>,</w:t>
      </w:r>
      <w:r w:rsidRPr="008D73A7">
        <w:t xml:space="preserve"> </w:t>
      </w:r>
      <w:r w:rsidR="00B856DC" w:rsidRPr="008D73A7">
        <w:t>i</w:t>
      </w:r>
      <w:r w:rsidRPr="008D73A7">
        <w:t xml:space="preserve">n all investigated frequency bands ample margins to the interference criteria can be ensured without the implementation of additional mitigation techniques (see </w:t>
      </w:r>
      <w:r w:rsidR="008C0B80" w:rsidRPr="008D73A7">
        <w:t>ECC Report 334</w:t>
      </w:r>
      <w:r w:rsidR="003236B2" w:rsidRPr="008D73A7">
        <w:t>,</w:t>
      </w:r>
      <w:r w:rsidR="008C0B80" w:rsidRPr="008D73A7">
        <w:t xml:space="preserve"> </w:t>
      </w:r>
      <w:r w:rsidR="00952300" w:rsidRPr="008D73A7">
        <w:t>t</w:t>
      </w:r>
      <w:r w:rsidRPr="008D73A7">
        <w:t>able 84</w:t>
      </w:r>
      <w:r w:rsidR="003236B2" w:rsidRPr="008D73A7">
        <w:t xml:space="preserve"> </w:t>
      </w:r>
      <w:r w:rsidR="003236B2" w:rsidRPr="008D73A7">
        <w:fldChar w:fldCharType="begin"/>
      </w:r>
      <w:r w:rsidR="003236B2" w:rsidRPr="008D73A7">
        <w:instrText xml:space="preserve"> REF ECC_Report_334 \w \h </w:instrText>
      </w:r>
      <w:r w:rsidR="003236B2" w:rsidRPr="008D73A7">
        <w:fldChar w:fldCharType="separate"/>
      </w:r>
      <w:r w:rsidR="00113216" w:rsidRPr="008D73A7">
        <w:t>[1]</w:t>
      </w:r>
      <w:r w:rsidR="003236B2" w:rsidRPr="008D73A7">
        <w:fldChar w:fldCharType="end"/>
      </w:r>
      <w:r w:rsidRPr="008D73A7">
        <w:t>).</w:t>
      </w:r>
    </w:p>
    <w:p w14:paraId="707C4513" w14:textId="1FC64483" w:rsidR="008F03C4" w:rsidRPr="008D73A7" w:rsidRDefault="008F03C4" w:rsidP="008F03C4">
      <w:pPr>
        <w:pStyle w:val="ECCParagraph"/>
      </w:pPr>
      <w:r w:rsidRPr="008D73A7">
        <w:t>For the aggregate scenario, however, in the lower portion 116</w:t>
      </w:r>
      <w:r w:rsidR="00666B9A" w:rsidRPr="008D73A7">
        <w:t>-</w:t>
      </w:r>
      <w:r w:rsidRPr="008D73A7">
        <w:t>122.25 GHz of the candidate band 116</w:t>
      </w:r>
      <w:r w:rsidR="00666B9A" w:rsidRPr="008D73A7">
        <w:t>-</w:t>
      </w:r>
      <w:r w:rsidRPr="008D73A7">
        <w:t>130</w:t>
      </w:r>
      <w:r w:rsidR="002B273A" w:rsidRPr="008D73A7">
        <w:t> </w:t>
      </w:r>
      <w:r w:rsidRPr="008D73A7">
        <w:t xml:space="preserve">GHz compatibility between generic indoor surveillance radar sensors and EESS (passive) (in-band scenario) cannot be ensured assuming the conditions shown in </w:t>
      </w:r>
      <w:r w:rsidR="007D6498" w:rsidRPr="008D73A7">
        <w:t>ECC Report 334</w:t>
      </w:r>
      <w:r w:rsidR="003236B2" w:rsidRPr="008D73A7">
        <w:t>,</w:t>
      </w:r>
      <w:r w:rsidR="002F4E21" w:rsidRPr="008D73A7">
        <w:t xml:space="preserve"> </w:t>
      </w:r>
      <w:r w:rsidR="003236B2" w:rsidRPr="008D73A7">
        <w:t>t</w:t>
      </w:r>
      <w:r w:rsidRPr="008D73A7">
        <w:t>able</w:t>
      </w:r>
      <w:r w:rsidR="00904B3A" w:rsidRPr="008D73A7">
        <w:t> </w:t>
      </w:r>
      <w:r w:rsidRPr="008D73A7">
        <w:t>83 without the implementation of additional mitigation techniques. In the remaining portion 122.25</w:t>
      </w:r>
      <w:r w:rsidR="00666B9A" w:rsidRPr="008D73A7">
        <w:t>-</w:t>
      </w:r>
      <w:r w:rsidRPr="008D73A7">
        <w:t>130 GHz of this band and in the bands 134</w:t>
      </w:r>
      <w:r w:rsidR="004A1ED3">
        <w:t> </w:t>
      </w:r>
      <w:r w:rsidR="00666B9A" w:rsidRPr="008D73A7">
        <w:t>-</w:t>
      </w:r>
      <w:r w:rsidR="004A1ED3">
        <w:t> </w:t>
      </w:r>
      <w:r w:rsidRPr="008D73A7">
        <w:t>141 GHz and 141</w:t>
      </w:r>
      <w:r w:rsidR="00666B9A" w:rsidRPr="008D73A7">
        <w:t>-</w:t>
      </w:r>
      <w:r w:rsidRPr="008D73A7">
        <w:t>148.5</w:t>
      </w:r>
      <w:r w:rsidR="002B273A" w:rsidRPr="008D73A7">
        <w:t> </w:t>
      </w:r>
      <w:r w:rsidRPr="008D73A7">
        <w:t>GHz only an adjacent band situation occurs to EESS (passive). Under these circumstances</w:t>
      </w:r>
      <w:r w:rsidR="00337A00">
        <w:t>,</w:t>
      </w:r>
      <w:r w:rsidRPr="008D73A7">
        <w:t xml:space="preserve"> the aggregate studies have shown that compatibility could be reached without the </w:t>
      </w:r>
      <w:r w:rsidRPr="008D73A7">
        <w:lastRenderedPageBreak/>
        <w:t xml:space="preserve">implementation of additional mitigation techniques. The margins in </w:t>
      </w:r>
      <w:r w:rsidR="007D6498" w:rsidRPr="008D73A7">
        <w:t>ECC Report 334</w:t>
      </w:r>
      <w:r w:rsidR="003236B2" w:rsidRPr="008D73A7">
        <w:t>,</w:t>
      </w:r>
      <w:r w:rsidR="007D6498" w:rsidRPr="008D73A7">
        <w:t xml:space="preserve"> </w:t>
      </w:r>
      <w:r w:rsidR="003236B2" w:rsidRPr="008D73A7">
        <w:t>t</w:t>
      </w:r>
      <w:r w:rsidRPr="008D73A7">
        <w:t xml:space="preserve">able 85 </w:t>
      </w:r>
      <w:r w:rsidR="008511B3" w:rsidRPr="008D73A7">
        <w:fldChar w:fldCharType="begin"/>
      </w:r>
      <w:r w:rsidR="008511B3" w:rsidRPr="008D73A7">
        <w:instrText xml:space="preserve"> REF ECC_Report_334 \w \h </w:instrText>
      </w:r>
      <w:r w:rsidR="008511B3" w:rsidRPr="008D73A7">
        <w:fldChar w:fldCharType="separate"/>
      </w:r>
      <w:r w:rsidR="008511B3" w:rsidRPr="008D73A7">
        <w:t>[1]</w:t>
      </w:r>
      <w:r w:rsidR="008511B3" w:rsidRPr="008D73A7">
        <w:fldChar w:fldCharType="end"/>
      </w:r>
      <w:r w:rsidR="008511B3">
        <w:t xml:space="preserve"> </w:t>
      </w:r>
      <w:r w:rsidRPr="008D73A7">
        <w:t>are only exceeded by 0.9 and 1.2 dB, respectively.</w:t>
      </w:r>
    </w:p>
    <w:p w14:paraId="6A72DBB7" w14:textId="0C140F6C" w:rsidR="008F03C4" w:rsidRPr="008D73A7" w:rsidRDefault="008F03C4" w:rsidP="008F03C4">
      <w:pPr>
        <w:pStyle w:val="ECCParagraph"/>
      </w:pPr>
      <w:r w:rsidRPr="008D73A7">
        <w:t>It is however important that the generated interference in the out-of-band domain is at least 20</w:t>
      </w:r>
      <w:r w:rsidR="007D6498" w:rsidRPr="008D73A7">
        <w:t xml:space="preserve"> </w:t>
      </w:r>
      <w:r w:rsidRPr="008D73A7">
        <w:t>dB below the in-band emission. That means the maximum mean e.i.r.p</w:t>
      </w:r>
      <w:r w:rsidR="009566F2" w:rsidRPr="008D73A7">
        <w:t>.</w:t>
      </w:r>
      <w:r w:rsidRPr="008D73A7">
        <w:t xml:space="preserve"> and the maximum mean e.i.r.p</w:t>
      </w:r>
      <w:r w:rsidR="009566F2" w:rsidRPr="008D73A7">
        <w:t>.</w:t>
      </w:r>
      <w:r w:rsidRPr="008D73A7">
        <w:t xml:space="preserve"> spectral density should be reduced in adjacent bands allocated to EESS (passive) by at least 20</w:t>
      </w:r>
      <w:r w:rsidR="007D6498" w:rsidRPr="008D73A7">
        <w:t> </w:t>
      </w:r>
      <w:r w:rsidRPr="008D73A7">
        <w:t>dB.</w:t>
      </w:r>
    </w:p>
    <w:p w14:paraId="01F18518" w14:textId="1564F775" w:rsidR="008F03C4" w:rsidRPr="008D73A7" w:rsidRDefault="008F03C4" w:rsidP="00A21275">
      <w:pPr>
        <w:pStyle w:val="ECCParagraph"/>
      </w:pPr>
      <w:r w:rsidRPr="008D73A7">
        <w:t>If in addition an installation requirement limiting the related mean e.i.r.p. to a maximal value of 12</w:t>
      </w:r>
      <w:r w:rsidR="007D6498" w:rsidRPr="008D73A7">
        <w:t> </w:t>
      </w:r>
      <w:r w:rsidRPr="008D73A7">
        <w:t>dBm for elevation angles larger than 0° for the fixed indoor equipment was applied, the margin for the aggregate interference would rise to 0.1</w:t>
      </w:r>
      <w:r w:rsidR="007D6498" w:rsidRPr="008D73A7">
        <w:t> </w:t>
      </w:r>
      <w:r w:rsidRPr="008D73A7">
        <w:t>dB in the band 114.25</w:t>
      </w:r>
      <w:r w:rsidR="00666B9A" w:rsidRPr="008D73A7">
        <w:t>-</w:t>
      </w:r>
      <w:r w:rsidRPr="008D73A7">
        <w:t>122.25</w:t>
      </w:r>
      <w:r w:rsidR="007D6498" w:rsidRPr="008D73A7">
        <w:t> </w:t>
      </w:r>
      <w:r w:rsidRPr="008D73A7">
        <w:t>GHz.</w:t>
      </w:r>
    </w:p>
    <w:p w14:paraId="7A3B9BF9" w14:textId="587A9F6C" w:rsidR="008F03C4" w:rsidRPr="008D73A7" w:rsidRDefault="00A06466" w:rsidP="00406659">
      <w:pPr>
        <w:pStyle w:val="Heading3"/>
        <w:rPr>
          <w:lang w:val="en-GB"/>
        </w:rPr>
      </w:pPr>
      <w:bookmarkStart w:id="92" w:name="_Ref67906047"/>
      <w:bookmarkStart w:id="93" w:name="_Ref67906050"/>
      <w:bookmarkStart w:id="94" w:name="_Toc84325452"/>
      <w:bookmarkStart w:id="95" w:name="_Toc94608226"/>
      <w:bookmarkStart w:id="96" w:name="_Toc123634692"/>
      <w:bookmarkStart w:id="97" w:name="_Toc123634782"/>
      <w:bookmarkStart w:id="98" w:name="_Toc135806284"/>
      <w:r>
        <w:rPr>
          <w:lang w:val="en-GB"/>
        </w:rPr>
        <w:t>A</w:t>
      </w:r>
      <w:r w:rsidR="008F03C4" w:rsidRPr="008D73A7">
        <w:rPr>
          <w:lang w:val="en-GB"/>
        </w:rPr>
        <w:t xml:space="preserve">mateur </w:t>
      </w:r>
      <w:r w:rsidR="006E481D" w:rsidRPr="008D73A7">
        <w:rPr>
          <w:lang w:val="en-GB"/>
        </w:rPr>
        <w:t>s</w:t>
      </w:r>
      <w:r w:rsidR="008F03C4" w:rsidRPr="008D73A7">
        <w:rPr>
          <w:lang w:val="en-GB"/>
        </w:rPr>
        <w:t>ervice</w:t>
      </w:r>
      <w:bookmarkEnd w:id="92"/>
      <w:bookmarkEnd w:id="93"/>
      <w:bookmarkEnd w:id="94"/>
      <w:bookmarkEnd w:id="95"/>
      <w:bookmarkEnd w:id="96"/>
      <w:bookmarkEnd w:id="97"/>
      <w:bookmarkEnd w:id="98"/>
    </w:p>
    <w:p w14:paraId="09A1E7BD" w14:textId="1CCABF08" w:rsidR="008F03C4" w:rsidRPr="008D73A7" w:rsidRDefault="008F03C4" w:rsidP="008F03C4">
      <w:pPr>
        <w:pStyle w:val="ECCParagraph"/>
      </w:pPr>
      <w:r w:rsidRPr="008D73A7">
        <w:t xml:space="preserve">For the </w:t>
      </w:r>
      <w:r w:rsidR="00F06C9E" w:rsidRPr="008D73A7">
        <w:t>amateur service</w:t>
      </w:r>
      <w:r w:rsidRPr="008D73A7">
        <w:t xml:space="preserve"> the same criterion as for the </w:t>
      </w:r>
      <w:r w:rsidR="00D27FD0" w:rsidRPr="008D73A7">
        <w:t>fixed service</w:t>
      </w:r>
      <w:r w:rsidRPr="008D73A7">
        <w:t xml:space="preserve"> has been consulted. In this interference scenario, separation distances smaller than 300</w:t>
      </w:r>
      <w:r w:rsidR="007D6498" w:rsidRPr="008D73A7">
        <w:t> </w:t>
      </w:r>
      <w:r w:rsidRPr="008D73A7">
        <w:t xml:space="preserve">m result in compatibility between the interfering device and </w:t>
      </w:r>
      <w:r w:rsidR="00C111EF" w:rsidRPr="008D73A7">
        <w:t>r</w:t>
      </w:r>
      <w:r w:rsidRPr="008D73A7">
        <w:t xml:space="preserve">adio </w:t>
      </w:r>
      <w:r w:rsidR="00C111EF" w:rsidRPr="008D73A7">
        <w:t>s</w:t>
      </w:r>
      <w:r w:rsidRPr="008D73A7">
        <w:t>ervice such that a coexistence of both systems can be ensured. For separation distances larger than 300</w:t>
      </w:r>
      <w:r w:rsidR="007D6498" w:rsidRPr="008D73A7">
        <w:t> </w:t>
      </w:r>
      <w:r w:rsidRPr="008D73A7">
        <w:t>m the probability of interference increases such that a compatibility cannot be ensured in all cases.</w:t>
      </w:r>
    </w:p>
    <w:p w14:paraId="66B2F3B0" w14:textId="78106471" w:rsidR="008F03C4" w:rsidRPr="008D73A7" w:rsidRDefault="008F03C4" w:rsidP="008F03C4">
      <w:pPr>
        <w:pStyle w:val="ECCParagraph"/>
      </w:pPr>
      <w:r w:rsidRPr="008D73A7">
        <w:t xml:space="preserve">The results illustrated in </w:t>
      </w:r>
      <w:r w:rsidR="007D6498" w:rsidRPr="008D73A7">
        <w:t>ECC Report 334</w:t>
      </w:r>
      <w:r w:rsidR="00E62888" w:rsidRPr="008D73A7">
        <w:t>,</w:t>
      </w:r>
      <w:r w:rsidR="007D6498" w:rsidRPr="008D73A7">
        <w:t xml:space="preserve"> </w:t>
      </w:r>
      <w:r w:rsidR="00682748" w:rsidRPr="008D73A7">
        <w:t>t</w:t>
      </w:r>
      <w:r w:rsidRPr="008D73A7">
        <w:t>able 113</w:t>
      </w:r>
      <w:r w:rsidR="00496CD3" w:rsidRPr="008D73A7">
        <w:t xml:space="preserve"> </w:t>
      </w:r>
      <w:r w:rsidR="00496CD3" w:rsidRPr="008D73A7">
        <w:fldChar w:fldCharType="begin"/>
      </w:r>
      <w:r w:rsidR="00496CD3" w:rsidRPr="008D73A7">
        <w:instrText xml:space="preserve"> REF ECC_Report_334 \w \h </w:instrText>
      </w:r>
      <w:r w:rsidR="00496CD3" w:rsidRPr="008D73A7">
        <w:fldChar w:fldCharType="separate"/>
      </w:r>
      <w:r w:rsidR="00496CD3" w:rsidRPr="008D73A7">
        <w:t>[1]</w:t>
      </w:r>
      <w:r w:rsidR="00496CD3" w:rsidRPr="008D73A7">
        <w:fldChar w:fldCharType="end"/>
      </w:r>
      <w:r w:rsidRPr="008D73A7">
        <w:t xml:space="preserve"> suggest that compatibility between generic indoor surveillance radar sensors for both types, hand-held/mobile and fixed, and </w:t>
      </w:r>
      <w:r w:rsidR="001025DA" w:rsidRPr="008D73A7">
        <w:t>a</w:t>
      </w:r>
      <w:r w:rsidRPr="008D73A7">
        <w:t xml:space="preserve">mateur can be asserted in all investigated frequency bands without the implementation of additional mitigation techniques (see </w:t>
      </w:r>
      <w:r w:rsidR="007D6498" w:rsidRPr="008D73A7">
        <w:t>ECC Report 334</w:t>
      </w:r>
      <w:r w:rsidR="00682748" w:rsidRPr="008D73A7">
        <w:t>,</w:t>
      </w:r>
      <w:r w:rsidR="007D6498" w:rsidRPr="008D73A7">
        <w:t xml:space="preserve"> </w:t>
      </w:r>
      <w:r w:rsidRPr="008D73A7">
        <w:t>section 7.1.1).</w:t>
      </w:r>
    </w:p>
    <w:p w14:paraId="3991E85F" w14:textId="110A531D" w:rsidR="005A462C" w:rsidRPr="008D73A7" w:rsidRDefault="005A462C" w:rsidP="00A55704">
      <w:pPr>
        <w:pStyle w:val="Heading2"/>
        <w:rPr>
          <w:lang w:val="en-GB"/>
        </w:rPr>
      </w:pPr>
      <w:bookmarkStart w:id="99" w:name="_Toc84325453"/>
      <w:bookmarkStart w:id="100" w:name="_Toc94608227"/>
      <w:bookmarkStart w:id="101" w:name="_Toc123634693"/>
      <w:bookmarkStart w:id="102" w:name="_Toc123634783"/>
      <w:bookmarkStart w:id="103" w:name="_Toc135806285"/>
      <w:bookmarkStart w:id="104" w:name="_Toc153443767"/>
      <w:r w:rsidRPr="008D73A7">
        <w:rPr>
          <w:rFonts w:eastAsiaTheme="minorHAnsi"/>
          <w:lang w:val="en-GB"/>
        </w:rPr>
        <w:t xml:space="preserve">Radiodetermination systems for </w:t>
      </w:r>
      <w:r w:rsidRPr="008D73A7">
        <w:rPr>
          <w:rFonts w:eastAsia="Calibri"/>
          <w:lang w:val="en-GB"/>
        </w:rPr>
        <w:t>industry automation (RDI)</w:t>
      </w:r>
      <w:bookmarkEnd w:id="99"/>
      <w:bookmarkEnd w:id="100"/>
      <w:bookmarkEnd w:id="101"/>
      <w:bookmarkEnd w:id="102"/>
      <w:bookmarkEnd w:id="103"/>
      <w:bookmarkEnd w:id="104"/>
    </w:p>
    <w:p w14:paraId="3029C48F" w14:textId="77777777" w:rsidR="005A462C" w:rsidRPr="008D73A7" w:rsidRDefault="005A462C" w:rsidP="00406659">
      <w:pPr>
        <w:pStyle w:val="Heading3"/>
        <w:rPr>
          <w:lang w:val="en-GB"/>
        </w:rPr>
      </w:pPr>
      <w:bookmarkStart w:id="105" w:name="_Toc123634694"/>
      <w:bookmarkStart w:id="106" w:name="_Toc123634784"/>
      <w:bookmarkStart w:id="107" w:name="_Toc135806286"/>
      <w:r w:rsidRPr="008D73A7">
        <w:rPr>
          <w:lang w:val="en-GB"/>
        </w:rPr>
        <w:t>Summary</w:t>
      </w:r>
      <w:bookmarkEnd w:id="105"/>
      <w:bookmarkEnd w:id="106"/>
      <w:bookmarkEnd w:id="107"/>
    </w:p>
    <w:p w14:paraId="2ADDBFAC" w14:textId="572DCF63" w:rsidR="005A462C" w:rsidRPr="008D73A7" w:rsidRDefault="005A462C" w:rsidP="00935CC8">
      <w:pPr>
        <w:spacing w:after="240"/>
        <w:jc w:val="both"/>
        <w:rPr>
          <w:lang w:val="en-GB"/>
        </w:rPr>
      </w:pPr>
      <w:r w:rsidRPr="008D73A7">
        <w:rPr>
          <w:lang w:val="en-GB"/>
        </w:rPr>
        <w:t xml:space="preserve">For RDI the candidate frequency bands </w:t>
      </w:r>
      <w:r w:rsidRPr="008D73A7">
        <w:rPr>
          <w:rFonts w:eastAsiaTheme="minorHAnsi"/>
          <w:lang w:val="en-GB"/>
        </w:rPr>
        <w:t>116</w:t>
      </w:r>
      <w:r w:rsidR="00666B9A" w:rsidRPr="008D73A7">
        <w:rPr>
          <w:rFonts w:eastAsiaTheme="minorHAnsi"/>
          <w:lang w:val="en-GB"/>
        </w:rPr>
        <w:t>-</w:t>
      </w:r>
      <w:r w:rsidRPr="008D73A7">
        <w:rPr>
          <w:rFonts w:eastAsiaTheme="minorHAnsi"/>
          <w:lang w:val="en-GB"/>
        </w:rPr>
        <w:t>130 GHz, 134</w:t>
      </w:r>
      <w:r w:rsidR="00666B9A" w:rsidRPr="008D73A7">
        <w:rPr>
          <w:rFonts w:eastAsiaTheme="minorHAnsi"/>
          <w:lang w:val="en-GB"/>
        </w:rPr>
        <w:t>-</w:t>
      </w:r>
      <w:r w:rsidRPr="008D73A7">
        <w:rPr>
          <w:rFonts w:eastAsiaTheme="minorHAnsi"/>
          <w:lang w:val="en-GB"/>
        </w:rPr>
        <w:t>141 GHz, 174.8</w:t>
      </w:r>
      <w:r w:rsidR="00666B9A" w:rsidRPr="008D73A7">
        <w:rPr>
          <w:rFonts w:eastAsiaTheme="minorHAnsi"/>
          <w:lang w:val="en-GB"/>
        </w:rPr>
        <w:t>-</w:t>
      </w:r>
      <w:r w:rsidRPr="008D73A7">
        <w:rPr>
          <w:rFonts w:eastAsiaTheme="minorHAnsi"/>
          <w:lang w:val="en-GB"/>
        </w:rPr>
        <w:t>182 GHz, 185</w:t>
      </w:r>
      <w:r w:rsidR="00666B9A" w:rsidRPr="008D73A7">
        <w:rPr>
          <w:rFonts w:eastAsiaTheme="minorHAnsi"/>
          <w:lang w:val="en-GB"/>
        </w:rPr>
        <w:t>-</w:t>
      </w:r>
      <w:r w:rsidRPr="008D73A7">
        <w:rPr>
          <w:rFonts w:eastAsiaTheme="minorHAnsi"/>
          <w:lang w:val="en-GB"/>
        </w:rPr>
        <w:t>190 GHz and 231.5</w:t>
      </w:r>
      <w:r w:rsidR="00666B9A" w:rsidRPr="008D73A7">
        <w:rPr>
          <w:rFonts w:eastAsiaTheme="minorHAnsi"/>
          <w:lang w:val="en-GB"/>
        </w:rPr>
        <w:t>-</w:t>
      </w:r>
      <w:r w:rsidRPr="008D73A7">
        <w:rPr>
          <w:rFonts w:eastAsiaTheme="minorHAnsi"/>
          <w:lang w:val="en-GB"/>
        </w:rPr>
        <w:t xml:space="preserve">250 GHz have been studied. </w:t>
      </w:r>
      <w:r w:rsidRPr="008D73A7">
        <w:rPr>
          <w:lang w:val="en-GB"/>
        </w:rPr>
        <w:t xml:space="preserve">It turned out that only in the upper three frequency ranges </w:t>
      </w:r>
      <w:r w:rsidRPr="008D73A7">
        <w:rPr>
          <w:rFonts w:eastAsiaTheme="minorHAnsi"/>
          <w:lang w:val="en-GB"/>
        </w:rPr>
        <w:t>174.8</w:t>
      </w:r>
      <w:r w:rsidR="0032717C">
        <w:rPr>
          <w:rFonts w:eastAsiaTheme="minorHAnsi"/>
          <w:lang w:val="en-GB"/>
        </w:rPr>
        <w:t>-</w:t>
      </w:r>
      <w:r w:rsidRPr="008D73A7">
        <w:rPr>
          <w:rFonts w:eastAsiaTheme="minorHAnsi"/>
          <w:lang w:val="en-GB"/>
        </w:rPr>
        <w:t>182</w:t>
      </w:r>
      <w:r w:rsidR="00496CD3" w:rsidRPr="008D73A7">
        <w:rPr>
          <w:rFonts w:eastAsiaTheme="minorHAnsi"/>
          <w:lang w:val="en-GB"/>
        </w:rPr>
        <w:t xml:space="preserve"> </w:t>
      </w:r>
      <w:r w:rsidRPr="008D73A7">
        <w:rPr>
          <w:rFonts w:eastAsiaTheme="minorHAnsi"/>
          <w:lang w:val="en-GB"/>
        </w:rPr>
        <w:t>GHz, 185</w:t>
      </w:r>
      <w:r w:rsidR="00666B9A" w:rsidRPr="008D73A7">
        <w:rPr>
          <w:rFonts w:eastAsiaTheme="minorHAnsi"/>
          <w:lang w:val="en-GB"/>
        </w:rPr>
        <w:t>-</w:t>
      </w:r>
      <w:r w:rsidRPr="008D73A7">
        <w:rPr>
          <w:rFonts w:eastAsiaTheme="minorHAnsi"/>
          <w:lang w:val="en-GB"/>
        </w:rPr>
        <w:t>190 GHz and 231.5</w:t>
      </w:r>
      <w:r w:rsidR="00666B9A" w:rsidRPr="008D73A7">
        <w:rPr>
          <w:rFonts w:eastAsiaTheme="minorHAnsi"/>
          <w:lang w:val="en-GB"/>
        </w:rPr>
        <w:t>-</w:t>
      </w:r>
      <w:r w:rsidRPr="008D73A7">
        <w:rPr>
          <w:rFonts w:eastAsiaTheme="minorHAnsi"/>
          <w:lang w:val="en-GB"/>
        </w:rPr>
        <w:t xml:space="preserve">250 GHz </w:t>
      </w:r>
      <w:r w:rsidRPr="008D73A7">
        <w:rPr>
          <w:lang w:val="en-GB"/>
        </w:rPr>
        <w:t xml:space="preserve">compatibility between RDI and all investigated </w:t>
      </w:r>
      <w:r w:rsidR="00C111EF" w:rsidRPr="008D73A7">
        <w:rPr>
          <w:lang w:val="en-GB"/>
        </w:rPr>
        <w:t>r</w:t>
      </w:r>
      <w:r w:rsidRPr="008D73A7">
        <w:rPr>
          <w:lang w:val="en-GB"/>
        </w:rPr>
        <w:t xml:space="preserve">adio </w:t>
      </w:r>
      <w:r w:rsidR="00C111EF" w:rsidRPr="008D73A7">
        <w:rPr>
          <w:lang w:val="en-GB"/>
        </w:rPr>
        <w:t>s</w:t>
      </w:r>
      <w:r w:rsidRPr="008D73A7">
        <w:rPr>
          <w:lang w:val="en-GB"/>
        </w:rPr>
        <w:t>ervices can be ensured.</w:t>
      </w:r>
    </w:p>
    <w:p w14:paraId="32A05A44" w14:textId="6649D5F8" w:rsidR="005A462C" w:rsidRPr="008D73A7" w:rsidRDefault="005A462C" w:rsidP="00935CC8">
      <w:pPr>
        <w:spacing w:after="240"/>
        <w:jc w:val="both"/>
        <w:rPr>
          <w:lang w:val="en-GB"/>
        </w:rPr>
      </w:pPr>
      <w:r w:rsidRPr="008D73A7">
        <w:rPr>
          <w:lang w:val="en-GB"/>
        </w:rPr>
        <w:t>The candidate bands 116</w:t>
      </w:r>
      <w:r w:rsidR="00666B9A" w:rsidRPr="008D73A7">
        <w:rPr>
          <w:lang w:val="en-GB"/>
        </w:rPr>
        <w:t>-</w:t>
      </w:r>
      <w:r w:rsidRPr="008D73A7">
        <w:rPr>
          <w:lang w:val="en-GB"/>
        </w:rPr>
        <w:t>130 GHz and 134</w:t>
      </w:r>
      <w:r w:rsidR="00666B9A" w:rsidRPr="008D73A7">
        <w:rPr>
          <w:lang w:val="en-GB"/>
        </w:rPr>
        <w:t>-</w:t>
      </w:r>
      <w:r w:rsidRPr="008D73A7">
        <w:rPr>
          <w:lang w:val="en-GB"/>
        </w:rPr>
        <w:t xml:space="preserve">141 GHz have also been investigated. However, compatibility between RDI and RAS cannot be ensured in these bands assuming the power levels given in </w:t>
      </w:r>
      <w:r w:rsidR="00AB24A9" w:rsidRPr="008D73A7">
        <w:rPr>
          <w:lang w:val="en-GB"/>
        </w:rPr>
        <w:t>ECC Report 334</w:t>
      </w:r>
      <w:r w:rsidR="00682748" w:rsidRPr="008D73A7">
        <w:rPr>
          <w:lang w:val="en-GB"/>
        </w:rPr>
        <w:t>,</w:t>
      </w:r>
      <w:r w:rsidR="00AB24A9" w:rsidRPr="008D73A7">
        <w:rPr>
          <w:lang w:val="en-GB"/>
        </w:rPr>
        <w:t xml:space="preserve"> </w:t>
      </w:r>
      <w:r w:rsidRPr="008D73A7">
        <w:rPr>
          <w:lang w:val="en-GB"/>
        </w:rPr>
        <w:t xml:space="preserve">section </w:t>
      </w:r>
      <w:r w:rsidR="009F0084" w:rsidRPr="008D73A7">
        <w:rPr>
          <w:lang w:val="en-GB"/>
        </w:rPr>
        <w:t>4.2.1</w:t>
      </w:r>
      <w:r w:rsidRPr="008D73A7">
        <w:rPr>
          <w:lang w:val="en-GB"/>
        </w:rPr>
        <w:t xml:space="preserve"> without the implementation of additional mitigation techniques.</w:t>
      </w:r>
    </w:p>
    <w:p w14:paraId="4CB3C0E3" w14:textId="77777777" w:rsidR="005A462C" w:rsidRPr="008D73A7" w:rsidRDefault="005A462C" w:rsidP="005A462C">
      <w:pPr>
        <w:rPr>
          <w:rFonts w:eastAsiaTheme="minorHAnsi"/>
          <w:lang w:val="en-GB"/>
        </w:rPr>
      </w:pPr>
      <w:r w:rsidRPr="008D73A7">
        <w:rPr>
          <w:rFonts w:eastAsiaTheme="minorHAnsi"/>
          <w:lang w:val="en-GB"/>
        </w:rPr>
        <w:t>The following protection requirements have been assumed:</w:t>
      </w:r>
    </w:p>
    <w:p w14:paraId="26FBAAAB" w14:textId="3AC972A4" w:rsidR="005A462C" w:rsidRPr="008D73A7" w:rsidRDefault="00910D18" w:rsidP="009C18AB">
      <w:pPr>
        <w:pStyle w:val="ECCBulletsLv1"/>
        <w:ind w:left="340" w:hanging="340"/>
      </w:pPr>
      <w:r w:rsidRPr="008D73A7">
        <w:t>r</w:t>
      </w:r>
      <w:r w:rsidR="005A462C" w:rsidRPr="008D73A7">
        <w:t xml:space="preserve">adio </w:t>
      </w:r>
      <w:r w:rsidR="00F06C9E" w:rsidRPr="008D73A7">
        <w:t>a</w:t>
      </w:r>
      <w:r w:rsidR="005A462C" w:rsidRPr="008D73A7">
        <w:t>stronomy: Separation distance smaller than 20 km</w:t>
      </w:r>
      <w:r w:rsidR="00682748" w:rsidRPr="008D73A7">
        <w:t>;</w:t>
      </w:r>
    </w:p>
    <w:p w14:paraId="1FCF32AC" w14:textId="5D3FC37C" w:rsidR="005A462C" w:rsidRPr="008D73A7" w:rsidRDefault="00910D18" w:rsidP="009C18AB">
      <w:pPr>
        <w:pStyle w:val="ECCBulletsLv1"/>
        <w:ind w:left="340" w:hanging="340"/>
      </w:pPr>
      <w:r w:rsidRPr="008D73A7">
        <w:t>f</w:t>
      </w:r>
      <w:r w:rsidR="005A462C" w:rsidRPr="008D73A7">
        <w:t xml:space="preserve">ixed </w:t>
      </w:r>
      <w:r w:rsidR="00F06C9E" w:rsidRPr="008D73A7">
        <w:t>s</w:t>
      </w:r>
      <w:r w:rsidR="005A462C" w:rsidRPr="008D73A7">
        <w:t xml:space="preserve">ervice and </w:t>
      </w:r>
      <w:r w:rsidR="00F06C9E" w:rsidRPr="008D73A7">
        <w:t>amateur service</w:t>
      </w:r>
      <w:r w:rsidR="005A462C" w:rsidRPr="008D73A7">
        <w:t>: Separation distance smaller than 300 m</w:t>
      </w:r>
      <w:r w:rsidR="00682748" w:rsidRPr="008D73A7">
        <w:t>;</w:t>
      </w:r>
    </w:p>
    <w:p w14:paraId="6AD7AE13" w14:textId="723B57F1" w:rsidR="005A462C" w:rsidRPr="008D73A7" w:rsidRDefault="00910D18" w:rsidP="00DB49BB">
      <w:pPr>
        <w:pStyle w:val="ECCBulletsLv1"/>
        <w:ind w:left="340" w:hanging="340"/>
      </w:pPr>
      <w:r w:rsidRPr="008D73A7">
        <w:t>e</w:t>
      </w:r>
      <w:r w:rsidR="00E204B6" w:rsidRPr="008D73A7">
        <w:t>arth exploration satellite service</w:t>
      </w:r>
      <w:r w:rsidR="005A462C" w:rsidRPr="008D73A7">
        <w:t xml:space="preserve"> (passive): positive margin to the maximum interference level in the victim receiver (see </w:t>
      </w:r>
      <w:r w:rsidR="00AB24A9" w:rsidRPr="008D73A7">
        <w:t>ECC Report 334</w:t>
      </w:r>
      <w:r w:rsidR="00682748" w:rsidRPr="008D73A7">
        <w:t>,</w:t>
      </w:r>
      <w:r w:rsidR="00AB24A9" w:rsidRPr="008D73A7">
        <w:t xml:space="preserve"> </w:t>
      </w:r>
      <w:r w:rsidR="005A462C" w:rsidRPr="008D73A7">
        <w:t>section</w:t>
      </w:r>
      <w:r w:rsidR="001D1B56" w:rsidRPr="008D73A7">
        <w:t xml:space="preserve"> 3.5.4.2</w:t>
      </w:r>
      <w:r w:rsidR="005A462C" w:rsidRPr="008D73A7">
        <w:t>).</w:t>
      </w:r>
    </w:p>
    <w:p w14:paraId="6F3DF494" w14:textId="77777777" w:rsidR="005A462C" w:rsidRPr="008D73A7" w:rsidRDefault="005A462C" w:rsidP="005A462C">
      <w:pPr>
        <w:rPr>
          <w:lang w:val="en-GB"/>
        </w:rPr>
      </w:pPr>
      <w:r w:rsidRPr="008D73A7">
        <w:rPr>
          <w:lang w:val="en-GB"/>
        </w:rPr>
        <w:t>All RDI sensors should furthermore comply with the following (installation) requirements:</w:t>
      </w:r>
    </w:p>
    <w:p w14:paraId="36DCBE56" w14:textId="16DBACAB" w:rsidR="005A462C" w:rsidRPr="008D73A7" w:rsidRDefault="005A462C" w:rsidP="009C18AB">
      <w:pPr>
        <w:pStyle w:val="ECCBulletsLv1"/>
        <w:ind w:left="340" w:hanging="340"/>
      </w:pPr>
      <w:r w:rsidRPr="008D73A7">
        <w:t>The operation of RDI sensors is envisaged for industrial purposes only</w:t>
      </w:r>
      <w:r w:rsidR="00682748" w:rsidRPr="008D73A7">
        <w:t>;</w:t>
      </w:r>
    </w:p>
    <w:p w14:paraId="4D7ECAB9" w14:textId="047BCC87" w:rsidR="005A462C" w:rsidRPr="008D73A7" w:rsidRDefault="005A462C" w:rsidP="009C18AB">
      <w:pPr>
        <w:pStyle w:val="ECCBulletsLv1"/>
        <w:ind w:left="340" w:hanging="340"/>
      </w:pPr>
      <w:r w:rsidRPr="008D73A7">
        <w:t>Installation and maintenance of RDI equipment shall be performed by professionally trained individuals only</w:t>
      </w:r>
      <w:r w:rsidR="00666B9A" w:rsidRPr="008D73A7">
        <w:t>;</w:t>
      </w:r>
    </w:p>
    <w:p w14:paraId="1434011D" w14:textId="1C62178F" w:rsidR="005A462C" w:rsidRPr="008D73A7" w:rsidRDefault="005A462C" w:rsidP="009C18AB">
      <w:pPr>
        <w:pStyle w:val="ECCBulletsLv1"/>
        <w:ind w:left="340" w:hanging="340"/>
      </w:pPr>
      <w:r w:rsidRPr="008D73A7">
        <w:t>RDI equipment shall not be marketed to private end customers</w:t>
      </w:r>
      <w:r w:rsidR="00666B9A" w:rsidRPr="008D73A7">
        <w:t>;</w:t>
      </w:r>
    </w:p>
    <w:p w14:paraId="2A1B6A36" w14:textId="7A2E8B7B" w:rsidR="005A462C" w:rsidRPr="008D73A7" w:rsidRDefault="005A462C" w:rsidP="009C18AB">
      <w:pPr>
        <w:pStyle w:val="ECCBulletsLv1"/>
        <w:ind w:left="340" w:hanging="340"/>
      </w:pPr>
      <w:r w:rsidRPr="008D73A7">
        <w:t>Installers have to ensure that there are no unwanted obstacles in the main beam of the antenna in order to minimise unintentional reflections and scattering</w:t>
      </w:r>
      <w:r w:rsidR="00666B9A" w:rsidRPr="008D73A7">
        <w:t>;</w:t>
      </w:r>
    </w:p>
    <w:p w14:paraId="78C667B0" w14:textId="66A9F946" w:rsidR="005A462C" w:rsidRPr="008D73A7" w:rsidRDefault="005A462C" w:rsidP="009C18AB">
      <w:pPr>
        <w:pStyle w:val="ECCBulletsLv1"/>
        <w:ind w:left="340" w:hanging="340"/>
      </w:pPr>
      <w:r w:rsidRPr="008D73A7">
        <w:t>All outdoor RDI sensors under consideration shall be installed in heights from 0 m to 3 m above ground</w:t>
      </w:r>
      <w:r w:rsidR="00666B9A" w:rsidRPr="008D73A7">
        <w:t>;</w:t>
      </w:r>
    </w:p>
    <w:p w14:paraId="6E84D57A" w14:textId="70893DDC" w:rsidR="005A462C" w:rsidRPr="008D73A7" w:rsidRDefault="005A462C" w:rsidP="009C18AB">
      <w:pPr>
        <w:pStyle w:val="ECCBulletsLv1"/>
        <w:ind w:left="340" w:hanging="340"/>
      </w:pPr>
      <w:r w:rsidRPr="008D73A7">
        <w:t xml:space="preserve">In order to protect the </w:t>
      </w:r>
      <w:r w:rsidR="00D27FD0" w:rsidRPr="008D73A7">
        <w:t>radio astronomy service</w:t>
      </w:r>
      <w:r w:rsidRPr="008D73A7">
        <w:t>, inside a radius of 20 km around the stations of NOEMA and IRAM</w:t>
      </w:r>
      <w:r w:rsidR="00986D67" w:rsidRPr="008D73A7">
        <w:t xml:space="preserve"> </w:t>
      </w:r>
      <w:r w:rsidRPr="008D73A7">
        <w:t xml:space="preserve">30 m, the installation and operation of RDI devices should be prohibited, unless a special authorisation has been provided by the responsible national administration. </w:t>
      </w:r>
      <w:r w:rsidR="00AB24A9" w:rsidRPr="008D73A7">
        <w:rPr>
          <w:highlight w:val="yellow"/>
        </w:rPr>
        <w:fldChar w:fldCharType="begin"/>
      </w:r>
      <w:r w:rsidR="00AB24A9" w:rsidRPr="008D73A7">
        <w:instrText xml:space="preserve"> REF _Ref66370646 \h </w:instrText>
      </w:r>
      <w:r w:rsidR="00AB24A9" w:rsidRPr="008D73A7">
        <w:rPr>
          <w:highlight w:val="yellow"/>
        </w:rPr>
      </w:r>
      <w:r w:rsidR="00AB24A9" w:rsidRPr="008D73A7">
        <w:rPr>
          <w:highlight w:val="yellow"/>
        </w:rPr>
        <w:fldChar w:fldCharType="separate"/>
      </w:r>
      <w:r w:rsidR="00CA56B5" w:rsidRPr="008D73A7">
        <w:t>Table 12</w:t>
      </w:r>
      <w:r w:rsidR="00AB24A9" w:rsidRPr="008D73A7">
        <w:rPr>
          <w:highlight w:val="yellow"/>
        </w:rPr>
        <w:fldChar w:fldCharType="end"/>
      </w:r>
      <w:r w:rsidRPr="008D73A7">
        <w:t xml:space="preserve"> shows the locations of the two European observatories operating in the frequency range 116</w:t>
      </w:r>
      <w:r w:rsidR="00666B9A" w:rsidRPr="008D73A7">
        <w:t>-</w:t>
      </w:r>
      <w:r w:rsidRPr="008D73A7">
        <w:t>260 GHz</w:t>
      </w:r>
      <w:r w:rsidR="00666B9A" w:rsidRPr="008D73A7">
        <w:t>;</w:t>
      </w:r>
    </w:p>
    <w:p w14:paraId="78FEA3FA" w14:textId="77777777" w:rsidR="005A462C" w:rsidRPr="008D73A7" w:rsidRDefault="005A462C" w:rsidP="00DB49BB">
      <w:pPr>
        <w:pStyle w:val="ECCBulletsLv1"/>
        <w:ind w:left="340" w:hanging="340"/>
      </w:pPr>
      <w:r w:rsidRPr="008D73A7">
        <w:t>The provider is required to inform the users and installers of RDI equipment about the installation requirements and the additional special mounting instructions.</w:t>
      </w:r>
    </w:p>
    <w:p w14:paraId="5BE594FF" w14:textId="77777777" w:rsidR="005A462C" w:rsidRPr="008D73A7" w:rsidRDefault="005A462C" w:rsidP="005A462C">
      <w:pPr>
        <w:rPr>
          <w:lang w:val="en-GB"/>
        </w:rPr>
      </w:pPr>
      <w:r w:rsidRPr="008D73A7">
        <w:rPr>
          <w:lang w:val="en-GB"/>
        </w:rPr>
        <w:lastRenderedPageBreak/>
        <w:t>In addition, the following antenna requirement is proposed:</w:t>
      </w:r>
    </w:p>
    <w:p w14:paraId="1191D920" w14:textId="77777777" w:rsidR="005A462C" w:rsidRPr="008D73A7" w:rsidRDefault="005A462C" w:rsidP="005A462C">
      <w:pPr>
        <w:pStyle w:val="ECCBulletsLv1"/>
        <w:ind w:left="340" w:hanging="340"/>
      </w:pPr>
      <w:r w:rsidRPr="008D73A7">
        <w:t>For RDI devices using an antenna gain smaller than 20 dBi, the maximum conducted peak output power shall be limited to 15 dBm.</w:t>
      </w:r>
    </w:p>
    <w:p w14:paraId="29727D65" w14:textId="63C71024" w:rsidR="005A462C" w:rsidRPr="008D73A7" w:rsidRDefault="00A06466" w:rsidP="00406659">
      <w:pPr>
        <w:pStyle w:val="Heading3"/>
        <w:rPr>
          <w:lang w:val="en-GB"/>
        </w:rPr>
      </w:pPr>
      <w:bookmarkStart w:id="108" w:name="_Toc123634695"/>
      <w:bookmarkStart w:id="109" w:name="_Toc123634785"/>
      <w:bookmarkStart w:id="110" w:name="_Toc135806287"/>
      <w:r>
        <w:rPr>
          <w:lang w:val="en-GB"/>
        </w:rPr>
        <w:t>R</w:t>
      </w:r>
      <w:r w:rsidR="005A462C" w:rsidRPr="008D73A7">
        <w:rPr>
          <w:lang w:val="en-GB"/>
        </w:rPr>
        <w:t xml:space="preserve">adio </w:t>
      </w:r>
      <w:r w:rsidR="00B37972" w:rsidRPr="008D73A7">
        <w:rPr>
          <w:lang w:val="en-GB"/>
        </w:rPr>
        <w:t>a</w:t>
      </w:r>
      <w:r w:rsidR="005A462C" w:rsidRPr="008D73A7">
        <w:rPr>
          <w:lang w:val="en-GB"/>
        </w:rPr>
        <w:t>stronomy</w:t>
      </w:r>
      <w:bookmarkEnd w:id="108"/>
      <w:bookmarkEnd w:id="109"/>
      <w:bookmarkEnd w:id="110"/>
    </w:p>
    <w:p w14:paraId="6141B211" w14:textId="7CA320C4" w:rsidR="00A21275" w:rsidRPr="008D73A7" w:rsidRDefault="00A21275" w:rsidP="00935CC8">
      <w:pPr>
        <w:spacing w:after="240"/>
        <w:jc w:val="both"/>
        <w:rPr>
          <w:lang w:val="en-GB"/>
        </w:rPr>
      </w:pPr>
      <w:r w:rsidRPr="008D73A7">
        <w:rPr>
          <w:lang w:val="en-GB"/>
        </w:rPr>
        <w:t>The required separation distances in the lower frequency ranges 116</w:t>
      </w:r>
      <w:r w:rsidR="00B37972" w:rsidRPr="008D73A7">
        <w:rPr>
          <w:lang w:val="en-GB"/>
        </w:rPr>
        <w:t>-</w:t>
      </w:r>
      <w:r w:rsidRPr="008D73A7">
        <w:rPr>
          <w:lang w:val="en-GB"/>
        </w:rPr>
        <w:t>130 GHz and 134</w:t>
      </w:r>
      <w:r w:rsidR="00B37972" w:rsidRPr="008D73A7">
        <w:rPr>
          <w:lang w:val="en-GB"/>
        </w:rPr>
        <w:t>-</w:t>
      </w:r>
      <w:r w:rsidRPr="008D73A7">
        <w:rPr>
          <w:lang w:val="en-GB"/>
        </w:rPr>
        <w:t xml:space="preserve">141 GHz obtained in the single-entry study are 53.3 km and 63.0 km, respectively. These relatively large impact ranges increase the probability of interference to the affected </w:t>
      </w:r>
      <w:r w:rsidR="00B37972" w:rsidRPr="008D73A7">
        <w:rPr>
          <w:lang w:val="en-GB"/>
        </w:rPr>
        <w:t>r</w:t>
      </w:r>
      <w:r w:rsidRPr="008D73A7">
        <w:rPr>
          <w:lang w:val="en-GB"/>
        </w:rPr>
        <w:t xml:space="preserve">adio </w:t>
      </w:r>
      <w:r w:rsidR="00B37972" w:rsidRPr="008D73A7">
        <w:rPr>
          <w:lang w:val="en-GB"/>
        </w:rPr>
        <w:t>a</w:t>
      </w:r>
      <w:r w:rsidRPr="008D73A7">
        <w:rPr>
          <w:lang w:val="en-GB"/>
        </w:rPr>
        <w:t xml:space="preserve">stronomy </w:t>
      </w:r>
      <w:r w:rsidR="00B37972" w:rsidRPr="008D73A7">
        <w:rPr>
          <w:lang w:val="en-GB"/>
        </w:rPr>
        <w:t>s</w:t>
      </w:r>
      <w:r w:rsidRPr="008D73A7">
        <w:rPr>
          <w:lang w:val="en-GB"/>
        </w:rPr>
        <w:t xml:space="preserve">tations. Therefore, compatibility between RDI and RAS cannot be ensured in these bands assuming the power levels given in </w:t>
      </w:r>
      <w:r w:rsidR="009E57CB" w:rsidRPr="008D73A7">
        <w:rPr>
          <w:lang w:val="en-GB"/>
        </w:rPr>
        <w:t>ECC Report 334</w:t>
      </w:r>
      <w:r w:rsidR="00682748" w:rsidRPr="008D73A7">
        <w:rPr>
          <w:lang w:val="en-GB"/>
        </w:rPr>
        <w:t>,</w:t>
      </w:r>
      <w:r w:rsidR="009E57CB" w:rsidRPr="008D73A7">
        <w:rPr>
          <w:lang w:val="en-GB"/>
        </w:rPr>
        <w:t xml:space="preserve"> </w:t>
      </w:r>
      <w:r w:rsidR="00682748" w:rsidRPr="008D73A7">
        <w:rPr>
          <w:lang w:val="en-GB"/>
        </w:rPr>
        <w:fldChar w:fldCharType="begin"/>
      </w:r>
      <w:r w:rsidR="00682748" w:rsidRPr="008D73A7">
        <w:rPr>
          <w:lang w:val="en-GB"/>
        </w:rPr>
        <w:instrText xml:space="preserve"> REF ECC_Report_334 \h </w:instrText>
      </w:r>
      <w:r w:rsidR="00E45210" w:rsidRPr="008D73A7">
        <w:rPr>
          <w:lang w:val="en-GB"/>
        </w:rPr>
        <w:instrText xml:space="preserve"> \* MERGEFORMAT </w:instrText>
      </w:r>
      <w:r w:rsidR="00682748" w:rsidRPr="008D73A7">
        <w:rPr>
          <w:lang w:val="en-GB"/>
        </w:rPr>
      </w:r>
      <w:r w:rsidR="00682748" w:rsidRPr="008D73A7">
        <w:rPr>
          <w:lang w:val="en-GB"/>
        </w:rPr>
        <w:fldChar w:fldCharType="end"/>
      </w:r>
      <w:r w:rsidR="00682748" w:rsidRPr="008D73A7">
        <w:rPr>
          <w:lang w:val="en-GB"/>
        </w:rPr>
        <w:t>table </w:t>
      </w:r>
      <w:r w:rsidR="009E57CB" w:rsidRPr="008D73A7">
        <w:rPr>
          <w:lang w:val="en-GB"/>
        </w:rPr>
        <w:t>52</w:t>
      </w:r>
      <w:r w:rsidR="0050237C" w:rsidRPr="008D73A7">
        <w:rPr>
          <w:lang w:val="en-GB"/>
        </w:rPr>
        <w:t xml:space="preserve"> </w:t>
      </w:r>
      <w:r w:rsidR="0050237C" w:rsidRPr="008D73A7">
        <w:rPr>
          <w:lang w:val="en-GB"/>
        </w:rPr>
        <w:fldChar w:fldCharType="begin"/>
      </w:r>
      <w:r w:rsidR="0050237C" w:rsidRPr="008D73A7">
        <w:rPr>
          <w:lang w:val="en-GB"/>
        </w:rPr>
        <w:instrText xml:space="preserve"> REF ECC_Report_334 \w \h </w:instrText>
      </w:r>
      <w:r w:rsidR="00E45210" w:rsidRPr="008D73A7">
        <w:rPr>
          <w:lang w:val="en-GB"/>
        </w:rPr>
        <w:instrText xml:space="preserve"> \* MERGEFORMAT </w:instrText>
      </w:r>
      <w:r w:rsidR="0050237C" w:rsidRPr="008D73A7">
        <w:rPr>
          <w:lang w:val="en-GB"/>
        </w:rPr>
      </w:r>
      <w:r w:rsidR="0050237C" w:rsidRPr="008D73A7">
        <w:rPr>
          <w:lang w:val="en-GB"/>
        </w:rPr>
        <w:fldChar w:fldCharType="separate"/>
      </w:r>
      <w:r w:rsidR="00113216" w:rsidRPr="008D73A7">
        <w:rPr>
          <w:lang w:val="en-GB"/>
        </w:rPr>
        <w:t>[1]</w:t>
      </w:r>
      <w:r w:rsidR="0050237C" w:rsidRPr="008D73A7">
        <w:rPr>
          <w:lang w:val="en-GB"/>
        </w:rPr>
        <w:fldChar w:fldCharType="end"/>
      </w:r>
      <w:r w:rsidRPr="008D73A7">
        <w:rPr>
          <w:lang w:val="en-GB"/>
        </w:rPr>
        <w:t xml:space="preserve"> without the implementation of additional mitigation techniques (see </w:t>
      </w:r>
      <w:r w:rsidR="009E57CB" w:rsidRPr="008D73A7">
        <w:rPr>
          <w:lang w:val="en-GB"/>
        </w:rPr>
        <w:t>ECC Report 334</w:t>
      </w:r>
      <w:r w:rsidR="0050237C" w:rsidRPr="008D73A7">
        <w:rPr>
          <w:lang w:val="en-GB"/>
        </w:rPr>
        <w:t>,</w:t>
      </w:r>
      <w:r w:rsidR="009E57CB" w:rsidRPr="008D73A7">
        <w:rPr>
          <w:lang w:val="en-GB"/>
        </w:rPr>
        <w:t xml:space="preserve"> </w:t>
      </w:r>
      <w:r w:rsidRPr="008D73A7">
        <w:rPr>
          <w:lang w:val="en-GB"/>
        </w:rPr>
        <w:t xml:space="preserve">section </w:t>
      </w:r>
      <w:r w:rsidR="006D4D23" w:rsidRPr="008D73A7">
        <w:rPr>
          <w:lang w:val="en-GB"/>
        </w:rPr>
        <w:t>4.2.1</w:t>
      </w:r>
      <w:r w:rsidRPr="008D73A7">
        <w:rPr>
          <w:lang w:val="en-GB"/>
        </w:rPr>
        <w:t>).</w:t>
      </w:r>
    </w:p>
    <w:p w14:paraId="305915B6" w14:textId="4529119D" w:rsidR="00A21275" w:rsidRPr="008D73A7" w:rsidRDefault="00A21275" w:rsidP="00935CC8">
      <w:pPr>
        <w:jc w:val="both"/>
        <w:rPr>
          <w:lang w:val="en-GB"/>
        </w:rPr>
      </w:pPr>
      <w:r w:rsidRPr="008D73A7">
        <w:rPr>
          <w:lang w:val="en-GB"/>
        </w:rPr>
        <w:t>For the frequency bands 174.8</w:t>
      </w:r>
      <w:r w:rsidR="00666B9A" w:rsidRPr="008D73A7">
        <w:rPr>
          <w:lang w:val="en-GB"/>
        </w:rPr>
        <w:t>-</w:t>
      </w:r>
      <w:r w:rsidRPr="008D73A7">
        <w:rPr>
          <w:lang w:val="en-GB"/>
        </w:rPr>
        <w:t>182 GHz, 185</w:t>
      </w:r>
      <w:r w:rsidR="00666B9A" w:rsidRPr="008D73A7">
        <w:rPr>
          <w:lang w:val="en-GB"/>
        </w:rPr>
        <w:t>-</w:t>
      </w:r>
      <w:r w:rsidRPr="008D73A7">
        <w:rPr>
          <w:lang w:val="en-GB"/>
        </w:rPr>
        <w:t>190 GHz and 231.5</w:t>
      </w:r>
      <w:r w:rsidR="00666B9A" w:rsidRPr="008D73A7">
        <w:rPr>
          <w:lang w:val="en-GB"/>
        </w:rPr>
        <w:t>-</w:t>
      </w:r>
      <w:r w:rsidRPr="008D73A7">
        <w:rPr>
          <w:lang w:val="en-GB"/>
        </w:rPr>
        <w:t xml:space="preserve">250 GHz compatibility can be ensured between RDI and RAS when separation distances of 15.3 km, 9.6 km and 19.9 km, respectively, are respected without the implementation of additional mitigation techniques (see </w:t>
      </w:r>
      <w:r w:rsidR="0048647E" w:rsidRPr="008D73A7">
        <w:rPr>
          <w:lang w:val="en-GB"/>
        </w:rPr>
        <w:t>ECC Report 334</w:t>
      </w:r>
      <w:r w:rsidR="0050237C" w:rsidRPr="008D73A7">
        <w:rPr>
          <w:lang w:val="en-GB"/>
        </w:rPr>
        <w:t>,</w:t>
      </w:r>
      <w:r w:rsidR="0048647E" w:rsidRPr="008D73A7">
        <w:rPr>
          <w:lang w:val="en-GB"/>
        </w:rPr>
        <w:t xml:space="preserve"> </w:t>
      </w:r>
      <w:r w:rsidRPr="008D73A7">
        <w:rPr>
          <w:lang w:val="en-GB"/>
        </w:rPr>
        <w:t xml:space="preserve">section </w:t>
      </w:r>
      <w:r w:rsidR="006D4D23" w:rsidRPr="008D73A7">
        <w:rPr>
          <w:lang w:val="en-GB"/>
        </w:rPr>
        <w:t>4.2.2</w:t>
      </w:r>
      <w:r w:rsidRPr="008D73A7">
        <w:rPr>
          <w:lang w:val="en-GB"/>
        </w:rPr>
        <w:t>).</w:t>
      </w:r>
    </w:p>
    <w:p w14:paraId="7EA53711" w14:textId="6983E0F7" w:rsidR="005A462C" w:rsidRPr="008D73A7" w:rsidRDefault="00A06466" w:rsidP="00406659">
      <w:pPr>
        <w:pStyle w:val="Heading3"/>
        <w:rPr>
          <w:lang w:val="en-GB"/>
        </w:rPr>
      </w:pPr>
      <w:bookmarkStart w:id="111" w:name="_Toc123634696"/>
      <w:bookmarkStart w:id="112" w:name="_Toc123634786"/>
      <w:bookmarkStart w:id="113" w:name="_Toc135806288"/>
      <w:r>
        <w:rPr>
          <w:lang w:val="en-GB"/>
        </w:rPr>
        <w:t>F</w:t>
      </w:r>
      <w:r w:rsidR="005A462C" w:rsidRPr="008D73A7">
        <w:rPr>
          <w:lang w:val="en-GB"/>
        </w:rPr>
        <w:t xml:space="preserve">ixed </w:t>
      </w:r>
      <w:r w:rsidR="00480706" w:rsidRPr="008D73A7">
        <w:rPr>
          <w:lang w:val="en-GB"/>
        </w:rPr>
        <w:t>s</w:t>
      </w:r>
      <w:r w:rsidR="005A462C" w:rsidRPr="008D73A7">
        <w:rPr>
          <w:lang w:val="en-GB"/>
        </w:rPr>
        <w:t>ervice</w:t>
      </w:r>
      <w:bookmarkEnd w:id="111"/>
      <w:bookmarkEnd w:id="112"/>
      <w:bookmarkEnd w:id="113"/>
    </w:p>
    <w:p w14:paraId="5ABA2B69" w14:textId="5E0D370E" w:rsidR="00A21275" w:rsidRPr="008D73A7" w:rsidRDefault="00A21275" w:rsidP="006138F7">
      <w:pPr>
        <w:spacing w:after="240"/>
        <w:jc w:val="both"/>
        <w:rPr>
          <w:lang w:val="en-GB"/>
        </w:rPr>
      </w:pPr>
      <w:r w:rsidRPr="008D73A7">
        <w:rPr>
          <w:lang w:val="en-GB"/>
        </w:rPr>
        <w:t xml:space="preserve">For evaluating the compatibility between RDI and FS the two worst-case interference scenarios in </w:t>
      </w:r>
      <w:r w:rsidR="003133BF" w:rsidRPr="008D73A7">
        <w:rPr>
          <w:lang w:val="en-GB"/>
        </w:rPr>
        <w:t>ECC Report 334</w:t>
      </w:r>
      <w:r w:rsidR="00B37972" w:rsidRPr="008D73A7">
        <w:rPr>
          <w:lang w:val="en-GB"/>
        </w:rPr>
        <w:t>,</w:t>
      </w:r>
      <w:r w:rsidR="003133BF" w:rsidRPr="008D73A7">
        <w:rPr>
          <w:lang w:val="en-GB"/>
        </w:rPr>
        <w:t xml:space="preserve"> </w:t>
      </w:r>
      <w:r w:rsidR="0050237C" w:rsidRPr="008D73A7">
        <w:rPr>
          <w:lang w:val="en-GB"/>
        </w:rPr>
        <w:t>f</w:t>
      </w:r>
      <w:r w:rsidR="006D4D23" w:rsidRPr="008D73A7">
        <w:rPr>
          <w:lang w:val="en-GB"/>
        </w:rPr>
        <w:t>igure 12</w:t>
      </w:r>
      <w:r w:rsidRPr="008D73A7">
        <w:rPr>
          <w:lang w:val="en-GB"/>
        </w:rPr>
        <w:t xml:space="preserve"> and </w:t>
      </w:r>
      <w:r w:rsidR="0050237C" w:rsidRPr="008D73A7">
        <w:rPr>
          <w:lang w:val="en-GB"/>
        </w:rPr>
        <w:t>f</w:t>
      </w:r>
      <w:r w:rsidR="006D4D23" w:rsidRPr="008D73A7">
        <w:rPr>
          <w:lang w:val="en-GB"/>
        </w:rPr>
        <w:t>igure 13</w:t>
      </w:r>
      <w:r w:rsidRPr="008D73A7">
        <w:rPr>
          <w:lang w:val="en-GB"/>
        </w:rPr>
        <w:t xml:space="preserve"> have been defined (see </w:t>
      </w:r>
      <w:r w:rsidR="003133BF" w:rsidRPr="008D73A7">
        <w:rPr>
          <w:lang w:val="en-GB"/>
        </w:rPr>
        <w:t>ECC Report 334</w:t>
      </w:r>
      <w:r w:rsidR="0050237C" w:rsidRPr="008D73A7">
        <w:rPr>
          <w:lang w:val="en-GB"/>
        </w:rPr>
        <w:t>,</w:t>
      </w:r>
      <w:r w:rsidR="003133BF" w:rsidRPr="008D73A7">
        <w:rPr>
          <w:lang w:val="en-GB"/>
        </w:rPr>
        <w:t xml:space="preserve"> </w:t>
      </w:r>
      <w:r w:rsidRPr="008D73A7">
        <w:rPr>
          <w:lang w:val="en-GB"/>
        </w:rPr>
        <w:t xml:space="preserve">section </w:t>
      </w:r>
      <w:r w:rsidR="003133BF" w:rsidRPr="008D73A7">
        <w:rPr>
          <w:lang w:val="en-GB"/>
        </w:rPr>
        <w:t>2.2.2.6</w:t>
      </w:r>
      <w:r w:rsidRPr="008D73A7">
        <w:rPr>
          <w:lang w:val="en-GB"/>
        </w:rPr>
        <w:t>). In both scenarios</w:t>
      </w:r>
      <w:r w:rsidR="00B37972" w:rsidRPr="008D73A7">
        <w:rPr>
          <w:lang w:val="en-GB"/>
        </w:rPr>
        <w:t>,</w:t>
      </w:r>
      <w:r w:rsidRPr="008D73A7">
        <w:rPr>
          <w:lang w:val="en-GB"/>
        </w:rPr>
        <w:t xml:space="preserve"> it is valid that separation distances smaller than 300 m result in compatibility between RDI and FS such that a coexistence of both systems is always given. Separation distances larger than 300 m in contrast produce interference</w:t>
      </w:r>
      <w:r w:rsidR="00EC317C" w:rsidRPr="008D73A7">
        <w:rPr>
          <w:lang w:val="en-GB"/>
        </w:rPr>
        <w:t xml:space="preserve"> to </w:t>
      </w:r>
      <w:r w:rsidRPr="008D73A7">
        <w:rPr>
          <w:lang w:val="en-GB"/>
        </w:rPr>
        <w:t xml:space="preserve">the FS receiver such that the protection requirements identified in </w:t>
      </w:r>
      <w:r w:rsidR="008561B3" w:rsidRPr="008D73A7">
        <w:rPr>
          <w:lang w:val="en-GB"/>
        </w:rPr>
        <w:t>ECC Report 334</w:t>
      </w:r>
      <w:r w:rsidR="0050237C" w:rsidRPr="008D73A7">
        <w:rPr>
          <w:lang w:val="en-GB"/>
        </w:rPr>
        <w:t>,</w:t>
      </w:r>
      <w:r w:rsidR="008561B3" w:rsidRPr="008D73A7">
        <w:rPr>
          <w:lang w:val="en-GB"/>
        </w:rPr>
        <w:t xml:space="preserve"> </w:t>
      </w:r>
      <w:r w:rsidRPr="008D73A7">
        <w:rPr>
          <w:lang w:val="en-GB"/>
        </w:rPr>
        <w:t xml:space="preserve">section </w:t>
      </w:r>
      <w:r w:rsidR="008561B3" w:rsidRPr="008D73A7">
        <w:rPr>
          <w:lang w:val="en-GB"/>
        </w:rPr>
        <w:t>3.5.3</w:t>
      </w:r>
      <w:r w:rsidRPr="008D73A7">
        <w:rPr>
          <w:lang w:val="en-GB"/>
        </w:rPr>
        <w:t xml:space="preserve"> </w:t>
      </w:r>
      <w:proofErr w:type="gramStart"/>
      <w:r w:rsidRPr="008D73A7">
        <w:rPr>
          <w:lang w:val="en-GB"/>
        </w:rPr>
        <w:t>are</w:t>
      </w:r>
      <w:proofErr w:type="gramEnd"/>
      <w:r w:rsidRPr="008D73A7">
        <w:rPr>
          <w:lang w:val="en-GB"/>
        </w:rPr>
        <w:t xml:space="preserve"> not fulfilled. In this case</w:t>
      </w:r>
      <w:r w:rsidR="006338EF">
        <w:rPr>
          <w:lang w:val="en-GB"/>
        </w:rPr>
        <w:t>,</w:t>
      </w:r>
      <w:r w:rsidRPr="008D73A7">
        <w:rPr>
          <w:lang w:val="en-GB"/>
        </w:rPr>
        <w:t xml:space="preserve"> the coexistence of both systems is not possible in the respective scenario without further protection measures.</w:t>
      </w:r>
    </w:p>
    <w:p w14:paraId="3320355C" w14:textId="1DBD4062" w:rsidR="00A21275" w:rsidRPr="008D73A7" w:rsidRDefault="00A21275" w:rsidP="006138F7">
      <w:pPr>
        <w:jc w:val="both"/>
        <w:rPr>
          <w:lang w:val="en-GB"/>
        </w:rPr>
      </w:pPr>
      <w:r w:rsidRPr="008D73A7">
        <w:rPr>
          <w:lang w:val="en-GB"/>
        </w:rPr>
        <w:t xml:space="preserve">All calculated separation distances for RDI in </w:t>
      </w:r>
      <w:r w:rsidR="006C6EB5" w:rsidRPr="008D73A7">
        <w:rPr>
          <w:lang w:val="en-GB"/>
        </w:rPr>
        <w:t>ECC Report 334</w:t>
      </w:r>
      <w:r w:rsidR="0050237C" w:rsidRPr="008D73A7">
        <w:rPr>
          <w:lang w:val="en-GB"/>
        </w:rPr>
        <w:t>, t</w:t>
      </w:r>
      <w:r w:rsidR="006C6EB5" w:rsidRPr="008D73A7">
        <w:rPr>
          <w:lang w:val="en-GB"/>
        </w:rPr>
        <w:t xml:space="preserve">able 73 </w:t>
      </w:r>
      <w:r w:rsidRPr="008D73A7">
        <w:rPr>
          <w:lang w:val="en-GB"/>
        </w:rPr>
        <w:t xml:space="preserve">are smaller than 300 m (see </w:t>
      </w:r>
      <w:r w:rsidR="006C6EB5" w:rsidRPr="008D73A7">
        <w:rPr>
          <w:lang w:val="en-GB"/>
        </w:rPr>
        <w:t>ECC Report 334</w:t>
      </w:r>
      <w:r w:rsidR="0050237C" w:rsidRPr="008D73A7">
        <w:rPr>
          <w:lang w:val="en-GB"/>
        </w:rPr>
        <w:t>,</w:t>
      </w:r>
      <w:r w:rsidR="006C6EB5" w:rsidRPr="008D73A7">
        <w:rPr>
          <w:lang w:val="en-GB"/>
        </w:rPr>
        <w:t xml:space="preserve"> </w:t>
      </w:r>
      <w:r w:rsidRPr="008D73A7">
        <w:rPr>
          <w:lang w:val="en-GB"/>
        </w:rPr>
        <w:t xml:space="preserve">section </w:t>
      </w:r>
      <w:r w:rsidR="006C6EB5" w:rsidRPr="008D73A7">
        <w:rPr>
          <w:lang w:val="en-GB"/>
        </w:rPr>
        <w:t>5.2.2</w:t>
      </w:r>
      <w:r w:rsidRPr="008D73A7">
        <w:rPr>
          <w:lang w:val="en-GB"/>
        </w:rPr>
        <w:t>). Therefore, compatibility between RDI and FS can always be asserted for all investigated frequency bands, for both scenarios and both protection objectives without the implementation of additional mitigation techniques.</w:t>
      </w:r>
    </w:p>
    <w:p w14:paraId="4742071E" w14:textId="3A6B7F85" w:rsidR="005A462C" w:rsidRPr="008D73A7" w:rsidRDefault="00A06466" w:rsidP="00406659">
      <w:pPr>
        <w:pStyle w:val="Heading3"/>
        <w:rPr>
          <w:lang w:val="en-GB"/>
        </w:rPr>
      </w:pPr>
      <w:bookmarkStart w:id="114" w:name="_Toc123634697"/>
      <w:bookmarkStart w:id="115" w:name="_Toc123634787"/>
      <w:bookmarkStart w:id="116" w:name="_Toc135806289"/>
      <w:r>
        <w:rPr>
          <w:lang w:val="en-GB"/>
        </w:rPr>
        <w:t>E</w:t>
      </w:r>
      <w:r w:rsidR="005A462C" w:rsidRPr="008D73A7">
        <w:rPr>
          <w:lang w:val="en-GB"/>
        </w:rPr>
        <w:t xml:space="preserve">arth </w:t>
      </w:r>
      <w:r w:rsidR="00EC577D" w:rsidRPr="008D73A7">
        <w:rPr>
          <w:lang w:val="en-GB"/>
        </w:rPr>
        <w:t>e</w:t>
      </w:r>
      <w:r w:rsidR="005A462C" w:rsidRPr="008D73A7">
        <w:rPr>
          <w:lang w:val="en-GB"/>
        </w:rPr>
        <w:t xml:space="preserve">xploration </w:t>
      </w:r>
      <w:r w:rsidR="00EC577D" w:rsidRPr="008D73A7">
        <w:rPr>
          <w:lang w:val="en-GB"/>
        </w:rPr>
        <w:t>s</w:t>
      </w:r>
      <w:r w:rsidR="005A462C" w:rsidRPr="008D73A7">
        <w:rPr>
          <w:lang w:val="en-GB"/>
        </w:rPr>
        <w:t xml:space="preserve">atellite </w:t>
      </w:r>
      <w:r w:rsidR="00EC577D" w:rsidRPr="008D73A7">
        <w:rPr>
          <w:lang w:val="en-GB"/>
        </w:rPr>
        <w:t>s</w:t>
      </w:r>
      <w:r w:rsidR="005A462C" w:rsidRPr="008D73A7">
        <w:rPr>
          <w:lang w:val="en-GB"/>
        </w:rPr>
        <w:t>ervice (Passive)</w:t>
      </w:r>
      <w:bookmarkEnd w:id="114"/>
      <w:bookmarkEnd w:id="115"/>
      <w:bookmarkEnd w:id="116"/>
    </w:p>
    <w:p w14:paraId="6E50D5E4" w14:textId="7CA3E214" w:rsidR="0081630F" w:rsidRPr="008D73A7" w:rsidRDefault="00A21275" w:rsidP="006138F7">
      <w:pPr>
        <w:jc w:val="both"/>
        <w:rPr>
          <w:lang w:val="en-GB"/>
        </w:rPr>
      </w:pPr>
      <w:r w:rsidRPr="008D73A7">
        <w:rPr>
          <w:lang w:val="en-GB"/>
        </w:rPr>
        <w:t>For the frequency band 116</w:t>
      </w:r>
      <w:r w:rsidR="00666B9A" w:rsidRPr="008D73A7">
        <w:rPr>
          <w:lang w:val="en-GB"/>
        </w:rPr>
        <w:t>-</w:t>
      </w:r>
      <w:r w:rsidRPr="008D73A7">
        <w:rPr>
          <w:lang w:val="en-GB"/>
        </w:rPr>
        <w:t xml:space="preserve">130 GHz the protection criterion is exceeded for the single-entry case by 0.8 dB under the assumed conditions shown in </w:t>
      </w:r>
      <w:r w:rsidR="00E5619D" w:rsidRPr="008D73A7">
        <w:rPr>
          <w:lang w:val="en-GB"/>
        </w:rPr>
        <w:t>ECC Report 334</w:t>
      </w:r>
      <w:r w:rsidR="0050237C" w:rsidRPr="008D73A7">
        <w:rPr>
          <w:lang w:val="en-GB"/>
        </w:rPr>
        <w:t>,</w:t>
      </w:r>
      <w:r w:rsidR="00E5619D" w:rsidRPr="008D73A7">
        <w:rPr>
          <w:lang w:val="en-GB"/>
        </w:rPr>
        <w:t xml:space="preserve"> </w:t>
      </w:r>
      <w:r w:rsidR="0050237C" w:rsidRPr="008D73A7">
        <w:rPr>
          <w:lang w:val="en-GB"/>
        </w:rPr>
        <w:t>t</w:t>
      </w:r>
      <w:r w:rsidR="00E5619D" w:rsidRPr="008D73A7">
        <w:rPr>
          <w:lang w:val="en-GB"/>
        </w:rPr>
        <w:t>able 86</w:t>
      </w:r>
      <w:r w:rsidRPr="008D73A7">
        <w:rPr>
          <w:lang w:val="en-GB"/>
        </w:rPr>
        <w:t xml:space="preserve">. However, a reduction of the mean power spectral density of at least 0.8 dB could be considered in order to ensure compatibility. </w:t>
      </w:r>
      <w:r w:rsidR="00B01500">
        <w:rPr>
          <w:lang w:val="en-GB"/>
        </w:rPr>
        <w:t xml:space="preserve">In all other frequency </w:t>
      </w:r>
      <w:proofErr w:type="gramStart"/>
      <w:r w:rsidR="00B01500">
        <w:rPr>
          <w:lang w:val="en-GB"/>
        </w:rPr>
        <w:t>bands</w:t>
      </w:r>
      <w:proofErr w:type="gramEnd"/>
      <w:r w:rsidR="00B01500" w:rsidRPr="00B01500">
        <w:t xml:space="preserve"> </w:t>
      </w:r>
      <w:r w:rsidR="00B01500" w:rsidRPr="00B01500">
        <w:rPr>
          <w:lang w:val="en-GB"/>
        </w:rPr>
        <w:t>the interference criteria can be ensured without the implementation of additional mitigation techniques</w:t>
      </w:r>
      <w:r w:rsidR="0009565C">
        <w:rPr>
          <w:lang w:val="en-GB"/>
        </w:rPr>
        <w:t xml:space="preserve">. Even for the aggregate case, </w:t>
      </w:r>
      <w:r w:rsidR="00583A0F">
        <w:rPr>
          <w:lang w:val="en-GB"/>
        </w:rPr>
        <w:t>there</w:t>
      </w:r>
      <w:r w:rsidR="0009565C">
        <w:rPr>
          <w:lang w:val="en-GB"/>
        </w:rPr>
        <w:t xml:space="preserve"> is sufficient margin</w:t>
      </w:r>
      <w:r w:rsidR="00583A0F">
        <w:rPr>
          <w:lang w:val="en-GB"/>
        </w:rPr>
        <w:t xml:space="preserve"> </w:t>
      </w:r>
      <w:r w:rsidR="003A6380">
        <w:rPr>
          <w:lang w:val="en-GB"/>
        </w:rPr>
        <w:t>to the interference criteria.</w:t>
      </w:r>
      <w:r w:rsidR="003A6380" w:rsidRPr="003A6380">
        <w:t xml:space="preserve"> </w:t>
      </w:r>
      <w:r w:rsidR="003A6380" w:rsidRPr="003A6380">
        <w:rPr>
          <w:lang w:val="en-GB"/>
        </w:rPr>
        <w:t>(see ECC Report 334, table 88).</w:t>
      </w:r>
    </w:p>
    <w:p w14:paraId="23F6E5AC" w14:textId="4D5CCBA7" w:rsidR="005A462C" w:rsidRPr="008D73A7" w:rsidRDefault="00A06466" w:rsidP="00406659">
      <w:pPr>
        <w:pStyle w:val="Heading3"/>
        <w:rPr>
          <w:lang w:val="en-GB"/>
        </w:rPr>
      </w:pPr>
      <w:bookmarkStart w:id="117" w:name="_Toc123634698"/>
      <w:bookmarkStart w:id="118" w:name="_Toc123634788"/>
      <w:bookmarkStart w:id="119" w:name="_Toc135806290"/>
      <w:r>
        <w:rPr>
          <w:lang w:val="en-GB"/>
        </w:rPr>
        <w:t>A</w:t>
      </w:r>
      <w:r w:rsidR="005A462C" w:rsidRPr="008D73A7">
        <w:rPr>
          <w:lang w:val="en-GB"/>
        </w:rPr>
        <w:t xml:space="preserve">mateur </w:t>
      </w:r>
      <w:r w:rsidR="00EC577D" w:rsidRPr="008D73A7">
        <w:rPr>
          <w:lang w:val="en-GB"/>
        </w:rPr>
        <w:t>s</w:t>
      </w:r>
      <w:r w:rsidR="005A462C" w:rsidRPr="008D73A7">
        <w:rPr>
          <w:lang w:val="en-GB"/>
        </w:rPr>
        <w:t>ervice</w:t>
      </w:r>
      <w:bookmarkEnd w:id="117"/>
      <w:bookmarkEnd w:id="118"/>
      <w:bookmarkEnd w:id="119"/>
    </w:p>
    <w:p w14:paraId="491B6561" w14:textId="24692984" w:rsidR="00A21275" w:rsidRPr="008D73A7" w:rsidRDefault="00A21275" w:rsidP="006138F7">
      <w:pPr>
        <w:spacing w:after="240"/>
        <w:jc w:val="both"/>
        <w:rPr>
          <w:lang w:val="en-GB"/>
        </w:rPr>
      </w:pPr>
      <w:r w:rsidRPr="008D73A7">
        <w:rPr>
          <w:lang w:val="en-GB"/>
        </w:rPr>
        <w:t xml:space="preserve">For the </w:t>
      </w:r>
      <w:r w:rsidR="00F06C9E" w:rsidRPr="008D73A7">
        <w:rPr>
          <w:lang w:val="en-GB"/>
        </w:rPr>
        <w:t>amateur service</w:t>
      </w:r>
      <w:r w:rsidRPr="008D73A7">
        <w:rPr>
          <w:lang w:val="en-GB"/>
        </w:rPr>
        <w:t xml:space="preserve"> the same criterion as for the </w:t>
      </w:r>
      <w:r w:rsidR="00D27FD0" w:rsidRPr="008D73A7">
        <w:rPr>
          <w:lang w:val="en-GB"/>
        </w:rPr>
        <w:t>fixed service</w:t>
      </w:r>
      <w:r w:rsidRPr="008D73A7">
        <w:rPr>
          <w:lang w:val="en-GB"/>
        </w:rPr>
        <w:t xml:space="preserve"> has been consulted. In this interference scenario, separation distances smaller than 300 m result in compatibility between the interfering device and </w:t>
      </w:r>
      <w:r w:rsidR="00C111EF" w:rsidRPr="008D73A7">
        <w:rPr>
          <w:lang w:val="en-GB"/>
        </w:rPr>
        <w:t>r</w:t>
      </w:r>
      <w:r w:rsidRPr="008D73A7">
        <w:rPr>
          <w:lang w:val="en-GB"/>
        </w:rPr>
        <w:t xml:space="preserve">adio </w:t>
      </w:r>
      <w:r w:rsidR="00C111EF" w:rsidRPr="008D73A7">
        <w:rPr>
          <w:lang w:val="en-GB"/>
        </w:rPr>
        <w:t>s</w:t>
      </w:r>
      <w:r w:rsidRPr="008D73A7">
        <w:rPr>
          <w:lang w:val="en-GB"/>
        </w:rPr>
        <w:t>ervice such that a coexistence of both systems can be ensured. For separation distances larger than 300 m</w:t>
      </w:r>
      <w:r w:rsidR="0013552B">
        <w:rPr>
          <w:lang w:val="en-GB"/>
        </w:rPr>
        <w:t>,</w:t>
      </w:r>
      <w:r w:rsidRPr="008D73A7">
        <w:rPr>
          <w:lang w:val="en-GB"/>
        </w:rPr>
        <w:t xml:space="preserve"> the probability of interference increases such that a compatibility cannot be ensured in all cases.</w:t>
      </w:r>
    </w:p>
    <w:p w14:paraId="3B0D2024" w14:textId="2D1B3254" w:rsidR="00A21275" w:rsidRPr="008D73A7" w:rsidRDefault="00A21275" w:rsidP="004346D1">
      <w:pPr>
        <w:jc w:val="both"/>
        <w:rPr>
          <w:lang w:val="en-GB"/>
        </w:rPr>
      </w:pPr>
      <w:r w:rsidRPr="008D73A7">
        <w:rPr>
          <w:lang w:val="en-GB"/>
        </w:rPr>
        <w:t xml:space="preserve">The results illustrated in </w:t>
      </w:r>
      <w:r w:rsidR="00220440" w:rsidRPr="008D73A7">
        <w:rPr>
          <w:lang w:val="en-GB"/>
        </w:rPr>
        <w:t>ECC Report 334</w:t>
      </w:r>
      <w:r w:rsidR="00F26F60" w:rsidRPr="008D73A7">
        <w:rPr>
          <w:lang w:val="en-GB"/>
        </w:rPr>
        <w:t>,</w:t>
      </w:r>
      <w:r w:rsidR="00220440" w:rsidRPr="008D73A7">
        <w:rPr>
          <w:lang w:val="en-GB"/>
        </w:rPr>
        <w:t xml:space="preserve"> </w:t>
      </w:r>
      <w:r w:rsidR="00F26F60" w:rsidRPr="008D73A7">
        <w:rPr>
          <w:lang w:val="en-GB"/>
        </w:rPr>
        <w:t>t</w:t>
      </w:r>
      <w:r w:rsidR="00220440" w:rsidRPr="008D73A7">
        <w:rPr>
          <w:lang w:val="en-GB"/>
        </w:rPr>
        <w:t>able 115</w:t>
      </w:r>
      <w:r w:rsidR="00F26F60" w:rsidRPr="008D73A7">
        <w:rPr>
          <w:lang w:val="en-GB"/>
        </w:rPr>
        <w:t xml:space="preserve"> </w:t>
      </w:r>
      <w:r w:rsidR="00F26F60" w:rsidRPr="008D73A7">
        <w:rPr>
          <w:lang w:val="en-GB"/>
        </w:rPr>
        <w:fldChar w:fldCharType="begin"/>
      </w:r>
      <w:r w:rsidR="00F26F60" w:rsidRPr="008D73A7">
        <w:rPr>
          <w:lang w:val="en-GB"/>
        </w:rPr>
        <w:instrText xml:space="preserve"> REF ECC_Report_334 \w \h  \* MERGEFORMAT </w:instrText>
      </w:r>
      <w:r w:rsidR="00F26F60" w:rsidRPr="008D73A7">
        <w:rPr>
          <w:lang w:val="en-GB"/>
        </w:rPr>
      </w:r>
      <w:r w:rsidR="00F26F60" w:rsidRPr="008D73A7">
        <w:rPr>
          <w:lang w:val="en-GB"/>
        </w:rPr>
        <w:fldChar w:fldCharType="separate"/>
      </w:r>
      <w:r w:rsidR="00113216" w:rsidRPr="008D73A7">
        <w:rPr>
          <w:lang w:val="en-GB"/>
        </w:rPr>
        <w:t>[1]</w:t>
      </w:r>
      <w:r w:rsidR="00F26F60" w:rsidRPr="008D73A7">
        <w:rPr>
          <w:lang w:val="en-GB"/>
        </w:rPr>
        <w:fldChar w:fldCharType="end"/>
      </w:r>
      <w:r w:rsidRPr="008D73A7">
        <w:rPr>
          <w:lang w:val="en-GB"/>
        </w:rPr>
        <w:t xml:space="preserve"> suggest that compatibility between RDI and </w:t>
      </w:r>
      <w:r w:rsidR="001025DA" w:rsidRPr="008D73A7">
        <w:rPr>
          <w:lang w:val="en-GB"/>
        </w:rPr>
        <w:t>a</w:t>
      </w:r>
      <w:r w:rsidRPr="008D73A7">
        <w:rPr>
          <w:lang w:val="en-GB"/>
        </w:rPr>
        <w:t>mateur can only be asserted in the investigated frequency band 231.5</w:t>
      </w:r>
      <w:r w:rsidR="00666B9A" w:rsidRPr="008D73A7">
        <w:rPr>
          <w:lang w:val="en-GB"/>
        </w:rPr>
        <w:t>-</w:t>
      </w:r>
      <w:r w:rsidRPr="008D73A7">
        <w:rPr>
          <w:lang w:val="en-GB"/>
        </w:rPr>
        <w:t xml:space="preserve">250 GHz without the implementation of additional mitigation techniques (see </w:t>
      </w:r>
      <w:r w:rsidR="00220440" w:rsidRPr="008D73A7">
        <w:rPr>
          <w:lang w:val="en-GB"/>
        </w:rPr>
        <w:t>ECC Report 334</w:t>
      </w:r>
      <w:r w:rsidR="00F26F60" w:rsidRPr="008D73A7">
        <w:rPr>
          <w:lang w:val="en-GB"/>
        </w:rPr>
        <w:t>,</w:t>
      </w:r>
      <w:r w:rsidR="00220440" w:rsidRPr="008D73A7">
        <w:rPr>
          <w:lang w:val="en-GB"/>
        </w:rPr>
        <w:t xml:space="preserve"> </w:t>
      </w:r>
      <w:r w:rsidRPr="008D73A7">
        <w:rPr>
          <w:lang w:val="en-GB"/>
        </w:rPr>
        <w:t xml:space="preserve">section </w:t>
      </w:r>
      <w:r w:rsidR="007E587A" w:rsidRPr="008D73A7">
        <w:rPr>
          <w:lang w:val="en-GB"/>
        </w:rPr>
        <w:t>7.2.2</w:t>
      </w:r>
      <w:r w:rsidRPr="008D73A7">
        <w:rPr>
          <w:lang w:val="en-GB"/>
        </w:rPr>
        <w:t>).</w:t>
      </w:r>
    </w:p>
    <w:p w14:paraId="03097200" w14:textId="77777777" w:rsidR="007B573A" w:rsidRDefault="007B573A">
      <w:pPr>
        <w:spacing w:before="0" w:after="0"/>
        <w:rPr>
          <w:rFonts w:eastAsiaTheme="minorHAnsi" w:cs="Arial"/>
          <w:b/>
          <w:bCs/>
          <w:iCs/>
          <w:caps/>
          <w:szCs w:val="28"/>
          <w:lang w:val="en-GB"/>
        </w:rPr>
      </w:pPr>
      <w:bookmarkStart w:id="120" w:name="_Toc123634699"/>
      <w:bookmarkStart w:id="121" w:name="_Toc123634789"/>
      <w:bookmarkStart w:id="122" w:name="_Toc135806291"/>
      <w:r>
        <w:rPr>
          <w:rFonts w:eastAsiaTheme="minorHAnsi"/>
          <w:lang w:val="en-GB"/>
        </w:rPr>
        <w:br w:type="page"/>
      </w:r>
    </w:p>
    <w:p w14:paraId="6E8E99FC" w14:textId="79F69044" w:rsidR="005A462C" w:rsidRPr="008D73A7" w:rsidRDefault="005A462C" w:rsidP="00A55704">
      <w:pPr>
        <w:pStyle w:val="Heading2"/>
        <w:rPr>
          <w:lang w:val="en-GB"/>
        </w:rPr>
      </w:pPr>
      <w:bookmarkStart w:id="123" w:name="_Toc153443768"/>
      <w:r w:rsidRPr="008D73A7">
        <w:rPr>
          <w:rFonts w:eastAsiaTheme="minorHAnsi"/>
          <w:lang w:val="en-GB"/>
        </w:rPr>
        <w:lastRenderedPageBreak/>
        <w:t>Level probing radar (LPR)</w:t>
      </w:r>
      <w:bookmarkEnd w:id="120"/>
      <w:bookmarkEnd w:id="121"/>
      <w:bookmarkEnd w:id="122"/>
      <w:bookmarkEnd w:id="123"/>
    </w:p>
    <w:p w14:paraId="3469E0D8" w14:textId="25FBFBCA" w:rsidR="005A462C" w:rsidRPr="008D73A7" w:rsidRDefault="005A462C" w:rsidP="00406659">
      <w:pPr>
        <w:pStyle w:val="Heading3"/>
        <w:rPr>
          <w:lang w:val="en-GB"/>
        </w:rPr>
      </w:pPr>
      <w:bookmarkStart w:id="124" w:name="_Toc123634700"/>
      <w:bookmarkStart w:id="125" w:name="_Toc123634790"/>
      <w:bookmarkStart w:id="126" w:name="_Toc135806292"/>
      <w:r w:rsidRPr="008D73A7">
        <w:rPr>
          <w:lang w:val="en-GB"/>
        </w:rPr>
        <w:t>Summary</w:t>
      </w:r>
      <w:bookmarkEnd w:id="124"/>
      <w:bookmarkEnd w:id="125"/>
      <w:bookmarkEnd w:id="126"/>
    </w:p>
    <w:p w14:paraId="7D72D58D" w14:textId="3E9A75E2" w:rsidR="00A21275" w:rsidRPr="008D73A7" w:rsidRDefault="00A21275" w:rsidP="004346D1">
      <w:pPr>
        <w:spacing w:after="240"/>
        <w:jc w:val="both"/>
        <w:rPr>
          <w:rFonts w:eastAsiaTheme="minorHAnsi"/>
          <w:lang w:val="en-GB"/>
        </w:rPr>
      </w:pPr>
      <w:r w:rsidRPr="008D73A7">
        <w:rPr>
          <w:lang w:val="en-GB"/>
        </w:rPr>
        <w:t xml:space="preserve">For LPR the candidate frequency bands </w:t>
      </w:r>
      <w:r w:rsidRPr="008D73A7">
        <w:rPr>
          <w:rFonts w:eastAsiaTheme="minorHAnsi"/>
          <w:lang w:val="en-GB"/>
        </w:rPr>
        <w:t>116</w:t>
      </w:r>
      <w:r w:rsidR="00666B9A" w:rsidRPr="008D73A7">
        <w:rPr>
          <w:rFonts w:eastAsiaTheme="minorHAnsi"/>
          <w:lang w:val="en-GB"/>
        </w:rPr>
        <w:t>-</w:t>
      </w:r>
      <w:r w:rsidRPr="008D73A7">
        <w:rPr>
          <w:rFonts w:eastAsiaTheme="minorHAnsi"/>
          <w:lang w:val="en-GB"/>
        </w:rPr>
        <w:t>148.5 GHz, 167</w:t>
      </w:r>
      <w:r w:rsidR="00666B9A" w:rsidRPr="008D73A7">
        <w:rPr>
          <w:rFonts w:eastAsiaTheme="minorHAnsi"/>
          <w:lang w:val="en-GB"/>
        </w:rPr>
        <w:t>-</w:t>
      </w:r>
      <w:r w:rsidRPr="008D73A7">
        <w:rPr>
          <w:rFonts w:eastAsiaTheme="minorHAnsi"/>
          <w:lang w:val="en-GB"/>
        </w:rPr>
        <w:t>182 GHz and 231.5</w:t>
      </w:r>
      <w:r w:rsidR="00666B9A" w:rsidRPr="008D73A7">
        <w:rPr>
          <w:rFonts w:eastAsiaTheme="minorHAnsi"/>
          <w:lang w:val="en-GB"/>
        </w:rPr>
        <w:t>-</w:t>
      </w:r>
      <w:r w:rsidRPr="008D73A7">
        <w:rPr>
          <w:rFonts w:eastAsiaTheme="minorHAnsi"/>
          <w:lang w:val="en-GB"/>
        </w:rPr>
        <w:t xml:space="preserve">250 GHz have been studied. </w:t>
      </w:r>
      <w:r w:rsidRPr="008D73A7">
        <w:rPr>
          <w:lang w:val="en-GB"/>
        </w:rPr>
        <w:t xml:space="preserve">It turned out that in all three frequency ranges compatibility between LPR and all investigated </w:t>
      </w:r>
      <w:r w:rsidR="00C111EF" w:rsidRPr="008D73A7">
        <w:rPr>
          <w:lang w:val="en-GB"/>
        </w:rPr>
        <w:t>r</w:t>
      </w:r>
      <w:r w:rsidRPr="008D73A7">
        <w:rPr>
          <w:lang w:val="en-GB"/>
        </w:rPr>
        <w:t xml:space="preserve">adio </w:t>
      </w:r>
      <w:r w:rsidR="00C111EF" w:rsidRPr="008D73A7">
        <w:rPr>
          <w:lang w:val="en-GB"/>
        </w:rPr>
        <w:t>s</w:t>
      </w:r>
      <w:r w:rsidRPr="008D73A7">
        <w:rPr>
          <w:lang w:val="en-GB"/>
        </w:rPr>
        <w:t>ervices can be ensured.</w:t>
      </w:r>
    </w:p>
    <w:p w14:paraId="39778A5E" w14:textId="77777777" w:rsidR="00A21275" w:rsidRPr="008D73A7" w:rsidRDefault="00A21275" w:rsidP="00A21275">
      <w:pPr>
        <w:rPr>
          <w:rFonts w:eastAsiaTheme="minorHAnsi"/>
          <w:lang w:val="en-GB"/>
        </w:rPr>
      </w:pPr>
      <w:r w:rsidRPr="008D73A7">
        <w:rPr>
          <w:rFonts w:eastAsiaTheme="minorHAnsi"/>
          <w:lang w:val="en-GB"/>
        </w:rPr>
        <w:t>The following protection requirements have been assumed:</w:t>
      </w:r>
    </w:p>
    <w:p w14:paraId="3A0413A3" w14:textId="443693F3" w:rsidR="00A21275" w:rsidRPr="008D73A7" w:rsidRDefault="00910D18" w:rsidP="009C18AB">
      <w:pPr>
        <w:pStyle w:val="ECCBulletsLv1"/>
        <w:ind w:left="340" w:hanging="340"/>
      </w:pPr>
      <w:r w:rsidRPr="008D73A7">
        <w:t>r</w:t>
      </w:r>
      <w:r w:rsidR="00A21275" w:rsidRPr="008D73A7">
        <w:t xml:space="preserve">adio </w:t>
      </w:r>
      <w:r w:rsidR="00D27FD0" w:rsidRPr="008D73A7">
        <w:t>a</w:t>
      </w:r>
      <w:r w:rsidR="00A21275" w:rsidRPr="008D73A7">
        <w:t>stronomy: Separation distance smaller than 20 km</w:t>
      </w:r>
      <w:r w:rsidR="00374FC1" w:rsidRPr="008D73A7">
        <w:t>;</w:t>
      </w:r>
    </w:p>
    <w:p w14:paraId="497225BD" w14:textId="7CD6B54E" w:rsidR="00A21275" w:rsidRPr="008D73A7" w:rsidRDefault="00910D18" w:rsidP="009C18AB">
      <w:pPr>
        <w:pStyle w:val="ECCBulletsLv1"/>
        <w:ind w:left="340" w:hanging="340"/>
      </w:pPr>
      <w:r w:rsidRPr="008D73A7">
        <w:t>f</w:t>
      </w:r>
      <w:r w:rsidR="00A21275" w:rsidRPr="008D73A7">
        <w:t xml:space="preserve">ixed </w:t>
      </w:r>
      <w:r w:rsidR="00D27FD0" w:rsidRPr="008D73A7">
        <w:t>s</w:t>
      </w:r>
      <w:r w:rsidR="00A21275" w:rsidRPr="008D73A7">
        <w:t xml:space="preserve">ervice and </w:t>
      </w:r>
      <w:r w:rsidR="00D27FD0" w:rsidRPr="008D73A7">
        <w:t>a</w:t>
      </w:r>
      <w:r w:rsidR="00A21275" w:rsidRPr="008D73A7">
        <w:t xml:space="preserve">mateur </w:t>
      </w:r>
      <w:r w:rsidR="00D27FD0" w:rsidRPr="008D73A7">
        <w:t>s</w:t>
      </w:r>
      <w:r w:rsidR="00A21275" w:rsidRPr="008D73A7">
        <w:t>ervice: Separation distance smaller than 300 m</w:t>
      </w:r>
      <w:r w:rsidR="00374FC1" w:rsidRPr="008D73A7">
        <w:t>;</w:t>
      </w:r>
    </w:p>
    <w:p w14:paraId="3B1E8F1D" w14:textId="2D804EB6" w:rsidR="00A21275" w:rsidRPr="008D73A7" w:rsidRDefault="00910D18" w:rsidP="00820A1E">
      <w:pPr>
        <w:pStyle w:val="ECCBulletsLv1"/>
        <w:ind w:left="340" w:hanging="340"/>
      </w:pPr>
      <w:r w:rsidRPr="008D73A7">
        <w:t>e</w:t>
      </w:r>
      <w:r w:rsidR="00A21275" w:rsidRPr="008D73A7">
        <w:t xml:space="preserve">arth </w:t>
      </w:r>
      <w:r w:rsidR="00D27FD0" w:rsidRPr="008D73A7">
        <w:t>e</w:t>
      </w:r>
      <w:r w:rsidR="00A21275" w:rsidRPr="008D73A7">
        <w:t xml:space="preserve">xploration </w:t>
      </w:r>
      <w:r w:rsidR="00D27FD0" w:rsidRPr="008D73A7">
        <w:t>s</w:t>
      </w:r>
      <w:r w:rsidR="00A21275" w:rsidRPr="008D73A7">
        <w:t xml:space="preserve">atellite </w:t>
      </w:r>
      <w:r w:rsidR="00D27FD0" w:rsidRPr="008D73A7">
        <w:t>s</w:t>
      </w:r>
      <w:r w:rsidR="00A21275" w:rsidRPr="008D73A7">
        <w:t xml:space="preserve">ervice (passive): positive margin to the maximum interference level in the victim receiver (see </w:t>
      </w:r>
      <w:r w:rsidR="0015249C" w:rsidRPr="008D73A7">
        <w:t>ECC Report 334</w:t>
      </w:r>
      <w:r w:rsidR="00690D5D" w:rsidRPr="008D73A7">
        <w:t>,</w:t>
      </w:r>
      <w:r w:rsidR="0015249C" w:rsidRPr="008D73A7">
        <w:t xml:space="preserve"> </w:t>
      </w:r>
      <w:r w:rsidR="00A21275" w:rsidRPr="008D73A7">
        <w:t>section</w:t>
      </w:r>
      <w:r w:rsidR="0015249C" w:rsidRPr="008D73A7">
        <w:t xml:space="preserve"> 3.5.4.2</w:t>
      </w:r>
      <w:r w:rsidR="00690D5D" w:rsidRPr="008D73A7">
        <w:t xml:space="preserve"> </w:t>
      </w:r>
      <w:r w:rsidR="00690D5D" w:rsidRPr="008D73A7">
        <w:fldChar w:fldCharType="begin"/>
      </w:r>
      <w:r w:rsidR="00690D5D" w:rsidRPr="008D73A7">
        <w:instrText xml:space="preserve"> REF  ECC_Report_334 \h \n  \* MERGEFORMAT </w:instrText>
      </w:r>
      <w:r w:rsidR="00690D5D" w:rsidRPr="008D73A7">
        <w:fldChar w:fldCharType="separate"/>
      </w:r>
      <w:r w:rsidR="00113216" w:rsidRPr="008D73A7">
        <w:t>[1]</w:t>
      </w:r>
      <w:r w:rsidR="00690D5D" w:rsidRPr="008D73A7">
        <w:fldChar w:fldCharType="end"/>
      </w:r>
      <w:r w:rsidR="00A21275" w:rsidRPr="008D73A7">
        <w:t>).</w:t>
      </w:r>
    </w:p>
    <w:p w14:paraId="1E652201" w14:textId="77777777" w:rsidR="00A21275" w:rsidRPr="008D73A7" w:rsidRDefault="00A21275" w:rsidP="00A21275">
      <w:pPr>
        <w:rPr>
          <w:rFonts w:eastAsiaTheme="minorHAnsi"/>
          <w:lang w:val="en-GB"/>
        </w:rPr>
      </w:pPr>
      <w:r w:rsidRPr="008D73A7">
        <w:rPr>
          <w:rFonts w:eastAsiaTheme="minorHAnsi"/>
          <w:lang w:val="en-GB"/>
        </w:rPr>
        <w:t>All level probing radars should furthermore comply with the following (installation) requirements:</w:t>
      </w:r>
    </w:p>
    <w:p w14:paraId="28D64B5E" w14:textId="2E585E81" w:rsidR="00A21275" w:rsidRPr="008D73A7" w:rsidRDefault="00A21275" w:rsidP="00FB3C72">
      <w:pPr>
        <w:pStyle w:val="ECCBulletsLv1"/>
        <w:ind w:left="340" w:hanging="340"/>
      </w:pPr>
      <w:r w:rsidRPr="008D73A7">
        <w:t>The operation of LPR sensors is envisaged for industrial purposes only</w:t>
      </w:r>
      <w:r w:rsidR="00374FC1" w:rsidRPr="008D73A7">
        <w:t>;</w:t>
      </w:r>
    </w:p>
    <w:p w14:paraId="4016282B" w14:textId="0F2E5228" w:rsidR="00A21275" w:rsidRPr="008D73A7" w:rsidRDefault="00A21275" w:rsidP="00FB3C72">
      <w:pPr>
        <w:pStyle w:val="ECCBulletsLv1"/>
        <w:ind w:left="340" w:hanging="340"/>
      </w:pPr>
      <w:r w:rsidRPr="008D73A7">
        <w:t>Installation and maintenance of LPR equipment shall be performed by professionally trained individuals only</w:t>
      </w:r>
      <w:r w:rsidR="00374FC1" w:rsidRPr="008D73A7">
        <w:t>;</w:t>
      </w:r>
    </w:p>
    <w:p w14:paraId="2D0FDD5A" w14:textId="7F129375" w:rsidR="00A21275" w:rsidRPr="008D73A7" w:rsidRDefault="00A21275" w:rsidP="00FB3C72">
      <w:pPr>
        <w:pStyle w:val="ECCBulletsLv1"/>
        <w:ind w:left="340" w:hanging="340"/>
      </w:pPr>
      <w:r w:rsidRPr="008D73A7">
        <w:t>LPR equipment shall not be marketed to private end customers</w:t>
      </w:r>
      <w:r w:rsidR="00374FC1" w:rsidRPr="008D73A7">
        <w:t>;</w:t>
      </w:r>
    </w:p>
    <w:p w14:paraId="54AB9678" w14:textId="06AFE1EC" w:rsidR="00A21275" w:rsidRPr="008D73A7" w:rsidRDefault="00A21275" w:rsidP="00FB3C72">
      <w:pPr>
        <w:pStyle w:val="ECCBulletsLv1"/>
        <w:ind w:left="340" w:hanging="340"/>
      </w:pPr>
      <w:r w:rsidRPr="008D73A7">
        <w:t>Level probing radars are required to be installed at a permanent fixed position pointing in a downwards direction towards the ground. The equipment shall not operate while being moved, or while inside a moving container</w:t>
      </w:r>
      <w:r w:rsidR="00374FC1" w:rsidRPr="008D73A7">
        <w:t>;</w:t>
      </w:r>
    </w:p>
    <w:p w14:paraId="55B84C17" w14:textId="247ADC4C" w:rsidR="00A21275" w:rsidRPr="008D73A7" w:rsidRDefault="00A21275" w:rsidP="00FB3C72">
      <w:pPr>
        <w:pStyle w:val="ECCBulletsLv1"/>
        <w:ind w:left="340" w:hanging="340"/>
      </w:pPr>
      <w:r w:rsidRPr="008D73A7">
        <w:t>Installers have to ensure that there are no unwanted obstacles in the main beam of the antenna in order to minimise unintentional reflections and scattering</w:t>
      </w:r>
      <w:r w:rsidR="00374FC1" w:rsidRPr="008D73A7">
        <w:t>;</w:t>
      </w:r>
    </w:p>
    <w:p w14:paraId="1A4BE7AC" w14:textId="362215DD" w:rsidR="00A21275" w:rsidRPr="008D73A7" w:rsidRDefault="00A21275" w:rsidP="00FB3C72">
      <w:pPr>
        <w:pStyle w:val="ECCBulletsLv1"/>
        <w:ind w:left="340" w:hanging="340"/>
      </w:pPr>
      <w:r w:rsidRPr="008D73A7">
        <w:t xml:space="preserve">In order to protect the </w:t>
      </w:r>
      <w:r w:rsidR="00D27FD0" w:rsidRPr="008D73A7">
        <w:t>radio astronomy service</w:t>
      </w:r>
      <w:r w:rsidRPr="008D73A7">
        <w:t>, inside a radius of 13 km around the stations of NOEMA and IRAM</w:t>
      </w:r>
      <w:r w:rsidR="00986D67" w:rsidRPr="008D73A7">
        <w:t xml:space="preserve"> </w:t>
      </w:r>
      <w:r w:rsidRPr="008D73A7">
        <w:t>30 m, the installation and operation of LPR devices should be prohibited, unless a special authorisation has been provided by the responsible national administration.</w:t>
      </w:r>
      <w:r w:rsidR="001D209E" w:rsidRPr="008D73A7">
        <w:t xml:space="preserve"> </w:t>
      </w:r>
      <w:r w:rsidR="001D209E" w:rsidRPr="008D73A7">
        <w:fldChar w:fldCharType="begin"/>
      </w:r>
      <w:r w:rsidR="001D209E" w:rsidRPr="008D73A7">
        <w:instrText xml:space="preserve"> REF _Ref66370646 \h </w:instrText>
      </w:r>
      <w:r w:rsidR="001D209E" w:rsidRPr="008D73A7">
        <w:fldChar w:fldCharType="separate"/>
      </w:r>
      <w:r w:rsidR="00820A1E" w:rsidRPr="008D73A7">
        <w:t>Table 12</w:t>
      </w:r>
      <w:r w:rsidR="001D209E" w:rsidRPr="008D73A7">
        <w:fldChar w:fldCharType="end"/>
      </w:r>
      <w:r w:rsidRPr="008D73A7">
        <w:t xml:space="preserve"> shows the locations of the two European observatories operating in the frequency range 116</w:t>
      </w:r>
      <w:r w:rsidR="00666B9A" w:rsidRPr="008D73A7">
        <w:t>-</w:t>
      </w:r>
      <w:r w:rsidRPr="008D73A7">
        <w:t>260 GHz</w:t>
      </w:r>
      <w:r w:rsidR="00374FC1" w:rsidRPr="008D73A7">
        <w:t>;</w:t>
      </w:r>
    </w:p>
    <w:p w14:paraId="6D0378BD" w14:textId="77777777" w:rsidR="00A21275" w:rsidRPr="008D73A7" w:rsidRDefault="00A21275" w:rsidP="004346D1">
      <w:pPr>
        <w:pStyle w:val="ECCBulletsLv1"/>
        <w:ind w:left="340" w:hanging="340"/>
      </w:pPr>
      <w:r w:rsidRPr="008D73A7">
        <w:t>The provider is required to inform the users and installers of LPR equipment about the installation requirements and the additional special mounting instructions.</w:t>
      </w:r>
    </w:p>
    <w:p w14:paraId="393BE0E6" w14:textId="77777777" w:rsidR="00A21275" w:rsidRPr="008D73A7" w:rsidRDefault="00A21275" w:rsidP="00A21275">
      <w:pPr>
        <w:rPr>
          <w:lang w:val="en-GB"/>
        </w:rPr>
      </w:pPr>
      <w:r w:rsidRPr="008D73A7">
        <w:rPr>
          <w:lang w:val="en-GB"/>
        </w:rPr>
        <w:t>In addition, the following two requirements are proposed:</w:t>
      </w:r>
    </w:p>
    <w:p w14:paraId="492FA34F" w14:textId="683A58C6" w:rsidR="00A21275" w:rsidRPr="008D73A7" w:rsidRDefault="00A21275" w:rsidP="00A21275">
      <w:pPr>
        <w:pStyle w:val="ECCBulletsLv1"/>
        <w:ind w:left="340" w:hanging="340"/>
      </w:pPr>
      <w:r w:rsidRPr="008D73A7">
        <w:t>For LPR devices, the peak e.i.r.p. for elevations above 0° shall be limited to 0 dBm</w:t>
      </w:r>
      <w:r w:rsidR="00374FC1" w:rsidRPr="008D73A7">
        <w:t>;</w:t>
      </w:r>
    </w:p>
    <w:p w14:paraId="4398D9AD" w14:textId="77777777" w:rsidR="00A21275" w:rsidRPr="008D73A7" w:rsidRDefault="00A21275" w:rsidP="00A21275">
      <w:pPr>
        <w:pStyle w:val="ECCBulletsLv1"/>
        <w:ind w:left="340" w:hanging="340"/>
      </w:pPr>
      <w:r w:rsidRPr="008D73A7">
        <w:t>For LPR devices using an antenna gain smaller than 20 dBi, the maximum conducted peak output power shall be limited to 15 dBm.</w:t>
      </w:r>
    </w:p>
    <w:p w14:paraId="52990D18" w14:textId="4F6F26C6" w:rsidR="005A462C" w:rsidRPr="008D73A7" w:rsidRDefault="00A06466" w:rsidP="00406659">
      <w:pPr>
        <w:pStyle w:val="Heading3"/>
        <w:rPr>
          <w:lang w:val="en-GB"/>
        </w:rPr>
      </w:pPr>
      <w:bookmarkStart w:id="127" w:name="_Toc123634701"/>
      <w:bookmarkStart w:id="128" w:name="_Toc123634791"/>
      <w:bookmarkStart w:id="129" w:name="_Toc135806293"/>
      <w:r>
        <w:rPr>
          <w:lang w:val="en-GB"/>
        </w:rPr>
        <w:t>R</w:t>
      </w:r>
      <w:r w:rsidR="005A462C" w:rsidRPr="008D73A7">
        <w:rPr>
          <w:lang w:val="en-GB"/>
        </w:rPr>
        <w:t xml:space="preserve">adio </w:t>
      </w:r>
      <w:r w:rsidR="00FB3C72" w:rsidRPr="008D73A7">
        <w:rPr>
          <w:lang w:val="en-GB"/>
        </w:rPr>
        <w:t>a</w:t>
      </w:r>
      <w:r w:rsidR="005A462C" w:rsidRPr="008D73A7">
        <w:rPr>
          <w:lang w:val="en-GB"/>
        </w:rPr>
        <w:t>stronomy</w:t>
      </w:r>
      <w:bookmarkEnd w:id="127"/>
      <w:bookmarkEnd w:id="128"/>
      <w:bookmarkEnd w:id="129"/>
    </w:p>
    <w:p w14:paraId="1F07D4D2" w14:textId="1AE0B32E" w:rsidR="00A21275" w:rsidRPr="008D73A7" w:rsidRDefault="00A21275" w:rsidP="004346D1">
      <w:pPr>
        <w:jc w:val="both"/>
        <w:rPr>
          <w:lang w:val="en-GB"/>
        </w:rPr>
      </w:pPr>
      <w:r w:rsidRPr="008D73A7">
        <w:rPr>
          <w:lang w:val="en-GB"/>
        </w:rPr>
        <w:t>For the frequency bands 116</w:t>
      </w:r>
      <w:r w:rsidR="00666B9A" w:rsidRPr="008D73A7">
        <w:rPr>
          <w:lang w:val="en-GB"/>
        </w:rPr>
        <w:t>-</w:t>
      </w:r>
      <w:r w:rsidRPr="008D73A7">
        <w:rPr>
          <w:lang w:val="en-GB"/>
        </w:rPr>
        <w:t>148.5 GHz, 167</w:t>
      </w:r>
      <w:r w:rsidR="00666B9A" w:rsidRPr="008D73A7">
        <w:rPr>
          <w:lang w:val="en-GB"/>
        </w:rPr>
        <w:t>-</w:t>
      </w:r>
      <w:r w:rsidRPr="008D73A7">
        <w:rPr>
          <w:lang w:val="en-GB"/>
        </w:rPr>
        <w:t>182 GHz and 231.5</w:t>
      </w:r>
      <w:r w:rsidR="00666B9A" w:rsidRPr="008D73A7">
        <w:rPr>
          <w:lang w:val="en-GB"/>
        </w:rPr>
        <w:t>-</w:t>
      </w:r>
      <w:r w:rsidRPr="008D73A7">
        <w:rPr>
          <w:lang w:val="en-GB"/>
        </w:rPr>
        <w:t xml:space="preserve">250 GHz compatibility can be ensured between LPR and RAS when separation distances of 13 km, 10 km and 6.4 km, respectively, are respected without the implementation of additional mitigation techniques (see </w:t>
      </w:r>
      <w:r w:rsidR="001D209E" w:rsidRPr="008D73A7">
        <w:rPr>
          <w:lang w:val="en-GB"/>
        </w:rPr>
        <w:t>ECC Report 334</w:t>
      </w:r>
      <w:r w:rsidR="001C31D9" w:rsidRPr="008D73A7">
        <w:rPr>
          <w:lang w:val="en-GB"/>
        </w:rPr>
        <w:t>,</w:t>
      </w:r>
      <w:r w:rsidR="001D209E" w:rsidRPr="008D73A7">
        <w:rPr>
          <w:lang w:val="en-GB"/>
        </w:rPr>
        <w:t xml:space="preserve"> </w:t>
      </w:r>
      <w:r w:rsidRPr="008D73A7">
        <w:rPr>
          <w:lang w:val="en-GB"/>
        </w:rPr>
        <w:t>section</w:t>
      </w:r>
      <w:r w:rsidR="001D209E" w:rsidRPr="008D73A7">
        <w:rPr>
          <w:lang w:val="en-GB"/>
        </w:rPr>
        <w:t xml:space="preserve"> 4.5.2</w:t>
      </w:r>
      <w:r w:rsidRPr="008D73A7">
        <w:rPr>
          <w:lang w:val="en-GB"/>
        </w:rPr>
        <w:t>).</w:t>
      </w:r>
    </w:p>
    <w:p w14:paraId="549821E4" w14:textId="0FB0899F" w:rsidR="005A462C" w:rsidRPr="008D73A7" w:rsidRDefault="00A06466" w:rsidP="00406659">
      <w:pPr>
        <w:pStyle w:val="Heading3"/>
        <w:rPr>
          <w:lang w:val="en-GB"/>
        </w:rPr>
      </w:pPr>
      <w:bookmarkStart w:id="130" w:name="_Toc123634702"/>
      <w:bookmarkStart w:id="131" w:name="_Toc123634792"/>
      <w:bookmarkStart w:id="132" w:name="_Toc135806294"/>
      <w:r>
        <w:rPr>
          <w:lang w:val="en-GB"/>
        </w:rPr>
        <w:t>F</w:t>
      </w:r>
      <w:r w:rsidR="005A462C" w:rsidRPr="008D73A7">
        <w:rPr>
          <w:lang w:val="en-GB"/>
        </w:rPr>
        <w:t xml:space="preserve">ixed </w:t>
      </w:r>
      <w:r w:rsidR="00415E5A" w:rsidRPr="008D73A7">
        <w:rPr>
          <w:lang w:val="en-GB"/>
        </w:rPr>
        <w:t>s</w:t>
      </w:r>
      <w:r w:rsidR="005A462C" w:rsidRPr="008D73A7">
        <w:rPr>
          <w:lang w:val="en-GB"/>
        </w:rPr>
        <w:t>ervice</w:t>
      </w:r>
      <w:bookmarkEnd w:id="130"/>
      <w:bookmarkEnd w:id="131"/>
      <w:bookmarkEnd w:id="132"/>
    </w:p>
    <w:p w14:paraId="5399AF8F" w14:textId="7306FD3C" w:rsidR="00A21275" w:rsidRPr="008D73A7" w:rsidRDefault="00A21275" w:rsidP="006138F7">
      <w:pPr>
        <w:spacing w:after="240"/>
        <w:jc w:val="both"/>
        <w:rPr>
          <w:lang w:val="en-GB"/>
        </w:rPr>
      </w:pPr>
      <w:r w:rsidRPr="008D73A7">
        <w:rPr>
          <w:lang w:val="en-GB"/>
        </w:rPr>
        <w:t xml:space="preserve">For evaluating the compatibility between LPR and FS the two worst-case interference scenarios in </w:t>
      </w:r>
      <w:r w:rsidR="00204C90" w:rsidRPr="008D73A7">
        <w:rPr>
          <w:lang w:val="en-GB"/>
        </w:rPr>
        <w:t>ECC Report 334</w:t>
      </w:r>
      <w:r w:rsidR="001E2733" w:rsidRPr="008D73A7">
        <w:rPr>
          <w:lang w:val="en-GB"/>
        </w:rPr>
        <w:t>,</w:t>
      </w:r>
      <w:r w:rsidR="00204C90" w:rsidRPr="008D73A7">
        <w:rPr>
          <w:lang w:val="en-GB"/>
        </w:rPr>
        <w:t xml:space="preserve"> </w:t>
      </w:r>
      <w:r w:rsidR="001E2733" w:rsidRPr="008D73A7">
        <w:rPr>
          <w:lang w:val="en-GB"/>
        </w:rPr>
        <w:t>f</w:t>
      </w:r>
      <w:r w:rsidR="00204C90" w:rsidRPr="008D73A7">
        <w:rPr>
          <w:lang w:val="en-GB"/>
        </w:rPr>
        <w:t>igure 38</w:t>
      </w:r>
      <w:r w:rsidRPr="008D73A7">
        <w:rPr>
          <w:lang w:val="en-GB"/>
        </w:rPr>
        <w:t xml:space="preserve"> and </w:t>
      </w:r>
      <w:r w:rsidR="001E2733" w:rsidRPr="008D73A7">
        <w:rPr>
          <w:lang w:val="en-GB"/>
        </w:rPr>
        <w:t>f</w:t>
      </w:r>
      <w:r w:rsidR="00204C90" w:rsidRPr="008D73A7">
        <w:rPr>
          <w:lang w:val="en-GB"/>
        </w:rPr>
        <w:t>igure 39</w:t>
      </w:r>
      <w:r w:rsidRPr="008D73A7">
        <w:rPr>
          <w:lang w:val="en-GB"/>
        </w:rPr>
        <w:t xml:space="preserve"> have been defined (see </w:t>
      </w:r>
      <w:r w:rsidR="00204C90" w:rsidRPr="008D73A7">
        <w:rPr>
          <w:lang w:val="en-GB"/>
        </w:rPr>
        <w:t>ECC Report 334</w:t>
      </w:r>
      <w:r w:rsidR="001E2733" w:rsidRPr="008D73A7">
        <w:rPr>
          <w:lang w:val="en-GB"/>
        </w:rPr>
        <w:t>,</w:t>
      </w:r>
      <w:r w:rsidR="00204C90" w:rsidRPr="008D73A7">
        <w:rPr>
          <w:lang w:val="en-GB"/>
        </w:rPr>
        <w:t xml:space="preserve"> </w:t>
      </w:r>
      <w:r w:rsidRPr="008D73A7">
        <w:rPr>
          <w:lang w:val="en-GB"/>
        </w:rPr>
        <w:t>section</w:t>
      </w:r>
      <w:r w:rsidR="00204C90" w:rsidRPr="008D73A7">
        <w:rPr>
          <w:lang w:val="en-GB"/>
        </w:rPr>
        <w:t xml:space="preserve"> 2.2.5.6</w:t>
      </w:r>
      <w:r w:rsidRPr="008D73A7">
        <w:rPr>
          <w:lang w:val="en-GB"/>
        </w:rPr>
        <w:t>). In both scenarios</w:t>
      </w:r>
      <w:r w:rsidR="00286398" w:rsidRPr="008D73A7">
        <w:rPr>
          <w:lang w:val="en-GB"/>
        </w:rPr>
        <w:t>,</w:t>
      </w:r>
      <w:r w:rsidRPr="008D73A7">
        <w:rPr>
          <w:lang w:val="en-GB"/>
        </w:rPr>
        <w:t xml:space="preserve"> it is valid that separation distances smaller than 300 m result in compatibility between LPR and FS such that a coexistence of both systems is always given. Separation distances larger than 300 m in contrast produce interference to the FS receiver such that the protection requirements identified in </w:t>
      </w:r>
      <w:r w:rsidR="00204C90" w:rsidRPr="008D73A7">
        <w:rPr>
          <w:lang w:val="en-GB"/>
        </w:rPr>
        <w:t>ECC Report 334</w:t>
      </w:r>
      <w:r w:rsidR="0050237C" w:rsidRPr="008D73A7">
        <w:rPr>
          <w:lang w:val="en-GB"/>
        </w:rPr>
        <w:t>,</w:t>
      </w:r>
      <w:r w:rsidR="00204C90" w:rsidRPr="008D73A7">
        <w:rPr>
          <w:lang w:val="en-GB"/>
        </w:rPr>
        <w:t xml:space="preserve"> </w:t>
      </w:r>
      <w:r w:rsidRPr="008D73A7">
        <w:rPr>
          <w:lang w:val="en-GB"/>
        </w:rPr>
        <w:t xml:space="preserve">section </w:t>
      </w:r>
      <w:r w:rsidR="00204C90" w:rsidRPr="008D73A7">
        <w:rPr>
          <w:lang w:val="en-GB"/>
        </w:rPr>
        <w:t>3.5.3</w:t>
      </w:r>
      <w:r w:rsidRPr="008D73A7">
        <w:rPr>
          <w:lang w:val="en-GB"/>
        </w:rPr>
        <w:t xml:space="preserve"> </w:t>
      </w:r>
      <w:proofErr w:type="gramStart"/>
      <w:r w:rsidRPr="008D73A7">
        <w:rPr>
          <w:lang w:val="en-GB"/>
        </w:rPr>
        <w:t>are</w:t>
      </w:r>
      <w:proofErr w:type="gramEnd"/>
      <w:r w:rsidRPr="008D73A7">
        <w:rPr>
          <w:lang w:val="en-GB"/>
        </w:rPr>
        <w:t xml:space="preserve"> not fulfilled. In this case</w:t>
      </w:r>
      <w:r w:rsidR="00286398" w:rsidRPr="008D73A7">
        <w:rPr>
          <w:lang w:val="en-GB"/>
        </w:rPr>
        <w:t>,</w:t>
      </w:r>
      <w:r w:rsidRPr="008D73A7">
        <w:rPr>
          <w:lang w:val="en-GB"/>
        </w:rPr>
        <w:t xml:space="preserve"> the coexistence of both systems is not possible in the respective scenario without further protection measures.</w:t>
      </w:r>
    </w:p>
    <w:p w14:paraId="49F0F443" w14:textId="4887E9F6" w:rsidR="00A21275" w:rsidRPr="008D73A7" w:rsidRDefault="00A21275" w:rsidP="006138F7">
      <w:pPr>
        <w:spacing w:after="240"/>
        <w:jc w:val="both"/>
        <w:rPr>
          <w:lang w:val="en-GB"/>
        </w:rPr>
      </w:pPr>
      <w:r w:rsidRPr="008D73A7">
        <w:rPr>
          <w:lang w:val="en-GB"/>
        </w:rPr>
        <w:t xml:space="preserve">All calculated separation distances for LPR in </w:t>
      </w:r>
      <w:r w:rsidR="00204C90" w:rsidRPr="008D73A7">
        <w:rPr>
          <w:lang w:val="en-GB"/>
        </w:rPr>
        <w:t>ECC Report 334</w:t>
      </w:r>
      <w:r w:rsidR="0050237C" w:rsidRPr="008D73A7">
        <w:rPr>
          <w:lang w:val="en-GB"/>
        </w:rPr>
        <w:t>,</w:t>
      </w:r>
      <w:r w:rsidR="00204C90" w:rsidRPr="008D73A7">
        <w:rPr>
          <w:lang w:val="en-GB"/>
        </w:rPr>
        <w:t xml:space="preserve"> </w:t>
      </w:r>
      <w:r w:rsidR="0050237C" w:rsidRPr="008D73A7">
        <w:rPr>
          <w:lang w:val="en-GB"/>
        </w:rPr>
        <w:t>t</w:t>
      </w:r>
      <w:r w:rsidR="00204C90" w:rsidRPr="008D73A7">
        <w:rPr>
          <w:lang w:val="en-GB"/>
        </w:rPr>
        <w:t>able 75</w:t>
      </w:r>
      <w:r w:rsidRPr="008D73A7">
        <w:rPr>
          <w:lang w:val="en-GB"/>
        </w:rPr>
        <w:t xml:space="preserve"> are smaller than 300 m (see </w:t>
      </w:r>
      <w:r w:rsidR="00204C90" w:rsidRPr="008D73A7">
        <w:rPr>
          <w:lang w:val="en-GB"/>
        </w:rPr>
        <w:t>ECC Report 334</w:t>
      </w:r>
      <w:r w:rsidR="0050237C" w:rsidRPr="008D73A7">
        <w:rPr>
          <w:lang w:val="en-GB"/>
        </w:rPr>
        <w:t>,</w:t>
      </w:r>
      <w:r w:rsidR="00204C90" w:rsidRPr="008D73A7">
        <w:rPr>
          <w:lang w:val="en-GB"/>
        </w:rPr>
        <w:t xml:space="preserve"> </w:t>
      </w:r>
      <w:r w:rsidRPr="008D73A7">
        <w:rPr>
          <w:lang w:val="en-GB"/>
        </w:rPr>
        <w:t>section</w:t>
      </w:r>
      <w:r w:rsidR="00204C90" w:rsidRPr="008D73A7">
        <w:rPr>
          <w:lang w:val="en-GB"/>
        </w:rPr>
        <w:t xml:space="preserve"> 5.5.2</w:t>
      </w:r>
      <w:r w:rsidRPr="008D73A7">
        <w:rPr>
          <w:lang w:val="en-GB"/>
        </w:rPr>
        <w:t xml:space="preserve">). Therefore, compatibility between LPR and FS can always be asserted for both </w:t>
      </w:r>
      <w:r w:rsidR="002F4E21" w:rsidRPr="008D73A7">
        <w:rPr>
          <w:lang w:val="en-GB"/>
        </w:rPr>
        <w:lastRenderedPageBreak/>
        <w:t>scenarios,</w:t>
      </w:r>
      <w:r w:rsidRPr="008D73A7">
        <w:rPr>
          <w:lang w:val="en-GB"/>
        </w:rPr>
        <w:t xml:space="preserve"> and both investigated protection objectives without the implementation of additional mitigation techniques.</w:t>
      </w:r>
    </w:p>
    <w:p w14:paraId="3BD79D16" w14:textId="77777777" w:rsidR="00A21275" w:rsidRPr="008D73A7" w:rsidRDefault="00A21275" w:rsidP="006138F7">
      <w:pPr>
        <w:jc w:val="both"/>
        <w:rPr>
          <w:lang w:val="en-GB"/>
        </w:rPr>
      </w:pPr>
      <w:r w:rsidRPr="008D73A7">
        <w:rPr>
          <w:lang w:val="en-GB"/>
        </w:rPr>
        <w:t>In order to restrict the interference in unwanted directions, e.g. over sidelobes of the antenna, a limitation of the peak e.i.r.p. to 0 dBm is proposed for elevations above 0°.</w:t>
      </w:r>
    </w:p>
    <w:p w14:paraId="6B590F4D" w14:textId="43B4F459" w:rsidR="005A462C" w:rsidRPr="008D73A7" w:rsidRDefault="00A06466" w:rsidP="00406659">
      <w:pPr>
        <w:pStyle w:val="Heading3"/>
        <w:rPr>
          <w:lang w:val="en-GB"/>
        </w:rPr>
      </w:pPr>
      <w:bookmarkStart w:id="133" w:name="_Toc123634703"/>
      <w:bookmarkStart w:id="134" w:name="_Toc123634793"/>
      <w:bookmarkStart w:id="135" w:name="_Toc135806295"/>
      <w:r>
        <w:rPr>
          <w:lang w:val="en-GB"/>
        </w:rPr>
        <w:t>E</w:t>
      </w:r>
      <w:r w:rsidR="005A462C" w:rsidRPr="008D73A7">
        <w:rPr>
          <w:lang w:val="en-GB"/>
        </w:rPr>
        <w:t xml:space="preserve">arth </w:t>
      </w:r>
      <w:r w:rsidR="0004039C" w:rsidRPr="008D73A7">
        <w:rPr>
          <w:lang w:val="en-GB"/>
        </w:rPr>
        <w:t>e</w:t>
      </w:r>
      <w:r w:rsidR="005A462C" w:rsidRPr="008D73A7">
        <w:rPr>
          <w:lang w:val="en-GB"/>
        </w:rPr>
        <w:t xml:space="preserve">xploration </w:t>
      </w:r>
      <w:r w:rsidR="0004039C" w:rsidRPr="008D73A7">
        <w:rPr>
          <w:lang w:val="en-GB"/>
        </w:rPr>
        <w:t>s</w:t>
      </w:r>
      <w:r w:rsidR="005A462C" w:rsidRPr="008D73A7">
        <w:rPr>
          <w:lang w:val="en-GB"/>
        </w:rPr>
        <w:t xml:space="preserve">atellite </w:t>
      </w:r>
      <w:r w:rsidR="0004039C" w:rsidRPr="008D73A7">
        <w:rPr>
          <w:lang w:val="en-GB"/>
        </w:rPr>
        <w:t>s</w:t>
      </w:r>
      <w:r w:rsidR="005A462C" w:rsidRPr="008D73A7">
        <w:rPr>
          <w:lang w:val="en-GB"/>
        </w:rPr>
        <w:t>ervice (</w:t>
      </w:r>
      <w:r w:rsidR="0080564E" w:rsidRPr="008D73A7">
        <w:rPr>
          <w:lang w:val="en-GB"/>
        </w:rPr>
        <w:t>p</w:t>
      </w:r>
      <w:r w:rsidR="005A462C" w:rsidRPr="008D73A7">
        <w:rPr>
          <w:lang w:val="en-GB"/>
        </w:rPr>
        <w:t>assive)</w:t>
      </w:r>
      <w:bookmarkEnd w:id="133"/>
      <w:bookmarkEnd w:id="134"/>
      <w:bookmarkEnd w:id="135"/>
    </w:p>
    <w:p w14:paraId="76E73503" w14:textId="77ED8CB2" w:rsidR="00B64E28" w:rsidRPr="008D73A7" w:rsidRDefault="00B64E28" w:rsidP="006138F7">
      <w:pPr>
        <w:jc w:val="both"/>
        <w:rPr>
          <w:lang w:val="en-GB"/>
        </w:rPr>
      </w:pPr>
      <w:r w:rsidRPr="008D73A7">
        <w:rPr>
          <w:lang w:val="en-GB"/>
        </w:rPr>
        <w:t>For the frequency band 116</w:t>
      </w:r>
      <w:r w:rsidR="00666B9A" w:rsidRPr="008D73A7">
        <w:rPr>
          <w:lang w:val="en-GB"/>
        </w:rPr>
        <w:t>-</w:t>
      </w:r>
      <w:r w:rsidRPr="008D73A7">
        <w:rPr>
          <w:lang w:val="en-GB"/>
        </w:rPr>
        <w:t xml:space="preserve">148.5 GHz under the assumed conditions illustrated in </w:t>
      </w:r>
      <w:r w:rsidR="00346BDE" w:rsidRPr="008D73A7">
        <w:rPr>
          <w:lang w:val="en-GB"/>
        </w:rPr>
        <w:t>ECC Report 334</w:t>
      </w:r>
      <w:r w:rsidR="00071DD3" w:rsidRPr="008D73A7">
        <w:rPr>
          <w:lang w:val="en-GB"/>
        </w:rPr>
        <w:t>,</w:t>
      </w:r>
      <w:r w:rsidR="00346BDE" w:rsidRPr="008D73A7">
        <w:rPr>
          <w:lang w:val="en-GB"/>
        </w:rPr>
        <w:t xml:space="preserve"> </w:t>
      </w:r>
      <w:r w:rsidR="00952300" w:rsidRPr="008D73A7">
        <w:rPr>
          <w:lang w:val="en-GB"/>
        </w:rPr>
        <w:t>t</w:t>
      </w:r>
      <w:r w:rsidR="00346BDE" w:rsidRPr="008D73A7">
        <w:rPr>
          <w:lang w:val="en-GB"/>
        </w:rPr>
        <w:t>able 95</w:t>
      </w:r>
      <w:r w:rsidR="00071DD3" w:rsidRPr="008D73A7">
        <w:rPr>
          <w:lang w:val="en-GB"/>
        </w:rPr>
        <w:t xml:space="preserve"> </w:t>
      </w:r>
      <w:r w:rsidR="006C002C" w:rsidRPr="008D73A7">
        <w:rPr>
          <w:lang w:val="en-GB"/>
        </w:rPr>
        <w:fldChar w:fldCharType="begin"/>
      </w:r>
      <w:r w:rsidR="006C002C" w:rsidRPr="008D73A7">
        <w:rPr>
          <w:lang w:val="en-GB"/>
        </w:rPr>
        <w:instrText xml:space="preserve"> REF ECC_Report_334 \w \h  \* MERGEFORMAT </w:instrText>
      </w:r>
      <w:r w:rsidR="006C002C" w:rsidRPr="008D73A7">
        <w:rPr>
          <w:lang w:val="en-GB"/>
        </w:rPr>
      </w:r>
      <w:r w:rsidR="006C002C" w:rsidRPr="008D73A7">
        <w:rPr>
          <w:lang w:val="en-GB"/>
        </w:rPr>
        <w:fldChar w:fldCharType="separate"/>
      </w:r>
      <w:r w:rsidR="006C002C" w:rsidRPr="008D73A7">
        <w:rPr>
          <w:lang w:val="en-GB"/>
        </w:rPr>
        <w:t>[1]</w:t>
      </w:r>
      <w:r w:rsidR="006C002C" w:rsidRPr="008D73A7">
        <w:rPr>
          <w:lang w:val="en-GB"/>
        </w:rPr>
        <w:fldChar w:fldCharType="end"/>
      </w:r>
      <w:r w:rsidR="00346BDE" w:rsidRPr="008D73A7">
        <w:rPr>
          <w:lang w:val="en-GB"/>
        </w:rPr>
        <w:t xml:space="preserve"> </w:t>
      </w:r>
      <w:r w:rsidRPr="008D73A7">
        <w:rPr>
          <w:lang w:val="en-GB"/>
        </w:rPr>
        <w:t xml:space="preserve">only a margin of 0.1 dB to the protection criterion can be ensured for the single-entry case. However, for all other frequency bands and in particular for the aggregate consideration in all bands, ample margins to the interference criteria can be ensured without the implementation of additional mitigation techniques (see </w:t>
      </w:r>
      <w:r w:rsidR="00346BDE" w:rsidRPr="008D73A7">
        <w:rPr>
          <w:lang w:val="en-GB"/>
        </w:rPr>
        <w:t>ECC Report 334</w:t>
      </w:r>
      <w:r w:rsidR="001E2733" w:rsidRPr="008D73A7">
        <w:rPr>
          <w:lang w:val="en-GB"/>
        </w:rPr>
        <w:t>,</w:t>
      </w:r>
      <w:r w:rsidR="00346BDE" w:rsidRPr="008D73A7">
        <w:rPr>
          <w:lang w:val="en-GB"/>
        </w:rPr>
        <w:t xml:space="preserve"> </w:t>
      </w:r>
      <w:r w:rsidRPr="008D73A7">
        <w:rPr>
          <w:lang w:val="en-GB"/>
        </w:rPr>
        <w:t>section</w:t>
      </w:r>
      <w:r w:rsidR="00346BDE" w:rsidRPr="008D73A7">
        <w:rPr>
          <w:lang w:val="en-GB"/>
        </w:rPr>
        <w:t xml:space="preserve"> 6.5.2</w:t>
      </w:r>
      <w:r w:rsidRPr="008D73A7">
        <w:rPr>
          <w:lang w:val="en-GB"/>
        </w:rPr>
        <w:t>).</w:t>
      </w:r>
    </w:p>
    <w:p w14:paraId="52ACF741" w14:textId="2108E607" w:rsidR="005A462C" w:rsidRPr="008D73A7" w:rsidRDefault="00A06466" w:rsidP="00406659">
      <w:pPr>
        <w:pStyle w:val="Heading3"/>
        <w:rPr>
          <w:lang w:val="en-GB"/>
        </w:rPr>
      </w:pPr>
      <w:bookmarkStart w:id="136" w:name="_Toc123634704"/>
      <w:bookmarkStart w:id="137" w:name="_Toc123634794"/>
      <w:bookmarkStart w:id="138" w:name="_Toc135806296"/>
      <w:r>
        <w:rPr>
          <w:lang w:val="en-GB"/>
        </w:rPr>
        <w:t>A</w:t>
      </w:r>
      <w:r w:rsidR="005A462C" w:rsidRPr="008D73A7">
        <w:rPr>
          <w:lang w:val="en-GB"/>
        </w:rPr>
        <w:t xml:space="preserve">mateur </w:t>
      </w:r>
      <w:r w:rsidR="0004039C" w:rsidRPr="008D73A7">
        <w:rPr>
          <w:lang w:val="en-GB"/>
        </w:rPr>
        <w:t>s</w:t>
      </w:r>
      <w:r w:rsidR="005A462C" w:rsidRPr="008D73A7">
        <w:rPr>
          <w:lang w:val="en-GB"/>
        </w:rPr>
        <w:t>ervice</w:t>
      </w:r>
      <w:bookmarkEnd w:id="136"/>
      <w:bookmarkEnd w:id="137"/>
      <w:bookmarkEnd w:id="138"/>
    </w:p>
    <w:p w14:paraId="4C84208E" w14:textId="05179A82" w:rsidR="00B64E28" w:rsidRPr="008D73A7" w:rsidRDefault="00B64E28" w:rsidP="006138F7">
      <w:pPr>
        <w:spacing w:after="240"/>
        <w:jc w:val="both"/>
        <w:rPr>
          <w:lang w:val="en-GB"/>
        </w:rPr>
      </w:pPr>
      <w:r w:rsidRPr="008D73A7">
        <w:rPr>
          <w:lang w:val="en-GB"/>
        </w:rPr>
        <w:t xml:space="preserve">For the </w:t>
      </w:r>
      <w:r w:rsidR="00F06C9E" w:rsidRPr="008D73A7">
        <w:rPr>
          <w:lang w:val="en-GB"/>
        </w:rPr>
        <w:t>amateur service</w:t>
      </w:r>
      <w:r w:rsidRPr="008D73A7">
        <w:rPr>
          <w:lang w:val="en-GB"/>
        </w:rPr>
        <w:t xml:space="preserve"> the same criterion as for the </w:t>
      </w:r>
      <w:r w:rsidR="00F06C9E" w:rsidRPr="008D73A7">
        <w:rPr>
          <w:lang w:val="en-GB"/>
        </w:rPr>
        <w:t>fixed service</w:t>
      </w:r>
      <w:r w:rsidRPr="008D73A7">
        <w:rPr>
          <w:lang w:val="en-GB"/>
        </w:rPr>
        <w:t xml:space="preserve"> has been consulted. In this interference scenario, separation distances smaller than 300 m result in compatibility between the interfering device and </w:t>
      </w:r>
      <w:r w:rsidR="007D6923" w:rsidRPr="008D73A7">
        <w:rPr>
          <w:lang w:val="en-GB"/>
        </w:rPr>
        <w:t>r</w:t>
      </w:r>
      <w:r w:rsidRPr="008D73A7">
        <w:rPr>
          <w:lang w:val="en-GB"/>
        </w:rPr>
        <w:t xml:space="preserve">adio </w:t>
      </w:r>
      <w:r w:rsidR="007D6923" w:rsidRPr="008D73A7">
        <w:rPr>
          <w:lang w:val="en-GB"/>
        </w:rPr>
        <w:t>s</w:t>
      </w:r>
      <w:r w:rsidRPr="008D73A7">
        <w:rPr>
          <w:lang w:val="en-GB"/>
        </w:rPr>
        <w:t>ervice such that a coexistence of both systems can be ensured. For separation distances larger than 300 m the probability of interference increases such that a compatibility cannot be ensured in all cases.</w:t>
      </w:r>
    </w:p>
    <w:p w14:paraId="03E1D609" w14:textId="0CBF4189" w:rsidR="00B64E28" w:rsidRPr="008D73A7" w:rsidRDefault="00B64E28" w:rsidP="006138F7">
      <w:pPr>
        <w:jc w:val="both"/>
        <w:rPr>
          <w:lang w:val="en-GB"/>
        </w:rPr>
      </w:pPr>
      <w:r w:rsidRPr="008D73A7">
        <w:rPr>
          <w:lang w:val="en-GB"/>
        </w:rPr>
        <w:t xml:space="preserve">The results illustrated in </w:t>
      </w:r>
      <w:r w:rsidR="00346BDE" w:rsidRPr="008D73A7">
        <w:rPr>
          <w:lang w:val="en-GB"/>
        </w:rPr>
        <w:t>ECC Report 334</w:t>
      </w:r>
      <w:r w:rsidR="006C002C" w:rsidRPr="008D73A7">
        <w:rPr>
          <w:lang w:val="en-GB"/>
        </w:rPr>
        <w:t>,</w:t>
      </w:r>
      <w:r w:rsidR="00346BDE" w:rsidRPr="008D73A7">
        <w:rPr>
          <w:lang w:val="en-GB"/>
        </w:rPr>
        <w:t xml:space="preserve"> </w:t>
      </w:r>
      <w:r w:rsidR="002569F4" w:rsidRPr="008D73A7">
        <w:rPr>
          <w:lang w:val="en-GB"/>
        </w:rPr>
        <w:t>t</w:t>
      </w:r>
      <w:r w:rsidR="00346BDE" w:rsidRPr="008D73A7">
        <w:rPr>
          <w:lang w:val="en-GB"/>
        </w:rPr>
        <w:t>able 117</w:t>
      </w:r>
      <w:r w:rsidRPr="008D73A7">
        <w:rPr>
          <w:lang w:val="en-GB"/>
        </w:rPr>
        <w:t xml:space="preserve"> </w:t>
      </w:r>
      <w:r w:rsidR="006C002C" w:rsidRPr="008D73A7">
        <w:rPr>
          <w:lang w:val="en-GB"/>
        </w:rPr>
        <w:fldChar w:fldCharType="begin"/>
      </w:r>
      <w:r w:rsidR="006C002C" w:rsidRPr="008D73A7">
        <w:rPr>
          <w:lang w:val="en-GB"/>
        </w:rPr>
        <w:instrText xml:space="preserve"> REF ECC_Report_334 \w \h  \* MERGEFORMAT </w:instrText>
      </w:r>
      <w:r w:rsidR="006C002C" w:rsidRPr="008D73A7">
        <w:rPr>
          <w:lang w:val="en-GB"/>
        </w:rPr>
      </w:r>
      <w:r w:rsidR="006C002C" w:rsidRPr="008D73A7">
        <w:rPr>
          <w:lang w:val="en-GB"/>
        </w:rPr>
        <w:fldChar w:fldCharType="separate"/>
      </w:r>
      <w:r w:rsidR="006C002C" w:rsidRPr="008D73A7">
        <w:rPr>
          <w:lang w:val="en-GB"/>
        </w:rPr>
        <w:t>[1]</w:t>
      </w:r>
      <w:r w:rsidR="006C002C" w:rsidRPr="008D73A7">
        <w:rPr>
          <w:lang w:val="en-GB"/>
        </w:rPr>
        <w:fldChar w:fldCharType="end"/>
      </w:r>
      <w:r w:rsidR="006C002C" w:rsidRPr="008D73A7">
        <w:rPr>
          <w:lang w:val="en-GB"/>
        </w:rPr>
        <w:t xml:space="preserve"> </w:t>
      </w:r>
      <w:r w:rsidRPr="008D73A7">
        <w:rPr>
          <w:lang w:val="en-GB"/>
        </w:rPr>
        <w:t xml:space="preserve">suggest that compatibility between LPR and </w:t>
      </w:r>
      <w:r w:rsidR="00440A07" w:rsidRPr="008D73A7">
        <w:rPr>
          <w:lang w:val="en-GB"/>
        </w:rPr>
        <w:t>a</w:t>
      </w:r>
      <w:r w:rsidRPr="008D73A7">
        <w:rPr>
          <w:lang w:val="en-GB"/>
        </w:rPr>
        <w:t xml:space="preserve">mateur can be asserted in all investigated frequency bands </w:t>
      </w:r>
      <w:r w:rsidRPr="008D73A7">
        <w:rPr>
          <w:rFonts w:eastAsiaTheme="minorHAnsi"/>
          <w:lang w:val="en-GB"/>
        </w:rPr>
        <w:t>without the implementation of additional mitigation techniques (see</w:t>
      </w:r>
      <w:r w:rsidR="00346BDE" w:rsidRPr="008D73A7">
        <w:rPr>
          <w:rFonts w:eastAsiaTheme="minorHAnsi"/>
          <w:lang w:val="en-GB"/>
        </w:rPr>
        <w:t xml:space="preserve"> </w:t>
      </w:r>
      <w:r w:rsidR="00346BDE" w:rsidRPr="008D73A7">
        <w:rPr>
          <w:lang w:val="en-GB"/>
        </w:rPr>
        <w:t>ECC Report 334</w:t>
      </w:r>
      <w:r w:rsidR="001E2733" w:rsidRPr="008D73A7">
        <w:rPr>
          <w:lang w:val="en-GB"/>
        </w:rPr>
        <w:t>,</w:t>
      </w:r>
      <w:r w:rsidRPr="008D73A7">
        <w:rPr>
          <w:rFonts w:eastAsiaTheme="minorHAnsi"/>
          <w:lang w:val="en-GB"/>
        </w:rPr>
        <w:t xml:space="preserve"> </w:t>
      </w:r>
      <w:r w:rsidRPr="008D73A7">
        <w:rPr>
          <w:lang w:val="en-GB"/>
        </w:rPr>
        <w:t xml:space="preserve">section </w:t>
      </w:r>
      <w:r w:rsidR="00346BDE" w:rsidRPr="008D73A7">
        <w:rPr>
          <w:lang w:val="en-GB"/>
        </w:rPr>
        <w:t>7.5.2</w:t>
      </w:r>
      <w:r w:rsidRPr="008D73A7">
        <w:rPr>
          <w:lang w:val="en-GB"/>
        </w:rPr>
        <w:t>)</w:t>
      </w:r>
      <w:r w:rsidRPr="008D73A7">
        <w:rPr>
          <w:rFonts w:eastAsiaTheme="minorHAnsi"/>
          <w:lang w:val="en-GB"/>
        </w:rPr>
        <w:t>.</w:t>
      </w:r>
    </w:p>
    <w:p w14:paraId="6E3679B3" w14:textId="1805E895" w:rsidR="00FC7043" w:rsidRPr="008D73A7" w:rsidRDefault="00FC7043" w:rsidP="00A55704">
      <w:pPr>
        <w:pStyle w:val="Heading2"/>
        <w:rPr>
          <w:lang w:val="en-GB"/>
        </w:rPr>
      </w:pPr>
      <w:bookmarkStart w:id="139" w:name="_Toc123634705"/>
      <w:bookmarkStart w:id="140" w:name="_Toc123634795"/>
      <w:bookmarkStart w:id="141" w:name="_Toc135806297"/>
      <w:bookmarkStart w:id="142" w:name="_Toc153443769"/>
      <w:r w:rsidRPr="008D73A7">
        <w:rPr>
          <w:rFonts w:eastAsiaTheme="minorHAnsi"/>
          <w:lang w:val="en-GB"/>
        </w:rPr>
        <w:t xml:space="preserve">Contour </w:t>
      </w:r>
      <w:r w:rsidR="00A06466">
        <w:rPr>
          <w:rFonts w:eastAsiaTheme="minorHAnsi"/>
          <w:lang w:val="en-GB"/>
        </w:rPr>
        <w:t>d</w:t>
      </w:r>
      <w:r w:rsidRPr="008D73A7">
        <w:rPr>
          <w:rFonts w:eastAsiaTheme="minorHAnsi"/>
          <w:lang w:val="en-GB"/>
        </w:rPr>
        <w:t>etection and acquisition (CDR)</w:t>
      </w:r>
      <w:bookmarkEnd w:id="139"/>
      <w:bookmarkEnd w:id="140"/>
      <w:bookmarkEnd w:id="141"/>
      <w:bookmarkEnd w:id="142"/>
    </w:p>
    <w:p w14:paraId="3AE7ACF5" w14:textId="0BD53395" w:rsidR="00FC7043" w:rsidRPr="008D73A7" w:rsidRDefault="00FC7043" w:rsidP="00406659">
      <w:pPr>
        <w:pStyle w:val="Heading3"/>
        <w:rPr>
          <w:lang w:val="en-GB"/>
        </w:rPr>
      </w:pPr>
      <w:bookmarkStart w:id="143" w:name="_Toc123634706"/>
      <w:bookmarkStart w:id="144" w:name="_Toc123634796"/>
      <w:bookmarkStart w:id="145" w:name="_Toc135806298"/>
      <w:r w:rsidRPr="008D73A7">
        <w:rPr>
          <w:lang w:val="en-GB"/>
        </w:rPr>
        <w:t>Summary</w:t>
      </w:r>
      <w:bookmarkEnd w:id="143"/>
      <w:bookmarkEnd w:id="144"/>
      <w:bookmarkEnd w:id="145"/>
    </w:p>
    <w:p w14:paraId="65EE3942" w14:textId="1AC3C708" w:rsidR="003F26FD" w:rsidRPr="008D73A7" w:rsidRDefault="003F26FD" w:rsidP="004346D1">
      <w:pPr>
        <w:spacing w:after="240"/>
        <w:jc w:val="both"/>
        <w:rPr>
          <w:rFonts w:eastAsiaTheme="minorHAnsi"/>
          <w:lang w:val="en-GB"/>
        </w:rPr>
      </w:pPr>
      <w:r w:rsidRPr="008D73A7">
        <w:rPr>
          <w:lang w:val="en-GB"/>
        </w:rPr>
        <w:t xml:space="preserve">For CDR the candidate frequency bands </w:t>
      </w:r>
      <w:r w:rsidRPr="008D73A7">
        <w:rPr>
          <w:rFonts w:eastAsiaTheme="minorHAnsi"/>
          <w:lang w:val="en-GB"/>
        </w:rPr>
        <w:t>116</w:t>
      </w:r>
      <w:r w:rsidR="00666B9A" w:rsidRPr="008D73A7">
        <w:rPr>
          <w:rFonts w:eastAsiaTheme="minorHAnsi"/>
          <w:lang w:val="en-GB"/>
        </w:rPr>
        <w:t>-</w:t>
      </w:r>
      <w:r w:rsidRPr="008D73A7">
        <w:rPr>
          <w:rFonts w:eastAsiaTheme="minorHAnsi"/>
          <w:lang w:val="en-GB"/>
        </w:rPr>
        <w:t>148.5 GHz, 167</w:t>
      </w:r>
      <w:r w:rsidR="00666B9A" w:rsidRPr="008D73A7">
        <w:rPr>
          <w:rFonts w:eastAsiaTheme="minorHAnsi"/>
          <w:lang w:val="en-GB"/>
        </w:rPr>
        <w:t>-</w:t>
      </w:r>
      <w:r w:rsidRPr="008D73A7">
        <w:rPr>
          <w:rFonts w:eastAsiaTheme="minorHAnsi"/>
          <w:lang w:val="en-GB"/>
        </w:rPr>
        <w:t>182 GHz and 231.5</w:t>
      </w:r>
      <w:r w:rsidR="00666B9A" w:rsidRPr="008D73A7">
        <w:rPr>
          <w:rFonts w:eastAsiaTheme="minorHAnsi"/>
          <w:lang w:val="en-GB"/>
        </w:rPr>
        <w:t>-</w:t>
      </w:r>
      <w:r w:rsidRPr="008D73A7">
        <w:rPr>
          <w:rFonts w:eastAsiaTheme="minorHAnsi"/>
          <w:lang w:val="en-GB"/>
        </w:rPr>
        <w:t>250 GHz have been studied for both categories of CDR devices, DBF-CDR and M-</w:t>
      </w:r>
      <w:r w:rsidR="00CE1430" w:rsidRPr="008D73A7">
        <w:rPr>
          <w:rFonts w:eastAsiaTheme="minorHAnsi"/>
          <w:lang w:val="en-GB"/>
        </w:rPr>
        <w:t>CDR/</w:t>
      </w:r>
      <w:r w:rsidRPr="008D73A7">
        <w:rPr>
          <w:rFonts w:eastAsiaTheme="minorHAnsi"/>
          <w:lang w:val="en-GB"/>
        </w:rPr>
        <w:t xml:space="preserve">PA-CDR. </w:t>
      </w:r>
      <w:r w:rsidRPr="008D73A7">
        <w:rPr>
          <w:lang w:val="en-GB"/>
        </w:rPr>
        <w:t xml:space="preserve">It turned out that in all three frequency ranges compatibility between both CDR categories and all investigated </w:t>
      </w:r>
      <w:r w:rsidR="00B37972" w:rsidRPr="008D73A7">
        <w:rPr>
          <w:lang w:val="en-GB"/>
        </w:rPr>
        <w:t>r</w:t>
      </w:r>
      <w:r w:rsidRPr="008D73A7">
        <w:rPr>
          <w:lang w:val="en-GB"/>
        </w:rPr>
        <w:t xml:space="preserve">adio </w:t>
      </w:r>
      <w:r w:rsidR="00B37972" w:rsidRPr="008D73A7">
        <w:rPr>
          <w:lang w:val="en-GB"/>
        </w:rPr>
        <w:t>s</w:t>
      </w:r>
      <w:r w:rsidRPr="008D73A7">
        <w:rPr>
          <w:lang w:val="en-GB"/>
        </w:rPr>
        <w:t>ervices can be ensured.</w:t>
      </w:r>
    </w:p>
    <w:p w14:paraId="7F177F40" w14:textId="77777777" w:rsidR="003F26FD" w:rsidRPr="008D73A7" w:rsidRDefault="003F26FD" w:rsidP="004346D1">
      <w:pPr>
        <w:jc w:val="both"/>
        <w:rPr>
          <w:rFonts w:eastAsiaTheme="minorHAnsi"/>
          <w:lang w:val="en-GB"/>
        </w:rPr>
      </w:pPr>
      <w:r w:rsidRPr="008D73A7">
        <w:rPr>
          <w:rFonts w:eastAsiaTheme="minorHAnsi"/>
          <w:lang w:val="en-GB"/>
        </w:rPr>
        <w:t>The following protection requirements have been assumed:</w:t>
      </w:r>
    </w:p>
    <w:p w14:paraId="4379B821" w14:textId="34086DAE" w:rsidR="003F26FD" w:rsidRPr="008D73A7" w:rsidRDefault="0004039C" w:rsidP="009C18AB">
      <w:pPr>
        <w:pStyle w:val="ECCBulletsLv1"/>
        <w:ind w:left="340" w:hanging="340"/>
      </w:pPr>
      <w:r w:rsidRPr="008D73A7">
        <w:t>r</w:t>
      </w:r>
      <w:r w:rsidR="003F26FD" w:rsidRPr="008D73A7">
        <w:t xml:space="preserve">adio </w:t>
      </w:r>
      <w:r w:rsidR="00D27FD0" w:rsidRPr="008D73A7">
        <w:t>a</w:t>
      </w:r>
      <w:r w:rsidR="003F26FD" w:rsidRPr="008D73A7">
        <w:t>stronomy: Separation distance smaller than 20 km</w:t>
      </w:r>
      <w:r w:rsidR="0060329F" w:rsidRPr="008D73A7">
        <w:t>;</w:t>
      </w:r>
    </w:p>
    <w:p w14:paraId="2F99A9D3" w14:textId="4264830E" w:rsidR="003F26FD" w:rsidRPr="008D73A7" w:rsidRDefault="0004039C" w:rsidP="009C18AB">
      <w:pPr>
        <w:pStyle w:val="ECCBulletsLv1"/>
        <w:ind w:left="340" w:hanging="340"/>
      </w:pPr>
      <w:r w:rsidRPr="008D73A7">
        <w:t>f</w:t>
      </w:r>
      <w:r w:rsidR="003F26FD" w:rsidRPr="008D73A7">
        <w:t xml:space="preserve">ixed </w:t>
      </w:r>
      <w:r w:rsidR="00D27FD0" w:rsidRPr="008D73A7">
        <w:t>s</w:t>
      </w:r>
      <w:r w:rsidR="003F26FD" w:rsidRPr="008D73A7">
        <w:t xml:space="preserve">ervice and </w:t>
      </w:r>
      <w:r w:rsidR="00D27FD0" w:rsidRPr="008D73A7">
        <w:t>a</w:t>
      </w:r>
      <w:r w:rsidR="003F26FD" w:rsidRPr="008D73A7">
        <w:t xml:space="preserve">mateur </w:t>
      </w:r>
      <w:r w:rsidR="00D27FD0" w:rsidRPr="008D73A7">
        <w:t>s</w:t>
      </w:r>
      <w:r w:rsidR="003F26FD" w:rsidRPr="008D73A7">
        <w:t>ervice: Separation distance smaller than 300 m</w:t>
      </w:r>
      <w:r w:rsidR="0060329F" w:rsidRPr="008D73A7">
        <w:t>;</w:t>
      </w:r>
    </w:p>
    <w:p w14:paraId="3514C358" w14:textId="57AF65AC" w:rsidR="003F26FD" w:rsidRPr="008D73A7" w:rsidRDefault="0004039C" w:rsidP="00820A1E">
      <w:pPr>
        <w:pStyle w:val="ECCBulletsLv1"/>
        <w:ind w:left="340" w:hanging="340"/>
      </w:pPr>
      <w:r w:rsidRPr="008D73A7">
        <w:t>e</w:t>
      </w:r>
      <w:r w:rsidR="003F26FD" w:rsidRPr="008D73A7">
        <w:t xml:space="preserve">arth </w:t>
      </w:r>
      <w:r w:rsidR="00D27FD0" w:rsidRPr="008D73A7">
        <w:t>e</w:t>
      </w:r>
      <w:r w:rsidR="003F26FD" w:rsidRPr="008D73A7">
        <w:t xml:space="preserve">xploration </w:t>
      </w:r>
      <w:r w:rsidR="00D27FD0" w:rsidRPr="008D73A7">
        <w:t>s</w:t>
      </w:r>
      <w:r w:rsidR="003F26FD" w:rsidRPr="008D73A7">
        <w:t xml:space="preserve">atellite </w:t>
      </w:r>
      <w:r w:rsidR="00D27FD0" w:rsidRPr="008D73A7">
        <w:t>s</w:t>
      </w:r>
      <w:r w:rsidR="003F26FD" w:rsidRPr="008D73A7">
        <w:t xml:space="preserve">ervice (passive): positive margin to the maximum interference level in the victim receiver (see </w:t>
      </w:r>
      <w:r w:rsidR="008A6096" w:rsidRPr="008D73A7">
        <w:t>ECC Report 334</w:t>
      </w:r>
      <w:r w:rsidRPr="008D73A7">
        <w:t>,</w:t>
      </w:r>
      <w:r w:rsidR="008A6096" w:rsidRPr="008D73A7">
        <w:t xml:space="preserve"> </w:t>
      </w:r>
      <w:r w:rsidR="003F26FD" w:rsidRPr="008D73A7">
        <w:t xml:space="preserve">section </w:t>
      </w:r>
      <w:r w:rsidR="008A6096" w:rsidRPr="008D73A7">
        <w:t>3.5.4.2</w:t>
      </w:r>
      <w:r w:rsidRPr="008D73A7">
        <w:t xml:space="preserve"> </w:t>
      </w:r>
      <w:r w:rsidRPr="008D73A7">
        <w:fldChar w:fldCharType="begin"/>
      </w:r>
      <w:r w:rsidRPr="008D73A7">
        <w:instrText xml:space="preserve"> REF ECC_Report_334 \w \h </w:instrText>
      </w:r>
      <w:r w:rsidRPr="008D73A7">
        <w:fldChar w:fldCharType="separate"/>
      </w:r>
      <w:r w:rsidRPr="008D73A7">
        <w:t>[1]</w:t>
      </w:r>
      <w:r w:rsidRPr="008D73A7">
        <w:fldChar w:fldCharType="end"/>
      </w:r>
      <w:r w:rsidR="003F26FD" w:rsidRPr="008D73A7">
        <w:t>).</w:t>
      </w:r>
    </w:p>
    <w:p w14:paraId="7896C994" w14:textId="77777777" w:rsidR="003F26FD" w:rsidRPr="008D73A7" w:rsidRDefault="003F26FD" w:rsidP="003F26FD">
      <w:pPr>
        <w:rPr>
          <w:rFonts w:eastAsiaTheme="minorHAnsi"/>
          <w:lang w:val="en-GB"/>
        </w:rPr>
      </w:pPr>
      <w:r w:rsidRPr="008D73A7">
        <w:rPr>
          <w:rFonts w:eastAsiaTheme="minorHAnsi"/>
          <w:lang w:val="en-GB"/>
        </w:rPr>
        <w:t xml:space="preserve">All </w:t>
      </w:r>
      <w:r w:rsidRPr="008D73A7">
        <w:rPr>
          <w:lang w:val="en-GB"/>
        </w:rPr>
        <w:t>contour determination and acquisition</w:t>
      </w:r>
      <w:r w:rsidRPr="008D73A7">
        <w:rPr>
          <w:rFonts w:eastAsiaTheme="minorHAnsi"/>
          <w:lang w:val="en-GB"/>
        </w:rPr>
        <w:t xml:space="preserve"> sensors should furthermore comply with the following (installation) requirements:</w:t>
      </w:r>
    </w:p>
    <w:p w14:paraId="4BC01EF6" w14:textId="3FA879BE" w:rsidR="003F26FD" w:rsidRPr="008D73A7" w:rsidRDefault="003F26FD" w:rsidP="009C18AB">
      <w:pPr>
        <w:pStyle w:val="ECCBulletsLv1"/>
        <w:ind w:left="340" w:hanging="340"/>
      </w:pPr>
      <w:r w:rsidRPr="008D73A7">
        <w:t>The operation of CDR sensors is envisaged for industrial purposes only</w:t>
      </w:r>
      <w:r w:rsidR="0060329F" w:rsidRPr="008D73A7">
        <w:t>;</w:t>
      </w:r>
    </w:p>
    <w:p w14:paraId="2470A84C" w14:textId="3D53538D" w:rsidR="003F26FD" w:rsidRPr="008D73A7" w:rsidRDefault="003F26FD" w:rsidP="009C18AB">
      <w:pPr>
        <w:pStyle w:val="ECCBulletsLv1"/>
        <w:ind w:left="340" w:hanging="340"/>
      </w:pPr>
      <w:r w:rsidRPr="008D73A7">
        <w:t>Installation and maintenance of CDR equipment shall be performed by professionally trained individuals only</w:t>
      </w:r>
      <w:r w:rsidR="0060329F" w:rsidRPr="008D73A7">
        <w:t>;</w:t>
      </w:r>
    </w:p>
    <w:p w14:paraId="10F538CA" w14:textId="40B926C8" w:rsidR="003F26FD" w:rsidRPr="008D73A7" w:rsidRDefault="003F26FD" w:rsidP="009C18AB">
      <w:pPr>
        <w:pStyle w:val="ECCBulletsLv1"/>
        <w:ind w:left="340" w:hanging="340"/>
      </w:pPr>
      <w:r w:rsidRPr="008D73A7">
        <w:t>CDR equipment shall not be marketed to private end customers</w:t>
      </w:r>
      <w:r w:rsidR="0060329F" w:rsidRPr="008D73A7">
        <w:t>;</w:t>
      </w:r>
    </w:p>
    <w:p w14:paraId="2A90544F" w14:textId="1A11A957" w:rsidR="003F26FD" w:rsidRPr="008D73A7" w:rsidRDefault="003F26FD" w:rsidP="009C18AB">
      <w:pPr>
        <w:pStyle w:val="ECCBulletsLv1"/>
        <w:ind w:left="340" w:hanging="340"/>
      </w:pPr>
      <w:r w:rsidRPr="008D73A7">
        <w:t>CDR equipment is required to be installed at a permanent fixed position. The equipment shall not operate while being moved</w:t>
      </w:r>
      <w:r w:rsidR="0060329F" w:rsidRPr="008D73A7">
        <w:t>;</w:t>
      </w:r>
    </w:p>
    <w:p w14:paraId="7DFF13A4" w14:textId="329A2A8D" w:rsidR="003F26FD" w:rsidRPr="008D73A7" w:rsidRDefault="003F26FD" w:rsidP="009C18AB">
      <w:pPr>
        <w:pStyle w:val="ECCBulletsLv1"/>
        <w:ind w:left="340" w:hanging="340"/>
      </w:pPr>
      <w:r w:rsidRPr="008D73A7">
        <w:t>Installers have to ensure that there are no unwanted obstacles in the main beam of the antenna in order to minimise unintentional reflections and scattering</w:t>
      </w:r>
      <w:r w:rsidR="0060329F" w:rsidRPr="008D73A7">
        <w:t>;</w:t>
      </w:r>
    </w:p>
    <w:p w14:paraId="3DA17C94" w14:textId="285F7155" w:rsidR="003F26FD" w:rsidRPr="008D73A7" w:rsidRDefault="003F26FD" w:rsidP="009C18AB">
      <w:pPr>
        <w:pStyle w:val="ECCBulletsLv1"/>
        <w:ind w:left="340" w:hanging="340"/>
      </w:pPr>
      <w:r w:rsidRPr="008D73A7">
        <w:t xml:space="preserve">In order to protect the </w:t>
      </w:r>
      <w:r w:rsidR="00D27FD0" w:rsidRPr="008D73A7">
        <w:t>radio astronomy service</w:t>
      </w:r>
      <w:r w:rsidRPr="008D73A7">
        <w:t>, inside a radius of 20 km around the stations of NOEMA and IRAM</w:t>
      </w:r>
      <w:r w:rsidR="00986D67" w:rsidRPr="008D73A7">
        <w:t xml:space="preserve"> </w:t>
      </w:r>
      <w:r w:rsidRPr="008D73A7">
        <w:t xml:space="preserve">30 m, the installation and operation of CDR devices should be prohibited, unless a special authorisation has been provided by the responsible national administration. </w:t>
      </w:r>
      <w:r w:rsidR="008D45B6" w:rsidRPr="008D73A7">
        <w:fldChar w:fldCharType="begin"/>
      </w:r>
      <w:r w:rsidR="008D45B6" w:rsidRPr="008D73A7">
        <w:instrText xml:space="preserve"> REF _Ref66370646 \h </w:instrText>
      </w:r>
      <w:r w:rsidR="008D45B6" w:rsidRPr="008D73A7">
        <w:fldChar w:fldCharType="separate"/>
      </w:r>
      <w:r w:rsidR="00820A1E" w:rsidRPr="008D73A7">
        <w:t>Table 12</w:t>
      </w:r>
      <w:r w:rsidR="008D45B6" w:rsidRPr="008D73A7">
        <w:fldChar w:fldCharType="end"/>
      </w:r>
      <w:r w:rsidRPr="008D73A7">
        <w:t xml:space="preserve"> shows the locations of the two European observatories operating in the frequency range 116</w:t>
      </w:r>
      <w:r w:rsidR="00666B9A" w:rsidRPr="008D73A7">
        <w:t>-</w:t>
      </w:r>
      <w:r w:rsidRPr="008D73A7">
        <w:t>260 GHz</w:t>
      </w:r>
      <w:r w:rsidR="0060329F" w:rsidRPr="008D73A7">
        <w:t>;</w:t>
      </w:r>
    </w:p>
    <w:p w14:paraId="7735194C" w14:textId="77777777" w:rsidR="003F26FD" w:rsidRPr="008D73A7" w:rsidRDefault="003F26FD" w:rsidP="00820A1E">
      <w:pPr>
        <w:pStyle w:val="ECCBulletsLv1"/>
        <w:ind w:left="340" w:hanging="340"/>
      </w:pPr>
      <w:r w:rsidRPr="008D73A7">
        <w:t>The provider is required to inform the users and installers of CDR equipment about the installation requirements and the additional special mounting instructions.</w:t>
      </w:r>
    </w:p>
    <w:p w14:paraId="4B186927" w14:textId="77777777" w:rsidR="003F26FD" w:rsidRPr="008D73A7" w:rsidRDefault="003F26FD" w:rsidP="003F26FD">
      <w:pPr>
        <w:rPr>
          <w:lang w:val="en-GB"/>
        </w:rPr>
      </w:pPr>
      <w:r w:rsidRPr="008D73A7">
        <w:rPr>
          <w:lang w:val="en-GB"/>
        </w:rPr>
        <w:lastRenderedPageBreak/>
        <w:t>In addition, the following antenna requirement is proposed:</w:t>
      </w:r>
    </w:p>
    <w:p w14:paraId="0286D06B" w14:textId="77777777" w:rsidR="003F26FD" w:rsidRPr="008D73A7" w:rsidRDefault="003F26FD" w:rsidP="00820A1E">
      <w:pPr>
        <w:pStyle w:val="ECCBulletsLv1"/>
        <w:ind w:left="340" w:hanging="340"/>
      </w:pPr>
      <w:r w:rsidRPr="008D73A7">
        <w:t>For CDR devices using an antenna gain smaller than 20 dBi, the maximum conducted peak output power shall be limited to 15 dBm.</w:t>
      </w:r>
    </w:p>
    <w:p w14:paraId="08F644C8" w14:textId="77777777" w:rsidR="003F26FD" w:rsidRPr="008D73A7" w:rsidRDefault="003F26FD" w:rsidP="003F26FD">
      <w:pPr>
        <w:rPr>
          <w:lang w:val="en-GB"/>
        </w:rPr>
      </w:pPr>
      <w:r w:rsidRPr="008D73A7">
        <w:rPr>
          <w:lang w:val="en-GB"/>
        </w:rPr>
        <w:t>In addition to the installation and antenna requirements above, applicable to all CDRs, the following condition is proposed to be met only for the subclass of DBF-CDR:</w:t>
      </w:r>
    </w:p>
    <w:p w14:paraId="6AB97111" w14:textId="77777777" w:rsidR="003F26FD" w:rsidRPr="008D73A7" w:rsidRDefault="003F26FD" w:rsidP="00820A1E">
      <w:pPr>
        <w:pStyle w:val="ECCBulletsLv1"/>
        <w:ind w:left="340" w:hanging="340"/>
      </w:pPr>
      <w:r w:rsidRPr="008D73A7">
        <w:t>DBF-CDRs are required to be pointing vertically downwards towards the ground.</w:t>
      </w:r>
    </w:p>
    <w:p w14:paraId="673383CA" w14:textId="77777777" w:rsidR="003F26FD" w:rsidRPr="008D73A7" w:rsidRDefault="003F26FD" w:rsidP="003F26FD">
      <w:pPr>
        <w:rPr>
          <w:lang w:val="en-GB"/>
        </w:rPr>
      </w:pPr>
      <w:r w:rsidRPr="008D73A7">
        <w:rPr>
          <w:lang w:val="en-GB"/>
        </w:rPr>
        <w:t>In addition to the installation and antenna requirements above, applicable to all CDRs, the following conditions are proposed to be met only for the subclass of M-CDRs and PA-CDRs:</w:t>
      </w:r>
    </w:p>
    <w:p w14:paraId="3E53B925" w14:textId="0F392A17" w:rsidR="003F26FD" w:rsidRPr="008D73A7" w:rsidRDefault="003F26FD" w:rsidP="003F26FD">
      <w:pPr>
        <w:pStyle w:val="ECCBulletsLv1"/>
        <w:ind w:left="340" w:hanging="340"/>
      </w:pPr>
      <w:r w:rsidRPr="008D73A7">
        <w:t>M-CDRs and PA-CDRs shall have a permanent spatially scanning behaviour of the antenna main beam direction at any time during operation</w:t>
      </w:r>
      <w:r w:rsidR="0060329F" w:rsidRPr="008D73A7">
        <w:t>;</w:t>
      </w:r>
    </w:p>
    <w:p w14:paraId="2CF29556" w14:textId="1F105B65" w:rsidR="003F26FD" w:rsidRPr="008D73A7" w:rsidRDefault="003F26FD" w:rsidP="003F26FD">
      <w:pPr>
        <w:pStyle w:val="ECCBulletsLv1"/>
        <w:ind w:left="340" w:hanging="340"/>
      </w:pPr>
      <w:r w:rsidRPr="008D73A7">
        <w:t>The maximum tilting angle of the antenna main beam direction in relation to the vertical axis towards the ground shall never exceed 60°</w:t>
      </w:r>
      <w:r w:rsidR="0060329F" w:rsidRPr="008D73A7">
        <w:t>;</w:t>
      </w:r>
    </w:p>
    <w:p w14:paraId="7157D65C" w14:textId="77777777" w:rsidR="003F26FD" w:rsidRPr="008D73A7" w:rsidRDefault="003F26FD" w:rsidP="003F26FD">
      <w:pPr>
        <w:pStyle w:val="ECCBulletsLv1"/>
        <w:ind w:left="340" w:hanging="340"/>
      </w:pPr>
      <w:r w:rsidRPr="008D73A7">
        <w:t>The peak e.i.r.p. for elevations above 0° shall be limited to 0 dBm.</w:t>
      </w:r>
    </w:p>
    <w:p w14:paraId="64E30041" w14:textId="7CA46A07" w:rsidR="00FC7043" w:rsidRPr="008D73A7" w:rsidRDefault="00A06466" w:rsidP="00406659">
      <w:pPr>
        <w:pStyle w:val="Heading3"/>
        <w:rPr>
          <w:lang w:val="en-GB"/>
        </w:rPr>
      </w:pPr>
      <w:bookmarkStart w:id="146" w:name="_Toc123634707"/>
      <w:bookmarkStart w:id="147" w:name="_Toc123634797"/>
      <w:bookmarkStart w:id="148" w:name="_Toc135806299"/>
      <w:r>
        <w:rPr>
          <w:lang w:val="en-GB"/>
        </w:rPr>
        <w:t>R</w:t>
      </w:r>
      <w:r w:rsidR="00FC7043" w:rsidRPr="008D73A7">
        <w:rPr>
          <w:lang w:val="en-GB"/>
        </w:rPr>
        <w:t xml:space="preserve">adio </w:t>
      </w:r>
      <w:r w:rsidR="00B37972" w:rsidRPr="008D73A7">
        <w:rPr>
          <w:lang w:val="en-GB"/>
        </w:rPr>
        <w:t>a</w:t>
      </w:r>
      <w:r w:rsidR="00FC7043" w:rsidRPr="008D73A7">
        <w:rPr>
          <w:lang w:val="en-GB"/>
        </w:rPr>
        <w:t>stronomy</w:t>
      </w:r>
      <w:bookmarkEnd w:id="146"/>
      <w:bookmarkEnd w:id="147"/>
      <w:bookmarkEnd w:id="148"/>
    </w:p>
    <w:p w14:paraId="536CFAF4" w14:textId="03C21D38" w:rsidR="003F26FD" w:rsidRPr="008D73A7" w:rsidRDefault="003F26FD" w:rsidP="0060329F">
      <w:pPr>
        <w:jc w:val="both"/>
        <w:rPr>
          <w:rFonts w:eastAsiaTheme="minorHAnsi"/>
          <w:lang w:val="en-GB"/>
        </w:rPr>
      </w:pPr>
      <w:r w:rsidRPr="008D73A7">
        <w:rPr>
          <w:rFonts w:eastAsiaTheme="minorHAnsi"/>
          <w:lang w:val="en-GB"/>
        </w:rPr>
        <w:t>For the frequency bands 116</w:t>
      </w:r>
      <w:r w:rsidR="00666B9A" w:rsidRPr="008D73A7">
        <w:rPr>
          <w:rFonts w:eastAsiaTheme="minorHAnsi"/>
          <w:lang w:val="en-GB"/>
        </w:rPr>
        <w:t>-</w:t>
      </w:r>
      <w:r w:rsidRPr="008D73A7">
        <w:rPr>
          <w:rFonts w:eastAsiaTheme="minorHAnsi"/>
          <w:lang w:val="en-GB"/>
        </w:rPr>
        <w:t>148.5 GHz, 167</w:t>
      </w:r>
      <w:r w:rsidR="00666B9A" w:rsidRPr="008D73A7">
        <w:rPr>
          <w:rFonts w:eastAsiaTheme="minorHAnsi"/>
          <w:lang w:val="en-GB"/>
        </w:rPr>
        <w:t>-</w:t>
      </w:r>
      <w:r w:rsidRPr="008D73A7">
        <w:rPr>
          <w:rFonts w:eastAsiaTheme="minorHAnsi"/>
          <w:lang w:val="en-GB"/>
        </w:rPr>
        <w:t>182 GHz and 231.5</w:t>
      </w:r>
      <w:r w:rsidR="00666B9A" w:rsidRPr="008D73A7">
        <w:rPr>
          <w:rFonts w:eastAsiaTheme="minorHAnsi"/>
          <w:lang w:val="en-GB"/>
        </w:rPr>
        <w:t>-</w:t>
      </w:r>
      <w:r w:rsidRPr="008D73A7">
        <w:rPr>
          <w:rFonts w:eastAsiaTheme="minorHAnsi"/>
          <w:lang w:val="en-GB"/>
        </w:rPr>
        <w:t>250 GHz compatibility can be ensured between both CDR systems and RAS when separation distances of 19.9 km, 18.3 km and 19.3 km, respectively, are respected without the implementation of additional mitigation techniques (</w:t>
      </w:r>
      <w:r w:rsidRPr="008D73A7">
        <w:rPr>
          <w:lang w:val="en-GB"/>
        </w:rPr>
        <w:t xml:space="preserve">see </w:t>
      </w:r>
      <w:r w:rsidR="008D45B6" w:rsidRPr="008D73A7">
        <w:rPr>
          <w:lang w:val="en-GB"/>
        </w:rPr>
        <w:t>ECC Report 334</w:t>
      </w:r>
      <w:r w:rsidR="001E2733" w:rsidRPr="008D73A7">
        <w:rPr>
          <w:lang w:val="en-GB"/>
        </w:rPr>
        <w:t>,</w:t>
      </w:r>
      <w:r w:rsidR="008D45B6" w:rsidRPr="008D73A7">
        <w:rPr>
          <w:lang w:val="en-GB"/>
        </w:rPr>
        <w:fldChar w:fldCharType="begin"/>
      </w:r>
      <w:r w:rsidR="008D45B6" w:rsidRPr="008D73A7">
        <w:rPr>
          <w:lang w:val="en-GB"/>
        </w:rPr>
        <w:instrText xml:space="preserve"> REF ECC_Report_334 \h </w:instrText>
      </w:r>
      <w:r w:rsidR="00DE18AA" w:rsidRPr="008D73A7">
        <w:rPr>
          <w:lang w:val="en-GB"/>
        </w:rPr>
        <w:instrText xml:space="preserve"> \* MERGEFORMAT </w:instrText>
      </w:r>
      <w:r w:rsidR="008D45B6" w:rsidRPr="008D73A7">
        <w:rPr>
          <w:lang w:val="en-GB"/>
        </w:rPr>
      </w:r>
      <w:r w:rsidR="008D45B6" w:rsidRPr="008D73A7">
        <w:rPr>
          <w:lang w:val="en-GB"/>
        </w:rPr>
        <w:fldChar w:fldCharType="end"/>
      </w:r>
      <w:r w:rsidR="008D45B6" w:rsidRPr="008D73A7">
        <w:rPr>
          <w:lang w:val="en-GB"/>
        </w:rPr>
        <w:t xml:space="preserve"> </w:t>
      </w:r>
      <w:r w:rsidRPr="008D73A7">
        <w:rPr>
          <w:lang w:val="en-GB"/>
        </w:rPr>
        <w:t>section</w:t>
      </w:r>
      <w:r w:rsidR="008D45B6" w:rsidRPr="008D73A7">
        <w:rPr>
          <w:lang w:val="en-GB"/>
        </w:rPr>
        <w:t xml:space="preserve"> 4.6.2</w:t>
      </w:r>
      <w:r w:rsidRPr="008D73A7">
        <w:rPr>
          <w:rFonts w:eastAsiaTheme="minorHAnsi"/>
          <w:lang w:val="en-GB"/>
        </w:rPr>
        <w:t>).</w:t>
      </w:r>
    </w:p>
    <w:p w14:paraId="738DA1DD" w14:textId="5803A28D" w:rsidR="00FC7043" w:rsidRPr="008D73A7" w:rsidRDefault="00A06466" w:rsidP="00406659">
      <w:pPr>
        <w:pStyle w:val="Heading3"/>
        <w:rPr>
          <w:lang w:val="en-GB"/>
        </w:rPr>
      </w:pPr>
      <w:bookmarkStart w:id="149" w:name="_Toc123634708"/>
      <w:bookmarkStart w:id="150" w:name="_Toc123634798"/>
      <w:bookmarkStart w:id="151" w:name="_Toc135806300"/>
      <w:r>
        <w:rPr>
          <w:lang w:val="en-GB"/>
        </w:rPr>
        <w:t>F</w:t>
      </w:r>
      <w:r w:rsidR="00FC7043" w:rsidRPr="008D73A7">
        <w:rPr>
          <w:lang w:val="en-GB"/>
        </w:rPr>
        <w:t xml:space="preserve">ixed </w:t>
      </w:r>
      <w:r w:rsidR="00415E5A" w:rsidRPr="008D73A7">
        <w:rPr>
          <w:lang w:val="en-GB"/>
        </w:rPr>
        <w:t>s</w:t>
      </w:r>
      <w:r w:rsidR="00FC7043" w:rsidRPr="008D73A7">
        <w:rPr>
          <w:lang w:val="en-GB"/>
        </w:rPr>
        <w:t>ervice</w:t>
      </w:r>
      <w:bookmarkEnd w:id="149"/>
      <w:bookmarkEnd w:id="150"/>
      <w:bookmarkEnd w:id="151"/>
    </w:p>
    <w:p w14:paraId="21A16348" w14:textId="57ADF8F5" w:rsidR="003F26FD" w:rsidRPr="008D73A7" w:rsidRDefault="003F26FD" w:rsidP="0063158B">
      <w:pPr>
        <w:jc w:val="both"/>
        <w:rPr>
          <w:lang w:val="en-GB"/>
        </w:rPr>
      </w:pPr>
      <w:r w:rsidRPr="008D73A7">
        <w:rPr>
          <w:lang w:val="en-GB"/>
        </w:rPr>
        <w:t xml:space="preserve">For evaluating the compatibility between DBF-CDR and FS the same two worst-case interference scenarios as for LPR (see </w:t>
      </w:r>
      <w:r w:rsidR="009703CF" w:rsidRPr="008D73A7">
        <w:rPr>
          <w:lang w:val="en-GB"/>
        </w:rPr>
        <w:t>ECC Report 334</w:t>
      </w:r>
      <w:r w:rsidR="000C778B" w:rsidRPr="008D73A7">
        <w:rPr>
          <w:lang w:val="en-GB"/>
        </w:rPr>
        <w:t xml:space="preserve">, </w:t>
      </w:r>
      <w:r w:rsidR="002E4045" w:rsidRPr="008D73A7">
        <w:rPr>
          <w:lang w:val="en-GB"/>
        </w:rPr>
        <w:t>f</w:t>
      </w:r>
      <w:r w:rsidR="009703CF" w:rsidRPr="008D73A7">
        <w:rPr>
          <w:lang w:val="en-GB"/>
        </w:rPr>
        <w:t>igure 38</w:t>
      </w:r>
      <w:r w:rsidRPr="008D73A7">
        <w:rPr>
          <w:lang w:val="en-GB"/>
        </w:rPr>
        <w:t xml:space="preserve"> and </w:t>
      </w:r>
      <w:r w:rsidR="002E4045" w:rsidRPr="008D73A7">
        <w:rPr>
          <w:lang w:val="en-GB"/>
        </w:rPr>
        <w:t>f</w:t>
      </w:r>
      <w:r w:rsidR="009703CF" w:rsidRPr="008D73A7">
        <w:rPr>
          <w:lang w:val="en-GB"/>
        </w:rPr>
        <w:t>igure 39</w:t>
      </w:r>
      <w:r w:rsidR="004346D1" w:rsidRPr="008D73A7">
        <w:rPr>
          <w:lang w:val="en-GB"/>
        </w:rPr>
        <w:t xml:space="preserve"> </w:t>
      </w:r>
      <w:r w:rsidR="000C778B" w:rsidRPr="008D73A7">
        <w:rPr>
          <w:lang w:val="en-GB"/>
        </w:rPr>
        <w:fldChar w:fldCharType="begin"/>
      </w:r>
      <w:r w:rsidR="000C778B" w:rsidRPr="008D73A7">
        <w:rPr>
          <w:lang w:val="en-GB"/>
        </w:rPr>
        <w:instrText xml:space="preserve"> REF _Ref135744418 \r \h </w:instrText>
      </w:r>
      <w:r w:rsidR="000C778B" w:rsidRPr="008D73A7">
        <w:rPr>
          <w:lang w:val="en-GB"/>
        </w:rPr>
      </w:r>
      <w:r w:rsidR="000C778B" w:rsidRPr="008D73A7">
        <w:rPr>
          <w:lang w:val="en-GB"/>
        </w:rPr>
        <w:fldChar w:fldCharType="separate"/>
      </w:r>
      <w:r w:rsidR="000C778B" w:rsidRPr="008D73A7">
        <w:rPr>
          <w:lang w:val="en-GB"/>
        </w:rPr>
        <w:t>[1]</w:t>
      </w:r>
      <w:r w:rsidR="000C778B" w:rsidRPr="008D73A7">
        <w:rPr>
          <w:lang w:val="en-GB"/>
        </w:rPr>
        <w:fldChar w:fldCharType="end"/>
      </w:r>
      <w:r w:rsidRPr="008D73A7">
        <w:rPr>
          <w:lang w:val="en-GB"/>
        </w:rPr>
        <w:t xml:space="preserve">) have been used. In both scenarios it is valid that separation distances smaller than 300 m result in compatibility between DBF-CDR and FS such that a coexistence of both systems is always given. Separation distances larger than 300 m in contrast produce interference to the FS receiver such that the protection requirements identified in </w:t>
      </w:r>
      <w:r w:rsidR="009703CF" w:rsidRPr="008D73A7">
        <w:rPr>
          <w:lang w:val="en-GB"/>
        </w:rPr>
        <w:t>ECC Report 334</w:t>
      </w:r>
      <w:r w:rsidR="001E2733" w:rsidRPr="008D73A7">
        <w:rPr>
          <w:lang w:val="en-GB"/>
        </w:rPr>
        <w:t>,</w:t>
      </w:r>
      <w:r w:rsidR="009703CF" w:rsidRPr="008D73A7">
        <w:rPr>
          <w:lang w:val="en-GB"/>
        </w:rPr>
        <w:t xml:space="preserve"> </w:t>
      </w:r>
      <w:r w:rsidRPr="008D73A7">
        <w:rPr>
          <w:lang w:val="en-GB"/>
        </w:rPr>
        <w:t xml:space="preserve">section </w:t>
      </w:r>
      <w:r w:rsidR="009703CF" w:rsidRPr="008D73A7">
        <w:rPr>
          <w:lang w:val="en-GB"/>
        </w:rPr>
        <w:t>3.5.3</w:t>
      </w:r>
      <w:r w:rsidRPr="008D73A7">
        <w:rPr>
          <w:lang w:val="en-GB"/>
        </w:rPr>
        <w:t xml:space="preserve"> </w:t>
      </w:r>
      <w:proofErr w:type="gramStart"/>
      <w:r w:rsidRPr="008D73A7">
        <w:rPr>
          <w:lang w:val="en-GB"/>
        </w:rPr>
        <w:t>are</w:t>
      </w:r>
      <w:proofErr w:type="gramEnd"/>
      <w:r w:rsidRPr="008D73A7">
        <w:rPr>
          <w:lang w:val="en-GB"/>
        </w:rPr>
        <w:t xml:space="preserve"> not fulfilled. In this case the coexistence of both systems is not possible in the respective scenario without further protection measures.</w:t>
      </w:r>
    </w:p>
    <w:p w14:paraId="476A83C4" w14:textId="5998E889" w:rsidR="003F26FD" w:rsidRPr="008D73A7" w:rsidRDefault="003F26FD" w:rsidP="0063158B">
      <w:pPr>
        <w:jc w:val="both"/>
        <w:rPr>
          <w:lang w:val="en-GB"/>
        </w:rPr>
      </w:pPr>
      <w:r w:rsidRPr="008D73A7">
        <w:rPr>
          <w:lang w:val="en-GB"/>
        </w:rPr>
        <w:t xml:space="preserve">All calculated separation distances for DBF-CDR in </w:t>
      </w:r>
      <w:r w:rsidR="009703CF" w:rsidRPr="008D73A7">
        <w:rPr>
          <w:lang w:val="en-GB"/>
        </w:rPr>
        <w:t>ECC Report 334</w:t>
      </w:r>
      <w:r w:rsidR="0050237C" w:rsidRPr="008D73A7">
        <w:rPr>
          <w:lang w:val="en-GB"/>
        </w:rPr>
        <w:t>,</w:t>
      </w:r>
      <w:r w:rsidR="00A61564" w:rsidRPr="008D73A7">
        <w:rPr>
          <w:lang w:val="en-GB"/>
        </w:rPr>
        <w:t xml:space="preserve"> </w:t>
      </w:r>
      <w:r w:rsidR="0050237C" w:rsidRPr="008D73A7">
        <w:rPr>
          <w:lang w:val="en-GB"/>
        </w:rPr>
        <w:t>t</w:t>
      </w:r>
      <w:r w:rsidR="009703CF" w:rsidRPr="008D73A7">
        <w:rPr>
          <w:lang w:val="en-GB"/>
        </w:rPr>
        <w:t>able 77</w:t>
      </w:r>
      <w:r w:rsidRPr="008D73A7">
        <w:rPr>
          <w:lang w:val="en-GB"/>
        </w:rPr>
        <w:t xml:space="preserve"> are smaller than 300 m. Therefore, compatibility between DBF-CDR and FS can always be asserted for both scenarios and both investigated protection objectives </w:t>
      </w:r>
      <w:r w:rsidRPr="008D73A7">
        <w:rPr>
          <w:rFonts w:eastAsiaTheme="minorHAnsi"/>
          <w:lang w:val="en-GB"/>
        </w:rPr>
        <w:t>without the implementation of additional mitigation techniques</w:t>
      </w:r>
      <w:r w:rsidRPr="008D73A7">
        <w:rPr>
          <w:lang w:val="en-GB"/>
        </w:rPr>
        <w:t>.</w:t>
      </w:r>
    </w:p>
    <w:p w14:paraId="5C4DE266" w14:textId="3CE9251D" w:rsidR="003F26FD" w:rsidRPr="008D73A7" w:rsidRDefault="003F26FD" w:rsidP="0063158B">
      <w:pPr>
        <w:jc w:val="both"/>
        <w:rPr>
          <w:lang w:val="en-GB"/>
        </w:rPr>
      </w:pPr>
      <w:r w:rsidRPr="008D73A7">
        <w:rPr>
          <w:lang w:val="en-GB"/>
        </w:rPr>
        <w:t>For evaluating the compatibility between M-</w:t>
      </w:r>
      <w:r w:rsidR="00CE1430" w:rsidRPr="008D73A7">
        <w:rPr>
          <w:lang w:val="en-GB"/>
        </w:rPr>
        <w:t>CDR/</w:t>
      </w:r>
      <w:r w:rsidRPr="008D73A7">
        <w:rPr>
          <w:lang w:val="en-GB"/>
        </w:rPr>
        <w:t xml:space="preserve">PA-CDR and FS the four different worst-case interference scenarios in </w:t>
      </w:r>
      <w:r w:rsidR="009703CF" w:rsidRPr="008D73A7">
        <w:rPr>
          <w:lang w:val="en-GB"/>
        </w:rPr>
        <w:t>ECC Report 334</w:t>
      </w:r>
      <w:r w:rsidR="001E2733" w:rsidRPr="008D73A7">
        <w:rPr>
          <w:lang w:val="en-GB"/>
        </w:rPr>
        <w:t>,</w:t>
      </w:r>
      <w:r w:rsidR="009703CF" w:rsidRPr="008D73A7">
        <w:rPr>
          <w:lang w:val="en-GB"/>
        </w:rPr>
        <w:t xml:space="preserve"> </w:t>
      </w:r>
      <w:r w:rsidR="001E2733" w:rsidRPr="008D73A7">
        <w:rPr>
          <w:lang w:val="en-GB"/>
        </w:rPr>
        <w:t>f</w:t>
      </w:r>
      <w:r w:rsidR="009703CF" w:rsidRPr="008D73A7">
        <w:rPr>
          <w:lang w:val="en-GB"/>
        </w:rPr>
        <w:t>igure 44</w:t>
      </w:r>
      <w:r w:rsidRPr="008D73A7">
        <w:rPr>
          <w:lang w:val="en-GB"/>
        </w:rPr>
        <w:t xml:space="preserve"> to </w:t>
      </w:r>
      <w:r w:rsidR="001E2733" w:rsidRPr="008D73A7">
        <w:rPr>
          <w:lang w:val="en-GB"/>
        </w:rPr>
        <w:t>f</w:t>
      </w:r>
      <w:r w:rsidR="009703CF" w:rsidRPr="008D73A7">
        <w:rPr>
          <w:lang w:val="en-GB"/>
        </w:rPr>
        <w:t xml:space="preserve">igure 47 </w:t>
      </w:r>
      <w:r w:rsidRPr="008D73A7">
        <w:rPr>
          <w:lang w:val="en-GB"/>
        </w:rPr>
        <w:t xml:space="preserve">have been </w:t>
      </w:r>
      <w:r w:rsidR="00E1589F" w:rsidRPr="008D73A7">
        <w:rPr>
          <w:lang w:val="en-GB"/>
        </w:rPr>
        <w:t>assumed</w:t>
      </w:r>
      <w:r w:rsidRPr="008D73A7">
        <w:rPr>
          <w:lang w:val="en-GB"/>
        </w:rPr>
        <w:t>. In all scenarios</w:t>
      </w:r>
      <w:r w:rsidR="00E7459A" w:rsidRPr="008D73A7">
        <w:rPr>
          <w:lang w:val="en-GB"/>
        </w:rPr>
        <w:t>,</w:t>
      </w:r>
      <w:r w:rsidRPr="008D73A7">
        <w:rPr>
          <w:lang w:val="en-GB"/>
        </w:rPr>
        <w:t xml:space="preserve"> it is valid that separation distances smaller than 300 m result in compatibility between M-</w:t>
      </w:r>
      <w:r w:rsidR="00CE1430" w:rsidRPr="008D73A7">
        <w:rPr>
          <w:lang w:val="en-GB"/>
        </w:rPr>
        <w:t>CDR/</w:t>
      </w:r>
      <w:r w:rsidRPr="008D73A7">
        <w:rPr>
          <w:lang w:val="en-GB"/>
        </w:rPr>
        <w:t xml:space="preserve">PA-CDR and FS such that a coexistence of both systems is always given. Separation distances larger than 300 m in contrast produce interference to the FS receiver such that the protection requirements identified in </w:t>
      </w:r>
      <w:r w:rsidR="009703CF" w:rsidRPr="008D73A7">
        <w:rPr>
          <w:lang w:val="en-GB"/>
        </w:rPr>
        <w:t>ECC Report 334</w:t>
      </w:r>
      <w:r w:rsidR="001E2733" w:rsidRPr="008D73A7">
        <w:rPr>
          <w:lang w:val="en-GB"/>
        </w:rPr>
        <w:t>,</w:t>
      </w:r>
      <w:r w:rsidR="009703CF" w:rsidRPr="008D73A7">
        <w:rPr>
          <w:lang w:val="en-GB"/>
        </w:rPr>
        <w:t xml:space="preserve"> </w:t>
      </w:r>
      <w:r w:rsidRPr="008D73A7">
        <w:rPr>
          <w:lang w:val="en-GB"/>
        </w:rPr>
        <w:t xml:space="preserve">section </w:t>
      </w:r>
      <w:r w:rsidR="009703CF" w:rsidRPr="008D73A7">
        <w:rPr>
          <w:lang w:val="en-GB"/>
        </w:rPr>
        <w:t>3.5.3</w:t>
      </w:r>
      <w:r w:rsidRPr="008D73A7">
        <w:rPr>
          <w:lang w:val="en-GB"/>
        </w:rPr>
        <w:t xml:space="preserve"> </w:t>
      </w:r>
      <w:proofErr w:type="gramStart"/>
      <w:r w:rsidRPr="008D73A7">
        <w:rPr>
          <w:lang w:val="en-GB"/>
        </w:rPr>
        <w:t>are</w:t>
      </w:r>
      <w:proofErr w:type="gramEnd"/>
      <w:r w:rsidRPr="008D73A7">
        <w:rPr>
          <w:lang w:val="en-GB"/>
        </w:rPr>
        <w:t xml:space="preserve"> not fulfilled. In this case the coexistence of both systems is not possible in the respective scenario without further protection measures.</w:t>
      </w:r>
    </w:p>
    <w:p w14:paraId="32F347FC" w14:textId="633E30A3" w:rsidR="003F26FD" w:rsidRPr="008D73A7" w:rsidRDefault="003F26FD" w:rsidP="0063158B">
      <w:pPr>
        <w:jc w:val="both"/>
        <w:rPr>
          <w:lang w:val="en-GB"/>
        </w:rPr>
      </w:pPr>
      <w:r w:rsidRPr="008D73A7">
        <w:rPr>
          <w:lang w:val="en-GB"/>
        </w:rPr>
        <w:t>All calculated separation distances for M-</w:t>
      </w:r>
      <w:r w:rsidR="00CE1430" w:rsidRPr="008D73A7">
        <w:rPr>
          <w:lang w:val="en-GB"/>
        </w:rPr>
        <w:t>CDR</w:t>
      </w:r>
      <w:r w:rsidRPr="008D73A7">
        <w:rPr>
          <w:lang w:val="en-GB"/>
        </w:rPr>
        <w:t xml:space="preserve"> and PA-CDR for the long-term interference criterion in </w:t>
      </w:r>
      <w:r w:rsidR="005F7B09" w:rsidRPr="008D73A7">
        <w:rPr>
          <w:lang w:val="en-GB"/>
        </w:rPr>
        <w:t>ECC Report 334</w:t>
      </w:r>
      <w:r w:rsidR="0050237C" w:rsidRPr="008D73A7">
        <w:rPr>
          <w:lang w:val="en-GB"/>
        </w:rPr>
        <w:t>,</w:t>
      </w:r>
      <w:r w:rsidR="005F7B09" w:rsidRPr="008D73A7">
        <w:rPr>
          <w:lang w:val="en-GB"/>
        </w:rPr>
        <w:t xml:space="preserve"> </w:t>
      </w:r>
      <w:r w:rsidR="0050237C" w:rsidRPr="008D73A7">
        <w:rPr>
          <w:lang w:val="en-GB"/>
        </w:rPr>
        <w:t>t</w:t>
      </w:r>
      <w:r w:rsidR="005F7B09" w:rsidRPr="008D73A7">
        <w:rPr>
          <w:lang w:val="en-GB"/>
        </w:rPr>
        <w:t xml:space="preserve">able 78 </w:t>
      </w:r>
      <w:r w:rsidRPr="008D73A7">
        <w:rPr>
          <w:lang w:val="en-GB"/>
        </w:rPr>
        <w:t>are smaller than 300 m. Therefore, compatibility between M-</w:t>
      </w:r>
      <w:r w:rsidR="00CE1430" w:rsidRPr="008D73A7">
        <w:rPr>
          <w:lang w:val="en-GB"/>
        </w:rPr>
        <w:t>CDR/</w:t>
      </w:r>
      <w:r w:rsidRPr="008D73A7">
        <w:rPr>
          <w:lang w:val="en-GB"/>
        </w:rPr>
        <w:t xml:space="preserve">PA-CDR and FS can always be asserted for all four scenarios and the long-term interference criterion </w:t>
      </w:r>
      <w:r w:rsidRPr="008D73A7">
        <w:rPr>
          <w:rFonts w:eastAsiaTheme="minorHAnsi"/>
          <w:lang w:val="en-GB"/>
        </w:rPr>
        <w:t>without the implementation of additional mitigation techniques</w:t>
      </w:r>
      <w:r w:rsidRPr="008D73A7">
        <w:rPr>
          <w:lang w:val="en-GB"/>
        </w:rPr>
        <w:t>.</w:t>
      </w:r>
    </w:p>
    <w:p w14:paraId="3A1D5BB9" w14:textId="20575EEE" w:rsidR="003F26FD" w:rsidRPr="008D73A7" w:rsidRDefault="003F26FD" w:rsidP="0063158B">
      <w:pPr>
        <w:jc w:val="both"/>
        <w:rPr>
          <w:lang w:val="en-GB"/>
        </w:rPr>
      </w:pPr>
      <w:r w:rsidRPr="008D73A7">
        <w:rPr>
          <w:lang w:val="en-GB"/>
        </w:rPr>
        <w:t xml:space="preserve">For the peak power objective, however, for scenario 3 in </w:t>
      </w:r>
      <w:r w:rsidR="00E35DE0" w:rsidRPr="008D73A7">
        <w:rPr>
          <w:lang w:val="en-GB"/>
        </w:rPr>
        <w:t>ECC Report 334</w:t>
      </w:r>
      <w:r w:rsidR="001E2733" w:rsidRPr="008D73A7">
        <w:rPr>
          <w:lang w:val="en-GB"/>
        </w:rPr>
        <w:t>,</w:t>
      </w:r>
      <w:r w:rsidR="00E35DE0" w:rsidRPr="008D73A7">
        <w:rPr>
          <w:lang w:val="en-GB"/>
        </w:rPr>
        <w:t xml:space="preserve"> </w:t>
      </w:r>
      <w:r w:rsidR="001E2733" w:rsidRPr="008D73A7">
        <w:rPr>
          <w:lang w:val="en-GB"/>
        </w:rPr>
        <w:t>f</w:t>
      </w:r>
      <w:r w:rsidR="00E35DE0" w:rsidRPr="008D73A7">
        <w:rPr>
          <w:lang w:val="en-GB"/>
        </w:rPr>
        <w:t>igure 46</w:t>
      </w:r>
      <w:r w:rsidRPr="008D73A7">
        <w:rPr>
          <w:lang w:val="en-GB"/>
        </w:rPr>
        <w:t xml:space="preserve">, separation distances larger than 300 m result for both evaluated frequency ranges (see </w:t>
      </w:r>
      <w:r w:rsidR="00E35DE0" w:rsidRPr="008D73A7">
        <w:rPr>
          <w:lang w:val="en-GB"/>
        </w:rPr>
        <w:t>ECC Report 334</w:t>
      </w:r>
      <w:r w:rsidR="0050237C" w:rsidRPr="008D73A7">
        <w:rPr>
          <w:lang w:val="en-GB"/>
        </w:rPr>
        <w:t>, t</w:t>
      </w:r>
      <w:r w:rsidR="00E35DE0" w:rsidRPr="008D73A7">
        <w:rPr>
          <w:lang w:val="en-GB"/>
        </w:rPr>
        <w:t>able 78</w:t>
      </w:r>
      <w:r w:rsidRPr="008D73A7">
        <w:rPr>
          <w:lang w:val="en-GB"/>
        </w:rPr>
        <w:t xml:space="preserve">). In this scenario a separation distance of 1.05 km is required. Consequently, the protection requirements identified in </w:t>
      </w:r>
      <w:r w:rsidR="00E35DE0" w:rsidRPr="008D73A7">
        <w:rPr>
          <w:lang w:val="en-GB"/>
        </w:rPr>
        <w:t>ECC Report 334</w:t>
      </w:r>
      <w:r w:rsidR="0050237C" w:rsidRPr="008D73A7">
        <w:rPr>
          <w:lang w:val="en-GB"/>
        </w:rPr>
        <w:t>,</w:t>
      </w:r>
      <w:r w:rsidR="00E35DE0" w:rsidRPr="008D73A7">
        <w:rPr>
          <w:lang w:val="en-GB"/>
        </w:rPr>
        <w:t xml:space="preserve"> </w:t>
      </w:r>
      <w:r w:rsidRPr="008D73A7">
        <w:rPr>
          <w:lang w:val="en-GB"/>
        </w:rPr>
        <w:t xml:space="preserve">section </w:t>
      </w:r>
      <w:r w:rsidR="00E35DE0" w:rsidRPr="008D73A7">
        <w:rPr>
          <w:lang w:val="en-GB"/>
        </w:rPr>
        <w:t>3.5.3</w:t>
      </w:r>
      <w:r w:rsidRPr="008D73A7">
        <w:rPr>
          <w:lang w:val="en-GB"/>
        </w:rPr>
        <w:t xml:space="preserve"> are not fulfilled.</w:t>
      </w:r>
    </w:p>
    <w:p w14:paraId="1354A57F" w14:textId="3049AB8A" w:rsidR="003F26FD" w:rsidRPr="008D73A7" w:rsidRDefault="003F26FD" w:rsidP="0063158B">
      <w:pPr>
        <w:jc w:val="both"/>
        <w:rPr>
          <w:lang w:val="en-GB"/>
        </w:rPr>
      </w:pPr>
      <w:r w:rsidRPr="008D73A7">
        <w:rPr>
          <w:lang w:val="en-GB"/>
        </w:rPr>
        <w:t>In order to eliminate this incompatibility in the peak power objective, the occurrence of scenario 3 must be prevented. This could be accomplished by the limitation of the maximum tilting angle of the M-</w:t>
      </w:r>
      <w:r w:rsidR="00CE1430" w:rsidRPr="008D73A7">
        <w:rPr>
          <w:lang w:val="en-GB"/>
        </w:rPr>
        <w:t>CDR</w:t>
      </w:r>
      <w:r w:rsidRPr="008D73A7">
        <w:rPr>
          <w:lang w:val="en-GB"/>
        </w:rPr>
        <w:t xml:space="preserve"> and PA-</w:t>
      </w:r>
      <w:r w:rsidRPr="008D73A7">
        <w:rPr>
          <w:lang w:val="en-GB"/>
        </w:rPr>
        <w:lastRenderedPageBreak/>
        <w:t xml:space="preserve">CDR main beam direction to angles in the range smaller than 60° in relation to the vertical downward direction towards the ground. Such a measure is suggested and would eliminate the critical scenario 3, defined in </w:t>
      </w:r>
      <w:r w:rsidR="00615352" w:rsidRPr="008D73A7">
        <w:rPr>
          <w:lang w:val="en-GB"/>
        </w:rPr>
        <w:t>ECC Report 334</w:t>
      </w:r>
      <w:r w:rsidR="001E2733" w:rsidRPr="008D73A7">
        <w:rPr>
          <w:lang w:val="en-GB"/>
        </w:rPr>
        <w:t>, f</w:t>
      </w:r>
      <w:r w:rsidR="00615352" w:rsidRPr="008D73A7">
        <w:rPr>
          <w:lang w:val="en-GB"/>
        </w:rPr>
        <w:t>igure 46</w:t>
      </w:r>
      <w:r w:rsidRPr="008D73A7">
        <w:rPr>
          <w:lang w:val="en-GB"/>
        </w:rPr>
        <w:t>,</w:t>
      </w:r>
      <w:r w:rsidRPr="008D73A7">
        <w:rPr>
          <w:rFonts w:eastAsiaTheme="minorHAnsi"/>
          <w:lang w:val="en-GB"/>
        </w:rPr>
        <w:t xml:space="preserve"> "CDR main beam direction in horizontal direction" completely</w:t>
      </w:r>
      <w:r w:rsidRPr="008D73A7">
        <w:rPr>
          <w:lang w:val="en-GB"/>
        </w:rPr>
        <w:t>.</w:t>
      </w:r>
    </w:p>
    <w:p w14:paraId="315DB215" w14:textId="021E7184" w:rsidR="003F26FD" w:rsidRPr="008D73A7" w:rsidRDefault="003F26FD" w:rsidP="0063158B">
      <w:pPr>
        <w:jc w:val="both"/>
        <w:rPr>
          <w:lang w:val="en-GB"/>
        </w:rPr>
      </w:pPr>
      <w:r w:rsidRPr="008D73A7">
        <w:rPr>
          <w:lang w:val="en-GB"/>
        </w:rPr>
        <w:t>In order to further restrict the interference in unwanted directions, e.g. over sidelobes of the antenna, a limitation of the peak e.i.r.p. to 0 dBm for M-</w:t>
      </w:r>
      <w:r w:rsidR="00CE1430" w:rsidRPr="008D73A7">
        <w:rPr>
          <w:lang w:val="en-GB"/>
        </w:rPr>
        <w:t>CDR</w:t>
      </w:r>
      <w:r w:rsidRPr="008D73A7">
        <w:rPr>
          <w:lang w:val="en-GB"/>
        </w:rPr>
        <w:t xml:space="preserve"> and PA-CDR equipment is proposed for elevations above 0°.</w:t>
      </w:r>
    </w:p>
    <w:p w14:paraId="1B879CD7" w14:textId="27794067" w:rsidR="00FC7043" w:rsidRPr="008D73A7" w:rsidRDefault="00A06466" w:rsidP="00406659">
      <w:pPr>
        <w:pStyle w:val="Heading3"/>
        <w:rPr>
          <w:lang w:val="en-GB"/>
        </w:rPr>
      </w:pPr>
      <w:bookmarkStart w:id="152" w:name="_Toc123634709"/>
      <w:bookmarkStart w:id="153" w:name="_Toc123634799"/>
      <w:bookmarkStart w:id="154" w:name="_Toc135806301"/>
      <w:r>
        <w:rPr>
          <w:lang w:val="en-GB"/>
        </w:rPr>
        <w:t>E</w:t>
      </w:r>
      <w:r w:rsidR="00FC7043" w:rsidRPr="008D73A7">
        <w:rPr>
          <w:lang w:val="en-GB"/>
        </w:rPr>
        <w:t xml:space="preserve">arth </w:t>
      </w:r>
      <w:r w:rsidR="0004039C" w:rsidRPr="008D73A7">
        <w:rPr>
          <w:lang w:val="en-GB"/>
        </w:rPr>
        <w:t>e</w:t>
      </w:r>
      <w:r w:rsidR="00FC7043" w:rsidRPr="008D73A7">
        <w:rPr>
          <w:lang w:val="en-GB"/>
        </w:rPr>
        <w:t xml:space="preserve">xploration </w:t>
      </w:r>
      <w:r w:rsidR="0004039C" w:rsidRPr="008D73A7">
        <w:rPr>
          <w:lang w:val="en-GB"/>
        </w:rPr>
        <w:t>s</w:t>
      </w:r>
      <w:r w:rsidR="00FC7043" w:rsidRPr="008D73A7">
        <w:rPr>
          <w:lang w:val="en-GB"/>
        </w:rPr>
        <w:t xml:space="preserve">atellite </w:t>
      </w:r>
      <w:r w:rsidR="0004039C" w:rsidRPr="008D73A7">
        <w:rPr>
          <w:lang w:val="en-GB"/>
        </w:rPr>
        <w:t>s</w:t>
      </w:r>
      <w:r w:rsidR="00FC7043" w:rsidRPr="008D73A7">
        <w:rPr>
          <w:lang w:val="en-GB"/>
        </w:rPr>
        <w:t>ervice (</w:t>
      </w:r>
      <w:r>
        <w:rPr>
          <w:lang w:val="en-GB"/>
        </w:rPr>
        <w:t>P</w:t>
      </w:r>
      <w:r w:rsidR="00FC7043" w:rsidRPr="008D73A7">
        <w:rPr>
          <w:lang w:val="en-GB"/>
        </w:rPr>
        <w:t>assive)</w:t>
      </w:r>
      <w:bookmarkEnd w:id="152"/>
      <w:bookmarkEnd w:id="153"/>
      <w:bookmarkEnd w:id="154"/>
    </w:p>
    <w:p w14:paraId="47E7870C" w14:textId="28583B23" w:rsidR="003F26FD" w:rsidRPr="008D73A7" w:rsidRDefault="003F26FD" w:rsidP="006138F7">
      <w:pPr>
        <w:jc w:val="both"/>
        <w:rPr>
          <w:lang w:val="en-GB"/>
        </w:rPr>
      </w:pPr>
      <w:r w:rsidRPr="008D73A7">
        <w:rPr>
          <w:lang w:val="en-GB"/>
        </w:rPr>
        <w:t xml:space="preserve">For all investigated frequency bands and </w:t>
      </w:r>
      <w:r w:rsidRPr="008D73A7">
        <w:rPr>
          <w:rFonts w:eastAsiaTheme="minorHAnsi"/>
          <w:lang w:val="en-GB"/>
        </w:rPr>
        <w:t xml:space="preserve">both CDR categories, </w:t>
      </w:r>
      <w:r w:rsidRPr="008D73A7">
        <w:rPr>
          <w:lang w:val="en-GB"/>
        </w:rPr>
        <w:t xml:space="preserve">in the single-entry and in particular in the aggregate consideration, ample margins to the interference criteria can be ensured without the implementation of additional mitigation techniques (see </w:t>
      </w:r>
      <w:r w:rsidR="002975D1" w:rsidRPr="008D73A7">
        <w:rPr>
          <w:lang w:val="en-GB"/>
        </w:rPr>
        <w:t>ECC Report 334</w:t>
      </w:r>
      <w:r w:rsidR="001E2733" w:rsidRPr="008D73A7">
        <w:rPr>
          <w:lang w:val="en-GB"/>
        </w:rPr>
        <w:t>,</w:t>
      </w:r>
      <w:r w:rsidR="002975D1" w:rsidRPr="008D73A7">
        <w:rPr>
          <w:lang w:val="en-GB"/>
        </w:rPr>
        <w:t xml:space="preserve"> </w:t>
      </w:r>
      <w:r w:rsidRPr="008D73A7">
        <w:rPr>
          <w:lang w:val="en-GB"/>
        </w:rPr>
        <w:t>section</w:t>
      </w:r>
      <w:r w:rsidR="002975D1" w:rsidRPr="008D73A7">
        <w:rPr>
          <w:lang w:val="en-GB"/>
        </w:rPr>
        <w:t xml:space="preserve"> 6.6.2</w:t>
      </w:r>
      <w:r w:rsidR="00492DBE" w:rsidRPr="008D73A7">
        <w:rPr>
          <w:lang w:val="en-GB"/>
        </w:rPr>
        <w:t xml:space="preserve"> </w:t>
      </w:r>
      <w:r w:rsidR="00492DBE" w:rsidRPr="008D73A7">
        <w:rPr>
          <w:lang w:val="en-GB"/>
        </w:rPr>
        <w:fldChar w:fldCharType="begin"/>
      </w:r>
      <w:r w:rsidR="00492DBE" w:rsidRPr="008D73A7">
        <w:rPr>
          <w:lang w:val="en-GB"/>
        </w:rPr>
        <w:instrText xml:space="preserve"> REF ECC_Report_334 \w \h  \* MERGEFORMAT </w:instrText>
      </w:r>
      <w:r w:rsidR="00492DBE" w:rsidRPr="008D73A7">
        <w:rPr>
          <w:lang w:val="en-GB"/>
        </w:rPr>
      </w:r>
      <w:r w:rsidR="00492DBE" w:rsidRPr="008D73A7">
        <w:rPr>
          <w:lang w:val="en-GB"/>
        </w:rPr>
        <w:fldChar w:fldCharType="separate"/>
      </w:r>
      <w:r w:rsidR="00113216" w:rsidRPr="008D73A7">
        <w:rPr>
          <w:lang w:val="en-GB"/>
        </w:rPr>
        <w:t>[1]</w:t>
      </w:r>
      <w:r w:rsidR="00492DBE" w:rsidRPr="008D73A7">
        <w:rPr>
          <w:lang w:val="en-GB"/>
        </w:rPr>
        <w:fldChar w:fldCharType="end"/>
      </w:r>
      <w:r w:rsidRPr="008D73A7">
        <w:rPr>
          <w:lang w:val="en-GB"/>
        </w:rPr>
        <w:t>).</w:t>
      </w:r>
    </w:p>
    <w:p w14:paraId="3C9899D4" w14:textId="67B25126" w:rsidR="00FC7043" w:rsidRPr="008D73A7" w:rsidRDefault="00A06466" w:rsidP="00406659">
      <w:pPr>
        <w:pStyle w:val="Heading3"/>
        <w:rPr>
          <w:lang w:val="en-GB"/>
        </w:rPr>
      </w:pPr>
      <w:bookmarkStart w:id="155" w:name="_Toc123634710"/>
      <w:bookmarkStart w:id="156" w:name="_Toc123634800"/>
      <w:bookmarkStart w:id="157" w:name="_Toc135806302"/>
      <w:r>
        <w:rPr>
          <w:lang w:val="en-GB"/>
        </w:rPr>
        <w:t>A</w:t>
      </w:r>
      <w:r w:rsidR="00FC7043" w:rsidRPr="008D73A7">
        <w:rPr>
          <w:lang w:val="en-GB"/>
        </w:rPr>
        <w:t xml:space="preserve">mateur </w:t>
      </w:r>
      <w:r w:rsidR="0004039C" w:rsidRPr="008D73A7">
        <w:rPr>
          <w:lang w:val="en-GB"/>
        </w:rPr>
        <w:t>s</w:t>
      </w:r>
      <w:r w:rsidR="00FC7043" w:rsidRPr="008D73A7">
        <w:rPr>
          <w:lang w:val="en-GB"/>
        </w:rPr>
        <w:t>ervice</w:t>
      </w:r>
      <w:bookmarkEnd w:id="155"/>
      <w:bookmarkEnd w:id="156"/>
      <w:bookmarkEnd w:id="157"/>
    </w:p>
    <w:p w14:paraId="2B4BA197" w14:textId="60B19A95" w:rsidR="003F26FD" w:rsidRPr="008D73A7" w:rsidRDefault="003F26FD" w:rsidP="0063158B">
      <w:pPr>
        <w:jc w:val="both"/>
        <w:rPr>
          <w:lang w:val="en-GB"/>
        </w:rPr>
      </w:pPr>
      <w:r w:rsidRPr="008D73A7">
        <w:rPr>
          <w:lang w:val="en-GB"/>
        </w:rPr>
        <w:t xml:space="preserve">For the </w:t>
      </w:r>
      <w:r w:rsidR="00F06C9E" w:rsidRPr="008D73A7">
        <w:rPr>
          <w:lang w:val="en-GB"/>
        </w:rPr>
        <w:t>amateur service</w:t>
      </w:r>
      <w:r w:rsidR="00B84AE0" w:rsidRPr="008D73A7">
        <w:rPr>
          <w:lang w:val="en-GB"/>
        </w:rPr>
        <w:t>,</w:t>
      </w:r>
      <w:r w:rsidRPr="008D73A7">
        <w:rPr>
          <w:lang w:val="en-GB"/>
        </w:rPr>
        <w:t xml:space="preserve"> the same criterion as for the </w:t>
      </w:r>
      <w:r w:rsidR="00D27FD0" w:rsidRPr="008D73A7">
        <w:rPr>
          <w:lang w:val="en-GB"/>
        </w:rPr>
        <w:t>fixed service</w:t>
      </w:r>
      <w:r w:rsidRPr="008D73A7">
        <w:rPr>
          <w:lang w:val="en-GB"/>
        </w:rPr>
        <w:t xml:space="preserve"> has been consulted. In this interference scenario, separation distances smaller than 300 m result in compatibility between the interfering device and </w:t>
      </w:r>
      <w:r w:rsidR="00B37972" w:rsidRPr="008D73A7">
        <w:rPr>
          <w:lang w:val="en-GB"/>
        </w:rPr>
        <w:t>r</w:t>
      </w:r>
      <w:r w:rsidRPr="008D73A7">
        <w:rPr>
          <w:lang w:val="en-GB"/>
        </w:rPr>
        <w:t xml:space="preserve">adio </w:t>
      </w:r>
      <w:r w:rsidR="00B37972" w:rsidRPr="008D73A7">
        <w:rPr>
          <w:lang w:val="en-GB"/>
        </w:rPr>
        <w:t>s</w:t>
      </w:r>
      <w:r w:rsidRPr="008D73A7">
        <w:rPr>
          <w:lang w:val="en-GB"/>
        </w:rPr>
        <w:t>ervice such that a coexistence of both systems can be ensured. For separation distances larger than 300 m the probability of interference increases such that a compatibility cannot be ensured in all cases.</w:t>
      </w:r>
    </w:p>
    <w:p w14:paraId="0F82EFD5" w14:textId="6251E2AA" w:rsidR="003F26FD" w:rsidRPr="008D73A7" w:rsidRDefault="003F26FD" w:rsidP="0063158B">
      <w:pPr>
        <w:jc w:val="both"/>
        <w:rPr>
          <w:lang w:val="en-GB"/>
        </w:rPr>
      </w:pPr>
      <w:r w:rsidRPr="008D73A7">
        <w:rPr>
          <w:lang w:val="en-GB"/>
        </w:rPr>
        <w:t xml:space="preserve">The results illustrated in </w:t>
      </w:r>
      <w:r w:rsidR="004A044C" w:rsidRPr="008D73A7">
        <w:rPr>
          <w:lang w:val="en-GB"/>
        </w:rPr>
        <w:t>ECC Report 334</w:t>
      </w:r>
      <w:r w:rsidR="00492DBE" w:rsidRPr="008D73A7">
        <w:rPr>
          <w:lang w:val="en-GB"/>
        </w:rPr>
        <w:t>,</w:t>
      </w:r>
      <w:r w:rsidR="004A044C" w:rsidRPr="008D73A7">
        <w:rPr>
          <w:lang w:val="en-GB"/>
        </w:rPr>
        <w:t xml:space="preserve"> </w:t>
      </w:r>
      <w:r w:rsidR="00492DBE" w:rsidRPr="008D73A7">
        <w:rPr>
          <w:lang w:val="en-GB"/>
        </w:rPr>
        <w:t>t</w:t>
      </w:r>
      <w:r w:rsidR="004A044C" w:rsidRPr="008D73A7">
        <w:rPr>
          <w:lang w:val="en-GB"/>
        </w:rPr>
        <w:t xml:space="preserve">able 119 </w:t>
      </w:r>
      <w:r w:rsidRPr="008D73A7">
        <w:rPr>
          <w:lang w:val="en-GB"/>
        </w:rPr>
        <w:t xml:space="preserve">and </w:t>
      </w:r>
      <w:r w:rsidR="00492DBE" w:rsidRPr="008D73A7">
        <w:rPr>
          <w:lang w:val="en-GB"/>
        </w:rPr>
        <w:t>t</w:t>
      </w:r>
      <w:r w:rsidR="004A044C" w:rsidRPr="008D73A7">
        <w:rPr>
          <w:lang w:val="en-GB"/>
        </w:rPr>
        <w:t xml:space="preserve">able 120 </w:t>
      </w:r>
      <w:r w:rsidRPr="008D73A7">
        <w:rPr>
          <w:lang w:val="en-GB"/>
        </w:rPr>
        <w:t xml:space="preserve">suggest that compatibility between both CDR systems and </w:t>
      </w:r>
      <w:r w:rsidR="00440A07" w:rsidRPr="008D73A7">
        <w:rPr>
          <w:lang w:val="en-GB"/>
        </w:rPr>
        <w:t>a</w:t>
      </w:r>
      <w:r w:rsidRPr="008D73A7">
        <w:rPr>
          <w:lang w:val="en-GB"/>
        </w:rPr>
        <w:t xml:space="preserve">mateur can be asserted in all investigated frequency bands </w:t>
      </w:r>
      <w:r w:rsidRPr="008D73A7">
        <w:rPr>
          <w:rFonts w:eastAsiaTheme="minorHAnsi"/>
          <w:lang w:val="en-GB"/>
        </w:rPr>
        <w:t>without the implementation of additional mitigation techniques.</w:t>
      </w:r>
    </w:p>
    <w:p w14:paraId="5CE60FD0" w14:textId="10AACF25" w:rsidR="00FC7043" w:rsidRPr="008D73A7" w:rsidRDefault="000F29FC" w:rsidP="00A55704">
      <w:pPr>
        <w:pStyle w:val="Heading2"/>
        <w:rPr>
          <w:lang w:val="en-GB"/>
        </w:rPr>
      </w:pPr>
      <w:bookmarkStart w:id="158" w:name="_Toc123634711"/>
      <w:bookmarkStart w:id="159" w:name="_Toc123634801"/>
      <w:bookmarkStart w:id="160" w:name="_Toc135806303"/>
      <w:bookmarkStart w:id="161" w:name="_Toc153443770"/>
      <w:r w:rsidRPr="008D73A7">
        <w:rPr>
          <w:rFonts w:eastAsiaTheme="minorHAnsi"/>
          <w:lang w:val="en-GB"/>
        </w:rPr>
        <w:t>Tank level probing radar</w:t>
      </w:r>
      <w:r w:rsidR="00FC7043" w:rsidRPr="008D73A7">
        <w:rPr>
          <w:rFonts w:eastAsiaTheme="minorHAnsi"/>
          <w:lang w:val="en-GB"/>
        </w:rPr>
        <w:t xml:space="preserve"> (</w:t>
      </w:r>
      <w:r w:rsidRPr="008D73A7">
        <w:rPr>
          <w:rFonts w:eastAsiaTheme="minorHAnsi"/>
          <w:lang w:val="en-GB"/>
        </w:rPr>
        <w:t>TLPR</w:t>
      </w:r>
      <w:r w:rsidR="00FC7043" w:rsidRPr="008D73A7">
        <w:rPr>
          <w:rFonts w:eastAsiaTheme="minorHAnsi"/>
          <w:lang w:val="en-GB"/>
        </w:rPr>
        <w:t>)</w:t>
      </w:r>
      <w:bookmarkEnd w:id="158"/>
      <w:bookmarkEnd w:id="159"/>
      <w:bookmarkEnd w:id="160"/>
      <w:bookmarkEnd w:id="161"/>
    </w:p>
    <w:p w14:paraId="00F986CB" w14:textId="07E9536C" w:rsidR="00FC7043" w:rsidRPr="008D73A7" w:rsidRDefault="00FC7043" w:rsidP="00406659">
      <w:pPr>
        <w:pStyle w:val="Heading3"/>
        <w:rPr>
          <w:lang w:val="en-GB"/>
        </w:rPr>
      </w:pPr>
      <w:bookmarkStart w:id="162" w:name="_Toc123634712"/>
      <w:bookmarkStart w:id="163" w:name="_Toc123634802"/>
      <w:bookmarkStart w:id="164" w:name="_Toc135806304"/>
      <w:r w:rsidRPr="008D73A7">
        <w:rPr>
          <w:lang w:val="en-GB"/>
        </w:rPr>
        <w:t>Summary</w:t>
      </w:r>
      <w:bookmarkEnd w:id="162"/>
      <w:bookmarkEnd w:id="163"/>
      <w:bookmarkEnd w:id="164"/>
    </w:p>
    <w:p w14:paraId="2371DF61" w14:textId="48B8616B" w:rsidR="007036E5" w:rsidRPr="008D73A7" w:rsidRDefault="007036E5" w:rsidP="006138F7">
      <w:pPr>
        <w:spacing w:after="240"/>
        <w:jc w:val="both"/>
        <w:rPr>
          <w:rFonts w:eastAsiaTheme="minorHAnsi"/>
          <w:lang w:val="en-GB"/>
        </w:rPr>
      </w:pPr>
      <w:r w:rsidRPr="008D73A7">
        <w:rPr>
          <w:lang w:val="en-GB"/>
        </w:rPr>
        <w:t xml:space="preserve">For TLPR the candidate frequency bands </w:t>
      </w:r>
      <w:r w:rsidRPr="008D73A7">
        <w:rPr>
          <w:rFonts w:eastAsiaTheme="minorHAnsi"/>
          <w:lang w:val="en-GB"/>
        </w:rPr>
        <w:t>116</w:t>
      </w:r>
      <w:r w:rsidR="00666B9A" w:rsidRPr="008D73A7">
        <w:rPr>
          <w:rFonts w:eastAsiaTheme="minorHAnsi"/>
          <w:lang w:val="en-GB"/>
        </w:rPr>
        <w:t>-</w:t>
      </w:r>
      <w:r w:rsidRPr="008D73A7">
        <w:rPr>
          <w:rFonts w:eastAsiaTheme="minorHAnsi"/>
          <w:lang w:val="en-GB"/>
        </w:rPr>
        <w:t>148.5 GHz, 167</w:t>
      </w:r>
      <w:r w:rsidR="00666B9A" w:rsidRPr="008D73A7">
        <w:rPr>
          <w:rFonts w:eastAsiaTheme="minorHAnsi"/>
          <w:lang w:val="en-GB"/>
        </w:rPr>
        <w:t>-</w:t>
      </w:r>
      <w:r w:rsidRPr="008D73A7">
        <w:rPr>
          <w:rFonts w:eastAsiaTheme="minorHAnsi"/>
          <w:lang w:val="en-GB"/>
        </w:rPr>
        <w:t>182 GHz and 231.5</w:t>
      </w:r>
      <w:r w:rsidR="00666B9A" w:rsidRPr="008D73A7">
        <w:rPr>
          <w:rFonts w:eastAsiaTheme="minorHAnsi"/>
          <w:lang w:val="en-GB"/>
        </w:rPr>
        <w:t>-</w:t>
      </w:r>
      <w:r w:rsidRPr="008D73A7">
        <w:rPr>
          <w:rFonts w:eastAsiaTheme="minorHAnsi"/>
          <w:lang w:val="en-GB"/>
        </w:rPr>
        <w:t xml:space="preserve">250 GHz have been studied. </w:t>
      </w:r>
      <w:r w:rsidRPr="008D73A7">
        <w:rPr>
          <w:lang w:val="en-GB"/>
        </w:rPr>
        <w:t xml:space="preserve">It turned out that in all three frequency ranges compatibility between TLPR and all investigated </w:t>
      </w:r>
      <w:r w:rsidR="00B37972" w:rsidRPr="008D73A7">
        <w:rPr>
          <w:lang w:val="en-GB"/>
        </w:rPr>
        <w:t>r</w:t>
      </w:r>
      <w:r w:rsidRPr="008D73A7">
        <w:rPr>
          <w:lang w:val="en-GB"/>
        </w:rPr>
        <w:t xml:space="preserve">adio </w:t>
      </w:r>
      <w:r w:rsidR="00B37972" w:rsidRPr="008D73A7">
        <w:rPr>
          <w:lang w:val="en-GB"/>
        </w:rPr>
        <w:t>s</w:t>
      </w:r>
      <w:r w:rsidRPr="008D73A7">
        <w:rPr>
          <w:lang w:val="en-GB"/>
        </w:rPr>
        <w:t>ervices can be ensured.</w:t>
      </w:r>
    </w:p>
    <w:p w14:paraId="629344F5" w14:textId="77777777" w:rsidR="007036E5" w:rsidRPr="008D73A7" w:rsidRDefault="007036E5" w:rsidP="006138F7">
      <w:pPr>
        <w:jc w:val="both"/>
        <w:rPr>
          <w:rFonts w:eastAsiaTheme="minorHAnsi"/>
          <w:lang w:val="en-GB"/>
        </w:rPr>
      </w:pPr>
      <w:r w:rsidRPr="008D73A7">
        <w:rPr>
          <w:rFonts w:eastAsiaTheme="minorHAnsi"/>
          <w:lang w:val="en-GB"/>
        </w:rPr>
        <w:t>The following protection requirements have been assumed:</w:t>
      </w:r>
    </w:p>
    <w:p w14:paraId="46C95819" w14:textId="647E2062" w:rsidR="007036E5" w:rsidRPr="008D73A7" w:rsidRDefault="00EF31C6" w:rsidP="002137B6">
      <w:pPr>
        <w:pStyle w:val="ECCBulletsLv1"/>
        <w:ind w:left="340" w:hanging="340"/>
      </w:pPr>
      <w:r w:rsidRPr="008D73A7">
        <w:t>r</w:t>
      </w:r>
      <w:r w:rsidR="007036E5" w:rsidRPr="008D73A7">
        <w:t xml:space="preserve">adio </w:t>
      </w:r>
      <w:r w:rsidR="00F06C9E" w:rsidRPr="008D73A7">
        <w:t>a</w:t>
      </w:r>
      <w:r w:rsidR="007036E5" w:rsidRPr="008D73A7">
        <w:t>stronomy: Separation distance smaller than 20 km</w:t>
      </w:r>
      <w:r w:rsidR="00492DBE" w:rsidRPr="008D73A7">
        <w:t>;</w:t>
      </w:r>
    </w:p>
    <w:p w14:paraId="3545A2E8" w14:textId="55AD39A0" w:rsidR="007036E5" w:rsidRPr="008D73A7" w:rsidRDefault="00EF31C6" w:rsidP="002137B6">
      <w:pPr>
        <w:pStyle w:val="ECCBulletsLv1"/>
        <w:ind w:left="340" w:hanging="340"/>
      </w:pPr>
      <w:r w:rsidRPr="008D73A7">
        <w:t>f</w:t>
      </w:r>
      <w:r w:rsidR="007036E5" w:rsidRPr="008D73A7">
        <w:t xml:space="preserve">ixed </w:t>
      </w:r>
      <w:r w:rsidR="00F06C9E" w:rsidRPr="008D73A7">
        <w:t>s</w:t>
      </w:r>
      <w:r w:rsidR="007036E5" w:rsidRPr="008D73A7">
        <w:t xml:space="preserve">ervice and </w:t>
      </w:r>
      <w:r w:rsidR="00F06C9E" w:rsidRPr="008D73A7">
        <w:t>amateur service</w:t>
      </w:r>
      <w:r w:rsidR="007036E5" w:rsidRPr="008D73A7">
        <w:t>: Separation distance smaller than 300 m</w:t>
      </w:r>
      <w:r w:rsidR="00492DBE" w:rsidRPr="008D73A7">
        <w:t>;</w:t>
      </w:r>
    </w:p>
    <w:p w14:paraId="4B87605E" w14:textId="1E1ADBFB" w:rsidR="007036E5" w:rsidRPr="008D73A7" w:rsidRDefault="00EF31C6" w:rsidP="0095792D">
      <w:pPr>
        <w:pStyle w:val="ECCBulletsLv1"/>
        <w:ind w:left="340" w:hanging="340"/>
      </w:pPr>
      <w:r w:rsidRPr="008D73A7">
        <w:t>e</w:t>
      </w:r>
      <w:r w:rsidR="00E204B6" w:rsidRPr="008D73A7">
        <w:t>arth exploration satellite service</w:t>
      </w:r>
      <w:r w:rsidR="007036E5" w:rsidRPr="008D73A7">
        <w:t xml:space="preserve"> (passive): positive margin to the maximum interference level in the victim receiver (see </w:t>
      </w:r>
      <w:r w:rsidR="00B53DCE" w:rsidRPr="008D73A7">
        <w:t>ECC Report 334</w:t>
      </w:r>
      <w:r w:rsidR="00492DBE" w:rsidRPr="008D73A7">
        <w:t>,</w:t>
      </w:r>
      <w:r w:rsidR="00A01B29" w:rsidRPr="008D73A7">
        <w:fldChar w:fldCharType="begin"/>
      </w:r>
      <w:r w:rsidR="00A01B29" w:rsidRPr="008D73A7">
        <w:instrText xml:space="preserve"> REF ECC_Report_334 \h </w:instrText>
      </w:r>
      <w:r w:rsidR="00DE18AA" w:rsidRPr="008D73A7">
        <w:instrText xml:space="preserve"> \* MERGEFORMAT </w:instrText>
      </w:r>
      <w:r w:rsidR="00A01B29" w:rsidRPr="008D73A7">
        <w:fldChar w:fldCharType="end"/>
      </w:r>
      <w:r w:rsidR="00A01B29" w:rsidRPr="008D73A7">
        <w:t xml:space="preserve"> </w:t>
      </w:r>
      <w:r w:rsidR="007036E5" w:rsidRPr="008D73A7">
        <w:t xml:space="preserve">section </w:t>
      </w:r>
      <w:r w:rsidR="00B53DCE" w:rsidRPr="008D73A7">
        <w:t>3.5.4.2</w:t>
      </w:r>
      <w:r w:rsidR="00492DBE" w:rsidRPr="008D73A7">
        <w:t xml:space="preserve"> </w:t>
      </w:r>
      <w:r w:rsidR="00492DBE" w:rsidRPr="008D73A7">
        <w:fldChar w:fldCharType="begin"/>
      </w:r>
      <w:r w:rsidR="00492DBE" w:rsidRPr="008D73A7">
        <w:instrText xml:space="preserve"> REF ECC_Report_334 \w \h  \* MERGEFORMAT </w:instrText>
      </w:r>
      <w:r w:rsidR="00492DBE" w:rsidRPr="008D73A7">
        <w:fldChar w:fldCharType="separate"/>
      </w:r>
      <w:r w:rsidR="00113216" w:rsidRPr="008D73A7">
        <w:t>[1]</w:t>
      </w:r>
      <w:r w:rsidR="00492DBE" w:rsidRPr="008D73A7">
        <w:fldChar w:fldCharType="end"/>
      </w:r>
      <w:r w:rsidR="007036E5" w:rsidRPr="008D73A7">
        <w:t>).</w:t>
      </w:r>
    </w:p>
    <w:p w14:paraId="2388D7EF" w14:textId="77777777" w:rsidR="007036E5" w:rsidRPr="008D73A7" w:rsidRDefault="007036E5" w:rsidP="006138F7">
      <w:pPr>
        <w:jc w:val="both"/>
        <w:rPr>
          <w:rFonts w:eastAsiaTheme="minorHAnsi"/>
          <w:lang w:val="en-GB"/>
        </w:rPr>
      </w:pPr>
      <w:r w:rsidRPr="008D73A7">
        <w:rPr>
          <w:rFonts w:eastAsiaTheme="minorHAnsi"/>
          <w:lang w:val="en-GB"/>
        </w:rPr>
        <w:t>All tank level probing radars should furthermore comply with the following (installation) requirements:</w:t>
      </w:r>
    </w:p>
    <w:p w14:paraId="53D0A0DF" w14:textId="21019EE9" w:rsidR="007036E5" w:rsidRPr="008D73A7" w:rsidRDefault="007036E5" w:rsidP="00DE18AA">
      <w:pPr>
        <w:pStyle w:val="ECCBulletsLv1"/>
        <w:ind w:left="340" w:hanging="340"/>
      </w:pPr>
      <w:r w:rsidRPr="008D73A7">
        <w:t>The operation of TLPR sensors is envisaged for industrial purposes only</w:t>
      </w:r>
      <w:r w:rsidR="00492DBE" w:rsidRPr="008D73A7">
        <w:t>;</w:t>
      </w:r>
    </w:p>
    <w:p w14:paraId="05B87BEF" w14:textId="563A0EE9" w:rsidR="007036E5" w:rsidRPr="008D73A7" w:rsidRDefault="007036E5" w:rsidP="00DE18AA">
      <w:pPr>
        <w:pStyle w:val="ECCBulletsLv1"/>
        <w:ind w:left="340" w:hanging="340"/>
      </w:pPr>
      <w:r w:rsidRPr="008D73A7">
        <w:t>Installation and maintenance of TLPR equipment shall be performed by professionally trained individuals only</w:t>
      </w:r>
      <w:r w:rsidR="00492DBE" w:rsidRPr="008D73A7">
        <w:t>;</w:t>
      </w:r>
    </w:p>
    <w:p w14:paraId="1177290A" w14:textId="0C5AD850" w:rsidR="007036E5" w:rsidRPr="008D73A7" w:rsidRDefault="007036E5" w:rsidP="00DE18AA">
      <w:pPr>
        <w:pStyle w:val="ECCBulletsLv1"/>
        <w:ind w:left="340" w:hanging="340"/>
      </w:pPr>
      <w:r w:rsidRPr="008D73A7">
        <w:t>TLPR equipment shall not be marketed to private end customers</w:t>
      </w:r>
      <w:r w:rsidR="00492DBE" w:rsidRPr="008D73A7">
        <w:t>;</w:t>
      </w:r>
    </w:p>
    <w:p w14:paraId="236E145D" w14:textId="14293C79" w:rsidR="007036E5" w:rsidRPr="008D73A7" w:rsidRDefault="007036E5" w:rsidP="00DE18AA">
      <w:pPr>
        <w:pStyle w:val="ECCBulletsLv1"/>
        <w:ind w:left="340" w:hanging="340"/>
      </w:pPr>
      <w:r w:rsidRPr="008D73A7">
        <w:t>TLPRs shall be installed at a permanent fixed position at a closed metallic tank or concrete tank, or a similar enclosure structure made of comparable attenuating material</w:t>
      </w:r>
      <w:r w:rsidR="00492DBE" w:rsidRPr="008D73A7">
        <w:t>;</w:t>
      </w:r>
    </w:p>
    <w:p w14:paraId="5110024F" w14:textId="0D01A568" w:rsidR="007036E5" w:rsidRPr="008D73A7" w:rsidRDefault="007036E5" w:rsidP="00DE18AA">
      <w:pPr>
        <w:pStyle w:val="ECCBulletsLv1"/>
        <w:ind w:left="340" w:hanging="340"/>
      </w:pPr>
      <w:r w:rsidRPr="008D73A7">
        <w:t>Flanges and attachments of the TLPR equipment shall provide the necessary microwave sealing by design</w:t>
      </w:r>
      <w:r w:rsidR="00492DBE" w:rsidRPr="008D73A7">
        <w:t>;</w:t>
      </w:r>
    </w:p>
    <w:p w14:paraId="6E357853" w14:textId="13334A25" w:rsidR="007036E5" w:rsidRPr="008D73A7" w:rsidRDefault="007036E5" w:rsidP="002137B6">
      <w:pPr>
        <w:pStyle w:val="ECCBulletsLv1"/>
        <w:ind w:left="340" w:hanging="340"/>
      </w:pPr>
      <w:r w:rsidRPr="008D73A7">
        <w:t>Sight glasses shall be coated with a microwave-proof coating when necessary (i.e. electrically conductive or microwave absorbing coating)</w:t>
      </w:r>
      <w:r w:rsidR="00492DBE" w:rsidRPr="008D73A7">
        <w:t>;</w:t>
      </w:r>
    </w:p>
    <w:p w14:paraId="1455EA03" w14:textId="31B02C3C" w:rsidR="007036E5" w:rsidRPr="008D73A7" w:rsidRDefault="007036E5" w:rsidP="002137B6">
      <w:pPr>
        <w:pStyle w:val="ECCBulletsLv1"/>
        <w:ind w:left="340" w:hanging="340"/>
      </w:pPr>
      <w:r w:rsidRPr="008D73A7">
        <w:t>Manholes or connection flanges attached to the tank shall be closed while the TLPR equipment is in operation to ensure a low-level leakage of the signal into the free space outside the tank</w:t>
      </w:r>
      <w:r w:rsidR="00492DBE" w:rsidRPr="008D73A7">
        <w:t>;</w:t>
      </w:r>
    </w:p>
    <w:p w14:paraId="3EFF3142" w14:textId="77777777" w:rsidR="007036E5" w:rsidRPr="008D73A7" w:rsidRDefault="007036E5" w:rsidP="0095792D">
      <w:pPr>
        <w:pStyle w:val="ECCBulletsLv1"/>
        <w:ind w:left="340" w:hanging="340"/>
      </w:pPr>
      <w:r w:rsidRPr="008D73A7">
        <w:t>The provider is required to inform the users and installers of TLPR equipment about the installation requirements and the additional special mounting instructions.</w:t>
      </w:r>
    </w:p>
    <w:p w14:paraId="5F118558" w14:textId="48DF774F" w:rsidR="007036E5" w:rsidRPr="008D73A7" w:rsidRDefault="007036E5" w:rsidP="006138F7">
      <w:pPr>
        <w:jc w:val="both"/>
        <w:rPr>
          <w:lang w:val="en-GB"/>
        </w:rPr>
      </w:pPr>
      <w:r w:rsidRPr="008D73A7">
        <w:rPr>
          <w:lang w:val="en-GB"/>
        </w:rPr>
        <w:lastRenderedPageBreak/>
        <w:t>In addition, the following antenna requirement is proposed:</w:t>
      </w:r>
    </w:p>
    <w:p w14:paraId="3E356F0A" w14:textId="77777777" w:rsidR="007036E5" w:rsidRPr="008D73A7" w:rsidRDefault="007036E5" w:rsidP="00DE18AA">
      <w:pPr>
        <w:pStyle w:val="ECCBulletsLv1"/>
        <w:ind w:left="340" w:hanging="340"/>
      </w:pPr>
      <w:r w:rsidRPr="008D73A7">
        <w:t>For TLPR devices using an antenna gain smaller than 20 dBi, the maximum conducted peak output power shall be limited to 15 dBm.</w:t>
      </w:r>
    </w:p>
    <w:p w14:paraId="7FB4C041" w14:textId="2D8BA7FF" w:rsidR="00FC7043" w:rsidRPr="008D73A7" w:rsidRDefault="00915232" w:rsidP="00406659">
      <w:pPr>
        <w:pStyle w:val="Heading3"/>
        <w:rPr>
          <w:lang w:val="en-GB"/>
        </w:rPr>
      </w:pPr>
      <w:bookmarkStart w:id="165" w:name="_Toc123634713"/>
      <w:bookmarkStart w:id="166" w:name="_Toc123634803"/>
      <w:bookmarkStart w:id="167" w:name="_Toc135806305"/>
      <w:r>
        <w:rPr>
          <w:lang w:val="en-GB"/>
        </w:rPr>
        <w:t>R</w:t>
      </w:r>
      <w:r w:rsidR="00FC7043" w:rsidRPr="008D73A7">
        <w:rPr>
          <w:lang w:val="en-GB"/>
        </w:rPr>
        <w:t xml:space="preserve">adio </w:t>
      </w:r>
      <w:r w:rsidR="00B37972" w:rsidRPr="008D73A7">
        <w:rPr>
          <w:lang w:val="en-GB"/>
        </w:rPr>
        <w:t>a</w:t>
      </w:r>
      <w:r w:rsidR="00FC7043" w:rsidRPr="008D73A7">
        <w:rPr>
          <w:lang w:val="en-GB"/>
        </w:rPr>
        <w:t>stronomy</w:t>
      </w:r>
      <w:bookmarkEnd w:id="165"/>
      <w:bookmarkEnd w:id="166"/>
      <w:bookmarkEnd w:id="167"/>
    </w:p>
    <w:p w14:paraId="7314956B" w14:textId="42CB9C1B" w:rsidR="007036E5" w:rsidRPr="008D73A7" w:rsidRDefault="007036E5" w:rsidP="006138F7">
      <w:pPr>
        <w:jc w:val="both"/>
        <w:rPr>
          <w:lang w:val="en-GB"/>
        </w:rPr>
      </w:pPr>
      <w:r w:rsidRPr="008D73A7">
        <w:rPr>
          <w:lang w:val="en-GB"/>
        </w:rPr>
        <w:t>For the frequency bands 116</w:t>
      </w:r>
      <w:r w:rsidR="00666B9A" w:rsidRPr="008D73A7">
        <w:rPr>
          <w:lang w:val="en-GB"/>
        </w:rPr>
        <w:t>-</w:t>
      </w:r>
      <w:r w:rsidRPr="008D73A7">
        <w:rPr>
          <w:lang w:val="en-GB"/>
        </w:rPr>
        <w:t>148.5 GHz, 167</w:t>
      </w:r>
      <w:r w:rsidR="00666B9A" w:rsidRPr="008D73A7">
        <w:rPr>
          <w:lang w:val="en-GB"/>
        </w:rPr>
        <w:t>-</w:t>
      </w:r>
      <w:r w:rsidRPr="008D73A7">
        <w:rPr>
          <w:lang w:val="en-GB"/>
        </w:rPr>
        <w:t>182 GHz and 231.5</w:t>
      </w:r>
      <w:r w:rsidR="00666B9A" w:rsidRPr="008D73A7">
        <w:rPr>
          <w:lang w:val="en-GB"/>
        </w:rPr>
        <w:t>-</w:t>
      </w:r>
      <w:r w:rsidRPr="008D73A7">
        <w:rPr>
          <w:lang w:val="en-GB"/>
        </w:rPr>
        <w:t xml:space="preserve">250 GHz compatibility can be ensured between TLPR and RAS when separation distances of 5.3 km, 2.7 km and 1 km, respectively, are respected without the implementation of additional mitigation techniques (see </w:t>
      </w:r>
      <w:r w:rsidR="00C07053" w:rsidRPr="008D73A7">
        <w:rPr>
          <w:lang w:val="en-GB"/>
        </w:rPr>
        <w:t>ECC Report 334</w:t>
      </w:r>
      <w:r w:rsidR="00241049" w:rsidRPr="008D73A7">
        <w:rPr>
          <w:lang w:val="en-GB"/>
        </w:rPr>
        <w:t>,</w:t>
      </w:r>
      <w:r w:rsidR="008F1B16" w:rsidRPr="008D73A7">
        <w:rPr>
          <w:lang w:val="en-GB"/>
        </w:rPr>
        <w:t xml:space="preserve"> </w:t>
      </w:r>
      <w:r w:rsidRPr="008D73A7">
        <w:rPr>
          <w:lang w:val="en-GB"/>
        </w:rPr>
        <w:t>section</w:t>
      </w:r>
      <w:r w:rsidR="00C07053" w:rsidRPr="008D73A7">
        <w:rPr>
          <w:lang w:val="en-GB"/>
        </w:rPr>
        <w:t xml:space="preserve"> 4.7.2</w:t>
      </w:r>
      <w:r w:rsidR="00241049" w:rsidRPr="008D73A7">
        <w:rPr>
          <w:lang w:val="en-GB"/>
        </w:rPr>
        <w:t xml:space="preserve"> </w:t>
      </w:r>
      <w:r w:rsidR="00241049" w:rsidRPr="008D73A7">
        <w:rPr>
          <w:lang w:val="en-GB"/>
        </w:rPr>
        <w:fldChar w:fldCharType="begin"/>
      </w:r>
      <w:r w:rsidR="00241049" w:rsidRPr="008D73A7">
        <w:rPr>
          <w:lang w:val="en-GB"/>
        </w:rPr>
        <w:instrText xml:space="preserve"> REF ECC_Report_334 \w \h  \* MERGEFORMAT </w:instrText>
      </w:r>
      <w:r w:rsidR="00241049" w:rsidRPr="008D73A7">
        <w:rPr>
          <w:lang w:val="en-GB"/>
        </w:rPr>
      </w:r>
      <w:r w:rsidR="00241049" w:rsidRPr="008D73A7">
        <w:rPr>
          <w:lang w:val="en-GB"/>
        </w:rPr>
        <w:fldChar w:fldCharType="separate"/>
      </w:r>
      <w:r w:rsidR="00113216" w:rsidRPr="008D73A7">
        <w:rPr>
          <w:lang w:val="en-GB"/>
        </w:rPr>
        <w:t>[1]</w:t>
      </w:r>
      <w:r w:rsidR="00241049" w:rsidRPr="008D73A7">
        <w:rPr>
          <w:lang w:val="en-GB"/>
        </w:rPr>
        <w:fldChar w:fldCharType="end"/>
      </w:r>
      <w:r w:rsidRPr="008D73A7">
        <w:rPr>
          <w:lang w:val="en-GB"/>
        </w:rPr>
        <w:t>). Industrial areas where TLPR sensors are usually installed and operated are not located in such close proximity to radio astronomy stations. Therefore, the implementation of specific exclusion zones around radio astronomy stations is not suggested.</w:t>
      </w:r>
    </w:p>
    <w:p w14:paraId="54408BC1" w14:textId="0353F328" w:rsidR="00FC7043" w:rsidRPr="008D73A7" w:rsidRDefault="00915232" w:rsidP="00406659">
      <w:pPr>
        <w:pStyle w:val="Heading3"/>
        <w:rPr>
          <w:lang w:val="en-GB"/>
        </w:rPr>
      </w:pPr>
      <w:bookmarkStart w:id="168" w:name="_Toc123634714"/>
      <w:bookmarkStart w:id="169" w:name="_Toc123634804"/>
      <w:bookmarkStart w:id="170" w:name="_Toc135806306"/>
      <w:r>
        <w:rPr>
          <w:lang w:val="en-GB"/>
        </w:rPr>
        <w:t>F</w:t>
      </w:r>
      <w:r w:rsidR="00FC7043" w:rsidRPr="008D73A7">
        <w:rPr>
          <w:lang w:val="en-GB"/>
        </w:rPr>
        <w:t xml:space="preserve">ixed </w:t>
      </w:r>
      <w:r w:rsidR="008F1B16" w:rsidRPr="008D73A7">
        <w:rPr>
          <w:lang w:val="en-GB"/>
        </w:rPr>
        <w:t>s</w:t>
      </w:r>
      <w:r w:rsidR="00FC7043" w:rsidRPr="008D73A7">
        <w:rPr>
          <w:lang w:val="en-GB"/>
        </w:rPr>
        <w:t>ervice</w:t>
      </w:r>
      <w:bookmarkEnd w:id="168"/>
      <w:bookmarkEnd w:id="169"/>
      <w:bookmarkEnd w:id="170"/>
    </w:p>
    <w:p w14:paraId="35B24F84" w14:textId="2528C505" w:rsidR="007036E5" w:rsidRPr="008D73A7" w:rsidRDefault="007036E5" w:rsidP="006138F7">
      <w:pPr>
        <w:spacing w:after="240"/>
        <w:jc w:val="both"/>
        <w:rPr>
          <w:lang w:val="en-GB"/>
        </w:rPr>
      </w:pPr>
      <w:r w:rsidRPr="008D73A7">
        <w:rPr>
          <w:lang w:val="en-GB"/>
        </w:rPr>
        <w:t xml:space="preserve">For evaluating the compatibility between TLPR and FS the two worst-case interference scenarios in </w:t>
      </w:r>
      <w:r w:rsidR="00F034DB" w:rsidRPr="008D73A7">
        <w:rPr>
          <w:lang w:val="en-GB"/>
        </w:rPr>
        <w:t>ECC Report 334</w:t>
      </w:r>
      <w:r w:rsidR="00241049" w:rsidRPr="008D73A7">
        <w:rPr>
          <w:lang w:val="en-GB"/>
        </w:rPr>
        <w:t>,</w:t>
      </w:r>
      <w:r w:rsidR="00F034DB" w:rsidRPr="008D73A7">
        <w:rPr>
          <w:lang w:val="en-GB"/>
        </w:rPr>
        <w:t xml:space="preserve"> </w:t>
      </w:r>
      <w:r w:rsidR="00241049" w:rsidRPr="008D73A7">
        <w:rPr>
          <w:lang w:val="en-GB"/>
        </w:rPr>
        <w:t>f</w:t>
      </w:r>
      <w:r w:rsidR="00F034DB" w:rsidRPr="008D73A7">
        <w:rPr>
          <w:lang w:val="en-GB"/>
        </w:rPr>
        <w:t xml:space="preserve">igure 53 </w:t>
      </w:r>
      <w:r w:rsidRPr="008D73A7">
        <w:rPr>
          <w:lang w:val="en-GB"/>
        </w:rPr>
        <w:t xml:space="preserve">and </w:t>
      </w:r>
      <w:r w:rsidR="00241049" w:rsidRPr="008D73A7">
        <w:rPr>
          <w:lang w:val="en-GB"/>
        </w:rPr>
        <w:t>f</w:t>
      </w:r>
      <w:r w:rsidR="00F034DB" w:rsidRPr="008D73A7">
        <w:rPr>
          <w:lang w:val="en-GB"/>
        </w:rPr>
        <w:t>igure 54</w:t>
      </w:r>
      <w:r w:rsidRPr="008D73A7">
        <w:rPr>
          <w:lang w:val="en-GB"/>
        </w:rPr>
        <w:t xml:space="preserve"> have been defined. In both scenarios it is valid that separation distances smaller than 300 m result in compatibility between TLPR and FS such that a coexistence of both systems is always given. Separation distances larger than 300 m in contrast produce interference to the FS receiver such that the protection requirements identified in </w:t>
      </w:r>
      <w:r w:rsidR="00795E5E" w:rsidRPr="008D73A7">
        <w:rPr>
          <w:lang w:val="en-GB"/>
        </w:rPr>
        <w:t>ECC Report 334</w:t>
      </w:r>
      <w:r w:rsidR="001E2733" w:rsidRPr="008D73A7">
        <w:rPr>
          <w:lang w:val="en-GB"/>
        </w:rPr>
        <w:t>,</w:t>
      </w:r>
      <w:r w:rsidR="00795E5E" w:rsidRPr="008D73A7">
        <w:rPr>
          <w:lang w:val="en-GB"/>
        </w:rPr>
        <w:t xml:space="preserve"> </w:t>
      </w:r>
      <w:r w:rsidRPr="008D73A7">
        <w:rPr>
          <w:lang w:val="en-GB"/>
        </w:rPr>
        <w:t xml:space="preserve">section </w:t>
      </w:r>
      <w:r w:rsidR="00795E5E" w:rsidRPr="008D73A7">
        <w:rPr>
          <w:lang w:val="en-GB"/>
        </w:rPr>
        <w:t>3.5.3</w:t>
      </w:r>
      <w:r w:rsidRPr="008D73A7">
        <w:rPr>
          <w:lang w:val="en-GB"/>
        </w:rPr>
        <w:t xml:space="preserve"> </w:t>
      </w:r>
      <w:proofErr w:type="gramStart"/>
      <w:r w:rsidRPr="008D73A7">
        <w:rPr>
          <w:lang w:val="en-GB"/>
        </w:rPr>
        <w:t>are</w:t>
      </w:r>
      <w:proofErr w:type="gramEnd"/>
      <w:r w:rsidRPr="008D73A7">
        <w:rPr>
          <w:lang w:val="en-GB"/>
        </w:rPr>
        <w:t xml:space="preserve"> not fulfilled. In this case the coexistence of both systems is not possible in the respective scenario without further protection measures.</w:t>
      </w:r>
    </w:p>
    <w:p w14:paraId="14A158C4" w14:textId="482DB1E8" w:rsidR="007036E5" w:rsidRPr="008D73A7" w:rsidRDefault="007036E5" w:rsidP="006138F7">
      <w:pPr>
        <w:jc w:val="both"/>
        <w:rPr>
          <w:lang w:val="en-GB"/>
        </w:rPr>
      </w:pPr>
      <w:r w:rsidRPr="008D73A7">
        <w:rPr>
          <w:lang w:val="en-GB"/>
        </w:rPr>
        <w:t xml:space="preserve">All calculated separation distances for TLPR in </w:t>
      </w:r>
      <w:r w:rsidR="00795E5E" w:rsidRPr="008D73A7">
        <w:rPr>
          <w:lang w:val="en-GB"/>
        </w:rPr>
        <w:t>ECC Report 334</w:t>
      </w:r>
      <w:r w:rsidR="0050237C" w:rsidRPr="008D73A7">
        <w:rPr>
          <w:lang w:val="en-GB"/>
        </w:rPr>
        <w:t>,</w:t>
      </w:r>
      <w:r w:rsidR="00795E5E" w:rsidRPr="008D73A7">
        <w:rPr>
          <w:lang w:val="en-GB"/>
        </w:rPr>
        <w:t xml:space="preserve"> </w:t>
      </w:r>
      <w:r w:rsidR="0050237C" w:rsidRPr="008D73A7">
        <w:rPr>
          <w:lang w:val="en-GB"/>
        </w:rPr>
        <w:t>t</w:t>
      </w:r>
      <w:r w:rsidR="00795E5E" w:rsidRPr="008D73A7">
        <w:rPr>
          <w:lang w:val="en-GB"/>
        </w:rPr>
        <w:t xml:space="preserve">able 80 </w:t>
      </w:r>
      <w:r w:rsidRPr="008D73A7">
        <w:rPr>
          <w:lang w:val="en-GB"/>
        </w:rPr>
        <w:t xml:space="preserve">are smaller than 300 m. Therefore, compatibility between TLPR and FS can always be asserted for both </w:t>
      </w:r>
      <w:r w:rsidR="002F4E21" w:rsidRPr="008D73A7">
        <w:rPr>
          <w:lang w:val="en-GB"/>
        </w:rPr>
        <w:t>scenarios,</w:t>
      </w:r>
      <w:r w:rsidRPr="008D73A7">
        <w:rPr>
          <w:lang w:val="en-GB"/>
        </w:rPr>
        <w:t xml:space="preserve"> and both investigated protection objectives without the implementation of additional mitigation techniques.</w:t>
      </w:r>
    </w:p>
    <w:p w14:paraId="4B3E4028" w14:textId="373461C0" w:rsidR="00FC7043" w:rsidRPr="008D73A7" w:rsidRDefault="00915232" w:rsidP="00406659">
      <w:pPr>
        <w:pStyle w:val="Heading3"/>
        <w:rPr>
          <w:lang w:val="en-GB"/>
        </w:rPr>
      </w:pPr>
      <w:bookmarkStart w:id="171" w:name="_Toc123634715"/>
      <w:bookmarkStart w:id="172" w:name="_Toc123634805"/>
      <w:bookmarkStart w:id="173" w:name="_Toc135806307"/>
      <w:r>
        <w:rPr>
          <w:lang w:val="en-GB"/>
        </w:rPr>
        <w:t>E</w:t>
      </w:r>
      <w:r w:rsidR="00FC7043" w:rsidRPr="008D73A7">
        <w:rPr>
          <w:lang w:val="en-GB"/>
        </w:rPr>
        <w:t xml:space="preserve">arth </w:t>
      </w:r>
      <w:r w:rsidR="00EF31C6" w:rsidRPr="008D73A7">
        <w:rPr>
          <w:lang w:val="en-GB"/>
        </w:rPr>
        <w:t>e</w:t>
      </w:r>
      <w:r w:rsidR="00FC7043" w:rsidRPr="008D73A7">
        <w:rPr>
          <w:lang w:val="en-GB"/>
        </w:rPr>
        <w:t xml:space="preserve">xploration </w:t>
      </w:r>
      <w:r w:rsidR="00EF31C6" w:rsidRPr="008D73A7">
        <w:rPr>
          <w:lang w:val="en-GB"/>
        </w:rPr>
        <w:t>s</w:t>
      </w:r>
      <w:r w:rsidR="00FC7043" w:rsidRPr="008D73A7">
        <w:rPr>
          <w:lang w:val="en-GB"/>
        </w:rPr>
        <w:t xml:space="preserve">atellite </w:t>
      </w:r>
      <w:r w:rsidR="00EF31C6" w:rsidRPr="008D73A7">
        <w:rPr>
          <w:lang w:val="en-GB"/>
        </w:rPr>
        <w:t>s</w:t>
      </w:r>
      <w:r w:rsidR="00FC7043" w:rsidRPr="008D73A7">
        <w:rPr>
          <w:lang w:val="en-GB"/>
        </w:rPr>
        <w:t>ervice (</w:t>
      </w:r>
      <w:r>
        <w:rPr>
          <w:lang w:val="en-GB"/>
        </w:rPr>
        <w:t>P</w:t>
      </w:r>
      <w:r w:rsidR="00FC7043" w:rsidRPr="008D73A7">
        <w:rPr>
          <w:lang w:val="en-GB"/>
        </w:rPr>
        <w:t>assive)</w:t>
      </w:r>
      <w:bookmarkEnd w:id="171"/>
      <w:bookmarkEnd w:id="172"/>
      <w:bookmarkEnd w:id="173"/>
    </w:p>
    <w:p w14:paraId="0975306D" w14:textId="55961550" w:rsidR="007036E5" w:rsidRPr="008D73A7" w:rsidRDefault="007036E5" w:rsidP="006138F7">
      <w:pPr>
        <w:jc w:val="both"/>
        <w:rPr>
          <w:lang w:val="en-GB"/>
        </w:rPr>
      </w:pPr>
      <w:r w:rsidRPr="008D73A7">
        <w:rPr>
          <w:lang w:val="en-GB"/>
        </w:rPr>
        <w:t xml:space="preserve">For all investigated frequency bands in particular for the aggregate consideration ample margins to the interference criteria can be ensured </w:t>
      </w:r>
      <w:r w:rsidRPr="008D73A7">
        <w:rPr>
          <w:rFonts w:eastAsiaTheme="minorHAnsi"/>
          <w:lang w:val="en-GB"/>
        </w:rPr>
        <w:t>without the implementation of additional mitigation techniques</w:t>
      </w:r>
      <w:r w:rsidRPr="008D73A7">
        <w:rPr>
          <w:lang w:val="en-GB"/>
        </w:rPr>
        <w:t xml:space="preserve"> (see </w:t>
      </w:r>
      <w:r w:rsidR="004514BD" w:rsidRPr="008D73A7">
        <w:rPr>
          <w:lang w:val="en-GB"/>
        </w:rPr>
        <w:t>ECC Report 334</w:t>
      </w:r>
      <w:r w:rsidR="00081556" w:rsidRPr="008D73A7">
        <w:rPr>
          <w:lang w:val="en-GB"/>
        </w:rPr>
        <w:t>,</w:t>
      </w:r>
      <w:r w:rsidR="004514BD" w:rsidRPr="008D73A7">
        <w:rPr>
          <w:lang w:val="en-GB"/>
        </w:rPr>
        <w:t xml:space="preserve"> </w:t>
      </w:r>
      <w:r w:rsidRPr="008D73A7">
        <w:rPr>
          <w:lang w:val="en-GB"/>
        </w:rPr>
        <w:t>section</w:t>
      </w:r>
      <w:r w:rsidR="004514BD" w:rsidRPr="008D73A7">
        <w:rPr>
          <w:lang w:val="en-GB"/>
        </w:rPr>
        <w:t xml:space="preserve"> 6.7.2</w:t>
      </w:r>
      <w:r w:rsidRPr="008D73A7">
        <w:rPr>
          <w:lang w:val="en-GB"/>
        </w:rPr>
        <w:t>).</w:t>
      </w:r>
    </w:p>
    <w:p w14:paraId="2E301E97" w14:textId="05802DBC" w:rsidR="00FC7043" w:rsidRPr="008D73A7" w:rsidRDefault="00915232" w:rsidP="00406659">
      <w:pPr>
        <w:pStyle w:val="Heading3"/>
        <w:rPr>
          <w:lang w:val="en-GB"/>
        </w:rPr>
      </w:pPr>
      <w:bookmarkStart w:id="174" w:name="_Toc123634716"/>
      <w:bookmarkStart w:id="175" w:name="_Toc123634806"/>
      <w:bookmarkStart w:id="176" w:name="_Toc135806308"/>
      <w:r>
        <w:rPr>
          <w:lang w:val="en-GB"/>
        </w:rPr>
        <w:t>A</w:t>
      </w:r>
      <w:r w:rsidR="00FC7043" w:rsidRPr="008D73A7">
        <w:rPr>
          <w:lang w:val="en-GB"/>
        </w:rPr>
        <w:t xml:space="preserve">mateur </w:t>
      </w:r>
      <w:r w:rsidR="000076BB" w:rsidRPr="008D73A7">
        <w:rPr>
          <w:lang w:val="en-GB"/>
        </w:rPr>
        <w:t>s</w:t>
      </w:r>
      <w:r w:rsidR="00FC7043" w:rsidRPr="008D73A7">
        <w:rPr>
          <w:lang w:val="en-GB"/>
        </w:rPr>
        <w:t>ervice</w:t>
      </w:r>
      <w:bookmarkEnd w:id="174"/>
      <w:bookmarkEnd w:id="175"/>
      <w:bookmarkEnd w:id="176"/>
    </w:p>
    <w:p w14:paraId="3A90C7BA" w14:textId="79DEF8ED" w:rsidR="007036E5" w:rsidRPr="008D73A7" w:rsidRDefault="007036E5" w:rsidP="006138F7">
      <w:pPr>
        <w:spacing w:after="240"/>
        <w:jc w:val="both"/>
        <w:rPr>
          <w:lang w:val="en-GB"/>
        </w:rPr>
      </w:pPr>
      <w:r w:rsidRPr="008D73A7">
        <w:rPr>
          <w:lang w:val="en-GB"/>
        </w:rPr>
        <w:t xml:space="preserve">For the </w:t>
      </w:r>
      <w:r w:rsidR="00F06C9E" w:rsidRPr="008D73A7">
        <w:rPr>
          <w:lang w:val="en-GB"/>
        </w:rPr>
        <w:t>amateur service</w:t>
      </w:r>
      <w:r w:rsidRPr="008D73A7">
        <w:rPr>
          <w:lang w:val="en-GB"/>
        </w:rPr>
        <w:t xml:space="preserve"> the same criterion as for the </w:t>
      </w:r>
      <w:r w:rsidR="00D27FD0" w:rsidRPr="008D73A7">
        <w:rPr>
          <w:lang w:val="en-GB"/>
        </w:rPr>
        <w:t>fixed service</w:t>
      </w:r>
      <w:r w:rsidRPr="008D73A7">
        <w:rPr>
          <w:lang w:val="en-GB"/>
        </w:rPr>
        <w:t xml:space="preserve"> has been consulted. In this interference scenario, separation distances smaller than 300 m result in compatibility between the interfering device and </w:t>
      </w:r>
      <w:r w:rsidR="00B37972" w:rsidRPr="008D73A7">
        <w:rPr>
          <w:lang w:val="en-GB"/>
        </w:rPr>
        <w:t>r</w:t>
      </w:r>
      <w:r w:rsidRPr="008D73A7">
        <w:rPr>
          <w:lang w:val="en-GB"/>
        </w:rPr>
        <w:t xml:space="preserve">adio </w:t>
      </w:r>
      <w:r w:rsidR="00B37972" w:rsidRPr="008D73A7">
        <w:rPr>
          <w:lang w:val="en-GB"/>
        </w:rPr>
        <w:t>s</w:t>
      </w:r>
      <w:r w:rsidRPr="008D73A7">
        <w:rPr>
          <w:lang w:val="en-GB"/>
        </w:rPr>
        <w:t>ervice such that a coexistence of both systems can be ensured. For separation distances larger than 300 m</w:t>
      </w:r>
      <w:r w:rsidR="00D9014C">
        <w:rPr>
          <w:lang w:val="en-GB"/>
        </w:rPr>
        <w:t>,</w:t>
      </w:r>
      <w:r w:rsidRPr="008D73A7">
        <w:rPr>
          <w:lang w:val="en-GB"/>
        </w:rPr>
        <w:t xml:space="preserve"> the probability of interference increases such that a compatibility cannot be ensured in all cases.</w:t>
      </w:r>
    </w:p>
    <w:p w14:paraId="469E1B79" w14:textId="7EB1D5EF" w:rsidR="007036E5" w:rsidRPr="008D73A7" w:rsidRDefault="007036E5" w:rsidP="006138F7">
      <w:pPr>
        <w:jc w:val="both"/>
        <w:rPr>
          <w:lang w:val="en-GB"/>
        </w:rPr>
      </w:pPr>
      <w:r w:rsidRPr="008D73A7">
        <w:rPr>
          <w:lang w:val="en-GB"/>
        </w:rPr>
        <w:t xml:space="preserve">The results illustrated in </w:t>
      </w:r>
      <w:r w:rsidR="004514BD" w:rsidRPr="008D73A7">
        <w:rPr>
          <w:lang w:val="en-GB"/>
        </w:rPr>
        <w:t>ECC Report 334</w:t>
      </w:r>
      <w:r w:rsidR="00081556" w:rsidRPr="008D73A7">
        <w:rPr>
          <w:lang w:val="en-GB"/>
        </w:rPr>
        <w:t>,</w:t>
      </w:r>
      <w:r w:rsidR="004514BD" w:rsidRPr="008D73A7">
        <w:rPr>
          <w:lang w:val="en-GB"/>
        </w:rPr>
        <w:t xml:space="preserve"> </w:t>
      </w:r>
      <w:r w:rsidR="00081556" w:rsidRPr="008D73A7">
        <w:rPr>
          <w:lang w:val="en-GB"/>
        </w:rPr>
        <w:t>t</w:t>
      </w:r>
      <w:r w:rsidR="004514BD" w:rsidRPr="008D73A7">
        <w:rPr>
          <w:lang w:val="en-GB"/>
        </w:rPr>
        <w:t xml:space="preserve">able 122 </w:t>
      </w:r>
      <w:r w:rsidRPr="008D73A7">
        <w:rPr>
          <w:lang w:val="en-GB"/>
        </w:rPr>
        <w:t xml:space="preserve">suggest that compatibility between TLPR and </w:t>
      </w:r>
      <w:r w:rsidR="000076BB" w:rsidRPr="008D73A7">
        <w:rPr>
          <w:lang w:val="en-GB"/>
        </w:rPr>
        <w:t>a</w:t>
      </w:r>
      <w:r w:rsidRPr="008D73A7">
        <w:rPr>
          <w:lang w:val="en-GB"/>
        </w:rPr>
        <w:t xml:space="preserve">mateur can be asserted in all investigated frequency bands </w:t>
      </w:r>
      <w:r w:rsidRPr="008D73A7">
        <w:rPr>
          <w:rFonts w:eastAsiaTheme="minorHAnsi"/>
          <w:lang w:val="en-GB"/>
        </w:rPr>
        <w:t xml:space="preserve">without the implementation of additional mitigation techniques (see </w:t>
      </w:r>
      <w:r w:rsidR="002C1E12" w:rsidRPr="008D73A7">
        <w:rPr>
          <w:lang w:val="en-GB"/>
        </w:rPr>
        <w:t>ECC Report 334</w:t>
      </w:r>
      <w:r w:rsidR="001E2733" w:rsidRPr="008D73A7">
        <w:rPr>
          <w:lang w:val="en-GB"/>
        </w:rPr>
        <w:t>,</w:t>
      </w:r>
      <w:r w:rsidR="002C1E12" w:rsidRPr="008D73A7">
        <w:rPr>
          <w:lang w:val="en-GB"/>
        </w:rPr>
        <w:t xml:space="preserve"> </w:t>
      </w:r>
      <w:r w:rsidRPr="008D73A7">
        <w:rPr>
          <w:rFonts w:eastAsiaTheme="minorHAnsi"/>
          <w:lang w:val="en-GB"/>
        </w:rPr>
        <w:t>section</w:t>
      </w:r>
      <w:r w:rsidR="002C1E12" w:rsidRPr="008D73A7">
        <w:rPr>
          <w:rFonts w:eastAsiaTheme="minorHAnsi"/>
          <w:lang w:val="en-GB"/>
        </w:rPr>
        <w:t xml:space="preserve"> 7.7.2</w:t>
      </w:r>
      <w:r w:rsidRPr="008D73A7">
        <w:rPr>
          <w:rFonts w:eastAsiaTheme="minorHAnsi"/>
          <w:lang w:val="en-GB"/>
        </w:rPr>
        <w:t>).</w:t>
      </w:r>
    </w:p>
    <w:p w14:paraId="379412A9" w14:textId="36C45AE1" w:rsidR="00C76CF9" w:rsidRPr="008D73A7" w:rsidRDefault="00C76CF9" w:rsidP="00A55704">
      <w:pPr>
        <w:pStyle w:val="Heading2"/>
        <w:rPr>
          <w:lang w:val="en-GB"/>
        </w:rPr>
      </w:pPr>
      <w:bookmarkStart w:id="177" w:name="_Toc123634717"/>
      <w:bookmarkStart w:id="178" w:name="_Toc123634807"/>
      <w:bookmarkStart w:id="179" w:name="_Toc135806309"/>
      <w:bookmarkStart w:id="180" w:name="_Toc153443771"/>
      <w:r w:rsidRPr="008D73A7">
        <w:rPr>
          <w:rFonts w:eastAsiaTheme="minorHAnsi"/>
          <w:lang w:val="en-GB"/>
        </w:rPr>
        <w:t>Radiodetermination systems for industry automation in shielded environments (RDI</w:t>
      </w:r>
      <w:r w:rsidR="0024605A" w:rsidRPr="008D73A7">
        <w:rPr>
          <w:rFonts w:eastAsiaTheme="minorHAnsi"/>
          <w:lang w:val="en-GB"/>
        </w:rPr>
        <w:t>-</w:t>
      </w:r>
      <w:r w:rsidRPr="008D73A7">
        <w:rPr>
          <w:rFonts w:eastAsiaTheme="minorHAnsi"/>
          <w:lang w:val="en-GB"/>
        </w:rPr>
        <w:t>S)</w:t>
      </w:r>
      <w:bookmarkEnd w:id="177"/>
      <w:bookmarkEnd w:id="178"/>
      <w:bookmarkEnd w:id="179"/>
      <w:bookmarkEnd w:id="180"/>
    </w:p>
    <w:p w14:paraId="469CA480" w14:textId="6E0BA8D9" w:rsidR="00C76CF9" w:rsidRPr="008D73A7" w:rsidRDefault="00C76CF9" w:rsidP="00800FE2">
      <w:pPr>
        <w:pStyle w:val="Heading3"/>
        <w:spacing w:before="240"/>
        <w:rPr>
          <w:lang w:val="en-GB"/>
        </w:rPr>
      </w:pPr>
      <w:bookmarkStart w:id="181" w:name="_Toc123634718"/>
      <w:bookmarkStart w:id="182" w:name="_Toc123634808"/>
      <w:bookmarkStart w:id="183" w:name="_Toc135806310"/>
      <w:r w:rsidRPr="008D73A7">
        <w:rPr>
          <w:lang w:val="en-GB"/>
        </w:rPr>
        <w:t>Summary</w:t>
      </w:r>
      <w:bookmarkEnd w:id="181"/>
      <w:bookmarkEnd w:id="182"/>
      <w:bookmarkEnd w:id="183"/>
    </w:p>
    <w:p w14:paraId="3E430F78" w14:textId="21BEBF1C" w:rsidR="0024605A" w:rsidRPr="008D73A7" w:rsidRDefault="0024605A" w:rsidP="00800FE2">
      <w:pPr>
        <w:jc w:val="both"/>
        <w:rPr>
          <w:rFonts w:eastAsiaTheme="minorHAnsi"/>
          <w:lang w:val="en-GB"/>
        </w:rPr>
      </w:pPr>
      <w:r w:rsidRPr="008D73A7">
        <w:rPr>
          <w:lang w:val="en-GB"/>
        </w:rPr>
        <w:t xml:space="preserve">For RDI-S the frequency band </w:t>
      </w:r>
      <w:r w:rsidRPr="008D73A7">
        <w:rPr>
          <w:rFonts w:eastAsiaTheme="minorHAnsi"/>
          <w:lang w:val="en-GB"/>
        </w:rPr>
        <w:t>116</w:t>
      </w:r>
      <w:r w:rsidR="00666B9A" w:rsidRPr="008D73A7">
        <w:rPr>
          <w:rFonts w:eastAsiaTheme="minorHAnsi"/>
          <w:lang w:val="en-GB"/>
        </w:rPr>
        <w:t>-</w:t>
      </w:r>
      <w:r w:rsidRPr="008D73A7">
        <w:rPr>
          <w:rFonts w:eastAsiaTheme="minorHAnsi"/>
          <w:lang w:val="en-GB"/>
        </w:rPr>
        <w:t xml:space="preserve">260 GHz has been studied. </w:t>
      </w:r>
      <w:r w:rsidRPr="008D73A7">
        <w:rPr>
          <w:lang w:val="en-GB"/>
        </w:rPr>
        <w:t xml:space="preserve">It turned out that in the whole frequency range compatibility between RDI-S and all investigated </w:t>
      </w:r>
      <w:r w:rsidR="00B37972" w:rsidRPr="008D73A7">
        <w:rPr>
          <w:lang w:val="en-GB"/>
        </w:rPr>
        <w:t>r</w:t>
      </w:r>
      <w:r w:rsidRPr="008D73A7">
        <w:rPr>
          <w:lang w:val="en-GB"/>
        </w:rPr>
        <w:t xml:space="preserve">adio </w:t>
      </w:r>
      <w:r w:rsidR="00B37972" w:rsidRPr="008D73A7">
        <w:rPr>
          <w:lang w:val="en-GB"/>
        </w:rPr>
        <w:t>s</w:t>
      </w:r>
      <w:r w:rsidRPr="008D73A7">
        <w:rPr>
          <w:lang w:val="en-GB"/>
        </w:rPr>
        <w:t>ervices can be ensured.</w:t>
      </w:r>
    </w:p>
    <w:p w14:paraId="2DB5480F" w14:textId="77777777" w:rsidR="0024605A" w:rsidRPr="008D73A7" w:rsidRDefault="0024605A" w:rsidP="006138F7">
      <w:pPr>
        <w:jc w:val="both"/>
        <w:rPr>
          <w:rFonts w:eastAsiaTheme="minorHAnsi"/>
          <w:lang w:val="en-GB"/>
        </w:rPr>
      </w:pPr>
      <w:r w:rsidRPr="008D73A7">
        <w:rPr>
          <w:rFonts w:eastAsiaTheme="minorHAnsi"/>
          <w:lang w:val="en-GB"/>
        </w:rPr>
        <w:t>The following protection requirements have been assumed:</w:t>
      </w:r>
    </w:p>
    <w:p w14:paraId="1E9A3CA5" w14:textId="2DB662B9" w:rsidR="0024605A" w:rsidRPr="008D73A7" w:rsidRDefault="000076BB" w:rsidP="009C18AB">
      <w:pPr>
        <w:pStyle w:val="ECCBulletsLv1"/>
        <w:ind w:left="340" w:hanging="340"/>
      </w:pPr>
      <w:r w:rsidRPr="008D73A7">
        <w:t>r</w:t>
      </w:r>
      <w:r w:rsidR="0024605A" w:rsidRPr="008D73A7">
        <w:t xml:space="preserve">adio </w:t>
      </w:r>
      <w:r w:rsidR="00F06C9E" w:rsidRPr="008D73A7">
        <w:t>a</w:t>
      </w:r>
      <w:r w:rsidR="0024605A" w:rsidRPr="008D73A7">
        <w:t>stronomy: Separation distance smaller than 20 km</w:t>
      </w:r>
      <w:r w:rsidR="00081556" w:rsidRPr="008D73A7">
        <w:t>;</w:t>
      </w:r>
    </w:p>
    <w:p w14:paraId="1E154D93" w14:textId="48F62CF9" w:rsidR="0024605A" w:rsidRPr="008D73A7" w:rsidRDefault="000076BB" w:rsidP="009C18AB">
      <w:pPr>
        <w:pStyle w:val="ECCBulletsLv1"/>
        <w:ind w:left="340" w:hanging="340"/>
      </w:pPr>
      <w:r w:rsidRPr="008D73A7">
        <w:t>f</w:t>
      </w:r>
      <w:r w:rsidR="0024605A" w:rsidRPr="008D73A7">
        <w:t xml:space="preserve">ixed </w:t>
      </w:r>
      <w:r w:rsidR="00F06C9E" w:rsidRPr="008D73A7">
        <w:t>s</w:t>
      </w:r>
      <w:r w:rsidR="0024605A" w:rsidRPr="008D73A7">
        <w:t xml:space="preserve">ervice and </w:t>
      </w:r>
      <w:r w:rsidR="00F06C9E" w:rsidRPr="008D73A7">
        <w:t>amateur service</w:t>
      </w:r>
      <w:r w:rsidR="0024605A" w:rsidRPr="008D73A7">
        <w:t>: Separation distance smaller than 300 m</w:t>
      </w:r>
      <w:r w:rsidR="00081556" w:rsidRPr="008D73A7">
        <w:t>;</w:t>
      </w:r>
    </w:p>
    <w:p w14:paraId="324DCCC1" w14:textId="2728172A" w:rsidR="0024605A" w:rsidRPr="008D73A7" w:rsidRDefault="000076BB" w:rsidP="00820A1E">
      <w:pPr>
        <w:pStyle w:val="ECCBulletsLv1"/>
        <w:ind w:left="340" w:hanging="340"/>
      </w:pPr>
      <w:r w:rsidRPr="008D73A7">
        <w:t>e</w:t>
      </w:r>
      <w:r w:rsidR="00E204B6" w:rsidRPr="008D73A7">
        <w:t>arth exploration satellite service</w:t>
      </w:r>
      <w:r w:rsidR="0024605A" w:rsidRPr="008D73A7">
        <w:t xml:space="preserve"> (passive): positive margin to the maximum interference level in the victim receiver (see </w:t>
      </w:r>
      <w:r w:rsidR="00326DCA" w:rsidRPr="008D73A7">
        <w:t>ECC Report 334</w:t>
      </w:r>
      <w:r w:rsidR="00081556" w:rsidRPr="008D73A7">
        <w:t>,</w:t>
      </w:r>
      <w:r w:rsidR="00326DCA" w:rsidRPr="008D73A7">
        <w:t xml:space="preserve"> </w:t>
      </w:r>
      <w:r w:rsidR="0024605A" w:rsidRPr="008D73A7">
        <w:t>section</w:t>
      </w:r>
      <w:r w:rsidR="00326DCA" w:rsidRPr="008D73A7">
        <w:t xml:space="preserve"> 3.5.4.2</w:t>
      </w:r>
      <w:r w:rsidR="00081556" w:rsidRPr="008D73A7">
        <w:t xml:space="preserve"> </w:t>
      </w:r>
      <w:r w:rsidR="00081556" w:rsidRPr="008D73A7">
        <w:fldChar w:fldCharType="begin"/>
      </w:r>
      <w:r w:rsidR="00081556" w:rsidRPr="008D73A7">
        <w:instrText xml:space="preserve"> REF ECC_Report_334 \w \h  \* MERGEFORMAT </w:instrText>
      </w:r>
      <w:r w:rsidR="00081556" w:rsidRPr="008D73A7">
        <w:fldChar w:fldCharType="separate"/>
      </w:r>
      <w:r w:rsidR="00113216" w:rsidRPr="008D73A7">
        <w:t>[1]</w:t>
      </w:r>
      <w:r w:rsidR="00081556" w:rsidRPr="008D73A7">
        <w:fldChar w:fldCharType="end"/>
      </w:r>
      <w:r w:rsidR="0024605A" w:rsidRPr="008D73A7">
        <w:t>).</w:t>
      </w:r>
    </w:p>
    <w:p w14:paraId="6DB4E579" w14:textId="77777777" w:rsidR="0024605A" w:rsidRPr="008D73A7" w:rsidRDefault="0024605A" w:rsidP="006138F7">
      <w:pPr>
        <w:jc w:val="both"/>
        <w:rPr>
          <w:rFonts w:eastAsiaTheme="minorHAnsi"/>
          <w:lang w:val="en-GB"/>
        </w:rPr>
      </w:pPr>
      <w:r w:rsidRPr="008D73A7">
        <w:rPr>
          <w:lang w:val="en-GB"/>
        </w:rPr>
        <w:lastRenderedPageBreak/>
        <w:t>All RDI-S sensors should furthermore comply with the following (installation) requirements:</w:t>
      </w:r>
    </w:p>
    <w:p w14:paraId="4FD4393C" w14:textId="0B5EC178" w:rsidR="0024605A" w:rsidRPr="008D73A7" w:rsidRDefault="0024605A" w:rsidP="009C18AB">
      <w:pPr>
        <w:pStyle w:val="ECCBulletsLv1"/>
        <w:ind w:left="340" w:hanging="340"/>
      </w:pPr>
      <w:r w:rsidRPr="008D73A7">
        <w:t>The operation of RDI-S sensors is envisaged for industrial purposes only</w:t>
      </w:r>
      <w:r w:rsidR="00081556" w:rsidRPr="008D73A7">
        <w:t>;</w:t>
      </w:r>
    </w:p>
    <w:p w14:paraId="1BA48A64" w14:textId="4D30D0CA" w:rsidR="0024605A" w:rsidRPr="008D73A7" w:rsidRDefault="0024605A" w:rsidP="009C18AB">
      <w:pPr>
        <w:pStyle w:val="ECCBulletsLv1"/>
        <w:ind w:left="340" w:hanging="340"/>
      </w:pPr>
      <w:r w:rsidRPr="008D73A7">
        <w:t>Installation and maintenance of RDI-S equipment shall be performed by professionally trained individuals only</w:t>
      </w:r>
      <w:r w:rsidR="00081556" w:rsidRPr="008D73A7">
        <w:t>;</w:t>
      </w:r>
    </w:p>
    <w:p w14:paraId="125DDEC5" w14:textId="64C6B810" w:rsidR="0024605A" w:rsidRPr="008D73A7" w:rsidRDefault="0024605A" w:rsidP="009C18AB">
      <w:pPr>
        <w:pStyle w:val="ECCBulletsLv1"/>
        <w:ind w:left="340" w:hanging="340"/>
      </w:pPr>
      <w:r w:rsidRPr="008D73A7">
        <w:t>RDI-S equipment shall not be marketed to private end customers</w:t>
      </w:r>
      <w:r w:rsidR="00081556" w:rsidRPr="008D73A7">
        <w:t>;</w:t>
      </w:r>
    </w:p>
    <w:p w14:paraId="3637E723" w14:textId="3690201F" w:rsidR="0024605A" w:rsidRPr="008D73A7" w:rsidRDefault="0024605A" w:rsidP="009C18AB">
      <w:pPr>
        <w:pStyle w:val="ECCBulletsLv1"/>
        <w:ind w:left="340" w:hanging="340"/>
      </w:pPr>
      <w:r w:rsidRPr="008D73A7">
        <w:t>Installers have to ensure that the device main beam is not pointing towards windows or other weak shielded parts of the shielded environment. The direction of main radiation shall be indicated on the device</w:t>
      </w:r>
      <w:r w:rsidR="00081556" w:rsidRPr="008D73A7">
        <w:t>;</w:t>
      </w:r>
    </w:p>
    <w:p w14:paraId="19AAECB4" w14:textId="522D04BA" w:rsidR="0024605A" w:rsidRPr="008D73A7" w:rsidRDefault="0024605A" w:rsidP="009C18AB">
      <w:pPr>
        <w:pStyle w:val="ECCBulletsLv1"/>
        <w:ind w:left="340" w:hanging="340"/>
      </w:pPr>
      <w:r w:rsidRPr="008D73A7">
        <w:t>Installers have to ensure that there are no unwanted obstacles in the main beam of the antenna in order to minimise unintentional reflections and scattering</w:t>
      </w:r>
      <w:r w:rsidR="00081556" w:rsidRPr="008D73A7">
        <w:t>;</w:t>
      </w:r>
    </w:p>
    <w:p w14:paraId="3902C91A" w14:textId="136EA1D1" w:rsidR="00E938A5" w:rsidRPr="008D73A7" w:rsidRDefault="00825372" w:rsidP="009C18AB">
      <w:pPr>
        <w:pStyle w:val="ECCBulletsLv1"/>
        <w:ind w:left="340" w:hanging="340"/>
      </w:pPr>
      <w:r w:rsidRPr="008D73A7">
        <w:rPr>
          <w:rFonts w:cs="Arial"/>
          <w:color w:val="FF0000"/>
          <w:szCs w:val="20"/>
        </w:rPr>
        <w:t xml:space="preserve"> </w:t>
      </w:r>
      <w:r w:rsidR="000E744D" w:rsidRPr="008D73A7">
        <w:t>For RDI-S, the operating frequency range (OFR) shall be higher than 35 GHz</w:t>
      </w:r>
      <w:r w:rsidR="00FC1F7B" w:rsidRPr="008D73A7">
        <w:t xml:space="preserve">, </w:t>
      </w:r>
      <w:r w:rsidR="0012348D" w:rsidRPr="008D73A7">
        <w:t>including</w:t>
      </w:r>
      <w:r w:rsidR="00FC1F7B" w:rsidRPr="008D73A7">
        <w:t xml:space="preserve"> </w:t>
      </w:r>
      <w:r w:rsidR="0012348D" w:rsidRPr="008D73A7">
        <w:t>discontinuities for</w:t>
      </w:r>
      <w:r w:rsidR="00FC1F7B" w:rsidRPr="008D73A7">
        <w:t xml:space="preserve"> the passive bands;</w:t>
      </w:r>
    </w:p>
    <w:p w14:paraId="1969AF88" w14:textId="3CA8E76A" w:rsidR="0024605A" w:rsidRPr="008D73A7" w:rsidRDefault="0024605A" w:rsidP="009C18AB">
      <w:pPr>
        <w:pStyle w:val="ECCBulletsLv1"/>
        <w:ind w:left="340" w:hanging="340"/>
      </w:pPr>
      <w:r w:rsidRPr="008D73A7">
        <w:t xml:space="preserve">In order to protect the </w:t>
      </w:r>
      <w:r w:rsidR="00D27FD0" w:rsidRPr="008D73A7">
        <w:t>radio astronomy service</w:t>
      </w:r>
      <w:r w:rsidRPr="008D73A7">
        <w:t>, inside a radius of 13.2 km around the stations of NOEMA and IRAM</w:t>
      </w:r>
      <w:r w:rsidR="00986D67" w:rsidRPr="008D73A7">
        <w:t xml:space="preserve"> </w:t>
      </w:r>
      <w:r w:rsidRPr="008D73A7">
        <w:t>30</w:t>
      </w:r>
      <w:r w:rsidR="00586D7A" w:rsidRPr="008D73A7">
        <w:t xml:space="preserve"> </w:t>
      </w:r>
      <w:r w:rsidRPr="008D73A7">
        <w:t xml:space="preserve">m the installation and operation of RDI-S devices should be prohibited, unless a special authorisation has been provided by the responsible national administration. </w:t>
      </w:r>
      <w:r w:rsidR="002F62F5" w:rsidRPr="008D73A7">
        <w:rPr>
          <w:highlight w:val="yellow"/>
        </w:rPr>
        <w:fldChar w:fldCharType="begin"/>
      </w:r>
      <w:r w:rsidR="002F62F5" w:rsidRPr="008D73A7">
        <w:instrText xml:space="preserve"> REF _Ref66370646 \h </w:instrText>
      </w:r>
      <w:r w:rsidR="00DE18AA" w:rsidRPr="008D73A7">
        <w:rPr>
          <w:highlight w:val="yellow"/>
        </w:rPr>
        <w:instrText xml:space="preserve"> \* MERGEFORMAT </w:instrText>
      </w:r>
      <w:r w:rsidR="002F62F5" w:rsidRPr="008D73A7">
        <w:rPr>
          <w:highlight w:val="yellow"/>
        </w:rPr>
      </w:r>
      <w:r w:rsidR="002F62F5" w:rsidRPr="008D73A7">
        <w:rPr>
          <w:highlight w:val="yellow"/>
        </w:rPr>
        <w:fldChar w:fldCharType="separate"/>
      </w:r>
      <w:r w:rsidR="00800FE2" w:rsidRPr="008D73A7">
        <w:t>Table 12</w:t>
      </w:r>
      <w:r w:rsidR="002F62F5" w:rsidRPr="008D73A7">
        <w:rPr>
          <w:highlight w:val="yellow"/>
        </w:rPr>
        <w:fldChar w:fldCharType="end"/>
      </w:r>
      <w:r w:rsidRPr="008D73A7">
        <w:t xml:space="preserve"> shows the locations of the two European observatories operating in the frequency range 116</w:t>
      </w:r>
      <w:r w:rsidR="00666B9A" w:rsidRPr="008D73A7">
        <w:t>-</w:t>
      </w:r>
      <w:r w:rsidRPr="008D73A7">
        <w:t>260 GHz</w:t>
      </w:r>
      <w:r w:rsidR="00081556" w:rsidRPr="008D73A7">
        <w:t>;</w:t>
      </w:r>
    </w:p>
    <w:p w14:paraId="067FC016" w14:textId="77777777" w:rsidR="0024605A" w:rsidRPr="008D73A7" w:rsidRDefault="0024605A" w:rsidP="00800FE2">
      <w:pPr>
        <w:pStyle w:val="ECCBulletsLv1"/>
        <w:ind w:left="340" w:hanging="340"/>
      </w:pPr>
      <w:r w:rsidRPr="008D73A7">
        <w:t>The provider is required to inform the users and installers of RDI-S equipment about the installation requirements and the additional special mounting instructions.</w:t>
      </w:r>
    </w:p>
    <w:p w14:paraId="6DF8D100" w14:textId="77777777" w:rsidR="0024605A" w:rsidRPr="008D73A7" w:rsidRDefault="0024605A" w:rsidP="006138F7">
      <w:pPr>
        <w:jc w:val="both"/>
        <w:rPr>
          <w:lang w:val="en-GB"/>
        </w:rPr>
      </w:pPr>
      <w:r w:rsidRPr="008D73A7">
        <w:rPr>
          <w:lang w:val="en-GB"/>
        </w:rPr>
        <w:t>In addition, the following antenna requirement is proposed:</w:t>
      </w:r>
    </w:p>
    <w:p w14:paraId="7D76D200" w14:textId="77777777" w:rsidR="0024605A" w:rsidRPr="008D73A7" w:rsidRDefault="0024605A" w:rsidP="00DE18AA">
      <w:pPr>
        <w:pStyle w:val="ECCBulletsLv1"/>
        <w:ind w:left="340" w:hanging="340"/>
      </w:pPr>
      <w:r w:rsidRPr="008D73A7">
        <w:t>For RDI-S devices using an antenna gain smaller than 20 dBi, the maximum conducted peak output power shall be limited to 15 dBm.</w:t>
      </w:r>
    </w:p>
    <w:p w14:paraId="025FAACE" w14:textId="111F086A" w:rsidR="00C76CF9" w:rsidRPr="008D73A7" w:rsidRDefault="00915232" w:rsidP="00406659">
      <w:pPr>
        <w:pStyle w:val="Heading3"/>
        <w:rPr>
          <w:lang w:val="en-GB"/>
        </w:rPr>
      </w:pPr>
      <w:bookmarkStart w:id="184" w:name="_Toc123634719"/>
      <w:bookmarkStart w:id="185" w:name="_Toc123634809"/>
      <w:bookmarkStart w:id="186" w:name="_Toc135806311"/>
      <w:r>
        <w:rPr>
          <w:lang w:val="en-GB"/>
        </w:rPr>
        <w:t>R</w:t>
      </w:r>
      <w:r w:rsidR="00C76CF9" w:rsidRPr="008D73A7">
        <w:rPr>
          <w:lang w:val="en-GB"/>
        </w:rPr>
        <w:t xml:space="preserve">adio </w:t>
      </w:r>
      <w:r w:rsidR="000C778B" w:rsidRPr="008D73A7">
        <w:rPr>
          <w:lang w:val="en-GB"/>
        </w:rPr>
        <w:t>a</w:t>
      </w:r>
      <w:r w:rsidR="00C76CF9" w:rsidRPr="008D73A7">
        <w:rPr>
          <w:lang w:val="en-GB"/>
        </w:rPr>
        <w:t>stronomy</w:t>
      </w:r>
      <w:bookmarkEnd w:id="184"/>
      <w:bookmarkEnd w:id="185"/>
      <w:bookmarkEnd w:id="186"/>
    </w:p>
    <w:p w14:paraId="084E73F7" w14:textId="7F78DD6C" w:rsidR="0024605A" w:rsidRPr="008D73A7" w:rsidRDefault="0024605A" w:rsidP="006138F7">
      <w:pPr>
        <w:jc w:val="both"/>
        <w:rPr>
          <w:lang w:val="en-GB"/>
        </w:rPr>
      </w:pPr>
      <w:r w:rsidRPr="008D73A7">
        <w:rPr>
          <w:lang w:val="en-GB"/>
        </w:rPr>
        <w:t xml:space="preserve">For the investigated frequency band compatibility can be ensured between RDI-S and RAS when a separation distance of 13.2 km is respected without the implementation of additional mitigation techniques (see </w:t>
      </w:r>
      <w:r w:rsidR="002F62F5" w:rsidRPr="008D73A7">
        <w:rPr>
          <w:lang w:val="en-GB"/>
        </w:rPr>
        <w:t>ECC Report 334</w:t>
      </w:r>
      <w:r w:rsidR="000C778B" w:rsidRPr="008D73A7">
        <w:rPr>
          <w:lang w:val="en-GB"/>
        </w:rPr>
        <w:t>,</w:t>
      </w:r>
      <w:r w:rsidR="0096594F" w:rsidRPr="008D73A7">
        <w:rPr>
          <w:lang w:val="en-GB"/>
        </w:rPr>
        <w:fldChar w:fldCharType="begin"/>
      </w:r>
      <w:r w:rsidR="0096594F" w:rsidRPr="008D73A7">
        <w:rPr>
          <w:lang w:val="en-GB"/>
        </w:rPr>
        <w:instrText xml:space="preserve"> REF ECC_Report_334 \h </w:instrText>
      </w:r>
      <w:r w:rsidR="00DE18AA" w:rsidRPr="008D73A7">
        <w:rPr>
          <w:lang w:val="en-GB"/>
        </w:rPr>
        <w:instrText xml:space="preserve"> \* MERGEFORMAT </w:instrText>
      </w:r>
      <w:r w:rsidR="0096594F" w:rsidRPr="008D73A7">
        <w:rPr>
          <w:lang w:val="en-GB"/>
        </w:rPr>
      </w:r>
      <w:r w:rsidR="0096594F" w:rsidRPr="008D73A7">
        <w:rPr>
          <w:lang w:val="en-GB"/>
        </w:rPr>
        <w:fldChar w:fldCharType="end"/>
      </w:r>
      <w:r w:rsidR="002F62F5" w:rsidRPr="008D73A7">
        <w:rPr>
          <w:lang w:val="en-GB"/>
        </w:rPr>
        <w:t xml:space="preserve"> </w:t>
      </w:r>
      <w:r w:rsidRPr="008D73A7">
        <w:rPr>
          <w:lang w:val="en-GB"/>
        </w:rPr>
        <w:t>section</w:t>
      </w:r>
      <w:r w:rsidR="002F62F5" w:rsidRPr="008D73A7">
        <w:rPr>
          <w:lang w:val="en-GB"/>
        </w:rPr>
        <w:t xml:space="preserve"> 4.8.2</w:t>
      </w:r>
      <w:r w:rsidR="000C778B" w:rsidRPr="008D73A7">
        <w:rPr>
          <w:lang w:val="en-GB"/>
        </w:rPr>
        <w:t xml:space="preserve"> </w:t>
      </w:r>
      <w:r w:rsidR="000C778B" w:rsidRPr="008D73A7">
        <w:rPr>
          <w:lang w:val="en-GB"/>
        </w:rPr>
        <w:fldChar w:fldCharType="begin"/>
      </w:r>
      <w:r w:rsidR="000C778B" w:rsidRPr="008D73A7">
        <w:rPr>
          <w:lang w:val="en-GB"/>
        </w:rPr>
        <w:instrText xml:space="preserve"> REF ECC_Report_334 \n \h  \* MERGEFORMAT </w:instrText>
      </w:r>
      <w:r w:rsidR="000C778B" w:rsidRPr="008D73A7">
        <w:rPr>
          <w:lang w:val="en-GB"/>
        </w:rPr>
      </w:r>
      <w:r w:rsidR="000C778B" w:rsidRPr="008D73A7">
        <w:rPr>
          <w:lang w:val="en-GB"/>
        </w:rPr>
        <w:fldChar w:fldCharType="separate"/>
      </w:r>
      <w:r w:rsidR="000C778B" w:rsidRPr="008D73A7">
        <w:rPr>
          <w:lang w:val="en-GB"/>
        </w:rPr>
        <w:t>[1]</w:t>
      </w:r>
      <w:r w:rsidR="000C778B" w:rsidRPr="008D73A7">
        <w:rPr>
          <w:lang w:val="en-GB"/>
        </w:rPr>
        <w:fldChar w:fldCharType="end"/>
      </w:r>
      <w:r w:rsidRPr="008D73A7">
        <w:rPr>
          <w:lang w:val="en-GB"/>
        </w:rPr>
        <w:t>).</w:t>
      </w:r>
    </w:p>
    <w:p w14:paraId="2B284E52" w14:textId="0525FC27" w:rsidR="00C76CF9" w:rsidRPr="008D73A7" w:rsidRDefault="00915232" w:rsidP="00406659">
      <w:pPr>
        <w:pStyle w:val="Heading3"/>
        <w:rPr>
          <w:lang w:val="en-GB"/>
        </w:rPr>
      </w:pPr>
      <w:bookmarkStart w:id="187" w:name="_Toc123634720"/>
      <w:bookmarkStart w:id="188" w:name="_Toc123634810"/>
      <w:bookmarkStart w:id="189" w:name="_Toc135806312"/>
      <w:r>
        <w:rPr>
          <w:lang w:val="en-GB"/>
        </w:rPr>
        <w:t>F</w:t>
      </w:r>
      <w:r w:rsidR="00C76CF9" w:rsidRPr="008D73A7">
        <w:rPr>
          <w:lang w:val="en-GB"/>
        </w:rPr>
        <w:t xml:space="preserve">ixed </w:t>
      </w:r>
      <w:r w:rsidR="00071DD3" w:rsidRPr="008D73A7">
        <w:rPr>
          <w:lang w:val="en-GB"/>
        </w:rPr>
        <w:t>s</w:t>
      </w:r>
      <w:r w:rsidR="00C76CF9" w:rsidRPr="008D73A7">
        <w:rPr>
          <w:lang w:val="en-GB"/>
        </w:rPr>
        <w:t>ervice</w:t>
      </w:r>
      <w:bookmarkEnd w:id="187"/>
      <w:bookmarkEnd w:id="188"/>
      <w:bookmarkEnd w:id="189"/>
    </w:p>
    <w:p w14:paraId="3364CF97" w14:textId="2B5AF5B9" w:rsidR="0024605A" w:rsidRPr="008D73A7" w:rsidRDefault="0024605A" w:rsidP="006138F7">
      <w:pPr>
        <w:spacing w:after="240"/>
        <w:jc w:val="both"/>
        <w:rPr>
          <w:lang w:val="en-GB"/>
        </w:rPr>
      </w:pPr>
      <w:r w:rsidRPr="008D73A7">
        <w:rPr>
          <w:lang w:val="en-GB"/>
        </w:rPr>
        <w:t xml:space="preserve">For evaluating the compatibility between RDI-S and FS the two worst-case interference scenarios in </w:t>
      </w:r>
      <w:r w:rsidR="004942D0" w:rsidRPr="008D73A7">
        <w:rPr>
          <w:lang w:val="en-GB"/>
        </w:rPr>
        <w:t>ECC Report 334</w:t>
      </w:r>
      <w:r w:rsidR="000D011E" w:rsidRPr="008D73A7">
        <w:rPr>
          <w:lang w:val="en-GB"/>
        </w:rPr>
        <w:t>,</w:t>
      </w:r>
      <w:r w:rsidR="004942D0" w:rsidRPr="008D73A7">
        <w:rPr>
          <w:lang w:val="en-GB"/>
        </w:rPr>
        <w:t xml:space="preserve"> </w:t>
      </w:r>
      <w:r w:rsidR="000D011E" w:rsidRPr="008D73A7">
        <w:rPr>
          <w:lang w:val="en-GB"/>
        </w:rPr>
        <w:t>f</w:t>
      </w:r>
      <w:r w:rsidR="004942D0" w:rsidRPr="008D73A7">
        <w:rPr>
          <w:lang w:val="en-GB"/>
        </w:rPr>
        <w:t>igure 60</w:t>
      </w:r>
      <w:r w:rsidRPr="008D73A7">
        <w:rPr>
          <w:lang w:val="en-GB"/>
        </w:rPr>
        <w:t xml:space="preserve"> and </w:t>
      </w:r>
      <w:r w:rsidR="000D011E" w:rsidRPr="008D73A7">
        <w:rPr>
          <w:lang w:val="en-GB"/>
        </w:rPr>
        <w:t>f</w:t>
      </w:r>
      <w:r w:rsidR="004942D0" w:rsidRPr="008D73A7">
        <w:rPr>
          <w:lang w:val="en-GB"/>
        </w:rPr>
        <w:t>igure 61</w:t>
      </w:r>
      <w:r w:rsidRPr="008D73A7">
        <w:rPr>
          <w:lang w:val="en-GB"/>
        </w:rPr>
        <w:t xml:space="preserve"> </w:t>
      </w:r>
      <w:r w:rsidR="00586D7A" w:rsidRPr="008D73A7">
        <w:rPr>
          <w:lang w:val="en-GB"/>
        </w:rPr>
        <w:fldChar w:fldCharType="begin"/>
      </w:r>
      <w:r w:rsidR="00586D7A" w:rsidRPr="008D73A7">
        <w:rPr>
          <w:lang w:val="en-GB"/>
        </w:rPr>
        <w:instrText xml:space="preserve"> REF ECC_Report_334 \n \h  \* MERGEFORMAT </w:instrText>
      </w:r>
      <w:r w:rsidR="00586D7A" w:rsidRPr="008D73A7">
        <w:rPr>
          <w:lang w:val="en-GB"/>
        </w:rPr>
      </w:r>
      <w:r w:rsidR="00586D7A" w:rsidRPr="008D73A7">
        <w:rPr>
          <w:lang w:val="en-GB"/>
        </w:rPr>
        <w:fldChar w:fldCharType="separate"/>
      </w:r>
      <w:r w:rsidR="00586D7A" w:rsidRPr="008D73A7">
        <w:rPr>
          <w:lang w:val="en-GB"/>
        </w:rPr>
        <w:t>[1]</w:t>
      </w:r>
      <w:r w:rsidR="00586D7A" w:rsidRPr="008D73A7">
        <w:rPr>
          <w:lang w:val="en-GB"/>
        </w:rPr>
        <w:fldChar w:fldCharType="end"/>
      </w:r>
      <w:r w:rsidR="00586D7A" w:rsidRPr="008D73A7">
        <w:rPr>
          <w:lang w:val="en-GB"/>
        </w:rPr>
        <w:t xml:space="preserve"> </w:t>
      </w:r>
      <w:r w:rsidRPr="008D73A7">
        <w:rPr>
          <w:lang w:val="en-GB"/>
        </w:rPr>
        <w:t>have been defined. In both scenarios</w:t>
      </w:r>
      <w:r w:rsidR="00B37972" w:rsidRPr="008D73A7">
        <w:rPr>
          <w:lang w:val="en-GB"/>
        </w:rPr>
        <w:t>,</w:t>
      </w:r>
      <w:r w:rsidRPr="008D73A7">
        <w:rPr>
          <w:lang w:val="en-GB"/>
        </w:rPr>
        <w:t xml:space="preserve"> it is valid that separation distances smaller than 300 m result in compatibility between RDI-S and FS such that a coexistence of both systems is always given. Separation distances larger than 300 m in contrast produce interference to the FS receiver such that the protection requirements identified in </w:t>
      </w:r>
      <w:r w:rsidR="0007485A" w:rsidRPr="008D73A7">
        <w:rPr>
          <w:lang w:val="en-GB"/>
        </w:rPr>
        <w:t>ECC Report 334</w:t>
      </w:r>
      <w:r w:rsidR="001E2733" w:rsidRPr="008D73A7">
        <w:rPr>
          <w:lang w:val="en-GB"/>
        </w:rPr>
        <w:t>,</w:t>
      </w:r>
      <w:r w:rsidR="0007485A" w:rsidRPr="008D73A7">
        <w:rPr>
          <w:lang w:val="en-GB"/>
        </w:rPr>
        <w:t xml:space="preserve"> </w:t>
      </w:r>
      <w:r w:rsidRPr="008D73A7">
        <w:rPr>
          <w:lang w:val="en-GB"/>
        </w:rPr>
        <w:t xml:space="preserve">section </w:t>
      </w:r>
      <w:r w:rsidR="0007485A" w:rsidRPr="008D73A7">
        <w:rPr>
          <w:lang w:val="en-GB"/>
        </w:rPr>
        <w:t>3.5.3</w:t>
      </w:r>
      <w:r w:rsidRPr="008D73A7">
        <w:rPr>
          <w:lang w:val="en-GB"/>
        </w:rPr>
        <w:t xml:space="preserve"> </w:t>
      </w:r>
      <w:proofErr w:type="gramStart"/>
      <w:r w:rsidRPr="008D73A7">
        <w:rPr>
          <w:lang w:val="en-GB"/>
        </w:rPr>
        <w:t>are</w:t>
      </w:r>
      <w:proofErr w:type="gramEnd"/>
      <w:r w:rsidRPr="008D73A7">
        <w:rPr>
          <w:lang w:val="en-GB"/>
        </w:rPr>
        <w:t xml:space="preserve"> not fulfilled. In this case the coexistence of both systems is not possible in the respective scenario without further protection measures.</w:t>
      </w:r>
    </w:p>
    <w:p w14:paraId="3D7C97F7" w14:textId="25F4ABC7" w:rsidR="0024605A" w:rsidRPr="008D73A7" w:rsidRDefault="0024605A" w:rsidP="006138F7">
      <w:pPr>
        <w:jc w:val="both"/>
        <w:rPr>
          <w:lang w:val="en-GB"/>
        </w:rPr>
      </w:pPr>
      <w:r w:rsidRPr="008D73A7">
        <w:rPr>
          <w:lang w:val="en-GB"/>
        </w:rPr>
        <w:t xml:space="preserve">All calculated separation distances for RDI-S in </w:t>
      </w:r>
      <w:r w:rsidR="0007485A" w:rsidRPr="008D73A7">
        <w:rPr>
          <w:lang w:val="en-GB"/>
        </w:rPr>
        <w:t>ECC Report 334</w:t>
      </w:r>
      <w:r w:rsidR="00F26F60" w:rsidRPr="008D73A7">
        <w:rPr>
          <w:lang w:val="en-GB"/>
        </w:rPr>
        <w:t>, t</w:t>
      </w:r>
      <w:r w:rsidR="0007485A" w:rsidRPr="008D73A7">
        <w:rPr>
          <w:lang w:val="en-GB"/>
        </w:rPr>
        <w:t>able 82</w:t>
      </w:r>
      <w:r w:rsidRPr="008D73A7">
        <w:rPr>
          <w:lang w:val="en-GB"/>
        </w:rPr>
        <w:t xml:space="preserve"> are smaller than 300 m. Therefore, compatibility between RDI-S and FS can always be asserted for both scenarios and both investigated protection objectives without the implementation of additional mitigation techniques.</w:t>
      </w:r>
    </w:p>
    <w:p w14:paraId="44515D15" w14:textId="79C47635" w:rsidR="00C76CF9" w:rsidRPr="008D73A7" w:rsidRDefault="00915232" w:rsidP="00406659">
      <w:pPr>
        <w:pStyle w:val="Heading3"/>
        <w:rPr>
          <w:lang w:val="en-GB"/>
        </w:rPr>
      </w:pPr>
      <w:bookmarkStart w:id="190" w:name="_Toc123634721"/>
      <w:bookmarkStart w:id="191" w:name="_Toc123634811"/>
      <w:bookmarkStart w:id="192" w:name="_Toc135806313"/>
      <w:r>
        <w:rPr>
          <w:lang w:val="en-GB"/>
        </w:rPr>
        <w:t>E</w:t>
      </w:r>
      <w:r w:rsidR="00C76CF9" w:rsidRPr="008D73A7">
        <w:rPr>
          <w:lang w:val="en-GB"/>
        </w:rPr>
        <w:t xml:space="preserve">arth </w:t>
      </w:r>
      <w:r w:rsidR="000076BB" w:rsidRPr="008D73A7">
        <w:rPr>
          <w:lang w:val="en-GB"/>
        </w:rPr>
        <w:t>e</w:t>
      </w:r>
      <w:r w:rsidR="00C76CF9" w:rsidRPr="008D73A7">
        <w:rPr>
          <w:lang w:val="en-GB"/>
        </w:rPr>
        <w:t xml:space="preserve">xploration </w:t>
      </w:r>
      <w:r w:rsidR="007A0486" w:rsidRPr="008D73A7">
        <w:rPr>
          <w:lang w:val="en-GB"/>
        </w:rPr>
        <w:t>s</w:t>
      </w:r>
      <w:r w:rsidR="00C76CF9" w:rsidRPr="008D73A7">
        <w:rPr>
          <w:lang w:val="en-GB"/>
        </w:rPr>
        <w:t xml:space="preserve">atellite </w:t>
      </w:r>
      <w:r w:rsidR="007A0486" w:rsidRPr="008D73A7">
        <w:rPr>
          <w:lang w:val="en-GB"/>
        </w:rPr>
        <w:t>s</w:t>
      </w:r>
      <w:r w:rsidR="00C76CF9" w:rsidRPr="008D73A7">
        <w:rPr>
          <w:lang w:val="en-GB"/>
        </w:rPr>
        <w:t>ervice (</w:t>
      </w:r>
      <w:r>
        <w:rPr>
          <w:lang w:val="en-GB"/>
        </w:rPr>
        <w:t>P</w:t>
      </w:r>
      <w:r w:rsidR="00C76CF9" w:rsidRPr="008D73A7">
        <w:rPr>
          <w:lang w:val="en-GB"/>
        </w:rPr>
        <w:t>assive)</w:t>
      </w:r>
      <w:bookmarkEnd w:id="190"/>
      <w:bookmarkEnd w:id="191"/>
      <w:bookmarkEnd w:id="192"/>
    </w:p>
    <w:p w14:paraId="303B5810" w14:textId="1463B49B" w:rsidR="0024605A" w:rsidRPr="008D73A7" w:rsidRDefault="0024605A" w:rsidP="006138F7">
      <w:pPr>
        <w:jc w:val="both"/>
        <w:rPr>
          <w:lang w:val="en-GB"/>
        </w:rPr>
      </w:pPr>
      <w:r w:rsidRPr="008D73A7">
        <w:rPr>
          <w:lang w:val="en-GB"/>
        </w:rPr>
        <w:t>For the investigated frequency band</w:t>
      </w:r>
      <w:r w:rsidR="0012348D" w:rsidRPr="008D73A7">
        <w:rPr>
          <w:lang w:val="en-GB"/>
        </w:rPr>
        <w:t>,</w:t>
      </w:r>
      <w:r w:rsidRPr="008D73A7">
        <w:rPr>
          <w:lang w:val="en-GB"/>
        </w:rPr>
        <w:t xml:space="preserve"> and for both, the single-entry and the aggregate consideration, ample margins to the interference criteria and therefore compatibility can be ensured </w:t>
      </w:r>
      <w:r w:rsidRPr="008D73A7">
        <w:rPr>
          <w:rFonts w:eastAsiaTheme="minorHAnsi"/>
          <w:lang w:val="en-GB"/>
        </w:rPr>
        <w:t>without the implementation of additional mitigation techniques</w:t>
      </w:r>
      <w:r w:rsidRPr="008D73A7">
        <w:rPr>
          <w:lang w:val="en-GB"/>
        </w:rPr>
        <w:t xml:space="preserve"> (see </w:t>
      </w:r>
      <w:r w:rsidR="00454830" w:rsidRPr="008D73A7">
        <w:rPr>
          <w:lang w:val="en-GB"/>
        </w:rPr>
        <w:t>ECC Report 334</w:t>
      </w:r>
      <w:r w:rsidR="000D011E" w:rsidRPr="008D73A7">
        <w:rPr>
          <w:lang w:val="en-GB"/>
        </w:rPr>
        <w:t>,</w:t>
      </w:r>
      <w:r w:rsidR="00454830" w:rsidRPr="008D73A7">
        <w:rPr>
          <w:lang w:val="en-GB"/>
        </w:rPr>
        <w:t xml:space="preserve"> </w:t>
      </w:r>
      <w:r w:rsidRPr="008D73A7">
        <w:rPr>
          <w:lang w:val="en-GB"/>
        </w:rPr>
        <w:t xml:space="preserve">section </w:t>
      </w:r>
      <w:r w:rsidR="00454830" w:rsidRPr="008D73A7">
        <w:rPr>
          <w:lang w:val="en-GB"/>
        </w:rPr>
        <w:t>6.8.2</w:t>
      </w:r>
      <w:r w:rsidRPr="008D73A7">
        <w:rPr>
          <w:lang w:val="en-GB"/>
        </w:rPr>
        <w:t>).</w:t>
      </w:r>
    </w:p>
    <w:p w14:paraId="006CCF71" w14:textId="3C9C9BBC" w:rsidR="00C76CF9" w:rsidRPr="008D73A7" w:rsidRDefault="00915232" w:rsidP="00406659">
      <w:pPr>
        <w:pStyle w:val="Heading3"/>
        <w:rPr>
          <w:lang w:val="en-GB"/>
        </w:rPr>
      </w:pPr>
      <w:bookmarkStart w:id="193" w:name="_Toc132615005"/>
      <w:bookmarkStart w:id="194" w:name="_Toc123634722"/>
      <w:bookmarkStart w:id="195" w:name="_Toc123634812"/>
      <w:bookmarkStart w:id="196" w:name="_Toc135806314"/>
      <w:bookmarkEnd w:id="193"/>
      <w:r>
        <w:rPr>
          <w:lang w:val="en-GB"/>
        </w:rPr>
        <w:t>A</w:t>
      </w:r>
      <w:r w:rsidR="00C76CF9" w:rsidRPr="008D73A7">
        <w:rPr>
          <w:lang w:val="en-GB"/>
        </w:rPr>
        <w:t xml:space="preserve">mateur </w:t>
      </w:r>
      <w:r w:rsidR="007A0486" w:rsidRPr="008D73A7">
        <w:rPr>
          <w:lang w:val="en-GB"/>
        </w:rPr>
        <w:t>s</w:t>
      </w:r>
      <w:r w:rsidR="00C76CF9" w:rsidRPr="008D73A7">
        <w:rPr>
          <w:lang w:val="en-GB"/>
        </w:rPr>
        <w:t>ervice</w:t>
      </w:r>
      <w:bookmarkEnd w:id="194"/>
      <w:bookmarkEnd w:id="195"/>
      <w:bookmarkEnd w:id="196"/>
    </w:p>
    <w:p w14:paraId="19BFFB8C" w14:textId="0E7271B4" w:rsidR="0024605A" w:rsidRPr="008D73A7" w:rsidRDefault="0024605A" w:rsidP="006138F7">
      <w:pPr>
        <w:spacing w:after="240"/>
        <w:jc w:val="both"/>
        <w:rPr>
          <w:lang w:val="en-GB"/>
        </w:rPr>
      </w:pPr>
      <w:r w:rsidRPr="008D73A7">
        <w:rPr>
          <w:lang w:val="en-GB"/>
        </w:rPr>
        <w:t xml:space="preserve">For the </w:t>
      </w:r>
      <w:r w:rsidR="00924664" w:rsidRPr="008D73A7">
        <w:rPr>
          <w:lang w:val="en-GB"/>
        </w:rPr>
        <w:t>a</w:t>
      </w:r>
      <w:r w:rsidRPr="008D73A7">
        <w:rPr>
          <w:lang w:val="en-GB"/>
        </w:rPr>
        <w:t xml:space="preserve">mateur </w:t>
      </w:r>
      <w:r w:rsidR="00924664" w:rsidRPr="008D73A7">
        <w:rPr>
          <w:lang w:val="en-GB"/>
        </w:rPr>
        <w:t>s</w:t>
      </w:r>
      <w:r w:rsidRPr="008D73A7">
        <w:rPr>
          <w:lang w:val="en-GB"/>
        </w:rPr>
        <w:t xml:space="preserve">ervice the same criterion as for the </w:t>
      </w:r>
      <w:r w:rsidR="00924664" w:rsidRPr="008D73A7">
        <w:rPr>
          <w:lang w:val="en-GB"/>
        </w:rPr>
        <w:t>f</w:t>
      </w:r>
      <w:r w:rsidRPr="008D73A7">
        <w:rPr>
          <w:lang w:val="en-GB"/>
        </w:rPr>
        <w:t xml:space="preserve">ixed </w:t>
      </w:r>
      <w:r w:rsidR="00924664" w:rsidRPr="008D73A7">
        <w:rPr>
          <w:lang w:val="en-GB"/>
        </w:rPr>
        <w:t>s</w:t>
      </w:r>
      <w:r w:rsidRPr="008D73A7">
        <w:rPr>
          <w:lang w:val="en-GB"/>
        </w:rPr>
        <w:t xml:space="preserve">ervice has been consulted. In this interference scenario, separation distances smaller than 300 m result in compatibility between the interfering device and </w:t>
      </w:r>
      <w:r w:rsidR="00B37972" w:rsidRPr="008D73A7">
        <w:rPr>
          <w:lang w:val="en-GB"/>
        </w:rPr>
        <w:t>r</w:t>
      </w:r>
      <w:r w:rsidRPr="008D73A7">
        <w:rPr>
          <w:lang w:val="en-GB"/>
        </w:rPr>
        <w:t xml:space="preserve">adio </w:t>
      </w:r>
      <w:r w:rsidR="00B37972" w:rsidRPr="008D73A7">
        <w:rPr>
          <w:lang w:val="en-GB"/>
        </w:rPr>
        <w:t>s</w:t>
      </w:r>
      <w:r w:rsidRPr="008D73A7">
        <w:rPr>
          <w:lang w:val="en-GB"/>
        </w:rPr>
        <w:t>ervice such that a coexistence of both systems can be ensured. For separation distances larger than 300 m the probability of interference increases such that a compatibility cannot be ensured in all cases.</w:t>
      </w:r>
    </w:p>
    <w:p w14:paraId="7521E114" w14:textId="7E4786B5" w:rsidR="0024605A" w:rsidRPr="008D73A7" w:rsidRDefault="0024605A" w:rsidP="006138F7">
      <w:pPr>
        <w:jc w:val="both"/>
        <w:rPr>
          <w:rFonts w:eastAsiaTheme="minorHAnsi"/>
          <w:lang w:val="en-GB"/>
        </w:rPr>
      </w:pPr>
      <w:r w:rsidRPr="008D73A7">
        <w:rPr>
          <w:lang w:val="en-GB"/>
        </w:rPr>
        <w:lastRenderedPageBreak/>
        <w:t xml:space="preserve">The results illustrated in </w:t>
      </w:r>
      <w:r w:rsidR="0020107C" w:rsidRPr="008D73A7">
        <w:rPr>
          <w:lang w:val="en-GB"/>
        </w:rPr>
        <w:t>ECC Report 334</w:t>
      </w:r>
      <w:r w:rsidR="000D011E" w:rsidRPr="008D73A7">
        <w:rPr>
          <w:lang w:val="en-GB"/>
        </w:rPr>
        <w:t>,</w:t>
      </w:r>
      <w:r w:rsidR="0020107C" w:rsidRPr="008D73A7">
        <w:rPr>
          <w:lang w:val="en-GB"/>
        </w:rPr>
        <w:t xml:space="preserve"> </w:t>
      </w:r>
      <w:r w:rsidR="000D011E" w:rsidRPr="008D73A7">
        <w:rPr>
          <w:lang w:val="en-GB"/>
        </w:rPr>
        <w:t>t</w:t>
      </w:r>
      <w:r w:rsidR="0020107C" w:rsidRPr="008D73A7">
        <w:rPr>
          <w:lang w:val="en-GB"/>
        </w:rPr>
        <w:t xml:space="preserve">able 124 </w:t>
      </w:r>
      <w:r w:rsidR="000D011E" w:rsidRPr="008D73A7">
        <w:rPr>
          <w:lang w:val="en-GB"/>
        </w:rPr>
        <w:fldChar w:fldCharType="begin"/>
      </w:r>
      <w:r w:rsidR="000D011E" w:rsidRPr="008D73A7">
        <w:rPr>
          <w:lang w:val="en-GB"/>
        </w:rPr>
        <w:instrText xml:space="preserve"> REF ECC_Report_334 \w \h  \* MERGEFORMAT </w:instrText>
      </w:r>
      <w:r w:rsidR="000D011E" w:rsidRPr="008D73A7">
        <w:rPr>
          <w:lang w:val="en-GB"/>
        </w:rPr>
      </w:r>
      <w:r w:rsidR="000D011E" w:rsidRPr="008D73A7">
        <w:rPr>
          <w:lang w:val="en-GB"/>
        </w:rPr>
        <w:fldChar w:fldCharType="separate"/>
      </w:r>
      <w:r w:rsidR="00113216" w:rsidRPr="008D73A7">
        <w:rPr>
          <w:lang w:val="en-GB"/>
        </w:rPr>
        <w:t>[1]</w:t>
      </w:r>
      <w:r w:rsidR="000D011E" w:rsidRPr="008D73A7">
        <w:rPr>
          <w:lang w:val="en-GB"/>
        </w:rPr>
        <w:fldChar w:fldCharType="end"/>
      </w:r>
      <w:r w:rsidR="000D011E" w:rsidRPr="008D73A7">
        <w:rPr>
          <w:lang w:val="en-GB"/>
        </w:rPr>
        <w:t xml:space="preserve"> </w:t>
      </w:r>
      <w:r w:rsidRPr="008D73A7">
        <w:rPr>
          <w:lang w:val="en-GB"/>
        </w:rPr>
        <w:t xml:space="preserve">suggest, that compatibility between RDI-S and </w:t>
      </w:r>
      <w:r w:rsidR="00881890" w:rsidRPr="008D73A7">
        <w:rPr>
          <w:lang w:val="en-GB"/>
        </w:rPr>
        <w:t>a</w:t>
      </w:r>
      <w:r w:rsidRPr="008D73A7">
        <w:rPr>
          <w:lang w:val="en-GB"/>
        </w:rPr>
        <w:t xml:space="preserve">mateur can be asserted in the whole investigated frequency band </w:t>
      </w:r>
      <w:r w:rsidRPr="008D73A7">
        <w:rPr>
          <w:rFonts w:eastAsiaTheme="minorHAnsi"/>
          <w:lang w:val="en-GB"/>
        </w:rPr>
        <w:t>without the implementation of additional mitigation techniques.</w:t>
      </w:r>
    </w:p>
    <w:p w14:paraId="18427D9C" w14:textId="0B837770" w:rsidR="00A00BEA" w:rsidRPr="008D73A7" w:rsidRDefault="00C1639F" w:rsidP="00A55704">
      <w:pPr>
        <w:pStyle w:val="Heading2"/>
        <w:rPr>
          <w:lang w:val="en-GB"/>
        </w:rPr>
      </w:pPr>
      <w:bookmarkStart w:id="197" w:name="_Toc135806315"/>
      <w:bookmarkStart w:id="198" w:name="_Toc153443772"/>
      <w:bookmarkStart w:id="199" w:name="_Hlk133411765"/>
      <w:bookmarkStart w:id="200" w:name="_Hlk133234648"/>
      <w:r w:rsidRPr="008D73A7">
        <w:rPr>
          <w:rFonts w:eastAsiaTheme="minorHAnsi"/>
          <w:lang w:val="en-GB"/>
        </w:rPr>
        <w:t>Exter</w:t>
      </w:r>
      <w:r w:rsidR="00943B06" w:rsidRPr="008D73A7">
        <w:rPr>
          <w:rFonts w:eastAsiaTheme="minorHAnsi"/>
          <w:lang w:val="en-GB"/>
        </w:rPr>
        <w:t>ior</w:t>
      </w:r>
      <w:r w:rsidRPr="008D73A7">
        <w:rPr>
          <w:rFonts w:eastAsiaTheme="minorHAnsi"/>
          <w:lang w:val="en-GB"/>
        </w:rPr>
        <w:t xml:space="preserve"> vehicular radar</w:t>
      </w:r>
      <w:r w:rsidR="00E332ED" w:rsidRPr="008D73A7">
        <w:rPr>
          <w:rFonts w:eastAsiaTheme="minorHAnsi"/>
          <w:lang w:val="en-GB"/>
        </w:rPr>
        <w:t xml:space="preserve"> (EVR)</w:t>
      </w:r>
      <w:bookmarkEnd w:id="197"/>
      <w:bookmarkEnd w:id="198"/>
    </w:p>
    <w:p w14:paraId="68A78F67" w14:textId="5CC39D76" w:rsidR="00A00BEA" w:rsidRPr="008D73A7" w:rsidRDefault="00A00BEA" w:rsidP="00406659">
      <w:pPr>
        <w:pStyle w:val="Heading3"/>
        <w:rPr>
          <w:lang w:val="en-GB"/>
        </w:rPr>
      </w:pPr>
      <w:bookmarkStart w:id="201" w:name="_Toc135806316"/>
      <w:r w:rsidRPr="008D73A7">
        <w:rPr>
          <w:lang w:val="en-GB"/>
        </w:rPr>
        <w:t>Summary</w:t>
      </w:r>
      <w:bookmarkEnd w:id="201"/>
    </w:p>
    <w:p w14:paraId="26AB3F8D" w14:textId="7468594A" w:rsidR="003B1986" w:rsidRPr="008D73A7" w:rsidRDefault="003B1986" w:rsidP="003B1986">
      <w:pPr>
        <w:rPr>
          <w:lang w:val="en-GB"/>
        </w:rPr>
      </w:pPr>
      <w:r w:rsidRPr="008D73A7">
        <w:rPr>
          <w:lang w:val="en-GB"/>
        </w:rPr>
        <w:t>The following conditions need to be fulfilled for coexistence:</w:t>
      </w:r>
    </w:p>
    <w:p w14:paraId="12B1DA8B" w14:textId="4D59ED41" w:rsidR="003B1986" w:rsidRPr="008D73A7" w:rsidRDefault="003B1986" w:rsidP="0041748F">
      <w:pPr>
        <w:pStyle w:val="ECCBulletsLv1"/>
        <w:ind w:left="357" w:hanging="357"/>
        <w:rPr>
          <w:rFonts w:cs="Arial"/>
          <w:b/>
          <w:bCs/>
          <w:szCs w:val="26"/>
        </w:rPr>
      </w:pPr>
      <w:r w:rsidRPr="008D73A7">
        <w:t>In the band 116-122.25 GHz, EESS (passive) band, compatibility with EESS (passive) determines the allowable unwanted emissions, up to -50 dBm/MHz mean e.i.r.p. density and -76 dBm/MHz maximum e.i.r.p. density above 35 degrees elevation for duty cycles ≤50%, and up to -53 dBm/MHz mean e.i.r.p. density and 79 dBm/MHz maximum e.i.r.p. density above 35 degrees elevation for duty cycles &gt;50%</w:t>
      </w:r>
      <w:r w:rsidR="00A6372B" w:rsidRPr="008D73A7">
        <w:t>.</w:t>
      </w:r>
    </w:p>
    <w:p w14:paraId="4C19C390" w14:textId="2014AD0F" w:rsidR="003B1986" w:rsidRPr="008D73A7" w:rsidRDefault="003B1986" w:rsidP="0041748F">
      <w:pPr>
        <w:pStyle w:val="ECCBulletsLv1"/>
        <w:ind w:left="357" w:hanging="357"/>
      </w:pPr>
      <w:r w:rsidRPr="008D73A7">
        <w:t>In the bands 122.25-130 GHz and 134-141 GHz, sharing with RAS determines the operating conditions. Outside the coordination and exclusion zones, front radars can have a mean e.i.r.p</w:t>
      </w:r>
      <w:r w:rsidR="009566F2" w:rsidRPr="008D73A7">
        <w:t>.</w:t>
      </w:r>
      <w:r w:rsidRPr="008D73A7">
        <w:t xml:space="preserve"> up to 32 dBm in a bandwidth of 8 GHz, while corner and short/ultra-</w:t>
      </w:r>
      <w:proofErr w:type="gramStart"/>
      <w:r w:rsidRPr="008D73A7">
        <w:t>short range</w:t>
      </w:r>
      <w:proofErr w:type="gramEnd"/>
      <w:r w:rsidRPr="008D73A7">
        <w:t xml:space="preserve"> radars can have up to 9 dBm mean e.i.r.p. in 8</w:t>
      </w:r>
      <w:r w:rsidR="009566F2" w:rsidRPr="008D73A7">
        <w:t> </w:t>
      </w:r>
      <w:r w:rsidRPr="008D73A7">
        <w:t>GHz.</w:t>
      </w:r>
    </w:p>
    <w:p w14:paraId="13704694" w14:textId="77777777" w:rsidR="003B1986" w:rsidRPr="008D73A7" w:rsidRDefault="003B1986" w:rsidP="003B1986">
      <w:pPr>
        <w:rPr>
          <w:lang w:val="en-GB"/>
        </w:rPr>
      </w:pPr>
      <w:r w:rsidRPr="008D73A7">
        <w:rPr>
          <w:lang w:val="en-GB"/>
        </w:rPr>
        <w:t>Between 130-134 GHz, compatibility with fixed services is the most critical. This is possible with:</w:t>
      </w:r>
    </w:p>
    <w:p w14:paraId="55505862" w14:textId="77777777" w:rsidR="003B1986" w:rsidRPr="008D73A7" w:rsidRDefault="003B1986" w:rsidP="00800FE2">
      <w:pPr>
        <w:pStyle w:val="ECCBulletsLv1"/>
        <w:ind w:left="340" w:hanging="340"/>
      </w:pPr>
      <w:r w:rsidRPr="008D73A7">
        <w:t xml:space="preserve">Maximum mean power spectral density of -33 dBm/MHz e.i.r.p. for the front radars; </w:t>
      </w:r>
    </w:p>
    <w:p w14:paraId="065B7F6C" w14:textId="77777777" w:rsidR="003B1986" w:rsidRPr="008D73A7" w:rsidRDefault="003B1986" w:rsidP="00800FE2">
      <w:pPr>
        <w:pStyle w:val="ECCBulletsLv1"/>
        <w:ind w:left="340" w:hanging="340"/>
      </w:pPr>
      <w:r w:rsidRPr="008D73A7">
        <w:t>Maximum mean power spectral density of -36 dBm/MHz e.i.r.p. for the corner and short/ultra-</w:t>
      </w:r>
      <w:proofErr w:type="gramStart"/>
      <w:r w:rsidRPr="008D73A7">
        <w:t>short range</w:t>
      </w:r>
      <w:proofErr w:type="gramEnd"/>
      <w:r w:rsidRPr="008D73A7">
        <w:t xml:space="preserve"> radar.</w:t>
      </w:r>
    </w:p>
    <w:p w14:paraId="7F340136" w14:textId="77777777" w:rsidR="003B1986" w:rsidRPr="008D73A7" w:rsidRDefault="003B1986" w:rsidP="003B1986">
      <w:pPr>
        <w:rPr>
          <w:lang w:val="en-GB"/>
        </w:rPr>
      </w:pPr>
      <w:r w:rsidRPr="008D73A7">
        <w:rPr>
          <w:lang w:val="en-GB"/>
        </w:rPr>
        <w:t>In the band 141-148.5 GHz, sharing with fixed services determines the operating conditions. The maximum wanted emissions requirements for all types of radar are:</w:t>
      </w:r>
    </w:p>
    <w:p w14:paraId="091F708D" w14:textId="429CEE2A" w:rsidR="003B1986" w:rsidRPr="008D73A7" w:rsidRDefault="003B1986" w:rsidP="0095792D">
      <w:pPr>
        <w:pStyle w:val="ECCBulletsLv1"/>
        <w:ind w:left="340" w:hanging="340"/>
      </w:pPr>
      <w:r w:rsidRPr="008D73A7">
        <w:t>power spectral density (PSD) of -36 dBm/MHz e.i.r.p.;</w:t>
      </w:r>
    </w:p>
    <w:p w14:paraId="162D957C" w14:textId="77777777" w:rsidR="003B1986" w:rsidRPr="008D73A7" w:rsidRDefault="003B1986" w:rsidP="0095792D">
      <w:pPr>
        <w:pStyle w:val="ECCBulletsLv1"/>
        <w:ind w:left="340" w:hanging="340"/>
      </w:pPr>
      <w:r w:rsidRPr="008D73A7">
        <w:t>-6 dBm mean e.i.r.p. within 1 GHz;</w:t>
      </w:r>
    </w:p>
    <w:p w14:paraId="6DCC7BBA" w14:textId="77777777" w:rsidR="003B1986" w:rsidRPr="008D73A7" w:rsidRDefault="003B1986" w:rsidP="0095792D">
      <w:pPr>
        <w:pStyle w:val="ECCBulletsLv1"/>
        <w:ind w:left="340" w:hanging="340"/>
      </w:pPr>
      <w:r w:rsidRPr="008D73A7">
        <w:t>-1 dBm peak e.i.r.p. within 1 GHz.</w:t>
      </w:r>
    </w:p>
    <w:p w14:paraId="577C9288" w14:textId="543FE806" w:rsidR="003B1986" w:rsidRPr="008D73A7" w:rsidRDefault="003B1986" w:rsidP="0095792D">
      <w:pPr>
        <w:jc w:val="both"/>
        <w:rPr>
          <w:lang w:val="en-GB"/>
        </w:rPr>
      </w:pPr>
      <w:r w:rsidRPr="008D73A7">
        <w:rPr>
          <w:rFonts w:eastAsiaTheme="minorHAnsi"/>
          <w:lang w:val="en-GB"/>
        </w:rPr>
        <w:t>Finally, for the band 148.5-151 GHz, compatibility with EESS (passive) determines the allowable out-of-band emissions, up to -44 dBm/MHz mean e.i.r.p. density and up to -70 dBm/MHz mean e.i.r.p. density above 35</w:t>
      </w:r>
      <w:r w:rsidR="008D29D5" w:rsidRPr="008D73A7">
        <w:rPr>
          <w:rFonts w:eastAsiaTheme="minorHAnsi"/>
          <w:lang w:val="en-GB"/>
        </w:rPr>
        <w:t> </w:t>
      </w:r>
      <w:r w:rsidRPr="008D73A7">
        <w:rPr>
          <w:rFonts w:eastAsiaTheme="minorHAnsi"/>
          <w:lang w:val="en-GB"/>
        </w:rPr>
        <w:t>degrees elevation for duty cycles ≤50%</w:t>
      </w:r>
      <w:r w:rsidRPr="008D73A7">
        <w:rPr>
          <w:lang w:val="en-GB"/>
        </w:rPr>
        <w:t>, and up to -47 dBm/MHz mean e.i.r.p. density and up to -73</w:t>
      </w:r>
      <w:r w:rsidR="00095B5A" w:rsidRPr="008D73A7">
        <w:rPr>
          <w:lang w:val="en-GB"/>
        </w:rPr>
        <w:t> </w:t>
      </w:r>
      <w:r w:rsidRPr="008D73A7">
        <w:rPr>
          <w:lang w:val="en-GB"/>
        </w:rPr>
        <w:t>dBm/MHz mean e.i.r.p. density above 35 degrees elevation for duty cycles &gt;50%.</w:t>
      </w:r>
    </w:p>
    <w:p w14:paraId="1DC2B2D8" w14:textId="32CA952B" w:rsidR="008B45A7" w:rsidRPr="008D73A7" w:rsidRDefault="008B45A7" w:rsidP="0095792D">
      <w:pPr>
        <w:jc w:val="both"/>
        <w:rPr>
          <w:rFonts w:eastAsiaTheme="minorHAnsi"/>
          <w:lang w:val="en-GB"/>
        </w:rPr>
      </w:pPr>
      <w:r w:rsidRPr="008D73A7">
        <w:rPr>
          <w:lang w:val="en-GB"/>
        </w:rPr>
        <w:t xml:space="preserve">In addition, in the immediate vicinity of RAS stations (e.g. 3 km radius) automatic switch-off of </w:t>
      </w:r>
      <w:proofErr w:type="gramStart"/>
      <w:r w:rsidR="0041748F" w:rsidRPr="008D73A7">
        <w:rPr>
          <w:lang w:val="en-GB"/>
        </w:rPr>
        <w:t>S</w:t>
      </w:r>
      <w:r w:rsidRPr="008D73A7">
        <w:rPr>
          <w:lang w:val="en-GB"/>
        </w:rPr>
        <w:t>hort</w:t>
      </w:r>
      <w:r w:rsidR="007863AB" w:rsidRPr="008D73A7">
        <w:rPr>
          <w:lang w:val="en-GB"/>
        </w:rPr>
        <w:t xml:space="preserve"> </w:t>
      </w:r>
      <w:r w:rsidR="0041748F" w:rsidRPr="008D73A7">
        <w:rPr>
          <w:lang w:val="en-GB"/>
        </w:rPr>
        <w:t>R</w:t>
      </w:r>
      <w:r w:rsidRPr="008D73A7">
        <w:rPr>
          <w:lang w:val="en-GB"/>
        </w:rPr>
        <w:t>ange</w:t>
      </w:r>
      <w:proofErr w:type="gramEnd"/>
      <w:r w:rsidRPr="008D73A7">
        <w:rPr>
          <w:lang w:val="en-GB"/>
        </w:rPr>
        <w:t xml:space="preserve"> </w:t>
      </w:r>
      <w:r w:rsidR="0041748F" w:rsidRPr="008D73A7">
        <w:rPr>
          <w:lang w:val="en-GB"/>
        </w:rPr>
        <w:t>D</w:t>
      </w:r>
      <w:r w:rsidRPr="008D73A7">
        <w:rPr>
          <w:lang w:val="en-GB"/>
        </w:rPr>
        <w:t>evices should be considered. Likewise, coordination zones around RAS sites could be implemented to allow more flexibility regarding the transmission parameters.</w:t>
      </w:r>
    </w:p>
    <w:p w14:paraId="7F354804" w14:textId="6B6A0F87" w:rsidR="00A00BEA" w:rsidRPr="008D73A7" w:rsidRDefault="00915232" w:rsidP="00406659">
      <w:pPr>
        <w:pStyle w:val="Heading3"/>
        <w:rPr>
          <w:lang w:val="en-GB"/>
        </w:rPr>
      </w:pPr>
      <w:bookmarkStart w:id="202" w:name="_Toc135806317"/>
      <w:r>
        <w:rPr>
          <w:lang w:val="en-GB"/>
        </w:rPr>
        <w:t>R</w:t>
      </w:r>
      <w:r w:rsidR="00A00BEA" w:rsidRPr="008D73A7">
        <w:rPr>
          <w:lang w:val="en-GB"/>
        </w:rPr>
        <w:t xml:space="preserve">adio </w:t>
      </w:r>
      <w:r w:rsidR="00B37972" w:rsidRPr="008D73A7">
        <w:rPr>
          <w:lang w:val="en-GB"/>
        </w:rPr>
        <w:t>a</w:t>
      </w:r>
      <w:r w:rsidR="00A00BEA" w:rsidRPr="008D73A7">
        <w:rPr>
          <w:lang w:val="en-GB"/>
        </w:rPr>
        <w:t>stronomy</w:t>
      </w:r>
      <w:bookmarkEnd w:id="202"/>
    </w:p>
    <w:p w14:paraId="00627E02" w14:textId="3478D7C6" w:rsidR="003B1986" w:rsidRPr="008D73A7" w:rsidRDefault="003B1986" w:rsidP="003B1986">
      <w:pPr>
        <w:pStyle w:val="ECCParagraph"/>
      </w:pPr>
      <w:r w:rsidRPr="008D73A7">
        <w:t xml:space="preserve">A single-interferer scenario compatibility study between </w:t>
      </w:r>
      <w:r w:rsidR="00924664" w:rsidRPr="008D73A7">
        <w:t>r</w:t>
      </w:r>
      <w:r w:rsidRPr="008D73A7">
        <w:t xml:space="preserve">adio </w:t>
      </w:r>
      <w:r w:rsidR="00924664" w:rsidRPr="008D73A7">
        <w:t>a</w:t>
      </w:r>
      <w:r w:rsidRPr="008D73A7">
        <w:t xml:space="preserve">stronomy </w:t>
      </w:r>
      <w:r w:rsidR="00924664" w:rsidRPr="008D73A7">
        <w:t>s</w:t>
      </w:r>
      <w:r w:rsidRPr="008D73A7">
        <w:t>ervice (RAS) and radiodetermination devices for exterior vehicular radar has been conducted.</w:t>
      </w:r>
    </w:p>
    <w:p w14:paraId="5D88C800" w14:textId="58242935" w:rsidR="003B1986" w:rsidRPr="008D73A7" w:rsidRDefault="003B1986" w:rsidP="003B1986">
      <w:pPr>
        <w:pStyle w:val="ECCParagraph"/>
      </w:pPr>
      <w:r w:rsidRPr="008D73A7">
        <w:t xml:space="preserve">The study shows that separation distances are needed between the </w:t>
      </w:r>
      <w:proofErr w:type="gramStart"/>
      <w:r w:rsidR="00847689" w:rsidRPr="008D73A7">
        <w:t>S</w:t>
      </w:r>
      <w:r w:rsidRPr="008D73A7">
        <w:t>hort</w:t>
      </w:r>
      <w:r w:rsidR="007863AB" w:rsidRPr="008D73A7">
        <w:t xml:space="preserve"> </w:t>
      </w:r>
      <w:r w:rsidR="00847689" w:rsidRPr="008D73A7">
        <w:t>R</w:t>
      </w:r>
      <w:r w:rsidRPr="008D73A7">
        <w:t>ange</w:t>
      </w:r>
      <w:proofErr w:type="gramEnd"/>
      <w:r w:rsidRPr="008D73A7">
        <w:t xml:space="preserve"> </w:t>
      </w:r>
      <w:r w:rsidR="00847689" w:rsidRPr="008D73A7">
        <w:t>D</w:t>
      </w:r>
      <w:r w:rsidRPr="008D73A7">
        <w:t xml:space="preserve">evices and the observatories of NOEMA in France and IRAM 30 m in Spain in order to protect the RAS. These separation distances are dependent on the frequency and on the e.i.r.p. of the interfering </w:t>
      </w:r>
      <w:proofErr w:type="gramStart"/>
      <w:r w:rsidR="00847689" w:rsidRPr="008D73A7">
        <w:t>S</w:t>
      </w:r>
      <w:r w:rsidRPr="008D73A7">
        <w:t>hort</w:t>
      </w:r>
      <w:r w:rsidR="007863AB" w:rsidRPr="008D73A7">
        <w:t xml:space="preserve"> </w:t>
      </w:r>
      <w:r w:rsidR="00847689" w:rsidRPr="008D73A7">
        <w:t>R</w:t>
      </w:r>
      <w:r w:rsidRPr="008D73A7">
        <w:t>ange</w:t>
      </w:r>
      <w:proofErr w:type="gramEnd"/>
      <w:r w:rsidRPr="008D73A7">
        <w:t xml:space="preserve"> </w:t>
      </w:r>
      <w:r w:rsidR="00847689" w:rsidRPr="008D73A7">
        <w:t>D</w:t>
      </w:r>
      <w:r w:rsidRPr="008D73A7">
        <w:t xml:space="preserve">evices. The effectual mean e.i.r.p. of the SRD which has been considered for this single-interferer study were 9 and 32 dBm in a bandwidth of 8 GHz, corresponding to the maximum power levels of corner and short/ultra-short radars, or front radars, respectively. </w:t>
      </w:r>
    </w:p>
    <w:p w14:paraId="636D8775" w14:textId="1AFAA292" w:rsidR="003B1986" w:rsidRPr="008D73A7" w:rsidRDefault="003B1986" w:rsidP="003B1986">
      <w:pPr>
        <w:pStyle w:val="ECCParagraph"/>
      </w:pPr>
      <w:r w:rsidRPr="008D73A7">
        <w:t>The study shows that separation distances around the radioastronomy sites of NOEMA in France for a maximum allowed mean e.i.r.p. level of 32 dBm in a bandwidth of 8 GHz, and IRAM 30 m in Spain for e.i.r.p. levels of 9 and 32 dBm in a bandwidth of 8 GHz have to be respected for the emissions of the radio determination devices for exterior vehicular radar.</w:t>
      </w:r>
    </w:p>
    <w:p w14:paraId="7BF28B76" w14:textId="73A8A181" w:rsidR="003B1986" w:rsidRPr="008D73A7" w:rsidRDefault="003B1986" w:rsidP="003B1986">
      <w:pPr>
        <w:pStyle w:val="ECCParagraph"/>
      </w:pPr>
      <w:r w:rsidRPr="008D73A7">
        <w:lastRenderedPageBreak/>
        <w:t>An implementation of an automatic system to disable the transmission of the short-range device coupled with geo-positioning of the vehicle, referred to as “exclusion zone”, should be considered in order to protect the immediate vicinity (e.g. 3 km radius) of each RAS site.</w:t>
      </w:r>
    </w:p>
    <w:p w14:paraId="22DD26A7" w14:textId="60B480A3" w:rsidR="003B1986" w:rsidRPr="008D73A7" w:rsidRDefault="003B1986" w:rsidP="003B1986">
      <w:pPr>
        <w:pStyle w:val="ECCParagraph"/>
      </w:pPr>
      <w:r w:rsidRPr="008D73A7">
        <w:t>An implementation of an automatic system to adapt the transmission parameters of the short-range device coupled with geo-positioning of the vehicle, referred to as “coordination zone”, should be considered in order to overcome compatibility issues. Several proposals for the definition of coordination zones are provided in ECC Report 351</w:t>
      </w:r>
      <w:r w:rsidR="00480706" w:rsidRPr="008D73A7">
        <w:t>,</w:t>
      </w:r>
      <w:r w:rsidRPr="008D73A7">
        <w:t xml:space="preserve"> </w:t>
      </w:r>
      <w:r w:rsidR="00E96336" w:rsidRPr="008D73A7">
        <w:t>a</w:t>
      </w:r>
      <w:r w:rsidR="00480706" w:rsidRPr="008D73A7">
        <w:t>nnex</w:t>
      </w:r>
      <w:r w:rsidRPr="008D73A7">
        <w:t xml:space="preserve"> 3 for both NOEMA in France and IRAM 30 m in Spain.</w:t>
      </w:r>
    </w:p>
    <w:p w14:paraId="01A84E0E" w14:textId="1920A704" w:rsidR="003B1986" w:rsidRPr="008D73A7" w:rsidRDefault="003B1986" w:rsidP="002F4E21">
      <w:pPr>
        <w:pStyle w:val="ECCParagraph"/>
      </w:pPr>
      <w:r w:rsidRPr="008D73A7">
        <w:t>Although no aggregated studies were performed, it was expected that single entry studies provide a reasonable approximation.</w:t>
      </w:r>
    </w:p>
    <w:p w14:paraId="648A879A" w14:textId="379FCB84" w:rsidR="00A00BEA" w:rsidRPr="008D73A7" w:rsidRDefault="00915232" w:rsidP="00406659">
      <w:pPr>
        <w:pStyle w:val="Heading3"/>
        <w:rPr>
          <w:lang w:val="en-GB"/>
        </w:rPr>
      </w:pPr>
      <w:bookmarkStart w:id="203" w:name="_Toc135806318"/>
      <w:r>
        <w:rPr>
          <w:lang w:val="en-GB"/>
        </w:rPr>
        <w:t>F</w:t>
      </w:r>
      <w:r w:rsidR="00A00BEA" w:rsidRPr="008D73A7">
        <w:rPr>
          <w:lang w:val="en-GB"/>
        </w:rPr>
        <w:t xml:space="preserve">ixed </w:t>
      </w:r>
      <w:r w:rsidR="00480706" w:rsidRPr="008D73A7">
        <w:rPr>
          <w:lang w:val="en-GB"/>
        </w:rPr>
        <w:t>s</w:t>
      </w:r>
      <w:r w:rsidR="00A00BEA" w:rsidRPr="008D73A7">
        <w:rPr>
          <w:lang w:val="en-GB"/>
        </w:rPr>
        <w:t>ervice</w:t>
      </w:r>
      <w:bookmarkEnd w:id="203"/>
    </w:p>
    <w:p w14:paraId="47A1BECB" w14:textId="77777777" w:rsidR="003B1986" w:rsidRPr="008D73A7" w:rsidRDefault="003B1986" w:rsidP="003B1986">
      <w:pPr>
        <w:pStyle w:val="ECCParagraph"/>
      </w:pPr>
      <w:r w:rsidRPr="008D73A7">
        <w:t xml:space="preserve">The </w:t>
      </w:r>
      <w:proofErr w:type="gramStart"/>
      <w:r w:rsidRPr="008D73A7">
        <w:t>single entry</w:t>
      </w:r>
      <w:proofErr w:type="gramEnd"/>
      <w:r w:rsidRPr="008D73A7">
        <w:t xml:space="preserve"> interference studies show that operation in the bands adjacent to fixed service is possible provided that the mean power densities in the fixed service bands are at most -33 dBm/MHz e.i.r.p. for the front radars and -36 dBm/MHz e.i.r.p. for the corner and short/ultra-short range radars. The corresponding peak power levels are 2 dBm e.i.r.p. within 1 GHz for the front radars and -1 dBm e.i.r.p. within 1 GHz for the corner and short/ultra-</w:t>
      </w:r>
      <w:proofErr w:type="gramStart"/>
      <w:r w:rsidRPr="008D73A7">
        <w:t>short range</w:t>
      </w:r>
      <w:proofErr w:type="gramEnd"/>
      <w:r w:rsidRPr="008D73A7">
        <w:t xml:space="preserve"> radars.</w:t>
      </w:r>
    </w:p>
    <w:p w14:paraId="0E138689" w14:textId="232148F7" w:rsidR="003B1986" w:rsidRPr="008D73A7" w:rsidRDefault="003B1986" w:rsidP="002F4E21">
      <w:pPr>
        <w:pStyle w:val="ECCParagraph"/>
      </w:pPr>
      <w:r w:rsidRPr="008D73A7">
        <w:t>Co-channel operation in the 141-148.5 GHz band between the exterior vehicular radars and fixed services is only possible provided that the mean power densities are at most -33 dBm/MHz e.i.r.p. for the front radars and -36 dBm/MHz e.i.r.p. for the corner and short/ultra-</w:t>
      </w:r>
      <w:proofErr w:type="gramStart"/>
      <w:r w:rsidRPr="008D73A7">
        <w:t>short range</w:t>
      </w:r>
      <w:proofErr w:type="gramEnd"/>
      <w:r w:rsidRPr="008D73A7">
        <w:t xml:space="preserve"> radars. The corresponding peak power levels are 2 dBm e.i.r.p. within 1 GHz for the front radars and -1 dBm e.i.r.p. within 1 GHz for the corner and short/ultra-</w:t>
      </w:r>
      <w:proofErr w:type="gramStart"/>
      <w:r w:rsidRPr="008D73A7">
        <w:t>short range</w:t>
      </w:r>
      <w:proofErr w:type="gramEnd"/>
      <w:r w:rsidRPr="008D73A7">
        <w:t xml:space="preserve"> radars.</w:t>
      </w:r>
    </w:p>
    <w:p w14:paraId="5AC48E9E" w14:textId="574E385B" w:rsidR="00A00BEA" w:rsidRPr="008D73A7" w:rsidRDefault="00915232" w:rsidP="00406659">
      <w:pPr>
        <w:pStyle w:val="Heading3"/>
        <w:rPr>
          <w:lang w:val="en-GB"/>
        </w:rPr>
      </w:pPr>
      <w:bookmarkStart w:id="204" w:name="_Toc135806319"/>
      <w:r>
        <w:rPr>
          <w:lang w:val="en-GB"/>
        </w:rPr>
        <w:t>E</w:t>
      </w:r>
      <w:r w:rsidR="00A00BEA" w:rsidRPr="008D73A7">
        <w:rPr>
          <w:lang w:val="en-GB"/>
        </w:rPr>
        <w:t xml:space="preserve">arth </w:t>
      </w:r>
      <w:r w:rsidR="007A0486" w:rsidRPr="008D73A7">
        <w:rPr>
          <w:lang w:val="en-GB"/>
        </w:rPr>
        <w:t>e</w:t>
      </w:r>
      <w:r w:rsidR="00A00BEA" w:rsidRPr="008D73A7">
        <w:rPr>
          <w:lang w:val="en-GB"/>
        </w:rPr>
        <w:t xml:space="preserve">xploration </w:t>
      </w:r>
      <w:r w:rsidR="007A0486" w:rsidRPr="008D73A7">
        <w:rPr>
          <w:lang w:val="en-GB"/>
        </w:rPr>
        <w:t>s</w:t>
      </w:r>
      <w:r w:rsidR="00A00BEA" w:rsidRPr="008D73A7">
        <w:rPr>
          <w:lang w:val="en-GB"/>
        </w:rPr>
        <w:t xml:space="preserve">atellite </w:t>
      </w:r>
      <w:r w:rsidR="00D62091" w:rsidRPr="008D73A7">
        <w:rPr>
          <w:lang w:val="en-GB"/>
        </w:rPr>
        <w:t>s</w:t>
      </w:r>
      <w:r w:rsidR="00A00BEA" w:rsidRPr="008D73A7">
        <w:rPr>
          <w:lang w:val="en-GB"/>
        </w:rPr>
        <w:t>ervice (</w:t>
      </w:r>
      <w:r>
        <w:rPr>
          <w:lang w:val="en-GB"/>
        </w:rPr>
        <w:t>P</w:t>
      </w:r>
      <w:r w:rsidR="00A00BEA" w:rsidRPr="008D73A7">
        <w:rPr>
          <w:lang w:val="en-GB"/>
        </w:rPr>
        <w:t>assive)</w:t>
      </w:r>
      <w:bookmarkEnd w:id="204"/>
    </w:p>
    <w:p w14:paraId="48845F0C" w14:textId="17BAF6F7" w:rsidR="003B1986" w:rsidRPr="008D73A7" w:rsidRDefault="003B1986" w:rsidP="003B1986">
      <w:pPr>
        <w:pStyle w:val="ECCParagraph"/>
      </w:pPr>
      <w:r w:rsidRPr="008D73A7">
        <w:t xml:space="preserve">For all investigated frequency ranges, the EESS (passive) protection criterion is satisfied for the considered aggregate scenarios, for any radar types, including aggregation of all radar types. Under the assumed technical parameters, and </w:t>
      </w:r>
      <w:r w:rsidRPr="008D73A7">
        <w:rPr>
          <w:strike/>
        </w:rPr>
        <w:t>the</w:t>
      </w:r>
      <w:r w:rsidRPr="008D73A7">
        <w:t xml:space="preserve"> interference scenarios, it is concluded that compatibility of exterior vehicular radar can be ensured with EESS (passive).</w:t>
      </w:r>
    </w:p>
    <w:p w14:paraId="193F38A3" w14:textId="40CF729D" w:rsidR="003B1986" w:rsidRPr="008D73A7" w:rsidRDefault="003B1986" w:rsidP="003B1986">
      <w:pPr>
        <w:pStyle w:val="ECCParagraph"/>
      </w:pPr>
      <w:r w:rsidRPr="008D73A7">
        <w:t>Additional calculations have shown that a protection level of -49 dBm/MHz is required for the MWI system in the 116-122.25 GHz band as the most stringent requirement, while protection of system N1 outer in the 141</w:t>
      </w:r>
      <w:r w:rsidR="0032717C">
        <w:t>-</w:t>
      </w:r>
      <w:r w:rsidRPr="008D73A7">
        <w:t>148.5 GHz band requires a protection level of -43.5 dBm/MHz.</w:t>
      </w:r>
    </w:p>
    <w:p w14:paraId="7C45E415" w14:textId="546821A7" w:rsidR="003B1986" w:rsidRPr="008D73A7" w:rsidRDefault="00A6372B" w:rsidP="002F4E21">
      <w:pPr>
        <w:pStyle w:val="ECCParagraph"/>
      </w:pPr>
      <w:r w:rsidRPr="008D73A7">
        <w:t>A</w:t>
      </w:r>
      <w:r w:rsidR="003B1986" w:rsidRPr="008D73A7">
        <w:t xml:space="preserve"> proposal for limiting radars’ unwanted emissions towards the EESS bands is provided, intending to regulate maximum transmit power in the unwanted emissions domain and antenna directivity to ensure compatibility with EESS in the adjacent bands, for radars operating in the 122.25-130 GHz and 134-148.5 GHz band</w:t>
      </w:r>
      <w:r w:rsidR="00924664" w:rsidRPr="008D73A7">
        <w:t>s</w:t>
      </w:r>
      <w:r w:rsidR="003B1986" w:rsidRPr="008D73A7">
        <w:t>.</w:t>
      </w:r>
    </w:p>
    <w:p w14:paraId="365D0859" w14:textId="78F20AF4" w:rsidR="00A00BEA" w:rsidRPr="008D73A7" w:rsidRDefault="00915232" w:rsidP="00406659">
      <w:pPr>
        <w:pStyle w:val="Heading3"/>
        <w:rPr>
          <w:lang w:val="en-GB"/>
        </w:rPr>
      </w:pPr>
      <w:bookmarkStart w:id="205" w:name="_Toc135806320"/>
      <w:r>
        <w:rPr>
          <w:lang w:val="en-GB"/>
        </w:rPr>
        <w:t>A</w:t>
      </w:r>
      <w:r w:rsidR="00A00BEA" w:rsidRPr="008D73A7">
        <w:rPr>
          <w:lang w:val="en-GB"/>
        </w:rPr>
        <w:t xml:space="preserve">mateur </w:t>
      </w:r>
      <w:r w:rsidR="00D62091" w:rsidRPr="008D73A7">
        <w:rPr>
          <w:lang w:val="en-GB"/>
        </w:rPr>
        <w:t>s</w:t>
      </w:r>
      <w:r w:rsidR="00A00BEA" w:rsidRPr="008D73A7">
        <w:rPr>
          <w:lang w:val="en-GB"/>
        </w:rPr>
        <w:t>ervice</w:t>
      </w:r>
      <w:bookmarkEnd w:id="205"/>
    </w:p>
    <w:p w14:paraId="26BC3CD1" w14:textId="1E015690" w:rsidR="00BB5B82" w:rsidRPr="008D73A7" w:rsidRDefault="00BB5B82" w:rsidP="002E0595">
      <w:pPr>
        <w:jc w:val="both"/>
        <w:rPr>
          <w:rFonts w:eastAsiaTheme="minorHAnsi"/>
          <w:lang w:val="en-GB"/>
        </w:rPr>
      </w:pPr>
      <w:r w:rsidRPr="008D73A7">
        <w:rPr>
          <w:rFonts w:eastAsiaTheme="minorHAnsi"/>
          <w:lang w:val="en-GB"/>
        </w:rPr>
        <w:t>For front EVR, MCL calculations reveal main beam to main beam separation distances of up to 14.5 km, but this does not take into account the possible vertical and horizontal separation, as well as clutter/shielding. Introducing 100 m of vertical separation into the same calculation, the distance reduces to 5.4 km. With 300</w:t>
      </w:r>
      <w:r w:rsidR="008012EE" w:rsidRPr="008D73A7">
        <w:rPr>
          <w:rFonts w:eastAsiaTheme="minorHAnsi"/>
          <w:lang w:val="en-GB"/>
        </w:rPr>
        <w:t> </w:t>
      </w:r>
      <w:r w:rsidRPr="008D73A7">
        <w:rPr>
          <w:rFonts w:eastAsiaTheme="minorHAnsi"/>
          <w:lang w:val="en-GB"/>
        </w:rPr>
        <w:t xml:space="preserve">m of vertical separation, which may be difficult to achieve, the distance reduces to 0 km. </w:t>
      </w:r>
    </w:p>
    <w:p w14:paraId="1E75F5F8" w14:textId="77777777" w:rsidR="00BB5B82" w:rsidRPr="008D73A7" w:rsidRDefault="00BB5B82" w:rsidP="002E0595">
      <w:pPr>
        <w:jc w:val="both"/>
        <w:rPr>
          <w:rFonts w:eastAsiaTheme="minorHAnsi"/>
          <w:lang w:val="en-GB"/>
        </w:rPr>
      </w:pPr>
      <w:r w:rsidRPr="008D73A7">
        <w:rPr>
          <w:rFonts w:eastAsiaTheme="minorHAnsi"/>
          <w:lang w:val="en-GB"/>
        </w:rPr>
        <w:t>For corner or short/ultra-short EVR, MCL calculations reveal main beam to main beam separation distances of up to 4.6 km, but this does not take into account the possible vertical and horizontal separation, as well as clutter/shielding. With 100 m of vertical separation, the distance reduces to 0 km.</w:t>
      </w:r>
    </w:p>
    <w:p w14:paraId="2E69EEFB" w14:textId="2931C53B" w:rsidR="00BB5B82" w:rsidRPr="008D73A7" w:rsidRDefault="00BB5B82" w:rsidP="002E0595">
      <w:pPr>
        <w:jc w:val="both"/>
        <w:rPr>
          <w:rFonts w:eastAsiaTheme="minorHAnsi"/>
          <w:lang w:val="en-GB"/>
        </w:rPr>
      </w:pPr>
      <w:r w:rsidRPr="008D73A7">
        <w:rPr>
          <w:rFonts w:eastAsiaTheme="minorHAnsi"/>
          <w:lang w:val="en-GB"/>
        </w:rPr>
        <w:t>In general, the separation distance depends highly on transmission power level and angular offset (elevation and azimuth) between the vehicular radar transmitter to the amateur radio receiver. Due to the use of directive antennas</w:t>
      </w:r>
      <w:r w:rsidR="0008415F" w:rsidRPr="008D73A7">
        <w:rPr>
          <w:rFonts w:eastAsiaTheme="minorHAnsi"/>
          <w:lang w:val="en-GB"/>
        </w:rPr>
        <w:t>,</w:t>
      </w:r>
      <w:r w:rsidRPr="008D73A7">
        <w:rPr>
          <w:rFonts w:eastAsiaTheme="minorHAnsi"/>
          <w:lang w:val="en-GB"/>
        </w:rPr>
        <w:t xml:space="preserve"> the areas where interference to the amateur radio receiver would be higher than the protection criteria (-6 dB I/N) are limited to a small angle around amateur radio receiver's azimuthal directivity.</w:t>
      </w:r>
    </w:p>
    <w:p w14:paraId="3101DC64" w14:textId="77777777" w:rsidR="00BB5B82" w:rsidRPr="008D73A7" w:rsidRDefault="00BB5B82" w:rsidP="002E0595">
      <w:pPr>
        <w:jc w:val="both"/>
        <w:rPr>
          <w:rFonts w:eastAsiaTheme="minorHAnsi"/>
          <w:lang w:val="en-GB"/>
        </w:rPr>
      </w:pPr>
      <w:r w:rsidRPr="008D73A7">
        <w:rPr>
          <w:rFonts w:eastAsiaTheme="minorHAnsi"/>
          <w:lang w:val="en-GB"/>
        </w:rPr>
        <w:lastRenderedPageBreak/>
        <w:t>However, given the typical deployments of amateur stations in this frequency range, a critical and persistent worst-case alignment with the external vehicle radars is highly unlikely, due to natural mitigating factors such as:</w:t>
      </w:r>
    </w:p>
    <w:p w14:paraId="2F70AD90" w14:textId="77777777" w:rsidR="00BB5B82" w:rsidRPr="008D73A7" w:rsidRDefault="00BB5B82" w:rsidP="00800FE2">
      <w:pPr>
        <w:pStyle w:val="ECCBulletsLv1"/>
        <w:ind w:left="340" w:hanging="340"/>
      </w:pPr>
      <w:r w:rsidRPr="008D73A7">
        <w:t>Road traffic has to be inside of the relatively narrow interference area;</w:t>
      </w:r>
    </w:p>
    <w:p w14:paraId="10BF40DC" w14:textId="77777777" w:rsidR="00BB5B82" w:rsidRPr="008D73A7" w:rsidRDefault="00BB5B82" w:rsidP="00800FE2">
      <w:pPr>
        <w:pStyle w:val="ECCBulletsLv1"/>
        <w:ind w:left="340" w:hanging="340"/>
      </w:pPr>
      <w:r w:rsidRPr="008D73A7">
        <w:t>The car’s antenna must be directed towards the amateur station antenna;</w:t>
      </w:r>
    </w:p>
    <w:p w14:paraId="1427FFB5" w14:textId="77777777" w:rsidR="00BB5B82" w:rsidRPr="008D73A7" w:rsidRDefault="00BB5B82" w:rsidP="00800FE2">
      <w:pPr>
        <w:pStyle w:val="ECCBulletsLv1"/>
        <w:ind w:left="340" w:hanging="340"/>
      </w:pPr>
      <w:r w:rsidRPr="008D73A7">
        <w:t>LOS conditions between EVR and the amateur station receiver must apply;</w:t>
      </w:r>
    </w:p>
    <w:p w14:paraId="5D8976AE" w14:textId="2F088D73" w:rsidR="00BB5B82" w:rsidRPr="008D73A7" w:rsidRDefault="00BB5B82" w:rsidP="00800FE2">
      <w:pPr>
        <w:pStyle w:val="ECCBulletsLv1"/>
        <w:ind w:left="340" w:hanging="340"/>
      </w:pPr>
      <w:r w:rsidRPr="008D73A7">
        <w:t>Vertical separation between the amateur station location and the vehicle radars reduces the impact</w:t>
      </w:r>
      <w:r w:rsidR="00924664" w:rsidRPr="008D73A7">
        <w:t>;</w:t>
      </w:r>
    </w:p>
    <w:p w14:paraId="7D9AC653" w14:textId="1781F864" w:rsidR="00BB5B82" w:rsidRPr="008D73A7" w:rsidRDefault="00BB5B82" w:rsidP="00800FE2">
      <w:pPr>
        <w:pStyle w:val="ECCBulletsLv1"/>
        <w:ind w:left="340" w:hanging="340"/>
      </w:pPr>
      <w:r w:rsidRPr="008D73A7">
        <w:t>Typical duty cycles (50%) and frequency hopping techniques (effective additional DC factor of 25%) used by front-radars with high antenna gain, low bandwidth reduce the average interference into the amateur receiver. This may significantly reduce the impact on many amateur applications</w:t>
      </w:r>
      <w:r w:rsidR="00924664" w:rsidRPr="008D73A7">
        <w:t>;</w:t>
      </w:r>
      <w:r w:rsidRPr="008D73A7">
        <w:t xml:space="preserve"> </w:t>
      </w:r>
    </w:p>
    <w:p w14:paraId="35B76B8B" w14:textId="7022DFA1" w:rsidR="00BB5B82" w:rsidRPr="008D73A7" w:rsidRDefault="00BB5B82" w:rsidP="00800FE2">
      <w:pPr>
        <w:pStyle w:val="ECCBulletsLv1"/>
        <w:ind w:left="340" w:hanging="340"/>
      </w:pPr>
      <w:r w:rsidRPr="008D73A7">
        <w:t>Calculations are representative of a static situation whereas in a real dynamic situation, any potential interference will not be present all time</w:t>
      </w:r>
      <w:r w:rsidR="00924664" w:rsidRPr="008D73A7">
        <w:t>.</w:t>
      </w:r>
    </w:p>
    <w:p w14:paraId="58A5840B" w14:textId="04EA1263" w:rsidR="00BB5B82" w:rsidRPr="008D73A7" w:rsidRDefault="00BB5B82" w:rsidP="008012EE">
      <w:pPr>
        <w:jc w:val="both"/>
        <w:rPr>
          <w:rFonts w:eastAsiaTheme="minorHAnsi"/>
          <w:lang w:val="en-GB"/>
        </w:rPr>
      </w:pPr>
      <w:r w:rsidRPr="008D73A7">
        <w:rPr>
          <w:rFonts w:eastAsiaTheme="minorHAnsi"/>
          <w:lang w:val="en-GB"/>
        </w:rPr>
        <w:t xml:space="preserve">Therefore, potential interference from external vehicular radars to the </w:t>
      </w:r>
      <w:r w:rsidR="00F06C9E" w:rsidRPr="008D73A7">
        <w:rPr>
          <w:rFonts w:eastAsiaTheme="minorHAnsi"/>
          <w:lang w:val="en-GB"/>
        </w:rPr>
        <w:t>amateur service</w:t>
      </w:r>
      <w:r w:rsidRPr="008D73A7">
        <w:rPr>
          <w:rFonts w:eastAsiaTheme="minorHAnsi"/>
          <w:lang w:val="en-GB"/>
        </w:rPr>
        <w:t xml:space="preserve"> seems to be negligible in the bands 122.25-123 GHz and 134-141 GHz. </w:t>
      </w:r>
    </w:p>
    <w:p w14:paraId="60C77DF3" w14:textId="136BBBC1" w:rsidR="00BB5B82" w:rsidRPr="008D73A7" w:rsidRDefault="00BB5B82" w:rsidP="008012EE">
      <w:pPr>
        <w:jc w:val="both"/>
        <w:rPr>
          <w:rFonts w:eastAsiaTheme="minorHAnsi"/>
          <w:lang w:val="en-GB"/>
        </w:rPr>
      </w:pPr>
      <w:r w:rsidRPr="008D73A7">
        <w:rPr>
          <w:rFonts w:eastAsiaTheme="minorHAnsi"/>
          <w:lang w:val="en-GB"/>
        </w:rPr>
        <w:t xml:space="preserve">For the </w:t>
      </w:r>
      <w:r w:rsidR="00881890" w:rsidRPr="008D73A7">
        <w:rPr>
          <w:rFonts w:eastAsiaTheme="minorHAnsi"/>
          <w:lang w:val="en-GB"/>
        </w:rPr>
        <w:t>a</w:t>
      </w:r>
      <w:r w:rsidRPr="008D73A7">
        <w:rPr>
          <w:rFonts w:eastAsiaTheme="minorHAnsi"/>
          <w:lang w:val="en-GB"/>
        </w:rPr>
        <w:t>mateur-</w:t>
      </w:r>
      <w:r w:rsidR="00881890" w:rsidRPr="008D73A7">
        <w:rPr>
          <w:rFonts w:eastAsiaTheme="minorHAnsi"/>
          <w:lang w:val="en-GB"/>
        </w:rPr>
        <w:t>s</w:t>
      </w:r>
      <w:r w:rsidRPr="008D73A7">
        <w:rPr>
          <w:rFonts w:eastAsiaTheme="minorHAnsi"/>
          <w:lang w:val="en-GB"/>
        </w:rPr>
        <w:t xml:space="preserve">atellite </w:t>
      </w:r>
      <w:r w:rsidR="00B37972" w:rsidRPr="008D73A7">
        <w:rPr>
          <w:rFonts w:eastAsiaTheme="minorHAnsi"/>
          <w:lang w:val="en-GB"/>
        </w:rPr>
        <w:t>s</w:t>
      </w:r>
      <w:r w:rsidRPr="008D73A7">
        <w:rPr>
          <w:rFonts w:eastAsiaTheme="minorHAnsi"/>
          <w:lang w:val="en-GB"/>
        </w:rPr>
        <w:t>ervice operations, the antenna would be tilted skyward in which case the separation distances would be very much reduced due to side lobe coupling from the directional amateur station antenna. No specific studies of this scenario were deemed necessary.</w:t>
      </w:r>
    </w:p>
    <w:p w14:paraId="2F9F0E65" w14:textId="191E2C89" w:rsidR="00E332ED" w:rsidRPr="008D73A7" w:rsidRDefault="00BB5B82" w:rsidP="008012EE">
      <w:pPr>
        <w:jc w:val="both"/>
        <w:rPr>
          <w:lang w:val="en-GB"/>
        </w:rPr>
      </w:pPr>
      <w:r w:rsidRPr="008D73A7">
        <w:rPr>
          <w:rFonts w:eastAsiaTheme="minorHAnsi"/>
          <w:lang w:val="en-GB"/>
        </w:rPr>
        <w:t xml:space="preserve">Thus, it is concluded that in the bands 122.25-123 GHz and 134-141 GHz, coexistence between external vehicular radars and the </w:t>
      </w:r>
      <w:r w:rsidR="00B37972" w:rsidRPr="008D73A7">
        <w:rPr>
          <w:rFonts w:eastAsiaTheme="minorHAnsi"/>
          <w:lang w:val="en-GB"/>
        </w:rPr>
        <w:t>a</w:t>
      </w:r>
      <w:r w:rsidRPr="008D73A7">
        <w:rPr>
          <w:rFonts w:eastAsiaTheme="minorHAnsi"/>
          <w:lang w:val="en-GB"/>
        </w:rPr>
        <w:t xml:space="preserve">mateur and </w:t>
      </w:r>
      <w:r w:rsidR="00B37972" w:rsidRPr="008D73A7">
        <w:rPr>
          <w:rFonts w:eastAsiaTheme="minorHAnsi"/>
          <w:lang w:val="en-GB"/>
        </w:rPr>
        <w:t>a</w:t>
      </w:r>
      <w:r w:rsidRPr="008D73A7">
        <w:rPr>
          <w:rFonts w:eastAsiaTheme="minorHAnsi"/>
          <w:lang w:val="en-GB"/>
        </w:rPr>
        <w:t>mateur-</w:t>
      </w:r>
      <w:r w:rsidR="00B37972" w:rsidRPr="008D73A7">
        <w:rPr>
          <w:rFonts w:eastAsiaTheme="minorHAnsi"/>
          <w:lang w:val="en-GB"/>
        </w:rPr>
        <w:t>s</w:t>
      </w:r>
      <w:r w:rsidRPr="008D73A7">
        <w:rPr>
          <w:rFonts w:eastAsiaTheme="minorHAnsi"/>
          <w:lang w:val="en-GB"/>
        </w:rPr>
        <w:t xml:space="preserve">atellite </w:t>
      </w:r>
      <w:r w:rsidR="00B37972" w:rsidRPr="008D73A7">
        <w:rPr>
          <w:rFonts w:eastAsiaTheme="minorHAnsi"/>
          <w:lang w:val="en-GB"/>
        </w:rPr>
        <w:t>s</w:t>
      </w:r>
      <w:r w:rsidRPr="008D73A7">
        <w:rPr>
          <w:rFonts w:eastAsiaTheme="minorHAnsi"/>
          <w:lang w:val="en-GB"/>
        </w:rPr>
        <w:t>ervices can be achieved.</w:t>
      </w:r>
    </w:p>
    <w:p w14:paraId="20E74BCC" w14:textId="723CF9C5" w:rsidR="002D0A29" w:rsidRPr="008D73A7" w:rsidRDefault="00915232" w:rsidP="00A55704">
      <w:pPr>
        <w:pStyle w:val="Heading2"/>
        <w:rPr>
          <w:lang w:val="en-GB"/>
        </w:rPr>
      </w:pPr>
      <w:bookmarkStart w:id="206" w:name="_Toc135806321"/>
      <w:bookmarkStart w:id="207" w:name="_Toc153443773"/>
      <w:r>
        <w:rPr>
          <w:rFonts w:eastAsiaTheme="minorHAnsi"/>
          <w:lang w:val="en-GB"/>
        </w:rPr>
        <w:t>I</w:t>
      </w:r>
      <w:r w:rsidR="002D0A29" w:rsidRPr="008D73A7">
        <w:rPr>
          <w:rFonts w:eastAsiaTheme="minorHAnsi"/>
          <w:lang w:val="en-GB"/>
        </w:rPr>
        <w:t>n-cabin vehicular radar</w:t>
      </w:r>
      <w:r w:rsidR="00E332ED" w:rsidRPr="008D73A7">
        <w:rPr>
          <w:rFonts w:eastAsiaTheme="minorHAnsi"/>
          <w:lang w:val="en-GB"/>
        </w:rPr>
        <w:t xml:space="preserve"> (IVR)</w:t>
      </w:r>
      <w:bookmarkEnd w:id="206"/>
      <w:bookmarkEnd w:id="207"/>
    </w:p>
    <w:p w14:paraId="018F8825" w14:textId="716CBF68" w:rsidR="000C1D5C" w:rsidRPr="008D73A7" w:rsidRDefault="002D0A29" w:rsidP="00406659">
      <w:pPr>
        <w:pStyle w:val="Heading3"/>
        <w:rPr>
          <w:lang w:val="en-GB"/>
        </w:rPr>
      </w:pPr>
      <w:r w:rsidRPr="008D73A7">
        <w:rPr>
          <w:lang w:val="en-GB"/>
        </w:rPr>
        <w:t>Summary</w:t>
      </w:r>
    </w:p>
    <w:p w14:paraId="0937B05E" w14:textId="7113DFE9" w:rsidR="00EC1B62" w:rsidRPr="008D73A7" w:rsidRDefault="00EC1B62" w:rsidP="008012EE">
      <w:pPr>
        <w:jc w:val="both"/>
        <w:rPr>
          <w:rFonts w:eastAsiaTheme="minorHAnsi"/>
          <w:lang w:val="en-GB"/>
        </w:rPr>
      </w:pPr>
      <w:r w:rsidRPr="008D73A7">
        <w:rPr>
          <w:rFonts w:eastAsiaTheme="minorHAnsi"/>
          <w:lang w:val="en-GB"/>
        </w:rPr>
        <w:t>The following conditions need to be fulfilled for coexistence</w:t>
      </w:r>
      <w:r w:rsidR="00203E30">
        <w:rPr>
          <w:rFonts w:eastAsiaTheme="minorHAnsi"/>
          <w:lang w:val="en-GB"/>
        </w:rPr>
        <w:t>:</w:t>
      </w:r>
    </w:p>
    <w:p w14:paraId="3875ADB6" w14:textId="00EC31BC" w:rsidR="00EC1B62" w:rsidRPr="008D73A7" w:rsidRDefault="00EC1B62" w:rsidP="003709E7">
      <w:pPr>
        <w:pStyle w:val="ECCBulletsLv1"/>
        <w:ind w:left="340" w:hanging="340"/>
      </w:pPr>
      <w:r w:rsidRPr="008D73A7">
        <w:t xml:space="preserve">For the in-cabin vehicular radar, the candidate frequency bands 116-130 GHz, 134-141 GHz and 141-148.5 GHz have been studied. The result of the studies showed that compatibility between in-cabin radar and investigated services in frequencies 122.25-130 GHz, 134-141 GHz and 141-148.5 GHz can be ensured under the technical assumptions used in the studies. In the light of </w:t>
      </w:r>
      <w:r w:rsidR="0008415F" w:rsidRPr="008D73A7">
        <w:t>the</w:t>
      </w:r>
      <w:r w:rsidRPr="008D73A7">
        <w:t xml:space="preserve"> results of the studies</w:t>
      </w:r>
      <w:r w:rsidR="0008415F" w:rsidRPr="008D73A7">
        <w:t>,</w:t>
      </w:r>
      <w:r w:rsidRPr="008D73A7">
        <w:t xml:space="preserve"> it is likely that the 134</w:t>
      </w:r>
      <w:r w:rsidR="0032717C">
        <w:t>-</w:t>
      </w:r>
      <w:r w:rsidRPr="008D73A7">
        <w:t xml:space="preserve">148.5 GHz range can be considered as a single band since all assumptions used and the calculations made for 134-141 GHz and 141-148.5 GHz bands are same. </w:t>
      </w:r>
    </w:p>
    <w:p w14:paraId="1595F55D" w14:textId="77777777" w:rsidR="00EC1B62" w:rsidRPr="008D73A7" w:rsidRDefault="00EC1B62" w:rsidP="008012EE">
      <w:pPr>
        <w:jc w:val="both"/>
        <w:rPr>
          <w:rFonts w:eastAsiaTheme="minorHAnsi"/>
          <w:lang w:val="en-GB"/>
        </w:rPr>
      </w:pPr>
      <w:r w:rsidRPr="008D73A7">
        <w:rPr>
          <w:rFonts w:eastAsiaTheme="minorHAnsi"/>
          <w:lang w:val="en-GB"/>
        </w:rPr>
        <w:t>In most frequency bands, EESS (passive) is the critical service determining the conditions under which compatibility is possible. In the bands 122.25-130 and 134-148.5 GHz that implies:</w:t>
      </w:r>
    </w:p>
    <w:p w14:paraId="34F2A6E2" w14:textId="77777777" w:rsidR="00EC1B62" w:rsidRPr="008D73A7" w:rsidRDefault="00EC1B62" w:rsidP="008012EE">
      <w:pPr>
        <w:pStyle w:val="ECCBulletsLv1"/>
        <w:ind w:left="340" w:hanging="340"/>
      </w:pPr>
      <w:r w:rsidRPr="008D73A7">
        <w:t>Downwards antenna orientation;</w:t>
      </w:r>
    </w:p>
    <w:p w14:paraId="5BF90B7C" w14:textId="77777777" w:rsidR="00EC1B62" w:rsidRPr="008D73A7" w:rsidRDefault="00EC1B62" w:rsidP="008012EE">
      <w:pPr>
        <w:pStyle w:val="ECCBulletsLv1"/>
        <w:ind w:left="340" w:hanging="340"/>
      </w:pPr>
      <w:r w:rsidRPr="008D73A7">
        <w:t>"15 dB exit loss" from the radar main beam to the EESS (passive) sensors’ directions;</w:t>
      </w:r>
    </w:p>
    <w:p w14:paraId="7C3A76A6" w14:textId="78E43A8C" w:rsidR="00EC1B62" w:rsidRPr="008D73A7" w:rsidRDefault="00EC1B62" w:rsidP="008012EE">
      <w:pPr>
        <w:pStyle w:val="ECCBulletsLv1"/>
        <w:ind w:left="340" w:hanging="340"/>
      </w:pPr>
      <w:r w:rsidRPr="008D73A7">
        <w:t>Maximum mean e.i.r.p</w:t>
      </w:r>
      <w:r w:rsidR="009566F2" w:rsidRPr="008D73A7">
        <w:t>.</w:t>
      </w:r>
      <w:r w:rsidRPr="008D73A7">
        <w:t xml:space="preserve"> density -30 dBm/MHz;</w:t>
      </w:r>
    </w:p>
    <w:p w14:paraId="69E6C001" w14:textId="77777777" w:rsidR="00EC1B62" w:rsidRPr="008D73A7" w:rsidRDefault="00EC1B62" w:rsidP="008012EE">
      <w:pPr>
        <w:pStyle w:val="ECCBulletsLv1"/>
        <w:ind w:left="340" w:hanging="340"/>
      </w:pPr>
      <w:r w:rsidRPr="008D73A7">
        <w:t>Maximum mean e.i.r.p. 3 dBm over the bandwidth;</w:t>
      </w:r>
    </w:p>
    <w:p w14:paraId="5460D063" w14:textId="77777777" w:rsidR="00EC1B62" w:rsidRPr="008D73A7" w:rsidRDefault="00EC1B62" w:rsidP="008012EE">
      <w:pPr>
        <w:pStyle w:val="ECCBulletsLv1"/>
        <w:ind w:left="340" w:hanging="340"/>
      </w:pPr>
      <w:r w:rsidRPr="008D73A7">
        <w:t>Maximum peak e.i.r.p. 16 dBm over the bandwidth;</w:t>
      </w:r>
    </w:p>
    <w:p w14:paraId="212740A1" w14:textId="77777777" w:rsidR="00EC1B62" w:rsidRPr="008D73A7" w:rsidRDefault="00EC1B62" w:rsidP="008012EE">
      <w:pPr>
        <w:pStyle w:val="ECCBulletsLv1"/>
        <w:ind w:left="340" w:hanging="340"/>
      </w:pPr>
      <w:r w:rsidRPr="008D73A7">
        <w:t>Minimum 1 GHz bandwidth.</w:t>
      </w:r>
    </w:p>
    <w:p w14:paraId="79E73215" w14:textId="7D6C3AFE" w:rsidR="00EC1B62" w:rsidRPr="008D73A7" w:rsidRDefault="00EC1B62" w:rsidP="008012EE">
      <w:pPr>
        <w:jc w:val="both"/>
        <w:rPr>
          <w:rFonts w:eastAsiaTheme="minorHAnsi"/>
          <w:lang w:val="en-GB"/>
        </w:rPr>
      </w:pPr>
      <w:r w:rsidRPr="008D73A7">
        <w:rPr>
          <w:rFonts w:eastAsiaTheme="minorHAnsi"/>
          <w:lang w:val="en-GB"/>
        </w:rPr>
        <w:t>In the EESS (passive) band 116-122.25 GHz, radars´ unwanted emissions should stay below a maximum. mean e.i.r.p</w:t>
      </w:r>
      <w:r w:rsidR="008F5159" w:rsidRPr="008D73A7">
        <w:rPr>
          <w:rFonts w:eastAsiaTheme="minorHAnsi"/>
          <w:lang w:val="en-GB"/>
        </w:rPr>
        <w:t>.</w:t>
      </w:r>
      <w:r w:rsidRPr="008D73A7">
        <w:rPr>
          <w:rFonts w:eastAsiaTheme="minorHAnsi"/>
          <w:lang w:val="en-GB"/>
        </w:rPr>
        <w:t xml:space="preserve"> density. of -45 dBm/MHz and in the EESS (passive) band 148.5-151 GHz below -39 dBm/MHz. </w:t>
      </w:r>
    </w:p>
    <w:p w14:paraId="597F5F2F" w14:textId="513218EB" w:rsidR="00445A4C" w:rsidRPr="008D73A7" w:rsidRDefault="00EC1B62" w:rsidP="008012EE">
      <w:pPr>
        <w:jc w:val="both"/>
        <w:rPr>
          <w:rFonts w:eastAsiaTheme="minorHAnsi"/>
          <w:lang w:val="en-GB"/>
        </w:rPr>
      </w:pPr>
      <w:r w:rsidRPr="008D73A7">
        <w:rPr>
          <w:rFonts w:eastAsiaTheme="minorHAnsi"/>
          <w:lang w:val="en-GB"/>
        </w:rPr>
        <w:t>In the 130-134 GHz band, only 20 dB out-of-band attenuation is required, corresponding to a maximum unwanted emission level of -17 dBm/GHz.</w:t>
      </w:r>
    </w:p>
    <w:p w14:paraId="05167528" w14:textId="7113FEF1" w:rsidR="00AD0DBE" w:rsidRPr="008D73A7" w:rsidRDefault="008B45A7" w:rsidP="008012EE">
      <w:pPr>
        <w:jc w:val="both"/>
        <w:rPr>
          <w:rFonts w:eastAsiaTheme="minorHAnsi"/>
          <w:lang w:val="en-GB"/>
        </w:rPr>
      </w:pPr>
      <w:r w:rsidRPr="008D73A7">
        <w:rPr>
          <w:rFonts w:eastAsiaTheme="minorHAnsi"/>
          <w:lang w:val="en-GB"/>
        </w:rPr>
        <w:t xml:space="preserve">In addition, in the immediate vicinity of RAS stations (e.g. 3 km radius) automatic switch-off of </w:t>
      </w:r>
      <w:proofErr w:type="gramStart"/>
      <w:r w:rsidR="00847689" w:rsidRPr="008D73A7">
        <w:rPr>
          <w:rFonts w:eastAsiaTheme="minorHAnsi"/>
          <w:lang w:val="en-GB"/>
        </w:rPr>
        <w:t>S</w:t>
      </w:r>
      <w:r w:rsidRPr="008D73A7">
        <w:rPr>
          <w:rFonts w:eastAsiaTheme="minorHAnsi"/>
          <w:lang w:val="en-GB"/>
        </w:rPr>
        <w:t>hort</w:t>
      </w:r>
      <w:r w:rsidR="007863AB" w:rsidRPr="008D73A7">
        <w:rPr>
          <w:rFonts w:eastAsiaTheme="minorHAnsi"/>
          <w:lang w:val="en-GB"/>
        </w:rPr>
        <w:t xml:space="preserve"> </w:t>
      </w:r>
      <w:r w:rsidR="00847689" w:rsidRPr="008D73A7">
        <w:rPr>
          <w:rFonts w:eastAsiaTheme="minorHAnsi"/>
          <w:lang w:val="en-GB"/>
        </w:rPr>
        <w:t>R</w:t>
      </w:r>
      <w:r w:rsidRPr="008D73A7">
        <w:rPr>
          <w:rFonts w:eastAsiaTheme="minorHAnsi"/>
          <w:lang w:val="en-GB"/>
        </w:rPr>
        <w:t>ange</w:t>
      </w:r>
      <w:proofErr w:type="gramEnd"/>
      <w:r w:rsidRPr="008D73A7">
        <w:rPr>
          <w:rFonts w:eastAsiaTheme="minorHAnsi"/>
          <w:lang w:val="en-GB"/>
        </w:rPr>
        <w:t xml:space="preserve"> </w:t>
      </w:r>
      <w:r w:rsidR="00847689" w:rsidRPr="008D73A7">
        <w:rPr>
          <w:rFonts w:eastAsiaTheme="minorHAnsi"/>
          <w:lang w:val="en-GB"/>
        </w:rPr>
        <w:t>D</w:t>
      </w:r>
      <w:r w:rsidRPr="008D73A7">
        <w:rPr>
          <w:rFonts w:eastAsiaTheme="minorHAnsi"/>
          <w:lang w:val="en-GB"/>
        </w:rPr>
        <w:t>evices should be considered.</w:t>
      </w:r>
    </w:p>
    <w:p w14:paraId="739F19D3" w14:textId="4282D22E" w:rsidR="002D0A29" w:rsidRPr="008D73A7" w:rsidRDefault="00915232" w:rsidP="00406659">
      <w:pPr>
        <w:pStyle w:val="Heading3"/>
        <w:rPr>
          <w:lang w:val="en-GB"/>
        </w:rPr>
      </w:pPr>
      <w:bookmarkStart w:id="208" w:name="_Toc135806323"/>
      <w:r>
        <w:rPr>
          <w:lang w:val="en-GB"/>
        </w:rPr>
        <w:lastRenderedPageBreak/>
        <w:t>R</w:t>
      </w:r>
      <w:r w:rsidR="002D0A29" w:rsidRPr="008D73A7">
        <w:rPr>
          <w:lang w:val="en-GB"/>
        </w:rPr>
        <w:t xml:space="preserve">adio </w:t>
      </w:r>
      <w:r w:rsidR="00B37972" w:rsidRPr="008D73A7">
        <w:rPr>
          <w:lang w:val="en-GB"/>
        </w:rPr>
        <w:t>a</w:t>
      </w:r>
      <w:r w:rsidR="002D0A29" w:rsidRPr="008D73A7">
        <w:rPr>
          <w:lang w:val="en-GB"/>
        </w:rPr>
        <w:t>stronomy</w:t>
      </w:r>
      <w:bookmarkEnd w:id="208"/>
    </w:p>
    <w:p w14:paraId="1AD16B83" w14:textId="08A598B8" w:rsidR="00D76A1C" w:rsidRPr="008D73A7" w:rsidRDefault="00D76A1C" w:rsidP="008012EE">
      <w:pPr>
        <w:jc w:val="both"/>
        <w:rPr>
          <w:rFonts w:eastAsiaTheme="minorHAnsi"/>
          <w:lang w:val="en-GB"/>
        </w:rPr>
      </w:pPr>
      <w:r w:rsidRPr="008D73A7">
        <w:rPr>
          <w:rFonts w:eastAsiaTheme="minorHAnsi"/>
          <w:lang w:val="en-GB"/>
        </w:rPr>
        <w:t xml:space="preserve">A single interferer scenario compatibility study between </w:t>
      </w:r>
      <w:r w:rsidR="00D27FD0" w:rsidRPr="008D73A7">
        <w:rPr>
          <w:rFonts w:eastAsiaTheme="minorHAnsi"/>
          <w:lang w:val="en-GB"/>
        </w:rPr>
        <w:t>radio astronomy service</w:t>
      </w:r>
      <w:r w:rsidRPr="008D73A7">
        <w:rPr>
          <w:rFonts w:eastAsiaTheme="minorHAnsi"/>
          <w:lang w:val="en-GB"/>
        </w:rPr>
        <w:t xml:space="preserve"> and in-cabin radar was conducted.</w:t>
      </w:r>
    </w:p>
    <w:p w14:paraId="6F163F4D" w14:textId="62735A02" w:rsidR="00D76A1C" w:rsidRPr="008D73A7" w:rsidRDefault="00D76A1C" w:rsidP="008012EE">
      <w:pPr>
        <w:jc w:val="both"/>
        <w:rPr>
          <w:rFonts w:eastAsiaTheme="minorHAnsi"/>
          <w:lang w:val="en-GB"/>
        </w:rPr>
      </w:pPr>
      <w:r w:rsidRPr="008D73A7">
        <w:rPr>
          <w:rFonts w:eastAsiaTheme="minorHAnsi"/>
          <w:lang w:val="en-GB"/>
        </w:rPr>
        <w:t xml:space="preserve">The calculated regions of zero margin for RAS stations IRAM 30 m in Spain and NOEMA in France are very limited and include only direct vicinity of both radio stations. No public roads or residential areas are located within the zero margin areas. However, in order to ensure protection of RAS stations it is proposed to define an exclusion zone in direct vicinity of </w:t>
      </w:r>
      <w:r w:rsidR="0041748F" w:rsidRPr="008D73A7">
        <w:rPr>
          <w:rFonts w:eastAsiaTheme="minorHAnsi"/>
          <w:lang w:val="en-GB"/>
        </w:rPr>
        <w:t>each</w:t>
      </w:r>
      <w:r w:rsidRPr="008D73A7">
        <w:rPr>
          <w:rFonts w:eastAsiaTheme="minorHAnsi"/>
          <w:lang w:val="en-GB"/>
        </w:rPr>
        <w:t xml:space="preserve"> radio station. </w:t>
      </w:r>
    </w:p>
    <w:p w14:paraId="43876E73" w14:textId="77777777" w:rsidR="00D76A1C" w:rsidRPr="008D73A7" w:rsidRDefault="00D76A1C" w:rsidP="008012EE">
      <w:pPr>
        <w:jc w:val="both"/>
        <w:rPr>
          <w:rFonts w:eastAsiaTheme="minorHAnsi"/>
          <w:lang w:val="en-GB"/>
        </w:rPr>
      </w:pPr>
      <w:r w:rsidRPr="008D73A7">
        <w:rPr>
          <w:rFonts w:eastAsiaTheme="minorHAnsi"/>
          <w:lang w:val="en-GB"/>
        </w:rPr>
        <w:t>Radio telescope community indicated the need to protect the immediate vicinity (e.g. 3 km radius around the RAS) of both telescopes with a very stringent power limit (ideally a switch-off), since it is possible that people would drive cars up to the telescope even in absence of public roads or bring cars up to the RAS using cable car.</w:t>
      </w:r>
    </w:p>
    <w:p w14:paraId="3DA506D2" w14:textId="576164A8" w:rsidR="00D76A1C" w:rsidRPr="008D73A7" w:rsidRDefault="00D76A1C" w:rsidP="008012EE">
      <w:pPr>
        <w:jc w:val="both"/>
        <w:rPr>
          <w:rFonts w:eastAsiaTheme="minorHAnsi"/>
          <w:lang w:val="en-GB"/>
        </w:rPr>
      </w:pPr>
      <w:r w:rsidRPr="008D73A7">
        <w:rPr>
          <w:rFonts w:eastAsiaTheme="minorHAnsi"/>
          <w:lang w:val="en-GB"/>
        </w:rPr>
        <w:t xml:space="preserve">An implementation of an automatic system to disable transmission of in-cabin radar devices coupled with geo-positioning of the vehicle, referred as “exclusion zone”, should be considered </w:t>
      </w:r>
      <w:r w:rsidR="00485172" w:rsidRPr="008D73A7">
        <w:rPr>
          <w:rFonts w:eastAsiaTheme="minorHAnsi"/>
          <w:lang w:val="en-GB"/>
        </w:rPr>
        <w:t>to</w:t>
      </w:r>
      <w:r w:rsidRPr="008D73A7">
        <w:rPr>
          <w:rFonts w:eastAsiaTheme="minorHAnsi"/>
          <w:lang w:val="en-GB"/>
        </w:rPr>
        <w:t xml:space="preserve"> protect immediate vicinity of each RAS station. An exclusion zone is defined as a geographical area (typically the area within a circle with e.g. 3 km radius) within which the transmit operation of the radar equipment is automatically disabled (without manual intervention from the driver of the vehicle) to ensure no disturbance is generated towards a RAS in immediate vicinity.</w:t>
      </w:r>
    </w:p>
    <w:p w14:paraId="7F038658" w14:textId="77777777" w:rsidR="00D76A1C" w:rsidRPr="008D73A7" w:rsidRDefault="00D76A1C" w:rsidP="008012EE">
      <w:pPr>
        <w:jc w:val="both"/>
        <w:rPr>
          <w:rFonts w:eastAsiaTheme="minorHAnsi"/>
          <w:lang w:val="en-GB"/>
        </w:rPr>
      </w:pPr>
      <w:r w:rsidRPr="008D73A7">
        <w:rPr>
          <w:rFonts w:eastAsiaTheme="minorHAnsi"/>
          <w:lang w:val="en-GB"/>
        </w:rPr>
        <w:t>The study showed that additional separation distances, beside exclusion zones in direct vicinity of RAS stations, are not needed between in-cabin vehicular radar and observatories NOEMA in France and IRAM 30 m in Spain.</w:t>
      </w:r>
    </w:p>
    <w:p w14:paraId="45F3D8B3" w14:textId="0A5E7CD1" w:rsidR="00F8380D" w:rsidRPr="008D73A7" w:rsidRDefault="00D76A1C" w:rsidP="008012EE">
      <w:pPr>
        <w:jc w:val="both"/>
        <w:rPr>
          <w:rFonts w:eastAsiaTheme="minorHAnsi"/>
          <w:lang w:val="en-GB"/>
        </w:rPr>
      </w:pPr>
      <w:r w:rsidRPr="008D73A7">
        <w:rPr>
          <w:rFonts w:eastAsiaTheme="minorHAnsi"/>
          <w:lang w:val="en-GB"/>
        </w:rPr>
        <w:t>Although no aggregated studies were performed, it was expected that single entry studies provide a reasonable approximation of a worst-case scenario.</w:t>
      </w:r>
    </w:p>
    <w:p w14:paraId="39AEA94A" w14:textId="5BEC7343" w:rsidR="002D0A29" w:rsidRPr="008D73A7" w:rsidRDefault="00915232" w:rsidP="00406659">
      <w:pPr>
        <w:pStyle w:val="Heading3"/>
        <w:rPr>
          <w:lang w:val="en-GB"/>
        </w:rPr>
      </w:pPr>
      <w:bookmarkStart w:id="209" w:name="_Toc135806324"/>
      <w:r>
        <w:rPr>
          <w:lang w:val="en-GB"/>
        </w:rPr>
        <w:t>F</w:t>
      </w:r>
      <w:r w:rsidR="002D0A29" w:rsidRPr="008D73A7">
        <w:rPr>
          <w:lang w:val="en-GB"/>
        </w:rPr>
        <w:t xml:space="preserve">ixed </w:t>
      </w:r>
      <w:r w:rsidR="008F1B16" w:rsidRPr="008D73A7">
        <w:rPr>
          <w:lang w:val="en-GB"/>
        </w:rPr>
        <w:t>s</w:t>
      </w:r>
      <w:r w:rsidR="002D0A29" w:rsidRPr="008D73A7">
        <w:rPr>
          <w:lang w:val="en-GB"/>
        </w:rPr>
        <w:t>ervice</w:t>
      </w:r>
      <w:bookmarkEnd w:id="209"/>
    </w:p>
    <w:p w14:paraId="0E0135AB" w14:textId="30F4B54A" w:rsidR="00445A4C" w:rsidRPr="008D73A7" w:rsidRDefault="005C5AD5" w:rsidP="00D40C3A">
      <w:pPr>
        <w:pStyle w:val="ECCParagraph"/>
        <w:rPr>
          <w:b/>
          <w:bCs/>
        </w:rPr>
      </w:pPr>
      <w:r w:rsidRPr="008D73A7">
        <w:t xml:space="preserve">The </w:t>
      </w:r>
      <w:proofErr w:type="gramStart"/>
      <w:r w:rsidRPr="008D73A7">
        <w:t>single entry</w:t>
      </w:r>
      <w:proofErr w:type="gramEnd"/>
      <w:r w:rsidRPr="008D73A7">
        <w:t xml:space="preserve"> interference studies show that sharing between in-cabin vehicular radars and fixed services is possible for the considered in-band power level of 3 dBm mean e.i.r.p. and 16 dBm peak e.i.r.p. within a bandwidth of 1 GHz. For adjacent band compatibility studies, a 20 dB out-of-band attenuation was assumed, leading to -17 dBm mean e.i.r.p. and -4 peak e.i.r.p. in 1 GHz </w:t>
      </w:r>
      <w:proofErr w:type="gramStart"/>
      <w:r w:rsidRPr="008D73A7">
        <w:t>and</w:t>
      </w:r>
      <w:proofErr w:type="gramEnd"/>
      <w:r w:rsidRPr="008D73A7">
        <w:t xml:space="preserve"> hence showing compatibility.</w:t>
      </w:r>
    </w:p>
    <w:p w14:paraId="7CA15C9D" w14:textId="66870A51" w:rsidR="002D0A29" w:rsidRPr="008D73A7" w:rsidRDefault="00915232" w:rsidP="00406659">
      <w:pPr>
        <w:pStyle w:val="Heading3"/>
        <w:rPr>
          <w:lang w:val="en-GB"/>
        </w:rPr>
      </w:pPr>
      <w:bookmarkStart w:id="210" w:name="_Toc135806325"/>
      <w:r>
        <w:rPr>
          <w:lang w:val="en-GB"/>
        </w:rPr>
        <w:t>E</w:t>
      </w:r>
      <w:r w:rsidR="002D0A29" w:rsidRPr="008D73A7">
        <w:rPr>
          <w:lang w:val="en-GB"/>
        </w:rPr>
        <w:t xml:space="preserve">arth </w:t>
      </w:r>
      <w:r w:rsidR="00D62091" w:rsidRPr="008D73A7">
        <w:rPr>
          <w:lang w:val="en-GB"/>
        </w:rPr>
        <w:t>e</w:t>
      </w:r>
      <w:r w:rsidR="002D0A29" w:rsidRPr="008D73A7">
        <w:rPr>
          <w:lang w:val="en-GB"/>
        </w:rPr>
        <w:t xml:space="preserve">xploration </w:t>
      </w:r>
      <w:r w:rsidR="00D62091" w:rsidRPr="008D73A7">
        <w:rPr>
          <w:lang w:val="en-GB"/>
        </w:rPr>
        <w:t>s</w:t>
      </w:r>
      <w:r w:rsidR="002D0A29" w:rsidRPr="008D73A7">
        <w:rPr>
          <w:lang w:val="en-GB"/>
        </w:rPr>
        <w:t xml:space="preserve">atellite </w:t>
      </w:r>
      <w:r w:rsidR="00D62091" w:rsidRPr="008D73A7">
        <w:rPr>
          <w:lang w:val="en-GB"/>
        </w:rPr>
        <w:t>s</w:t>
      </w:r>
      <w:r w:rsidR="002D0A29" w:rsidRPr="008D73A7">
        <w:rPr>
          <w:lang w:val="en-GB"/>
        </w:rPr>
        <w:t>ervice (</w:t>
      </w:r>
      <w:r w:rsidR="00D62091" w:rsidRPr="008D73A7">
        <w:rPr>
          <w:lang w:val="en-GB"/>
        </w:rPr>
        <w:t>p</w:t>
      </w:r>
      <w:r w:rsidR="002D0A29" w:rsidRPr="008D73A7">
        <w:rPr>
          <w:lang w:val="en-GB"/>
        </w:rPr>
        <w:t>assive)</w:t>
      </w:r>
      <w:bookmarkEnd w:id="210"/>
    </w:p>
    <w:p w14:paraId="3D005CAE" w14:textId="0D834008" w:rsidR="002C4552" w:rsidRPr="008D73A7" w:rsidRDefault="002C4552" w:rsidP="00175876">
      <w:pPr>
        <w:jc w:val="both"/>
        <w:rPr>
          <w:lang w:val="en-GB"/>
        </w:rPr>
      </w:pPr>
      <w:r w:rsidRPr="008D73A7">
        <w:rPr>
          <w:lang w:val="en-GB"/>
        </w:rPr>
        <w:t>Results of the studies show that, for both single entry and aggregated interference scenarios, the protection of the EESS</w:t>
      </w:r>
      <w:r w:rsidRPr="008D73A7">
        <w:rPr>
          <w:rFonts w:eastAsiaTheme="minorHAnsi"/>
          <w:lang w:val="en-GB"/>
        </w:rPr>
        <w:t xml:space="preserve"> (passive)</w:t>
      </w:r>
      <w:r w:rsidRPr="008D73A7">
        <w:rPr>
          <w:lang w:val="en-GB"/>
        </w:rPr>
        <w:t xml:space="preserve"> would be ensured for in-cabin radar operating in the adjacent frequency bands 122.25</w:t>
      </w:r>
      <w:r w:rsidR="0032717C">
        <w:rPr>
          <w:lang w:val="en-GB"/>
        </w:rPr>
        <w:t>-</w:t>
      </w:r>
      <w:r w:rsidRPr="008D73A7">
        <w:rPr>
          <w:lang w:val="en-GB"/>
        </w:rPr>
        <w:t>130 GHz and 141-148.5 GHz. On the other hand, the case of the protection of the EESS</w:t>
      </w:r>
      <w:r w:rsidRPr="008D73A7">
        <w:rPr>
          <w:rFonts w:eastAsiaTheme="minorHAnsi"/>
          <w:lang w:val="en-GB"/>
        </w:rPr>
        <w:t xml:space="preserve"> (passive)</w:t>
      </w:r>
      <w:r w:rsidRPr="008D73A7">
        <w:rPr>
          <w:lang w:val="en-GB"/>
        </w:rPr>
        <w:t xml:space="preserve"> from in-cabin radar operating co-frequency in the frequency band 116-130 GHz depicts large negative margins for aggregated study for the band 116-122.25 GHz.</w:t>
      </w:r>
    </w:p>
    <w:p w14:paraId="51F04EEF" w14:textId="6680E958" w:rsidR="002C4552" w:rsidRPr="008D73A7" w:rsidRDefault="002C4552" w:rsidP="00175876">
      <w:pPr>
        <w:jc w:val="both"/>
        <w:rPr>
          <w:rFonts w:eastAsiaTheme="minorHAnsi"/>
          <w:lang w:val="en-GB"/>
        </w:rPr>
      </w:pPr>
      <w:r w:rsidRPr="008D73A7">
        <w:rPr>
          <w:rFonts w:eastAsiaTheme="minorHAnsi"/>
          <w:lang w:val="en-GB"/>
        </w:rPr>
        <w:t xml:space="preserve">No mitigation technique has been determined that could be considered to ensure the protection of EESS from in-cabin radar in the aggregated effect in the 116-122.25 GHz band. Therefore, </w:t>
      </w:r>
      <w:r w:rsidR="00454BE1" w:rsidRPr="008D73A7">
        <w:rPr>
          <w:rFonts w:eastAsiaTheme="minorHAnsi"/>
          <w:lang w:val="en-GB"/>
        </w:rPr>
        <w:t>coexistence</w:t>
      </w:r>
      <w:r w:rsidRPr="008D73A7">
        <w:rPr>
          <w:rFonts w:eastAsiaTheme="minorHAnsi"/>
          <w:lang w:val="en-GB"/>
        </w:rPr>
        <w:t xml:space="preserve"> cannot be ensured with in-cabin radars.</w:t>
      </w:r>
    </w:p>
    <w:p w14:paraId="0B110ADB" w14:textId="62364F3C" w:rsidR="002C4552" w:rsidRPr="008D73A7" w:rsidRDefault="002C4552" w:rsidP="00175876">
      <w:pPr>
        <w:jc w:val="both"/>
        <w:rPr>
          <w:lang w:val="en-GB"/>
        </w:rPr>
      </w:pPr>
      <w:r w:rsidRPr="008D73A7">
        <w:rPr>
          <w:lang w:val="en-GB"/>
        </w:rPr>
        <w:t>For in-cabin radar working in frequency bands 122.25-130 GHz and 134-148.5 GHz, the following technical conditions could apply (on per radar basis):</w:t>
      </w:r>
    </w:p>
    <w:p w14:paraId="27DA39D8" w14:textId="77777777" w:rsidR="002C4552" w:rsidRPr="008D73A7" w:rsidRDefault="002C4552" w:rsidP="00800FE2">
      <w:pPr>
        <w:pStyle w:val="ListParagraph"/>
        <w:numPr>
          <w:ilvl w:val="0"/>
          <w:numId w:val="53"/>
        </w:numPr>
        <w:spacing w:before="60"/>
        <w:ind w:left="357" w:hanging="357"/>
        <w:jc w:val="both"/>
        <w:rPr>
          <w:lang w:val="en-GB"/>
        </w:rPr>
      </w:pPr>
      <w:bookmarkStart w:id="211" w:name="_Toc112407398"/>
      <w:bookmarkStart w:id="212" w:name="_Toc112407399"/>
      <w:bookmarkStart w:id="213" w:name="_Toc112407400"/>
      <w:bookmarkEnd w:id="211"/>
      <w:bookmarkEnd w:id="212"/>
      <w:bookmarkEnd w:id="213"/>
      <w:r w:rsidRPr="008D73A7">
        <w:rPr>
          <w:lang w:val="en-GB"/>
        </w:rPr>
        <w:t>Band 122.25-130 GHz:</w:t>
      </w:r>
    </w:p>
    <w:p w14:paraId="79E9D57A" w14:textId="77777777" w:rsidR="002C4552" w:rsidRPr="008D73A7" w:rsidRDefault="002C4552" w:rsidP="00406659">
      <w:pPr>
        <w:pStyle w:val="ECCBulletsLv1"/>
        <w:spacing w:after="0"/>
        <w:ind w:left="697" w:hanging="340"/>
      </w:pPr>
      <w:r w:rsidRPr="008D73A7">
        <w:t>Maximum (mean) e.i.r.p. density in adjacent (EESS) band 116-122.25 GHz: -45 dBm/MHz;</w:t>
      </w:r>
    </w:p>
    <w:p w14:paraId="1AAFAA80" w14:textId="77777777" w:rsidR="002C4552" w:rsidRPr="008D73A7" w:rsidRDefault="002C4552" w:rsidP="00406659">
      <w:pPr>
        <w:pStyle w:val="ECCBulletsLv1"/>
        <w:spacing w:after="0"/>
        <w:ind w:left="697" w:hanging="340"/>
      </w:pPr>
      <w:r w:rsidRPr="008D73A7">
        <w:t>Downwards antenna orientation;</w:t>
      </w:r>
    </w:p>
    <w:p w14:paraId="602CA9AB" w14:textId="571CEF23" w:rsidR="002C4552" w:rsidRPr="008D73A7" w:rsidRDefault="002C4552" w:rsidP="00406659">
      <w:pPr>
        <w:pStyle w:val="ECCBulletsLv1"/>
        <w:spacing w:after="0"/>
        <w:ind w:left="697" w:hanging="340"/>
      </w:pPr>
      <w:r w:rsidRPr="008D73A7">
        <w:t>Report shows that sensors integrated in conventional cars or cars with sunroof ensure at least 15 dB of exit-loss (attenuation) from the radar main beam to the EESS (passive) sensors’ directions. In other cases, e.g. convertible cars, the minimum of 15 dB exit-loss (in worst case) needs to be proven. Process of proving is to be specified and agreed.</w:t>
      </w:r>
    </w:p>
    <w:p w14:paraId="7CD21095" w14:textId="575B4E37" w:rsidR="00454BE1" w:rsidRPr="008D73A7" w:rsidRDefault="00454BE1" w:rsidP="00800FE2">
      <w:pPr>
        <w:pStyle w:val="ECCBulletsLv1"/>
        <w:keepNext/>
        <w:ind w:left="340" w:hanging="340"/>
      </w:pPr>
      <w:r w:rsidRPr="008D73A7">
        <w:lastRenderedPageBreak/>
        <w:t>Band 134</w:t>
      </w:r>
      <w:r w:rsidR="00800FE2">
        <w:t>-</w:t>
      </w:r>
      <w:r w:rsidRPr="008D73A7">
        <w:t>148.5 GHz:</w:t>
      </w:r>
    </w:p>
    <w:p w14:paraId="445E4DDA" w14:textId="70941AB9" w:rsidR="002C4552" w:rsidRPr="008D73A7" w:rsidRDefault="002C4552" w:rsidP="00800FE2">
      <w:pPr>
        <w:pStyle w:val="ECCBulletsLv1"/>
        <w:keepNext/>
        <w:ind w:left="697" w:hanging="340"/>
      </w:pPr>
      <w:r w:rsidRPr="008D73A7">
        <w:t>Maximum (mean) e.i.r.p. density in adjacent (EESS) band 148.5-151 GHz: -39 dBm/MHz;</w:t>
      </w:r>
    </w:p>
    <w:p w14:paraId="70DD8EE4" w14:textId="2281DFB0" w:rsidR="002C4552" w:rsidRPr="008D73A7" w:rsidRDefault="002C4552" w:rsidP="00800FE2">
      <w:pPr>
        <w:pStyle w:val="ECCBulletsLv1"/>
        <w:keepNext/>
        <w:ind w:left="697" w:hanging="340"/>
      </w:pPr>
      <w:r w:rsidRPr="008D73A7">
        <w:t>Downwards antenna orientation</w:t>
      </w:r>
      <w:r w:rsidR="00301372">
        <w:t>.</w:t>
      </w:r>
    </w:p>
    <w:p w14:paraId="14F229BB" w14:textId="08868582" w:rsidR="00445A4C" w:rsidRPr="008D73A7" w:rsidRDefault="007E17E5" w:rsidP="0041748F">
      <w:pPr>
        <w:pStyle w:val="ECCParagraph"/>
        <w:spacing w:before="240" w:after="60"/>
      </w:pPr>
      <w:r w:rsidRPr="008D73A7">
        <w:t xml:space="preserve">ECC </w:t>
      </w:r>
      <w:r w:rsidR="002C4552" w:rsidRPr="008D73A7">
        <w:t xml:space="preserve">Report </w:t>
      </w:r>
      <w:r w:rsidRPr="008D73A7">
        <w:t>351</w:t>
      </w:r>
      <w:r w:rsidR="002C4552" w:rsidRPr="008D73A7">
        <w:t xml:space="preserve"> shows that sensors integrated in conventional cars or cars with sunroof ensure at least 15 dB of exit-loss (attenuation) from the radar main beam to the EESS (passive) sensors’ directions. In other cases, e.g. convertible cars, the minimum of 15 dB exit-loss (in worst case) needs to be proven. Process of proving is to be specified and agreed.</w:t>
      </w:r>
    </w:p>
    <w:p w14:paraId="556ADFFB" w14:textId="5260D705" w:rsidR="002D0A29" w:rsidRPr="008D73A7" w:rsidRDefault="00915232" w:rsidP="00406659">
      <w:pPr>
        <w:pStyle w:val="Heading3"/>
        <w:rPr>
          <w:lang w:val="en-GB"/>
        </w:rPr>
      </w:pPr>
      <w:bookmarkStart w:id="214" w:name="_Toc135806326"/>
      <w:r>
        <w:rPr>
          <w:lang w:val="en-GB"/>
        </w:rPr>
        <w:t>A</w:t>
      </w:r>
      <w:r w:rsidR="002D0A29" w:rsidRPr="008D73A7">
        <w:rPr>
          <w:lang w:val="en-GB"/>
        </w:rPr>
        <w:t xml:space="preserve">mateur </w:t>
      </w:r>
      <w:r w:rsidR="00B37972" w:rsidRPr="008D73A7">
        <w:rPr>
          <w:lang w:val="en-GB"/>
        </w:rPr>
        <w:t>s</w:t>
      </w:r>
      <w:r w:rsidR="002D0A29" w:rsidRPr="008D73A7">
        <w:rPr>
          <w:lang w:val="en-GB"/>
        </w:rPr>
        <w:t>ervice</w:t>
      </w:r>
      <w:bookmarkEnd w:id="214"/>
    </w:p>
    <w:p w14:paraId="2E0203F5" w14:textId="77777777" w:rsidR="00EB3502" w:rsidRPr="008D73A7" w:rsidRDefault="00EB3502" w:rsidP="00E174D9">
      <w:pPr>
        <w:jc w:val="both"/>
        <w:rPr>
          <w:rFonts w:eastAsiaTheme="minorHAnsi"/>
          <w:lang w:val="en-GB"/>
        </w:rPr>
      </w:pPr>
      <w:r w:rsidRPr="008D73A7">
        <w:rPr>
          <w:rFonts w:eastAsiaTheme="minorHAnsi"/>
          <w:lang w:val="en-GB"/>
        </w:rPr>
        <w:t xml:space="preserve">For in-cabin vehicular radars no interference could be found due to the low level of emissions and the body attenuation of the vehicle. </w:t>
      </w:r>
    </w:p>
    <w:p w14:paraId="568F0AE4" w14:textId="42C217B5" w:rsidR="002D0A29" w:rsidRPr="008D73A7" w:rsidRDefault="00EB3502" w:rsidP="005F186B">
      <w:pPr>
        <w:jc w:val="both"/>
        <w:rPr>
          <w:rFonts w:eastAsiaTheme="minorHAnsi"/>
          <w:lang w:val="en-GB"/>
        </w:rPr>
      </w:pPr>
      <w:r w:rsidRPr="008D73A7">
        <w:rPr>
          <w:rFonts w:eastAsiaTheme="minorHAnsi"/>
          <w:lang w:val="en-GB"/>
        </w:rPr>
        <w:t xml:space="preserve">Thus, it is concluded that in the bands 122.25-123 GHz and 134-141 GHz, coexistence between in-cabin vehicular radars and the </w:t>
      </w:r>
      <w:r w:rsidR="00B37972" w:rsidRPr="008D73A7">
        <w:rPr>
          <w:rFonts w:eastAsiaTheme="minorHAnsi"/>
          <w:lang w:val="en-GB"/>
        </w:rPr>
        <w:t>a</w:t>
      </w:r>
      <w:r w:rsidRPr="008D73A7">
        <w:rPr>
          <w:rFonts w:eastAsiaTheme="minorHAnsi"/>
          <w:lang w:val="en-GB"/>
        </w:rPr>
        <w:t xml:space="preserve">mateur and </w:t>
      </w:r>
      <w:r w:rsidR="00B37972" w:rsidRPr="008D73A7">
        <w:rPr>
          <w:rFonts w:eastAsiaTheme="minorHAnsi"/>
          <w:lang w:val="en-GB"/>
        </w:rPr>
        <w:t>a</w:t>
      </w:r>
      <w:r w:rsidRPr="008D73A7">
        <w:rPr>
          <w:rFonts w:eastAsiaTheme="minorHAnsi"/>
          <w:lang w:val="en-GB"/>
        </w:rPr>
        <w:t>mateur-</w:t>
      </w:r>
      <w:r w:rsidR="00B37972" w:rsidRPr="008D73A7">
        <w:rPr>
          <w:rFonts w:eastAsiaTheme="minorHAnsi"/>
          <w:lang w:val="en-GB"/>
        </w:rPr>
        <w:t>s</w:t>
      </w:r>
      <w:r w:rsidRPr="008D73A7">
        <w:rPr>
          <w:rFonts w:eastAsiaTheme="minorHAnsi"/>
          <w:lang w:val="en-GB"/>
        </w:rPr>
        <w:t xml:space="preserve">atellite </w:t>
      </w:r>
      <w:r w:rsidR="00B37972" w:rsidRPr="008D73A7">
        <w:rPr>
          <w:rFonts w:eastAsiaTheme="minorHAnsi"/>
          <w:lang w:val="en-GB"/>
        </w:rPr>
        <w:t>s</w:t>
      </w:r>
      <w:r w:rsidRPr="008D73A7">
        <w:rPr>
          <w:rFonts w:eastAsiaTheme="minorHAnsi"/>
          <w:lang w:val="en-GB"/>
        </w:rPr>
        <w:t>ervices can be achieved.</w:t>
      </w:r>
      <w:bookmarkEnd w:id="199"/>
    </w:p>
    <w:p w14:paraId="1E5362CF" w14:textId="4F8DAE20" w:rsidR="008234A5" w:rsidRPr="008D73A7" w:rsidRDefault="008234A5" w:rsidP="00415C19">
      <w:pPr>
        <w:pStyle w:val="Heading1"/>
      </w:pPr>
      <w:bookmarkStart w:id="215" w:name="_Toc123634723"/>
      <w:bookmarkStart w:id="216" w:name="_Toc123634813"/>
      <w:bookmarkStart w:id="217" w:name="_Ref135742598"/>
      <w:bookmarkStart w:id="218" w:name="_Toc135806327"/>
      <w:bookmarkStart w:id="219" w:name="_Toc153443774"/>
      <w:bookmarkEnd w:id="200"/>
      <w:r w:rsidRPr="008D73A7">
        <w:lastRenderedPageBreak/>
        <w:t>Recommended framework</w:t>
      </w:r>
      <w:bookmarkEnd w:id="215"/>
      <w:bookmarkEnd w:id="216"/>
      <w:bookmarkEnd w:id="217"/>
      <w:bookmarkEnd w:id="218"/>
      <w:bookmarkEnd w:id="219"/>
    </w:p>
    <w:p w14:paraId="394ED180" w14:textId="7E439B63" w:rsidR="00CC3F30" w:rsidRPr="008D73A7" w:rsidRDefault="00CC3F30" w:rsidP="00A55704">
      <w:pPr>
        <w:pStyle w:val="Heading2"/>
        <w:rPr>
          <w:lang w:val="en-GB"/>
        </w:rPr>
      </w:pPr>
      <w:bookmarkStart w:id="220" w:name="_Toc123634724"/>
      <w:bookmarkStart w:id="221" w:name="_Toc123634814"/>
      <w:bookmarkStart w:id="222" w:name="_Toc135806328"/>
      <w:bookmarkStart w:id="223" w:name="_Toc153443775"/>
      <w:r w:rsidRPr="008D73A7">
        <w:rPr>
          <w:lang w:val="en-GB"/>
        </w:rPr>
        <w:t>Introduction</w:t>
      </w:r>
      <w:bookmarkEnd w:id="220"/>
      <w:bookmarkEnd w:id="221"/>
      <w:bookmarkEnd w:id="222"/>
      <w:bookmarkEnd w:id="223"/>
    </w:p>
    <w:p w14:paraId="2D882644" w14:textId="3EAB82DC" w:rsidR="00A75041" w:rsidRPr="008D73A7" w:rsidRDefault="00C4596F" w:rsidP="00DE18AA">
      <w:pPr>
        <w:pStyle w:val="ECCParagraph"/>
      </w:pPr>
      <w:r w:rsidRPr="008D73A7">
        <w:t xml:space="preserve">The </w:t>
      </w:r>
      <w:r w:rsidR="00122BE0" w:rsidRPr="008D73A7">
        <w:t xml:space="preserve">detailed </w:t>
      </w:r>
      <w:r w:rsidR="00A75041" w:rsidRPr="008D73A7">
        <w:t xml:space="preserve">harmonised technical conditions </w:t>
      </w:r>
      <w:r w:rsidR="009F6BC1" w:rsidRPr="008D73A7">
        <w:t xml:space="preserve">for </w:t>
      </w:r>
      <w:r w:rsidR="009334DD" w:rsidRPr="008D73A7">
        <w:t xml:space="preserve">specific radiodetermination </w:t>
      </w:r>
      <w:r w:rsidR="009F6BC1" w:rsidRPr="008D73A7">
        <w:t>applications in the frequency range 116</w:t>
      </w:r>
      <w:r w:rsidR="00666B9A" w:rsidRPr="008D73A7">
        <w:t>-</w:t>
      </w:r>
      <w:r w:rsidR="009F6BC1" w:rsidRPr="008D73A7">
        <w:t xml:space="preserve">260 GHz </w:t>
      </w:r>
      <w:r w:rsidR="00122BE0" w:rsidRPr="008D73A7">
        <w:t xml:space="preserve">as regulated in ECC Decision (22)03 </w:t>
      </w:r>
      <w:r w:rsidR="0047655B" w:rsidRPr="008D73A7">
        <w:fldChar w:fldCharType="begin"/>
      </w:r>
      <w:r w:rsidR="0047655B" w:rsidRPr="008D73A7">
        <w:instrText xml:space="preserve"> REF ECC_DEC_22_03 \w \h </w:instrText>
      </w:r>
      <w:r w:rsidR="00DE18AA" w:rsidRPr="008D73A7">
        <w:instrText xml:space="preserve"> \* MERGEFORMAT </w:instrText>
      </w:r>
      <w:r w:rsidR="0047655B" w:rsidRPr="008D73A7">
        <w:fldChar w:fldCharType="separate"/>
      </w:r>
      <w:r w:rsidR="00113216" w:rsidRPr="008D73A7">
        <w:t>[4]</w:t>
      </w:r>
      <w:r w:rsidR="0047655B" w:rsidRPr="008D73A7">
        <w:fldChar w:fldCharType="end"/>
      </w:r>
      <w:r w:rsidR="0047655B" w:rsidRPr="008D73A7">
        <w:t xml:space="preserve"> </w:t>
      </w:r>
      <w:r w:rsidR="00A75041" w:rsidRPr="008D73A7">
        <w:t xml:space="preserve">are presented </w:t>
      </w:r>
      <w:r w:rsidR="00263920" w:rsidRPr="008D73A7">
        <w:t xml:space="preserve">in </w:t>
      </w:r>
      <w:r w:rsidR="0047655B" w:rsidRPr="008D73A7">
        <w:rPr>
          <w:highlight w:val="yellow"/>
        </w:rPr>
        <w:fldChar w:fldCharType="begin"/>
      </w:r>
      <w:r w:rsidR="0047655B" w:rsidRPr="008D73A7">
        <w:instrText xml:space="preserve"> REF _Ref114568495 \r \h </w:instrText>
      </w:r>
      <w:r w:rsidR="00DE18AA" w:rsidRPr="008D73A7">
        <w:rPr>
          <w:highlight w:val="yellow"/>
        </w:rPr>
        <w:instrText xml:space="preserve"> \* MERGEFORMAT </w:instrText>
      </w:r>
      <w:r w:rsidR="0047655B" w:rsidRPr="008D73A7">
        <w:rPr>
          <w:highlight w:val="yellow"/>
        </w:rPr>
      </w:r>
      <w:r w:rsidR="0047655B" w:rsidRPr="008D73A7">
        <w:rPr>
          <w:highlight w:val="yellow"/>
        </w:rPr>
        <w:fldChar w:fldCharType="separate"/>
      </w:r>
      <w:r w:rsidR="00113216" w:rsidRPr="008D73A7">
        <w:t>A</w:t>
      </w:r>
      <w:r w:rsidR="00F40245" w:rsidRPr="008D73A7">
        <w:t>nnex</w:t>
      </w:r>
      <w:r w:rsidR="00113216" w:rsidRPr="008D73A7">
        <w:t xml:space="preserve"> 1</w:t>
      </w:r>
      <w:r w:rsidR="0047655B" w:rsidRPr="008D73A7">
        <w:rPr>
          <w:highlight w:val="yellow"/>
        </w:rPr>
        <w:fldChar w:fldCharType="end"/>
      </w:r>
      <w:r w:rsidR="00C1140D" w:rsidRPr="008D73A7">
        <w:t>.</w:t>
      </w:r>
    </w:p>
    <w:p w14:paraId="0F063F2D" w14:textId="7E4DCB5D" w:rsidR="000B57F7" w:rsidRPr="008D73A7" w:rsidRDefault="003722C7" w:rsidP="00DE18AA">
      <w:pPr>
        <w:pStyle w:val="ECCParagraph"/>
        <w:spacing w:after="60"/>
      </w:pPr>
      <w:r w:rsidRPr="008D73A7">
        <w:t xml:space="preserve">The recommended </w:t>
      </w:r>
      <w:r w:rsidR="008B593B" w:rsidRPr="008D73A7">
        <w:t xml:space="preserve">new </w:t>
      </w:r>
      <w:r w:rsidR="0064318F" w:rsidRPr="008D73A7">
        <w:t xml:space="preserve">framework for </w:t>
      </w:r>
      <w:r w:rsidR="00B96B4F" w:rsidRPr="008D73A7">
        <w:t xml:space="preserve">SRD </w:t>
      </w:r>
      <w:r w:rsidR="0064318F" w:rsidRPr="008D73A7">
        <w:t xml:space="preserve">in the </w:t>
      </w:r>
      <w:r w:rsidR="009F6BC1" w:rsidRPr="008D73A7">
        <w:t>frequency range</w:t>
      </w:r>
      <w:r w:rsidR="0064318F" w:rsidRPr="008D73A7">
        <w:t xml:space="preserve"> 116</w:t>
      </w:r>
      <w:r w:rsidR="00666B9A" w:rsidRPr="008D73A7">
        <w:t>-</w:t>
      </w:r>
      <w:r w:rsidR="0064318F" w:rsidRPr="008D73A7">
        <w:t xml:space="preserve">260 GHz is summarised in </w:t>
      </w:r>
      <w:r w:rsidR="00635318" w:rsidRPr="008D73A7">
        <w:t xml:space="preserve">sections </w:t>
      </w:r>
      <w:r w:rsidR="00635318" w:rsidRPr="008D73A7">
        <w:rPr>
          <w:highlight w:val="yellow"/>
        </w:rPr>
        <w:fldChar w:fldCharType="begin"/>
      </w:r>
      <w:r w:rsidR="00635318" w:rsidRPr="008D73A7">
        <w:instrText xml:space="preserve"> REF _Ref120787540 \r \h </w:instrText>
      </w:r>
      <w:r w:rsidR="00DE18AA" w:rsidRPr="008D73A7">
        <w:rPr>
          <w:highlight w:val="yellow"/>
        </w:rPr>
        <w:instrText xml:space="preserve"> \* MERGEFORMAT </w:instrText>
      </w:r>
      <w:r w:rsidR="00635318" w:rsidRPr="008D73A7">
        <w:rPr>
          <w:highlight w:val="yellow"/>
        </w:rPr>
      </w:r>
      <w:r w:rsidR="00635318" w:rsidRPr="008D73A7">
        <w:rPr>
          <w:highlight w:val="yellow"/>
        </w:rPr>
        <w:fldChar w:fldCharType="separate"/>
      </w:r>
      <w:r w:rsidR="00113216" w:rsidRPr="008D73A7">
        <w:t>4.2</w:t>
      </w:r>
      <w:r w:rsidR="00635318" w:rsidRPr="008D73A7">
        <w:rPr>
          <w:highlight w:val="yellow"/>
        </w:rPr>
        <w:fldChar w:fldCharType="end"/>
      </w:r>
      <w:r w:rsidR="00635318" w:rsidRPr="008D73A7">
        <w:t xml:space="preserve"> to </w:t>
      </w:r>
      <w:r w:rsidR="00635318" w:rsidRPr="008D73A7">
        <w:rPr>
          <w:highlight w:val="yellow"/>
        </w:rPr>
        <w:fldChar w:fldCharType="begin"/>
      </w:r>
      <w:r w:rsidR="00635318" w:rsidRPr="008D73A7">
        <w:instrText xml:space="preserve"> REF _Ref120787572 \r \h </w:instrText>
      </w:r>
      <w:r w:rsidR="00DE18AA" w:rsidRPr="008D73A7">
        <w:rPr>
          <w:highlight w:val="yellow"/>
        </w:rPr>
        <w:instrText xml:space="preserve"> \* MERGEFORMAT </w:instrText>
      </w:r>
      <w:r w:rsidR="00635318" w:rsidRPr="008D73A7">
        <w:rPr>
          <w:highlight w:val="yellow"/>
        </w:rPr>
      </w:r>
      <w:r w:rsidR="00635318" w:rsidRPr="008D73A7">
        <w:rPr>
          <w:highlight w:val="yellow"/>
        </w:rPr>
        <w:fldChar w:fldCharType="separate"/>
      </w:r>
      <w:r w:rsidR="00113216" w:rsidRPr="008D73A7">
        <w:t>4.7</w:t>
      </w:r>
      <w:r w:rsidR="00635318" w:rsidRPr="008D73A7">
        <w:rPr>
          <w:highlight w:val="yellow"/>
        </w:rPr>
        <w:fldChar w:fldCharType="end"/>
      </w:r>
      <w:r w:rsidR="0064318F" w:rsidRPr="008D73A7">
        <w:t xml:space="preserve"> </w:t>
      </w:r>
      <w:r w:rsidR="008323ED" w:rsidRPr="008D73A7">
        <w:t xml:space="preserve">for the different </w:t>
      </w:r>
      <w:r w:rsidR="00B96B4F" w:rsidRPr="008D73A7">
        <w:t xml:space="preserve">specific radiodetermination </w:t>
      </w:r>
      <w:r w:rsidR="008323ED" w:rsidRPr="008D73A7">
        <w:t>applications</w:t>
      </w:r>
      <w:r w:rsidR="00342B53" w:rsidRPr="008D73A7">
        <w:t>.</w:t>
      </w:r>
    </w:p>
    <w:p w14:paraId="4CCC7D45" w14:textId="135940BC" w:rsidR="008B593B" w:rsidRPr="008D73A7" w:rsidRDefault="008B593B" w:rsidP="00A55704">
      <w:pPr>
        <w:pStyle w:val="Heading2"/>
        <w:rPr>
          <w:lang w:val="en-GB"/>
        </w:rPr>
      </w:pPr>
      <w:bookmarkStart w:id="224" w:name="_Toc29910922"/>
      <w:bookmarkStart w:id="225" w:name="_Toc29910975"/>
      <w:bookmarkStart w:id="226" w:name="_Toc29911414"/>
      <w:bookmarkStart w:id="227" w:name="_Toc29910923"/>
      <w:bookmarkStart w:id="228" w:name="_Toc29910976"/>
      <w:bookmarkStart w:id="229" w:name="_Toc29911415"/>
      <w:bookmarkStart w:id="230" w:name="_Toc29910924"/>
      <w:bookmarkStart w:id="231" w:name="_Toc29910977"/>
      <w:bookmarkStart w:id="232" w:name="_Toc29911416"/>
      <w:bookmarkStart w:id="233" w:name="_Toc29910925"/>
      <w:bookmarkStart w:id="234" w:name="_Toc29910978"/>
      <w:bookmarkStart w:id="235" w:name="_Toc29911417"/>
      <w:bookmarkStart w:id="236" w:name="_Toc29910926"/>
      <w:bookmarkStart w:id="237" w:name="_Toc29910979"/>
      <w:bookmarkStart w:id="238" w:name="_Toc29911418"/>
      <w:bookmarkStart w:id="239" w:name="_Toc29910927"/>
      <w:bookmarkStart w:id="240" w:name="_Toc29910980"/>
      <w:bookmarkStart w:id="241" w:name="_Toc29911419"/>
      <w:bookmarkStart w:id="242" w:name="_Toc29910928"/>
      <w:bookmarkStart w:id="243" w:name="_Toc29910981"/>
      <w:bookmarkStart w:id="244" w:name="_Toc29911420"/>
      <w:bookmarkStart w:id="245" w:name="_Toc29910929"/>
      <w:bookmarkStart w:id="246" w:name="_Toc29910982"/>
      <w:bookmarkStart w:id="247" w:name="_Toc29911421"/>
      <w:bookmarkStart w:id="248" w:name="_Toc29910930"/>
      <w:bookmarkStart w:id="249" w:name="_Toc29910983"/>
      <w:bookmarkStart w:id="250" w:name="_Toc29911422"/>
      <w:bookmarkStart w:id="251" w:name="_Toc29910931"/>
      <w:bookmarkStart w:id="252" w:name="_Toc29910984"/>
      <w:bookmarkStart w:id="253" w:name="_Toc29911423"/>
      <w:bookmarkStart w:id="254" w:name="_Toc29910932"/>
      <w:bookmarkStart w:id="255" w:name="_Toc29910985"/>
      <w:bookmarkStart w:id="256" w:name="_Toc29911424"/>
      <w:bookmarkStart w:id="257" w:name="_Toc29910933"/>
      <w:bookmarkStart w:id="258" w:name="_Toc29910986"/>
      <w:bookmarkStart w:id="259" w:name="_Toc29911425"/>
      <w:bookmarkStart w:id="260" w:name="_Toc29910934"/>
      <w:bookmarkStart w:id="261" w:name="_Toc29910987"/>
      <w:bookmarkStart w:id="262" w:name="_Toc29911426"/>
      <w:bookmarkStart w:id="263" w:name="_Toc29910935"/>
      <w:bookmarkStart w:id="264" w:name="_Toc29910988"/>
      <w:bookmarkStart w:id="265" w:name="_Toc29911427"/>
      <w:bookmarkStart w:id="266" w:name="_Toc29910936"/>
      <w:bookmarkStart w:id="267" w:name="_Toc29910989"/>
      <w:bookmarkStart w:id="268" w:name="_Toc29911428"/>
      <w:bookmarkStart w:id="269" w:name="_Toc29910937"/>
      <w:bookmarkStart w:id="270" w:name="_Toc29910990"/>
      <w:bookmarkStart w:id="271" w:name="_Toc29911429"/>
      <w:bookmarkStart w:id="272" w:name="_Toc29910938"/>
      <w:bookmarkStart w:id="273" w:name="_Toc29910991"/>
      <w:bookmarkStart w:id="274" w:name="_Toc29911430"/>
      <w:bookmarkStart w:id="275" w:name="_Toc29910939"/>
      <w:bookmarkStart w:id="276" w:name="_Toc29910992"/>
      <w:bookmarkStart w:id="277" w:name="_Toc29911431"/>
      <w:bookmarkStart w:id="278" w:name="_Toc29910940"/>
      <w:bookmarkStart w:id="279" w:name="_Toc29910993"/>
      <w:bookmarkStart w:id="280" w:name="_Toc29911432"/>
      <w:bookmarkStart w:id="281" w:name="_Toc29910941"/>
      <w:bookmarkStart w:id="282" w:name="_Toc29910994"/>
      <w:bookmarkStart w:id="283" w:name="_Toc29911433"/>
      <w:bookmarkStart w:id="284" w:name="_Toc29910942"/>
      <w:bookmarkStart w:id="285" w:name="_Toc29910995"/>
      <w:bookmarkStart w:id="286" w:name="_Toc29911434"/>
      <w:bookmarkStart w:id="287" w:name="_Toc29910943"/>
      <w:bookmarkStart w:id="288" w:name="_Toc29910996"/>
      <w:bookmarkStart w:id="289" w:name="_Toc29911435"/>
      <w:bookmarkStart w:id="290" w:name="_Toc29910944"/>
      <w:bookmarkStart w:id="291" w:name="_Toc29910997"/>
      <w:bookmarkStart w:id="292" w:name="_Toc29911436"/>
      <w:bookmarkStart w:id="293" w:name="_Toc29910965"/>
      <w:bookmarkStart w:id="294" w:name="_Toc29911018"/>
      <w:bookmarkStart w:id="295" w:name="_Toc29911457"/>
      <w:bookmarkStart w:id="296" w:name="_Toc29910966"/>
      <w:bookmarkStart w:id="297" w:name="_Toc29911019"/>
      <w:bookmarkStart w:id="298" w:name="_Toc29911458"/>
      <w:bookmarkStart w:id="299" w:name="_Ref120787540"/>
      <w:bookmarkStart w:id="300" w:name="_Toc123634725"/>
      <w:bookmarkStart w:id="301" w:name="_Toc123634815"/>
      <w:bookmarkStart w:id="302" w:name="_Toc135806329"/>
      <w:bookmarkStart w:id="303" w:name="_Toc153443776"/>
      <w:bookmarkEnd w:id="16"/>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8D73A7">
        <w:rPr>
          <w:lang w:val="en-GB"/>
        </w:rPr>
        <w:t>Generic indoor surveillance radar</w:t>
      </w:r>
      <w:bookmarkEnd w:id="299"/>
      <w:bookmarkEnd w:id="300"/>
      <w:bookmarkEnd w:id="301"/>
      <w:bookmarkEnd w:id="302"/>
      <w:bookmarkEnd w:id="303"/>
    </w:p>
    <w:p w14:paraId="6FC63FE6" w14:textId="77777777" w:rsidR="008B593B" w:rsidRPr="008D73A7" w:rsidRDefault="008B593B" w:rsidP="00406659">
      <w:pPr>
        <w:pStyle w:val="Heading3"/>
        <w:rPr>
          <w:kern w:val="32"/>
          <w:szCs w:val="32"/>
          <w:lang w:val="en-GB"/>
        </w:rPr>
      </w:pPr>
      <w:bookmarkStart w:id="304" w:name="_Toc123634726"/>
      <w:bookmarkStart w:id="305" w:name="_Toc123634816"/>
      <w:bookmarkStart w:id="306" w:name="_Toc135806330"/>
      <w:r w:rsidRPr="008D73A7">
        <w:rPr>
          <w:lang w:val="en-GB"/>
        </w:rPr>
        <w:t>Handheld and mobile generic indoor surveillance radar</w:t>
      </w:r>
      <w:bookmarkEnd w:id="304"/>
      <w:bookmarkEnd w:id="305"/>
      <w:bookmarkEnd w:id="306"/>
    </w:p>
    <w:p w14:paraId="39D606BA" w14:textId="6395AF0F" w:rsidR="00E15AEC" w:rsidRPr="008D73A7" w:rsidRDefault="00E15AEC" w:rsidP="00E15AEC">
      <w:pPr>
        <w:pStyle w:val="Caption"/>
        <w:rPr>
          <w:lang w:val="en-GB"/>
        </w:rPr>
      </w:pPr>
      <w:r w:rsidRPr="008D73A7">
        <w:rPr>
          <w:lang w:val="en-GB"/>
        </w:rPr>
        <w:t>Table </w:t>
      </w:r>
      <w:r w:rsidRPr="008D73A7">
        <w:rPr>
          <w:lang w:val="en-GB"/>
        </w:rPr>
        <w:fldChar w:fldCharType="begin"/>
      </w:r>
      <w:r w:rsidRPr="008D73A7">
        <w:rPr>
          <w:lang w:val="en-GB"/>
        </w:rPr>
        <w:instrText xml:space="preserve"> SEQ Table \* ARABIC </w:instrText>
      </w:r>
      <w:r w:rsidRPr="008D73A7">
        <w:rPr>
          <w:lang w:val="en-GB"/>
        </w:rPr>
        <w:fldChar w:fldCharType="separate"/>
      </w:r>
      <w:r w:rsidR="00BD0B7C" w:rsidRPr="008D73A7">
        <w:rPr>
          <w:lang w:val="en-GB"/>
        </w:rPr>
        <w:t>2</w:t>
      </w:r>
      <w:r w:rsidRPr="008D73A7">
        <w:rPr>
          <w:lang w:val="en-GB"/>
        </w:rPr>
        <w:fldChar w:fldCharType="end"/>
      </w:r>
      <w:r w:rsidRPr="008D73A7">
        <w:rPr>
          <w:lang w:val="en-GB"/>
        </w:rPr>
        <w:t xml:space="preserve">: </w:t>
      </w:r>
      <w:r w:rsidRPr="008D73A7">
        <w:rPr>
          <w:rFonts w:eastAsia="Calibri"/>
          <w:lang w:val="en-GB"/>
        </w:rPr>
        <w:t xml:space="preserve">Recommended framework for </w:t>
      </w:r>
      <w:r w:rsidR="00DB2C66" w:rsidRPr="008D73A7">
        <w:rPr>
          <w:rFonts w:eastAsia="Calibri"/>
          <w:lang w:val="en-GB"/>
        </w:rPr>
        <w:t>hand</w:t>
      </w:r>
      <w:r w:rsidR="00B710B5" w:rsidRPr="008D73A7">
        <w:rPr>
          <w:rFonts w:eastAsia="Calibri"/>
          <w:lang w:val="en-GB"/>
        </w:rPr>
        <w:t>-</w:t>
      </w:r>
      <w:r w:rsidR="00DB2C66" w:rsidRPr="008D73A7">
        <w:rPr>
          <w:rFonts w:eastAsia="Calibri"/>
          <w:lang w:val="en-GB"/>
        </w:rPr>
        <w:t xml:space="preserve">held and mobile </w:t>
      </w:r>
      <w:r w:rsidRPr="008D73A7">
        <w:rPr>
          <w:rFonts w:eastAsia="Calibri"/>
          <w:lang w:val="en-GB"/>
        </w:rPr>
        <w:t>generic indoor surveillance radar</w:t>
      </w:r>
    </w:p>
    <w:tbl>
      <w:tblPr>
        <w:tblStyle w:val="ECCTable-redheader"/>
        <w:tblW w:w="5000" w:type="pct"/>
        <w:tblInd w:w="0" w:type="dxa"/>
        <w:tblLook w:val="04A0" w:firstRow="1" w:lastRow="0" w:firstColumn="1" w:lastColumn="0" w:noHBand="0" w:noVBand="1"/>
      </w:tblPr>
      <w:tblGrid>
        <w:gridCol w:w="4033"/>
        <w:gridCol w:w="5596"/>
      </w:tblGrid>
      <w:tr w:rsidR="00E15AEC" w:rsidRPr="008D73A7" w14:paraId="0B1D3C6B" w14:textId="77777777" w:rsidTr="00E174D9">
        <w:trPr>
          <w:cnfStyle w:val="100000000000" w:firstRow="1" w:lastRow="0" w:firstColumn="0" w:lastColumn="0" w:oddVBand="0" w:evenVBand="0" w:oddHBand="0" w:evenHBand="0" w:firstRowFirstColumn="0" w:firstRowLastColumn="0" w:lastRowFirstColumn="0" w:lastRowLastColumn="0"/>
        </w:trPr>
        <w:tc>
          <w:tcPr>
            <w:tcW w:w="2094" w:type="pct"/>
          </w:tcPr>
          <w:p w14:paraId="27051A67" w14:textId="432F1689" w:rsidR="00E15AEC" w:rsidRPr="008D73A7" w:rsidRDefault="00E15AEC" w:rsidP="00E8173F">
            <w:pPr>
              <w:pStyle w:val="ECCTableHeaderwhitefont"/>
              <w:rPr>
                <w:lang w:val="en-GB"/>
              </w:rPr>
            </w:pPr>
            <w:r w:rsidRPr="008D73A7">
              <w:rPr>
                <w:lang w:val="en-GB"/>
              </w:rPr>
              <w:t>Parameter</w:t>
            </w:r>
          </w:p>
        </w:tc>
        <w:tc>
          <w:tcPr>
            <w:tcW w:w="2906" w:type="pct"/>
          </w:tcPr>
          <w:p w14:paraId="09D2A815" w14:textId="3C4BD221" w:rsidR="00E15AEC" w:rsidRPr="008D73A7" w:rsidRDefault="00483E6B" w:rsidP="00E8173F">
            <w:pPr>
              <w:pStyle w:val="ECCTableHeaderwhitefont"/>
              <w:rPr>
                <w:lang w:val="en-GB"/>
              </w:rPr>
            </w:pPr>
            <w:r w:rsidRPr="008D73A7">
              <w:rPr>
                <w:lang w:val="en-GB"/>
              </w:rPr>
              <w:t>Limits/R</w:t>
            </w:r>
            <w:r w:rsidR="00445583" w:rsidRPr="008D73A7">
              <w:rPr>
                <w:lang w:val="en-GB"/>
              </w:rPr>
              <w:t>equirements</w:t>
            </w:r>
          </w:p>
        </w:tc>
      </w:tr>
      <w:tr w:rsidR="00E15AEC" w:rsidRPr="008D73A7" w14:paraId="16B135F9" w14:textId="77777777" w:rsidTr="00E174D9">
        <w:tc>
          <w:tcPr>
            <w:tcW w:w="2094" w:type="pct"/>
          </w:tcPr>
          <w:p w14:paraId="7BA38D5D" w14:textId="46204197" w:rsidR="00E15AEC" w:rsidRPr="008D73A7" w:rsidRDefault="00E15AEC" w:rsidP="00E8173F">
            <w:pPr>
              <w:pStyle w:val="ECCTabletext"/>
            </w:pPr>
            <w:r w:rsidRPr="008D73A7">
              <w:t>Frequency band</w:t>
            </w:r>
            <w:r w:rsidR="00E8173F" w:rsidRPr="008D73A7">
              <w:t>s</w:t>
            </w:r>
          </w:p>
        </w:tc>
        <w:tc>
          <w:tcPr>
            <w:tcW w:w="2906" w:type="pct"/>
          </w:tcPr>
          <w:p w14:paraId="4C732757" w14:textId="147253F6" w:rsidR="00E15AEC" w:rsidRPr="008D73A7" w:rsidRDefault="00E15AEC" w:rsidP="00E8173F">
            <w:pPr>
              <w:pStyle w:val="ECCTabletext"/>
            </w:pPr>
            <w:r w:rsidRPr="008D73A7">
              <w:t>122.25-130 GHz and 134-148.5 GHz</w:t>
            </w:r>
          </w:p>
        </w:tc>
      </w:tr>
      <w:tr w:rsidR="00E15AEC" w:rsidRPr="008D73A7" w14:paraId="49B6C847" w14:textId="77777777" w:rsidTr="00E174D9">
        <w:tc>
          <w:tcPr>
            <w:tcW w:w="2094" w:type="pct"/>
          </w:tcPr>
          <w:p w14:paraId="27705E69" w14:textId="4A9CDB27" w:rsidR="00E15AEC" w:rsidRPr="008D73A7" w:rsidRDefault="00E15AEC" w:rsidP="00E8173F">
            <w:pPr>
              <w:pStyle w:val="ECCTabletext"/>
            </w:pPr>
            <w:r w:rsidRPr="008D73A7">
              <w:t>Maximum mean e.i.r.p. spectral density</w:t>
            </w:r>
          </w:p>
        </w:tc>
        <w:tc>
          <w:tcPr>
            <w:tcW w:w="2906" w:type="pct"/>
          </w:tcPr>
          <w:p w14:paraId="1CE2AA87" w14:textId="40653F2C" w:rsidR="00E15AEC" w:rsidRPr="008D73A7" w:rsidRDefault="00DB2C66" w:rsidP="00E8173F">
            <w:pPr>
              <w:pStyle w:val="ECCTabletext"/>
            </w:pPr>
            <w:r w:rsidRPr="008D73A7">
              <w:t>-20 dBm/MHz</w:t>
            </w:r>
          </w:p>
        </w:tc>
      </w:tr>
      <w:tr w:rsidR="00E15AEC" w:rsidRPr="008D73A7" w14:paraId="194E7704" w14:textId="77777777" w:rsidTr="00E174D9">
        <w:tc>
          <w:tcPr>
            <w:tcW w:w="2094" w:type="pct"/>
          </w:tcPr>
          <w:p w14:paraId="042E2676" w14:textId="32D0D999" w:rsidR="00E15AEC" w:rsidRPr="008D73A7" w:rsidRDefault="00DB2C66" w:rsidP="00E8173F">
            <w:pPr>
              <w:pStyle w:val="ECCTabletext"/>
            </w:pPr>
            <w:r w:rsidRPr="008D73A7">
              <w:t>Maximum peak e.i.r.p</w:t>
            </w:r>
            <w:r w:rsidR="006009EB">
              <w:t>.</w:t>
            </w:r>
          </w:p>
        </w:tc>
        <w:tc>
          <w:tcPr>
            <w:tcW w:w="2906" w:type="pct"/>
          </w:tcPr>
          <w:p w14:paraId="79862819" w14:textId="3AF0A650" w:rsidR="00E15AEC" w:rsidRPr="008D73A7" w:rsidRDefault="00DB2C66" w:rsidP="00E8173F">
            <w:pPr>
              <w:pStyle w:val="ECCTabletext"/>
            </w:pPr>
            <w:r w:rsidRPr="008D73A7">
              <w:t xml:space="preserve">20 dBm </w:t>
            </w:r>
            <w:r w:rsidR="001C0642" w:rsidRPr="008D73A7">
              <w:t>(</w:t>
            </w:r>
            <w:r w:rsidRPr="008D73A7">
              <w:t>evaluated in 1 GHz bandwidth</w:t>
            </w:r>
            <w:r w:rsidR="001C0642" w:rsidRPr="008D73A7">
              <w:t>)</w:t>
            </w:r>
          </w:p>
        </w:tc>
      </w:tr>
      <w:tr w:rsidR="00DB2C66" w:rsidRPr="008D73A7" w14:paraId="1B364357" w14:textId="77777777" w:rsidTr="00E174D9">
        <w:tc>
          <w:tcPr>
            <w:tcW w:w="2094" w:type="pct"/>
          </w:tcPr>
          <w:p w14:paraId="52D18B7E" w14:textId="5C293E2E" w:rsidR="00DB2C66" w:rsidRPr="008D73A7" w:rsidRDefault="00DB2C66" w:rsidP="00E8173F">
            <w:pPr>
              <w:pStyle w:val="ECCTabletext"/>
            </w:pPr>
            <w:r w:rsidRPr="008D73A7">
              <w:t>Duty cycle</w:t>
            </w:r>
          </w:p>
        </w:tc>
        <w:tc>
          <w:tcPr>
            <w:tcW w:w="2906" w:type="pct"/>
          </w:tcPr>
          <w:p w14:paraId="4BE13EE2" w14:textId="7511FEE0" w:rsidR="00DB2C66" w:rsidRPr="008D73A7" w:rsidRDefault="00DB2C66" w:rsidP="00E8173F">
            <w:pPr>
              <w:pStyle w:val="ECCTabletext"/>
            </w:pPr>
            <w:r w:rsidRPr="008D73A7">
              <w:t>Maximum 40% per second (observation time T</w:t>
            </w:r>
            <w:r w:rsidRPr="008D73A7">
              <w:rPr>
                <w:vertAlign w:val="subscript"/>
              </w:rPr>
              <w:t>obs</w:t>
            </w:r>
            <w:r w:rsidRPr="008D73A7">
              <w:t xml:space="preserve"> = 1 s)</w:t>
            </w:r>
          </w:p>
        </w:tc>
      </w:tr>
      <w:tr w:rsidR="00DB2C66" w:rsidRPr="008D73A7" w14:paraId="19C2C04E" w14:textId="77777777" w:rsidTr="00E174D9">
        <w:tc>
          <w:tcPr>
            <w:tcW w:w="2094" w:type="pct"/>
          </w:tcPr>
          <w:p w14:paraId="733B93CD" w14:textId="7626F0D0" w:rsidR="00DB2C66" w:rsidRPr="008D73A7" w:rsidRDefault="00DB2C66" w:rsidP="00DB2C66">
            <w:pPr>
              <w:pStyle w:val="ECCTabletext"/>
            </w:pPr>
            <w:r w:rsidRPr="008D73A7">
              <w:t>Installation requirements</w:t>
            </w:r>
          </w:p>
        </w:tc>
        <w:tc>
          <w:tcPr>
            <w:tcW w:w="2906" w:type="pct"/>
          </w:tcPr>
          <w:p w14:paraId="4FA2206C" w14:textId="1397BE77" w:rsidR="00DB2C66" w:rsidRPr="008D73A7" w:rsidRDefault="00DB2C66" w:rsidP="00DB2C66">
            <w:pPr>
              <w:pStyle w:val="ECCTabletext"/>
            </w:pPr>
            <w:r w:rsidRPr="008D73A7">
              <w:t>Indoor operation only</w:t>
            </w:r>
            <w:r w:rsidR="00ED3ECB" w:rsidRPr="008D73A7">
              <w:t>.</w:t>
            </w:r>
          </w:p>
        </w:tc>
      </w:tr>
    </w:tbl>
    <w:p w14:paraId="559CB875" w14:textId="36CFA442" w:rsidR="008B593B" w:rsidRPr="008D73A7" w:rsidRDefault="008B593B" w:rsidP="00406659">
      <w:pPr>
        <w:pStyle w:val="Heading3"/>
        <w:rPr>
          <w:lang w:val="en-GB"/>
        </w:rPr>
      </w:pPr>
      <w:bookmarkStart w:id="307" w:name="_Toc123634727"/>
      <w:bookmarkStart w:id="308" w:name="_Toc123634817"/>
      <w:bookmarkStart w:id="309" w:name="_Toc135806331"/>
      <w:r w:rsidRPr="008D73A7">
        <w:rPr>
          <w:lang w:val="en-GB"/>
        </w:rPr>
        <w:t>Fixed generic indoor surveillance radar</w:t>
      </w:r>
      <w:bookmarkEnd w:id="307"/>
      <w:bookmarkEnd w:id="308"/>
      <w:bookmarkEnd w:id="309"/>
    </w:p>
    <w:p w14:paraId="7FCCED47" w14:textId="2DFE2896" w:rsidR="001C0642" w:rsidRPr="008D73A7" w:rsidRDefault="001C0642" w:rsidP="00E8173F">
      <w:pPr>
        <w:pStyle w:val="Caption"/>
        <w:rPr>
          <w:lang w:val="en-GB"/>
        </w:rPr>
      </w:pPr>
      <w:r w:rsidRPr="008D73A7">
        <w:rPr>
          <w:lang w:val="en-GB"/>
        </w:rPr>
        <w:t>Table </w:t>
      </w:r>
      <w:r w:rsidRPr="008D73A7">
        <w:rPr>
          <w:lang w:val="en-GB"/>
        </w:rPr>
        <w:fldChar w:fldCharType="begin"/>
      </w:r>
      <w:r w:rsidRPr="008D73A7">
        <w:rPr>
          <w:lang w:val="en-GB"/>
        </w:rPr>
        <w:instrText xml:space="preserve"> SEQ Table \* ARABIC </w:instrText>
      </w:r>
      <w:r w:rsidRPr="008D73A7">
        <w:rPr>
          <w:lang w:val="en-GB"/>
        </w:rPr>
        <w:fldChar w:fldCharType="separate"/>
      </w:r>
      <w:r w:rsidR="00BD0B7C" w:rsidRPr="008D73A7">
        <w:rPr>
          <w:lang w:val="en-GB"/>
        </w:rPr>
        <w:t>3</w:t>
      </w:r>
      <w:r w:rsidRPr="008D73A7">
        <w:rPr>
          <w:lang w:val="en-GB"/>
        </w:rPr>
        <w:fldChar w:fldCharType="end"/>
      </w:r>
      <w:r w:rsidRPr="008D73A7">
        <w:rPr>
          <w:lang w:val="en-GB"/>
        </w:rPr>
        <w:t xml:space="preserve">: </w:t>
      </w:r>
      <w:r w:rsidRPr="008D73A7">
        <w:rPr>
          <w:rFonts w:eastAsia="Calibri"/>
          <w:lang w:val="en-GB"/>
        </w:rPr>
        <w:t>Recommended framework for fixed generic indoor surveillance radar</w:t>
      </w:r>
    </w:p>
    <w:tbl>
      <w:tblPr>
        <w:tblStyle w:val="ECCTable-redheader"/>
        <w:tblW w:w="5000" w:type="pct"/>
        <w:tblInd w:w="0" w:type="dxa"/>
        <w:tblLook w:val="04A0" w:firstRow="1" w:lastRow="0" w:firstColumn="1" w:lastColumn="0" w:noHBand="0" w:noVBand="1"/>
      </w:tblPr>
      <w:tblGrid>
        <w:gridCol w:w="4098"/>
        <w:gridCol w:w="5531"/>
      </w:tblGrid>
      <w:tr w:rsidR="001C0642" w:rsidRPr="008D73A7" w14:paraId="78737D7C" w14:textId="77777777" w:rsidTr="0049741A">
        <w:trPr>
          <w:cnfStyle w:val="100000000000" w:firstRow="1" w:lastRow="0" w:firstColumn="0" w:lastColumn="0" w:oddVBand="0" w:evenVBand="0" w:oddHBand="0" w:evenHBand="0" w:firstRowFirstColumn="0" w:firstRowLastColumn="0" w:lastRowFirstColumn="0" w:lastRowLastColumn="0"/>
        </w:trPr>
        <w:tc>
          <w:tcPr>
            <w:tcW w:w="2128" w:type="pct"/>
          </w:tcPr>
          <w:p w14:paraId="73B7B7F9" w14:textId="77777777" w:rsidR="001C0642" w:rsidRPr="008D73A7" w:rsidRDefault="001C0642" w:rsidP="00DE7D17">
            <w:pPr>
              <w:pStyle w:val="ECCTableHeaderwhitefont"/>
              <w:rPr>
                <w:lang w:val="en-GB"/>
              </w:rPr>
            </w:pPr>
            <w:r w:rsidRPr="008D73A7">
              <w:rPr>
                <w:lang w:val="en-GB"/>
              </w:rPr>
              <w:t>Parameter</w:t>
            </w:r>
          </w:p>
        </w:tc>
        <w:tc>
          <w:tcPr>
            <w:tcW w:w="2872" w:type="pct"/>
          </w:tcPr>
          <w:p w14:paraId="6A19BCF9" w14:textId="1C308DED" w:rsidR="001C0642" w:rsidRPr="008D73A7" w:rsidRDefault="00445583" w:rsidP="00DE7D17">
            <w:pPr>
              <w:pStyle w:val="ECCTableHeaderwhitefont"/>
              <w:rPr>
                <w:lang w:val="en-GB"/>
              </w:rPr>
            </w:pPr>
            <w:r w:rsidRPr="008D73A7">
              <w:rPr>
                <w:lang w:val="en-GB"/>
              </w:rPr>
              <w:t>Limits/Requirements</w:t>
            </w:r>
          </w:p>
        </w:tc>
      </w:tr>
      <w:tr w:rsidR="001C0642" w:rsidRPr="008D73A7" w14:paraId="3221BE4B" w14:textId="77777777" w:rsidTr="0049741A">
        <w:tc>
          <w:tcPr>
            <w:tcW w:w="2128" w:type="pct"/>
          </w:tcPr>
          <w:p w14:paraId="01A206DF" w14:textId="721C6374" w:rsidR="001C0642" w:rsidRPr="008D73A7" w:rsidRDefault="001C0642" w:rsidP="00DE7D17">
            <w:pPr>
              <w:pStyle w:val="ECCTabletext"/>
            </w:pPr>
            <w:r w:rsidRPr="008D73A7">
              <w:t>Frequency band</w:t>
            </w:r>
            <w:r w:rsidR="00E8173F" w:rsidRPr="008D73A7">
              <w:t>s</w:t>
            </w:r>
          </w:p>
        </w:tc>
        <w:tc>
          <w:tcPr>
            <w:tcW w:w="2872" w:type="pct"/>
          </w:tcPr>
          <w:p w14:paraId="3FEE4033" w14:textId="77777777" w:rsidR="001C0642" w:rsidRPr="008D73A7" w:rsidRDefault="001C0642" w:rsidP="00DE7D17">
            <w:pPr>
              <w:pStyle w:val="ECCTabletext"/>
            </w:pPr>
            <w:r w:rsidRPr="008D73A7">
              <w:t>122.25-130 GHz and 134-148.5 GHz</w:t>
            </w:r>
          </w:p>
        </w:tc>
      </w:tr>
      <w:tr w:rsidR="001C0642" w:rsidRPr="008D73A7" w14:paraId="61D25C81" w14:textId="77777777" w:rsidTr="0049741A">
        <w:tc>
          <w:tcPr>
            <w:tcW w:w="2128" w:type="pct"/>
          </w:tcPr>
          <w:p w14:paraId="538E196A" w14:textId="77777777" w:rsidR="001C0642" w:rsidRPr="008D73A7" w:rsidRDefault="001C0642" w:rsidP="00DE7D17">
            <w:pPr>
              <w:pStyle w:val="ECCTabletext"/>
            </w:pPr>
            <w:r w:rsidRPr="008D73A7">
              <w:t>Maximum mean e.i.r.p. spectral density</w:t>
            </w:r>
          </w:p>
        </w:tc>
        <w:tc>
          <w:tcPr>
            <w:tcW w:w="2872" w:type="pct"/>
          </w:tcPr>
          <w:p w14:paraId="0D71CD01" w14:textId="78647F47" w:rsidR="001C0642" w:rsidRPr="008D73A7" w:rsidRDefault="001C0642" w:rsidP="00DE7D17">
            <w:pPr>
              <w:pStyle w:val="ECCTabletext"/>
            </w:pPr>
            <w:r w:rsidRPr="008D73A7">
              <w:t>-10 dBm/MHz</w:t>
            </w:r>
          </w:p>
        </w:tc>
      </w:tr>
      <w:tr w:rsidR="006F2DF0" w:rsidRPr="008D73A7" w14:paraId="71453EAC" w14:textId="77777777" w:rsidTr="0049741A">
        <w:tc>
          <w:tcPr>
            <w:tcW w:w="2128" w:type="pct"/>
          </w:tcPr>
          <w:p w14:paraId="7B1C57A0" w14:textId="633D4E3D" w:rsidR="006F2DF0" w:rsidRPr="008D73A7" w:rsidRDefault="006F2DF0" w:rsidP="00DE7D17">
            <w:pPr>
              <w:pStyle w:val="ECCTabletext"/>
            </w:pPr>
            <w:r w:rsidRPr="008D73A7">
              <w:t>Maximum mean e.i.r.p. spectral density for elevations &gt;0°</w:t>
            </w:r>
          </w:p>
        </w:tc>
        <w:tc>
          <w:tcPr>
            <w:tcW w:w="2872" w:type="pct"/>
          </w:tcPr>
          <w:p w14:paraId="095A88F8" w14:textId="0CB63EEC" w:rsidR="006F2DF0" w:rsidRPr="008D73A7" w:rsidRDefault="006F2DF0" w:rsidP="00DE7D17">
            <w:pPr>
              <w:pStyle w:val="ECCTabletext"/>
            </w:pPr>
            <w:r w:rsidRPr="008D73A7">
              <w:t>-18 dBm/MHz</w:t>
            </w:r>
          </w:p>
        </w:tc>
      </w:tr>
      <w:tr w:rsidR="001C0642" w:rsidRPr="008D73A7" w14:paraId="14AA3BF6" w14:textId="77777777" w:rsidTr="0049741A">
        <w:tc>
          <w:tcPr>
            <w:tcW w:w="2128" w:type="pct"/>
          </w:tcPr>
          <w:p w14:paraId="5E33A318" w14:textId="03F4A2AF" w:rsidR="001C0642" w:rsidRPr="008D73A7" w:rsidRDefault="001C0642" w:rsidP="00DE7D17">
            <w:pPr>
              <w:pStyle w:val="ECCTabletext"/>
            </w:pPr>
            <w:r w:rsidRPr="008D73A7">
              <w:t>Maximum peak e.i.r.p</w:t>
            </w:r>
            <w:r w:rsidR="008F5159" w:rsidRPr="008D73A7">
              <w:t>.</w:t>
            </w:r>
          </w:p>
        </w:tc>
        <w:tc>
          <w:tcPr>
            <w:tcW w:w="2872" w:type="pct"/>
          </w:tcPr>
          <w:p w14:paraId="7E04AE93" w14:textId="1B3DEC0F" w:rsidR="001C0642" w:rsidRPr="008D73A7" w:rsidRDefault="001C0642" w:rsidP="00DE7D17">
            <w:pPr>
              <w:pStyle w:val="ECCTabletext"/>
            </w:pPr>
            <w:r w:rsidRPr="008D73A7">
              <w:t>30 dBm (evaluated in 1 GHz bandwidth)</w:t>
            </w:r>
          </w:p>
        </w:tc>
      </w:tr>
      <w:tr w:rsidR="006F2DF0" w:rsidRPr="008D73A7" w14:paraId="76A92A2E" w14:textId="77777777" w:rsidTr="0049741A">
        <w:tc>
          <w:tcPr>
            <w:tcW w:w="2128" w:type="pct"/>
          </w:tcPr>
          <w:p w14:paraId="2AD0948A" w14:textId="57B53CB8" w:rsidR="006F2DF0" w:rsidRPr="008D73A7" w:rsidRDefault="006F2DF0" w:rsidP="00DE7D17">
            <w:pPr>
              <w:pStyle w:val="ECCTabletext"/>
            </w:pPr>
            <w:r w:rsidRPr="008D73A7">
              <w:t>Maximum peak e.i.r.p</w:t>
            </w:r>
            <w:r w:rsidR="008F5159" w:rsidRPr="008D73A7">
              <w:t>.</w:t>
            </w:r>
            <w:r w:rsidRPr="008D73A7">
              <w:t xml:space="preserve"> for elevations &gt;0°</w:t>
            </w:r>
          </w:p>
        </w:tc>
        <w:tc>
          <w:tcPr>
            <w:tcW w:w="2872" w:type="pct"/>
          </w:tcPr>
          <w:p w14:paraId="1EDF46BB" w14:textId="4500769B" w:rsidR="006F2DF0" w:rsidRPr="008D73A7" w:rsidRDefault="006F2DF0" w:rsidP="00DE7D17">
            <w:pPr>
              <w:pStyle w:val="ECCTabletext"/>
            </w:pPr>
            <w:r w:rsidRPr="008D73A7">
              <w:t>22 dBm (evaluated in 1 GHz bandwidth)</w:t>
            </w:r>
          </w:p>
        </w:tc>
      </w:tr>
      <w:tr w:rsidR="001C0642" w:rsidRPr="008D73A7" w14:paraId="6E1A0D0E" w14:textId="77777777" w:rsidTr="0049741A">
        <w:tc>
          <w:tcPr>
            <w:tcW w:w="2128" w:type="pct"/>
          </w:tcPr>
          <w:p w14:paraId="61CAF7E6" w14:textId="77777777" w:rsidR="001C0642" w:rsidRPr="008D73A7" w:rsidRDefault="001C0642" w:rsidP="00DE7D17">
            <w:pPr>
              <w:pStyle w:val="ECCTabletext"/>
            </w:pPr>
            <w:r w:rsidRPr="008D73A7">
              <w:t>Duty cycle</w:t>
            </w:r>
          </w:p>
        </w:tc>
        <w:tc>
          <w:tcPr>
            <w:tcW w:w="2872" w:type="pct"/>
          </w:tcPr>
          <w:p w14:paraId="429520D9" w14:textId="73152BDC" w:rsidR="001C0642" w:rsidRPr="008D73A7" w:rsidRDefault="001C0642" w:rsidP="00DE7D17">
            <w:pPr>
              <w:pStyle w:val="ECCTabletext"/>
            </w:pPr>
            <w:r w:rsidRPr="008D73A7">
              <w:t>Maximum 10% per second (observation time T</w:t>
            </w:r>
            <w:r w:rsidRPr="008D73A7">
              <w:rPr>
                <w:vertAlign w:val="subscript"/>
              </w:rPr>
              <w:t>obs</w:t>
            </w:r>
            <w:r w:rsidRPr="008D73A7">
              <w:t xml:space="preserve"> = 1 s)</w:t>
            </w:r>
          </w:p>
        </w:tc>
      </w:tr>
      <w:tr w:rsidR="001C0642" w:rsidRPr="008D73A7" w14:paraId="3CAB7BB5" w14:textId="77777777" w:rsidTr="0049741A">
        <w:tc>
          <w:tcPr>
            <w:tcW w:w="2128" w:type="pct"/>
          </w:tcPr>
          <w:p w14:paraId="7873C553" w14:textId="77777777" w:rsidR="001C0642" w:rsidRPr="008D73A7" w:rsidRDefault="001C0642" w:rsidP="00DE7D17">
            <w:pPr>
              <w:pStyle w:val="ECCTabletext"/>
            </w:pPr>
            <w:r w:rsidRPr="008D73A7">
              <w:t>Installation requirements</w:t>
            </w:r>
          </w:p>
        </w:tc>
        <w:tc>
          <w:tcPr>
            <w:tcW w:w="2872" w:type="pct"/>
          </w:tcPr>
          <w:p w14:paraId="0C65E915" w14:textId="111FFF74" w:rsidR="001C0642" w:rsidRPr="008D73A7" w:rsidRDefault="00E8173F" w:rsidP="00DE7D17">
            <w:pPr>
              <w:pStyle w:val="ECCTabletext"/>
            </w:pPr>
            <w:r w:rsidRPr="008D73A7">
              <w:t>Only indoor operation at a permanent fixed position</w:t>
            </w:r>
            <w:r w:rsidR="00ED3ECB" w:rsidRPr="008D73A7">
              <w:t>.</w:t>
            </w:r>
          </w:p>
        </w:tc>
      </w:tr>
    </w:tbl>
    <w:p w14:paraId="6F1EB251" w14:textId="00C83864" w:rsidR="00122BE0" w:rsidRPr="008D73A7" w:rsidRDefault="00463785" w:rsidP="00A55704">
      <w:pPr>
        <w:pStyle w:val="Heading2"/>
        <w:rPr>
          <w:lang w:val="en-GB"/>
        </w:rPr>
      </w:pPr>
      <w:bookmarkStart w:id="310" w:name="_Toc123634728"/>
      <w:bookmarkStart w:id="311" w:name="_Toc123634818"/>
      <w:bookmarkStart w:id="312" w:name="_Toc135806332"/>
      <w:bookmarkStart w:id="313" w:name="_Toc153443777"/>
      <w:r w:rsidRPr="008D73A7">
        <w:rPr>
          <w:lang w:val="en-GB"/>
        </w:rPr>
        <w:t>Radiodetermination systems for industry automation (RDI)</w:t>
      </w:r>
      <w:bookmarkEnd w:id="310"/>
      <w:bookmarkEnd w:id="311"/>
      <w:bookmarkEnd w:id="312"/>
      <w:bookmarkEnd w:id="313"/>
    </w:p>
    <w:p w14:paraId="7CBD0227" w14:textId="28EE387D" w:rsidR="00483E6B" w:rsidRPr="008D73A7" w:rsidRDefault="00483E6B" w:rsidP="00483E6B">
      <w:pPr>
        <w:pStyle w:val="Caption"/>
        <w:rPr>
          <w:lang w:val="en-GB"/>
        </w:rPr>
      </w:pPr>
      <w:r w:rsidRPr="008D73A7">
        <w:rPr>
          <w:lang w:val="en-GB"/>
        </w:rPr>
        <w:t>Table </w:t>
      </w:r>
      <w:r w:rsidRPr="008D73A7">
        <w:rPr>
          <w:lang w:val="en-GB"/>
        </w:rPr>
        <w:fldChar w:fldCharType="begin"/>
      </w:r>
      <w:r w:rsidRPr="008D73A7">
        <w:rPr>
          <w:lang w:val="en-GB"/>
        </w:rPr>
        <w:instrText xml:space="preserve"> SEQ Table \* ARABIC </w:instrText>
      </w:r>
      <w:r w:rsidRPr="008D73A7">
        <w:rPr>
          <w:lang w:val="en-GB"/>
        </w:rPr>
        <w:fldChar w:fldCharType="separate"/>
      </w:r>
      <w:r w:rsidR="00BD0B7C" w:rsidRPr="008D73A7">
        <w:rPr>
          <w:lang w:val="en-GB"/>
        </w:rPr>
        <w:t>4</w:t>
      </w:r>
      <w:r w:rsidRPr="008D73A7">
        <w:rPr>
          <w:lang w:val="en-GB"/>
        </w:rPr>
        <w:fldChar w:fldCharType="end"/>
      </w:r>
      <w:r w:rsidRPr="008D73A7">
        <w:rPr>
          <w:lang w:val="en-GB"/>
        </w:rPr>
        <w:t xml:space="preserve">: </w:t>
      </w:r>
      <w:r w:rsidRPr="008D73A7">
        <w:rPr>
          <w:rFonts w:eastAsia="Calibri"/>
          <w:lang w:val="en-GB"/>
        </w:rPr>
        <w:t xml:space="preserve">Recommended framework for </w:t>
      </w:r>
      <w:r w:rsidR="00566D20" w:rsidRPr="008D73A7">
        <w:rPr>
          <w:rFonts w:eastAsia="Calibri"/>
          <w:lang w:val="en-GB"/>
        </w:rPr>
        <w:t>radiodetermination systems for industry automation (RDI)</w:t>
      </w:r>
    </w:p>
    <w:tbl>
      <w:tblPr>
        <w:tblStyle w:val="ECCTable-redheader"/>
        <w:tblW w:w="5076" w:type="pct"/>
        <w:tblInd w:w="0" w:type="dxa"/>
        <w:tblLook w:val="04A0" w:firstRow="1" w:lastRow="0" w:firstColumn="1" w:lastColumn="0" w:noHBand="0" w:noVBand="1"/>
      </w:tblPr>
      <w:tblGrid>
        <w:gridCol w:w="3679"/>
        <w:gridCol w:w="6096"/>
      </w:tblGrid>
      <w:tr w:rsidR="00483E6B" w:rsidRPr="008D73A7" w14:paraId="555999F3" w14:textId="77777777" w:rsidTr="0049741A">
        <w:trPr>
          <w:cnfStyle w:val="100000000000" w:firstRow="1" w:lastRow="0" w:firstColumn="0" w:lastColumn="0" w:oddVBand="0" w:evenVBand="0" w:oddHBand="0" w:evenHBand="0" w:firstRowFirstColumn="0" w:firstRowLastColumn="0" w:lastRowFirstColumn="0" w:lastRowLastColumn="0"/>
        </w:trPr>
        <w:tc>
          <w:tcPr>
            <w:tcW w:w="1882" w:type="pct"/>
          </w:tcPr>
          <w:p w14:paraId="7A089298" w14:textId="77777777" w:rsidR="00483E6B" w:rsidRPr="008D73A7" w:rsidRDefault="00483E6B" w:rsidP="00DE7D17">
            <w:pPr>
              <w:pStyle w:val="ECCTableHeaderwhitefont"/>
              <w:rPr>
                <w:lang w:val="en-GB"/>
              </w:rPr>
            </w:pPr>
            <w:r w:rsidRPr="008D73A7">
              <w:rPr>
                <w:lang w:val="en-GB"/>
              </w:rPr>
              <w:t>Parameter</w:t>
            </w:r>
          </w:p>
        </w:tc>
        <w:tc>
          <w:tcPr>
            <w:tcW w:w="3118" w:type="pct"/>
          </w:tcPr>
          <w:p w14:paraId="35ECB7F2" w14:textId="20267E44" w:rsidR="00483E6B" w:rsidRPr="008D73A7" w:rsidRDefault="00445583" w:rsidP="00DE7D17">
            <w:pPr>
              <w:pStyle w:val="ECCTableHeaderwhitefont"/>
              <w:rPr>
                <w:lang w:val="en-GB"/>
              </w:rPr>
            </w:pPr>
            <w:r w:rsidRPr="008D73A7">
              <w:rPr>
                <w:lang w:val="en-GB"/>
              </w:rPr>
              <w:t>Limits/Requirements</w:t>
            </w:r>
          </w:p>
        </w:tc>
      </w:tr>
      <w:tr w:rsidR="00483E6B" w:rsidRPr="008D73A7" w14:paraId="281C029E" w14:textId="77777777" w:rsidTr="0049741A">
        <w:tc>
          <w:tcPr>
            <w:tcW w:w="1882" w:type="pct"/>
          </w:tcPr>
          <w:p w14:paraId="6973F3B7" w14:textId="77777777" w:rsidR="00483E6B" w:rsidRPr="008D73A7" w:rsidRDefault="00483E6B" w:rsidP="00DE7D17">
            <w:pPr>
              <w:pStyle w:val="ECCTabletext"/>
            </w:pPr>
            <w:r w:rsidRPr="008D73A7">
              <w:t>Frequency bands</w:t>
            </w:r>
          </w:p>
        </w:tc>
        <w:tc>
          <w:tcPr>
            <w:tcW w:w="3118" w:type="pct"/>
          </w:tcPr>
          <w:p w14:paraId="205997A9" w14:textId="6E999C58" w:rsidR="00483E6B" w:rsidRPr="008D73A7" w:rsidRDefault="00483E6B" w:rsidP="00E174D9">
            <w:pPr>
              <w:pStyle w:val="ECCTabletext"/>
              <w:jc w:val="left"/>
            </w:pPr>
            <w:r w:rsidRPr="008D73A7">
              <w:t>174.8-182 GHz, 185-190 GHz and 231.5-250 GHz</w:t>
            </w:r>
          </w:p>
        </w:tc>
      </w:tr>
      <w:tr w:rsidR="00483E6B" w:rsidRPr="008D73A7" w14:paraId="2740C591" w14:textId="77777777" w:rsidTr="0049741A">
        <w:tc>
          <w:tcPr>
            <w:tcW w:w="1882" w:type="pct"/>
          </w:tcPr>
          <w:p w14:paraId="559D212B" w14:textId="77777777" w:rsidR="00483E6B" w:rsidRPr="008D73A7" w:rsidRDefault="00483E6B" w:rsidP="00DE7D17">
            <w:pPr>
              <w:pStyle w:val="ECCTabletext"/>
            </w:pPr>
            <w:r w:rsidRPr="008D73A7">
              <w:t>Maximum mean e.i.r.p. spectral density</w:t>
            </w:r>
          </w:p>
        </w:tc>
        <w:tc>
          <w:tcPr>
            <w:tcW w:w="3118" w:type="pct"/>
          </w:tcPr>
          <w:p w14:paraId="3407E7D9" w14:textId="77777777" w:rsidR="0032717C" w:rsidRDefault="00483E6B" w:rsidP="00E174D9">
            <w:pPr>
              <w:pStyle w:val="ECCTabletext"/>
              <w:jc w:val="left"/>
            </w:pPr>
            <w:r w:rsidRPr="008D73A7">
              <w:t>-13.8 dBm/MHz (174.8-182 GHz and 185-190 GHz)</w:t>
            </w:r>
          </w:p>
          <w:p w14:paraId="080E4A30" w14:textId="406910BE" w:rsidR="00483E6B" w:rsidRPr="008D73A7" w:rsidRDefault="00483E6B" w:rsidP="00E174D9">
            <w:pPr>
              <w:pStyle w:val="ECCTabletext"/>
              <w:jc w:val="left"/>
            </w:pPr>
            <w:r w:rsidRPr="008D73A7">
              <w:t>-25.6 dBm/MHz (231.5-250 GHz)</w:t>
            </w:r>
          </w:p>
        </w:tc>
      </w:tr>
      <w:tr w:rsidR="00483E6B" w:rsidRPr="008D73A7" w14:paraId="65584A98" w14:textId="77777777" w:rsidTr="0049741A">
        <w:tc>
          <w:tcPr>
            <w:tcW w:w="1882" w:type="pct"/>
          </w:tcPr>
          <w:p w14:paraId="7AE81301" w14:textId="1138977B" w:rsidR="00483E6B" w:rsidRPr="008D73A7" w:rsidRDefault="00483E6B" w:rsidP="00DE7D17">
            <w:pPr>
              <w:pStyle w:val="ECCTabletext"/>
            </w:pPr>
            <w:r w:rsidRPr="008D73A7">
              <w:lastRenderedPageBreak/>
              <w:t>Maximum peak e.i.r.p</w:t>
            </w:r>
            <w:r w:rsidR="006009EB">
              <w:t>.</w:t>
            </w:r>
          </w:p>
        </w:tc>
        <w:tc>
          <w:tcPr>
            <w:tcW w:w="3118" w:type="pct"/>
          </w:tcPr>
          <w:p w14:paraId="342E0A92" w14:textId="6C76D65D" w:rsidR="00483E6B" w:rsidRPr="008D73A7" w:rsidRDefault="00483E6B" w:rsidP="00E174D9">
            <w:pPr>
              <w:pStyle w:val="ECCTabletext"/>
              <w:jc w:val="left"/>
            </w:pPr>
            <w:r w:rsidRPr="008D73A7">
              <w:t>31 dBm for all three frequency bands (evaluated in 1 GHz bandwidth)</w:t>
            </w:r>
          </w:p>
        </w:tc>
      </w:tr>
      <w:tr w:rsidR="00483E6B" w:rsidRPr="008D73A7" w14:paraId="4E2D6285" w14:textId="77777777" w:rsidTr="0049741A">
        <w:tc>
          <w:tcPr>
            <w:tcW w:w="1882" w:type="pct"/>
          </w:tcPr>
          <w:p w14:paraId="073294F8" w14:textId="77777777" w:rsidR="00483E6B" w:rsidRPr="008D73A7" w:rsidRDefault="00483E6B" w:rsidP="00DE7D17">
            <w:pPr>
              <w:pStyle w:val="ECCTabletext"/>
            </w:pPr>
            <w:r w:rsidRPr="008D73A7">
              <w:t>Duty cycle</w:t>
            </w:r>
          </w:p>
        </w:tc>
        <w:tc>
          <w:tcPr>
            <w:tcW w:w="3118" w:type="pct"/>
          </w:tcPr>
          <w:p w14:paraId="3A89A936" w14:textId="7643F2C5" w:rsidR="00483E6B" w:rsidRPr="008D73A7" w:rsidRDefault="00483E6B" w:rsidP="00E174D9">
            <w:pPr>
              <w:pStyle w:val="ECCTabletext"/>
              <w:jc w:val="left"/>
            </w:pPr>
            <w:r w:rsidRPr="008D73A7">
              <w:t>Maximum 5% (measured over the whole measurement cycle T</w:t>
            </w:r>
            <w:r w:rsidRPr="008D73A7">
              <w:rPr>
                <w:vertAlign w:val="subscript"/>
              </w:rPr>
              <w:t>meas_cycle</w:t>
            </w:r>
            <w:r w:rsidRPr="008D73A7">
              <w:t>)</w:t>
            </w:r>
          </w:p>
        </w:tc>
      </w:tr>
      <w:tr w:rsidR="00483E6B" w:rsidRPr="008D73A7" w14:paraId="1A08C489" w14:textId="77777777" w:rsidTr="0049741A">
        <w:tc>
          <w:tcPr>
            <w:tcW w:w="1882" w:type="pct"/>
          </w:tcPr>
          <w:p w14:paraId="3E29635B" w14:textId="77777777" w:rsidR="00483E6B" w:rsidRPr="008D73A7" w:rsidRDefault="00483E6B" w:rsidP="00DE7D17">
            <w:pPr>
              <w:pStyle w:val="ECCTabletext"/>
            </w:pPr>
            <w:r w:rsidRPr="008D73A7">
              <w:t>Installation requirements</w:t>
            </w:r>
          </w:p>
        </w:tc>
        <w:tc>
          <w:tcPr>
            <w:tcW w:w="3118" w:type="pct"/>
          </w:tcPr>
          <w:p w14:paraId="54D56822" w14:textId="5989A8DD" w:rsidR="00483E6B" w:rsidRPr="008D73A7" w:rsidRDefault="00483E6B" w:rsidP="00E174D9">
            <w:pPr>
              <w:pStyle w:val="ECCTabletext"/>
              <w:jc w:val="left"/>
            </w:pPr>
            <w:r w:rsidRPr="008D73A7">
              <w:t>Outdoor use is limited to installation heights from 0 m to 3 m above ground</w:t>
            </w:r>
            <w:r w:rsidR="00ED3ECB" w:rsidRPr="008D73A7">
              <w:t>.</w:t>
            </w:r>
          </w:p>
        </w:tc>
      </w:tr>
    </w:tbl>
    <w:p w14:paraId="484FC988" w14:textId="1024FA13" w:rsidR="00122BE0" w:rsidRPr="008D73A7" w:rsidRDefault="00780E66" w:rsidP="00A55704">
      <w:pPr>
        <w:pStyle w:val="Heading2"/>
        <w:rPr>
          <w:lang w:val="en-GB"/>
        </w:rPr>
      </w:pPr>
      <w:bookmarkStart w:id="314" w:name="_Toc123634729"/>
      <w:bookmarkStart w:id="315" w:name="_Toc123634819"/>
      <w:bookmarkStart w:id="316" w:name="_Toc135806333"/>
      <w:bookmarkStart w:id="317" w:name="_Toc153443778"/>
      <w:r w:rsidRPr="008D73A7">
        <w:rPr>
          <w:lang w:val="en-GB"/>
        </w:rPr>
        <w:t>Level probing radar (LPR)</w:t>
      </w:r>
      <w:bookmarkEnd w:id="314"/>
      <w:bookmarkEnd w:id="315"/>
      <w:bookmarkEnd w:id="316"/>
      <w:bookmarkEnd w:id="317"/>
    </w:p>
    <w:p w14:paraId="4225C69D" w14:textId="10A22DCA" w:rsidR="00A079FC" w:rsidRPr="008D73A7" w:rsidRDefault="00A079FC" w:rsidP="00A079FC">
      <w:pPr>
        <w:pStyle w:val="Caption"/>
        <w:rPr>
          <w:lang w:val="en-GB"/>
        </w:rPr>
      </w:pPr>
      <w:r w:rsidRPr="008D73A7">
        <w:rPr>
          <w:lang w:val="en-GB"/>
        </w:rPr>
        <w:t>Table </w:t>
      </w:r>
      <w:r w:rsidRPr="008D73A7">
        <w:rPr>
          <w:lang w:val="en-GB"/>
        </w:rPr>
        <w:fldChar w:fldCharType="begin"/>
      </w:r>
      <w:r w:rsidRPr="008D73A7">
        <w:rPr>
          <w:lang w:val="en-GB"/>
        </w:rPr>
        <w:instrText xml:space="preserve"> SEQ Table \* ARABIC </w:instrText>
      </w:r>
      <w:r w:rsidRPr="008D73A7">
        <w:rPr>
          <w:lang w:val="en-GB"/>
        </w:rPr>
        <w:fldChar w:fldCharType="separate"/>
      </w:r>
      <w:r w:rsidR="0041748F" w:rsidRPr="008D73A7">
        <w:rPr>
          <w:lang w:val="en-GB"/>
        </w:rPr>
        <w:t>5</w:t>
      </w:r>
      <w:r w:rsidRPr="008D73A7">
        <w:rPr>
          <w:lang w:val="en-GB"/>
        </w:rPr>
        <w:fldChar w:fldCharType="end"/>
      </w:r>
      <w:r w:rsidRPr="008D73A7">
        <w:rPr>
          <w:lang w:val="en-GB"/>
        </w:rPr>
        <w:t xml:space="preserve">: </w:t>
      </w:r>
      <w:r w:rsidRPr="008D73A7">
        <w:rPr>
          <w:rFonts w:eastAsia="Calibri"/>
          <w:lang w:val="en-GB"/>
        </w:rPr>
        <w:t>Recommended framework for level probing radar (</w:t>
      </w:r>
      <w:r w:rsidR="003151CA" w:rsidRPr="008D73A7">
        <w:rPr>
          <w:rFonts w:eastAsia="Calibri"/>
          <w:lang w:val="en-GB"/>
        </w:rPr>
        <w:t>LPR</w:t>
      </w:r>
      <w:r w:rsidRPr="008D73A7">
        <w:rPr>
          <w:rFonts w:eastAsia="Calibri"/>
          <w:lang w:val="en-GB"/>
        </w:rPr>
        <w:t>)</w:t>
      </w:r>
    </w:p>
    <w:tbl>
      <w:tblPr>
        <w:tblStyle w:val="ECCTable-redheader"/>
        <w:tblW w:w="5000" w:type="pct"/>
        <w:tblInd w:w="0" w:type="dxa"/>
        <w:tblLook w:val="04A0" w:firstRow="1" w:lastRow="0" w:firstColumn="1" w:lastColumn="0" w:noHBand="0" w:noVBand="1"/>
      </w:tblPr>
      <w:tblGrid>
        <w:gridCol w:w="3823"/>
        <w:gridCol w:w="5806"/>
      </w:tblGrid>
      <w:tr w:rsidR="00A079FC" w:rsidRPr="008D73A7" w14:paraId="2183F458" w14:textId="77777777" w:rsidTr="0049741A">
        <w:trPr>
          <w:cnfStyle w:val="100000000000" w:firstRow="1" w:lastRow="0" w:firstColumn="0" w:lastColumn="0" w:oddVBand="0" w:evenVBand="0" w:oddHBand="0" w:evenHBand="0" w:firstRowFirstColumn="0" w:firstRowLastColumn="0" w:lastRowFirstColumn="0" w:lastRowLastColumn="0"/>
        </w:trPr>
        <w:tc>
          <w:tcPr>
            <w:tcW w:w="1985" w:type="pct"/>
          </w:tcPr>
          <w:p w14:paraId="3E415086" w14:textId="77777777" w:rsidR="00A079FC" w:rsidRPr="008D73A7" w:rsidRDefault="00A079FC" w:rsidP="00DE7D17">
            <w:pPr>
              <w:pStyle w:val="ECCTableHeaderwhitefont"/>
              <w:rPr>
                <w:lang w:val="en-GB"/>
              </w:rPr>
            </w:pPr>
            <w:r w:rsidRPr="008D73A7">
              <w:rPr>
                <w:lang w:val="en-GB"/>
              </w:rPr>
              <w:t>Parameter</w:t>
            </w:r>
          </w:p>
        </w:tc>
        <w:tc>
          <w:tcPr>
            <w:tcW w:w="3015" w:type="pct"/>
          </w:tcPr>
          <w:p w14:paraId="6ABAF633" w14:textId="77777777" w:rsidR="00A079FC" w:rsidRPr="008D73A7" w:rsidRDefault="00A079FC" w:rsidP="00DE7D17">
            <w:pPr>
              <w:pStyle w:val="ECCTableHeaderwhitefont"/>
              <w:rPr>
                <w:lang w:val="en-GB"/>
              </w:rPr>
            </w:pPr>
            <w:r w:rsidRPr="008D73A7">
              <w:rPr>
                <w:lang w:val="en-GB"/>
              </w:rPr>
              <w:t>Limits/Requirements</w:t>
            </w:r>
          </w:p>
        </w:tc>
      </w:tr>
      <w:tr w:rsidR="00A079FC" w:rsidRPr="008D73A7" w14:paraId="2AC83A53" w14:textId="77777777" w:rsidTr="0049741A">
        <w:tc>
          <w:tcPr>
            <w:tcW w:w="1985" w:type="pct"/>
          </w:tcPr>
          <w:p w14:paraId="5E41AA6F" w14:textId="77777777" w:rsidR="00A079FC" w:rsidRPr="008D73A7" w:rsidRDefault="00A079FC" w:rsidP="00DE7D17">
            <w:pPr>
              <w:pStyle w:val="ECCTabletext"/>
            </w:pPr>
            <w:r w:rsidRPr="008D73A7">
              <w:t>Frequency bands</w:t>
            </w:r>
          </w:p>
        </w:tc>
        <w:tc>
          <w:tcPr>
            <w:tcW w:w="3015" w:type="pct"/>
          </w:tcPr>
          <w:p w14:paraId="183455B2" w14:textId="12E3EF21" w:rsidR="00A079FC" w:rsidRPr="008D73A7" w:rsidRDefault="00A079FC" w:rsidP="00E174D9">
            <w:pPr>
              <w:pStyle w:val="ECCTabletext"/>
              <w:jc w:val="left"/>
            </w:pPr>
            <w:r w:rsidRPr="008D73A7">
              <w:t>116-148.5 GHz, 167-182 GHz and 231.5-250 GHz</w:t>
            </w:r>
          </w:p>
        </w:tc>
      </w:tr>
      <w:tr w:rsidR="00A079FC" w:rsidRPr="008D73A7" w14:paraId="53861EDA" w14:textId="77777777" w:rsidTr="0049741A">
        <w:tc>
          <w:tcPr>
            <w:tcW w:w="1985" w:type="pct"/>
          </w:tcPr>
          <w:p w14:paraId="5E723F84" w14:textId="77777777" w:rsidR="00A079FC" w:rsidRPr="008D73A7" w:rsidRDefault="00A079FC" w:rsidP="00DE7D17">
            <w:pPr>
              <w:pStyle w:val="ECCTabletext"/>
            </w:pPr>
            <w:r w:rsidRPr="008D73A7">
              <w:t>Maximum mean e.i.r.p. spectral density</w:t>
            </w:r>
          </w:p>
        </w:tc>
        <w:tc>
          <w:tcPr>
            <w:tcW w:w="3015" w:type="pct"/>
          </w:tcPr>
          <w:p w14:paraId="7144822F" w14:textId="3FED6E15" w:rsidR="0041748F" w:rsidRPr="008D73A7" w:rsidRDefault="00A079FC" w:rsidP="00E174D9">
            <w:pPr>
              <w:pStyle w:val="ECCTabletext"/>
              <w:jc w:val="left"/>
            </w:pPr>
            <w:r w:rsidRPr="008D73A7">
              <w:t xml:space="preserve">-8 dBm/MHz (116-148.5 GHz) </w:t>
            </w:r>
          </w:p>
          <w:p w14:paraId="5FFBA216" w14:textId="0E0502AE" w:rsidR="00A079FC" w:rsidRPr="008D73A7" w:rsidRDefault="00A079FC" w:rsidP="00E174D9">
            <w:pPr>
              <w:pStyle w:val="ECCTabletext"/>
              <w:jc w:val="left"/>
            </w:pPr>
            <w:r w:rsidRPr="008D73A7">
              <w:t>-6 dBm/MHz (167-182 GHz and 231.5-250 GHz)</w:t>
            </w:r>
          </w:p>
        </w:tc>
      </w:tr>
      <w:tr w:rsidR="00A079FC" w:rsidRPr="008D73A7" w14:paraId="55A256B4" w14:textId="77777777" w:rsidTr="0049741A">
        <w:tc>
          <w:tcPr>
            <w:tcW w:w="1985" w:type="pct"/>
          </w:tcPr>
          <w:p w14:paraId="5B5A6A82" w14:textId="0C079791" w:rsidR="00A079FC" w:rsidRPr="008D73A7" w:rsidRDefault="00A079FC" w:rsidP="00DE7D17">
            <w:pPr>
              <w:pStyle w:val="ECCTabletext"/>
            </w:pPr>
            <w:r w:rsidRPr="008D73A7">
              <w:t>Maximum peak e.i.r.p</w:t>
            </w:r>
            <w:r w:rsidR="008F5159" w:rsidRPr="008D73A7">
              <w:t>.</w:t>
            </w:r>
          </w:p>
        </w:tc>
        <w:tc>
          <w:tcPr>
            <w:tcW w:w="3015" w:type="pct"/>
          </w:tcPr>
          <w:p w14:paraId="36B4EAD9" w14:textId="40995C13" w:rsidR="00A079FC" w:rsidRPr="008D73A7" w:rsidRDefault="00A079FC" w:rsidP="00E174D9">
            <w:pPr>
              <w:pStyle w:val="ECCTabletext"/>
              <w:jc w:val="left"/>
            </w:pPr>
            <w:r w:rsidRPr="008D73A7">
              <w:t>37 dBm for all three frequency bands (evaluated in 1 GHz bandwidth)</w:t>
            </w:r>
          </w:p>
        </w:tc>
      </w:tr>
      <w:tr w:rsidR="00487A2C" w:rsidRPr="008D73A7" w14:paraId="73CAC077" w14:textId="77777777" w:rsidTr="0049741A">
        <w:tc>
          <w:tcPr>
            <w:tcW w:w="1985" w:type="pct"/>
          </w:tcPr>
          <w:p w14:paraId="0CC1F4EF" w14:textId="0C845F1E" w:rsidR="00487A2C" w:rsidRPr="008D73A7" w:rsidRDefault="00487A2C" w:rsidP="00DE7D17">
            <w:pPr>
              <w:pStyle w:val="ECCTabletext"/>
            </w:pPr>
            <w:r w:rsidRPr="008D73A7">
              <w:t>Maximum peak e.i.r.p</w:t>
            </w:r>
            <w:r w:rsidR="008F5159" w:rsidRPr="008D73A7">
              <w:t>.</w:t>
            </w:r>
            <w:r w:rsidRPr="008D73A7">
              <w:t xml:space="preserve"> for elevations &gt;0°</w:t>
            </w:r>
          </w:p>
        </w:tc>
        <w:tc>
          <w:tcPr>
            <w:tcW w:w="3015" w:type="pct"/>
          </w:tcPr>
          <w:p w14:paraId="07DE3CAF" w14:textId="32A10BD7" w:rsidR="00487A2C" w:rsidRPr="008D73A7" w:rsidRDefault="00487A2C" w:rsidP="00E174D9">
            <w:pPr>
              <w:pStyle w:val="ECCTabletext"/>
              <w:jc w:val="left"/>
            </w:pPr>
            <w:r w:rsidRPr="008D73A7">
              <w:t>0 dBm for all three frequency bands (evaluated in 1 GHz bandwidth)</w:t>
            </w:r>
          </w:p>
        </w:tc>
      </w:tr>
      <w:tr w:rsidR="00A079FC" w:rsidRPr="008D73A7" w14:paraId="64FDD3FD" w14:textId="77777777" w:rsidTr="0049741A">
        <w:tc>
          <w:tcPr>
            <w:tcW w:w="1985" w:type="pct"/>
          </w:tcPr>
          <w:p w14:paraId="4FE5295B" w14:textId="77777777" w:rsidR="00A079FC" w:rsidRPr="008D73A7" w:rsidRDefault="00A079FC" w:rsidP="00DE7D17">
            <w:pPr>
              <w:pStyle w:val="ECCTabletext"/>
            </w:pPr>
            <w:r w:rsidRPr="008D73A7">
              <w:t>Duty cycle</w:t>
            </w:r>
          </w:p>
        </w:tc>
        <w:tc>
          <w:tcPr>
            <w:tcW w:w="3015" w:type="pct"/>
          </w:tcPr>
          <w:p w14:paraId="25706C77" w14:textId="77777777" w:rsidR="00A079FC" w:rsidRPr="008D73A7" w:rsidRDefault="00A079FC" w:rsidP="00E174D9">
            <w:pPr>
              <w:pStyle w:val="ECCTabletext"/>
              <w:jc w:val="left"/>
            </w:pPr>
            <w:r w:rsidRPr="008D73A7">
              <w:t>Maximum 5% (measured over the whole measurement cycle T</w:t>
            </w:r>
            <w:r w:rsidRPr="008D73A7">
              <w:rPr>
                <w:vertAlign w:val="subscript"/>
              </w:rPr>
              <w:t>meas_cycle</w:t>
            </w:r>
            <w:r w:rsidRPr="008D73A7">
              <w:t>)</w:t>
            </w:r>
          </w:p>
        </w:tc>
      </w:tr>
      <w:tr w:rsidR="00A079FC" w:rsidRPr="008D73A7" w14:paraId="4ECE6493" w14:textId="77777777" w:rsidTr="0049741A">
        <w:tc>
          <w:tcPr>
            <w:tcW w:w="1985" w:type="pct"/>
          </w:tcPr>
          <w:p w14:paraId="78BA8B0A" w14:textId="77777777" w:rsidR="00A079FC" w:rsidRPr="008D73A7" w:rsidRDefault="00A079FC" w:rsidP="00DE7D17">
            <w:pPr>
              <w:pStyle w:val="ECCTabletext"/>
            </w:pPr>
            <w:r w:rsidRPr="008D73A7">
              <w:t>Installation requirements</w:t>
            </w:r>
          </w:p>
        </w:tc>
        <w:tc>
          <w:tcPr>
            <w:tcW w:w="3015" w:type="pct"/>
          </w:tcPr>
          <w:p w14:paraId="277501AF" w14:textId="2ED26C18" w:rsidR="00A079FC" w:rsidRPr="008D73A7" w:rsidRDefault="00506D23" w:rsidP="00E174D9">
            <w:pPr>
              <w:pStyle w:val="ECCTabletext"/>
              <w:jc w:val="left"/>
            </w:pPr>
            <w:r w:rsidRPr="008D73A7">
              <w:t>Operation only in a permanent fixed position pointing in a downwards direction towards the ground</w:t>
            </w:r>
            <w:r w:rsidR="00ED3ECB" w:rsidRPr="008D73A7">
              <w:t>.</w:t>
            </w:r>
          </w:p>
        </w:tc>
      </w:tr>
    </w:tbl>
    <w:p w14:paraId="0860BF86" w14:textId="37BBC250" w:rsidR="00780E66" w:rsidRPr="008D73A7" w:rsidRDefault="00780E66" w:rsidP="00A55704">
      <w:pPr>
        <w:pStyle w:val="Heading2"/>
        <w:rPr>
          <w:lang w:val="en-GB"/>
        </w:rPr>
      </w:pPr>
      <w:bookmarkStart w:id="318" w:name="_Toc123634730"/>
      <w:bookmarkStart w:id="319" w:name="_Toc123634820"/>
      <w:bookmarkStart w:id="320" w:name="_Toc135806334"/>
      <w:bookmarkStart w:id="321" w:name="_Toc153443779"/>
      <w:r w:rsidRPr="008D73A7">
        <w:rPr>
          <w:lang w:val="en-GB"/>
        </w:rPr>
        <w:t>Contour determination and acquisition radar (CDR)</w:t>
      </w:r>
      <w:bookmarkEnd w:id="318"/>
      <w:bookmarkEnd w:id="319"/>
      <w:bookmarkEnd w:id="320"/>
      <w:bookmarkEnd w:id="321"/>
    </w:p>
    <w:p w14:paraId="5AD31D37" w14:textId="5203B16E" w:rsidR="00780E66" w:rsidRPr="008D73A7" w:rsidRDefault="00780E66" w:rsidP="00406659">
      <w:pPr>
        <w:pStyle w:val="Heading3"/>
        <w:rPr>
          <w:kern w:val="32"/>
          <w:szCs w:val="32"/>
          <w:lang w:val="en-GB"/>
        </w:rPr>
      </w:pPr>
      <w:bookmarkStart w:id="322" w:name="_Toc123634731"/>
      <w:bookmarkStart w:id="323" w:name="_Toc123634821"/>
      <w:bookmarkStart w:id="324" w:name="_Toc135806335"/>
      <w:r w:rsidRPr="008D73A7">
        <w:rPr>
          <w:lang w:val="en-GB"/>
        </w:rPr>
        <w:t>Digital beamforming CDR (DBF-CDR)</w:t>
      </w:r>
      <w:bookmarkEnd w:id="322"/>
      <w:bookmarkEnd w:id="323"/>
      <w:bookmarkEnd w:id="324"/>
    </w:p>
    <w:p w14:paraId="61C3B95C" w14:textId="1DBA3DD4" w:rsidR="00506D23" w:rsidRPr="008D73A7" w:rsidRDefault="00506D23" w:rsidP="00506D23">
      <w:pPr>
        <w:pStyle w:val="Caption"/>
        <w:rPr>
          <w:lang w:val="en-GB"/>
        </w:rPr>
      </w:pPr>
      <w:r w:rsidRPr="008D73A7">
        <w:rPr>
          <w:lang w:val="en-GB"/>
        </w:rPr>
        <w:t>Table </w:t>
      </w:r>
      <w:r w:rsidRPr="008D73A7">
        <w:rPr>
          <w:lang w:val="en-GB"/>
        </w:rPr>
        <w:fldChar w:fldCharType="begin"/>
      </w:r>
      <w:r w:rsidRPr="008D73A7">
        <w:rPr>
          <w:lang w:val="en-GB"/>
        </w:rPr>
        <w:instrText xml:space="preserve"> SEQ Table \* ARABIC </w:instrText>
      </w:r>
      <w:r w:rsidRPr="008D73A7">
        <w:rPr>
          <w:lang w:val="en-GB"/>
        </w:rPr>
        <w:fldChar w:fldCharType="separate"/>
      </w:r>
      <w:r w:rsidR="00BD0B7C" w:rsidRPr="008D73A7">
        <w:rPr>
          <w:lang w:val="en-GB"/>
        </w:rPr>
        <w:t>6</w:t>
      </w:r>
      <w:r w:rsidRPr="008D73A7">
        <w:rPr>
          <w:lang w:val="en-GB"/>
        </w:rPr>
        <w:fldChar w:fldCharType="end"/>
      </w:r>
      <w:r w:rsidRPr="008D73A7">
        <w:rPr>
          <w:lang w:val="en-GB"/>
        </w:rPr>
        <w:t xml:space="preserve">: </w:t>
      </w:r>
      <w:r w:rsidRPr="008D73A7">
        <w:rPr>
          <w:rFonts w:eastAsia="Calibri"/>
          <w:lang w:val="en-GB"/>
        </w:rPr>
        <w:t>Recommended framework for digital beamforming CDR (DBF-CDR)</w:t>
      </w:r>
    </w:p>
    <w:tbl>
      <w:tblPr>
        <w:tblStyle w:val="ECCTable-redheader"/>
        <w:tblW w:w="5000" w:type="pct"/>
        <w:tblInd w:w="0" w:type="dxa"/>
        <w:tblLook w:val="04A0" w:firstRow="1" w:lastRow="0" w:firstColumn="1" w:lastColumn="0" w:noHBand="0" w:noVBand="1"/>
      </w:tblPr>
      <w:tblGrid>
        <w:gridCol w:w="4098"/>
        <w:gridCol w:w="5531"/>
      </w:tblGrid>
      <w:tr w:rsidR="00506D23" w:rsidRPr="008D73A7" w14:paraId="4C1313F3" w14:textId="77777777" w:rsidTr="00E174D9">
        <w:trPr>
          <w:cnfStyle w:val="100000000000" w:firstRow="1" w:lastRow="0" w:firstColumn="0" w:lastColumn="0" w:oddVBand="0" w:evenVBand="0" w:oddHBand="0" w:evenHBand="0" w:firstRowFirstColumn="0" w:firstRowLastColumn="0" w:lastRowFirstColumn="0" w:lastRowLastColumn="0"/>
        </w:trPr>
        <w:tc>
          <w:tcPr>
            <w:tcW w:w="2128" w:type="pct"/>
          </w:tcPr>
          <w:p w14:paraId="2CAADE1B" w14:textId="77777777" w:rsidR="00506D23" w:rsidRPr="008D73A7" w:rsidRDefault="00506D23" w:rsidP="00DE7D17">
            <w:pPr>
              <w:pStyle w:val="ECCTableHeaderwhitefont"/>
              <w:rPr>
                <w:lang w:val="en-GB"/>
              </w:rPr>
            </w:pPr>
            <w:r w:rsidRPr="008D73A7">
              <w:rPr>
                <w:lang w:val="en-GB"/>
              </w:rPr>
              <w:t>Parameter</w:t>
            </w:r>
          </w:p>
        </w:tc>
        <w:tc>
          <w:tcPr>
            <w:tcW w:w="2872" w:type="pct"/>
          </w:tcPr>
          <w:p w14:paraId="321789ED" w14:textId="77777777" w:rsidR="00506D23" w:rsidRPr="008D73A7" w:rsidRDefault="00506D23" w:rsidP="00DE7D17">
            <w:pPr>
              <w:pStyle w:val="ECCTableHeaderwhitefont"/>
              <w:rPr>
                <w:lang w:val="en-GB"/>
              </w:rPr>
            </w:pPr>
            <w:r w:rsidRPr="008D73A7">
              <w:rPr>
                <w:lang w:val="en-GB"/>
              </w:rPr>
              <w:t>Limits/Requirements</w:t>
            </w:r>
          </w:p>
        </w:tc>
      </w:tr>
      <w:tr w:rsidR="00506D23" w:rsidRPr="008D73A7" w14:paraId="3E09C1BC" w14:textId="77777777" w:rsidTr="00E174D9">
        <w:tc>
          <w:tcPr>
            <w:tcW w:w="2128" w:type="pct"/>
          </w:tcPr>
          <w:p w14:paraId="12F13CBA" w14:textId="77777777" w:rsidR="00506D23" w:rsidRPr="008D73A7" w:rsidRDefault="00506D23" w:rsidP="00DE7D17">
            <w:pPr>
              <w:pStyle w:val="ECCTabletext"/>
            </w:pPr>
            <w:r w:rsidRPr="008D73A7">
              <w:t>Frequency bands</w:t>
            </w:r>
          </w:p>
        </w:tc>
        <w:tc>
          <w:tcPr>
            <w:tcW w:w="2872" w:type="pct"/>
          </w:tcPr>
          <w:p w14:paraId="4BB3712E" w14:textId="6A4BCBA3" w:rsidR="00506D23" w:rsidRPr="008D73A7" w:rsidRDefault="003151CA" w:rsidP="00E174D9">
            <w:pPr>
              <w:pStyle w:val="ECCTabletext"/>
              <w:jc w:val="left"/>
            </w:pPr>
            <w:r w:rsidRPr="008D73A7">
              <w:t>116-148.5 GHz, 167-182 GHz and 231.5-250 GHz</w:t>
            </w:r>
          </w:p>
        </w:tc>
      </w:tr>
      <w:tr w:rsidR="00506D23" w:rsidRPr="008D73A7" w14:paraId="648E52CA" w14:textId="77777777" w:rsidTr="00E174D9">
        <w:tc>
          <w:tcPr>
            <w:tcW w:w="2128" w:type="pct"/>
          </w:tcPr>
          <w:p w14:paraId="175A22D7" w14:textId="77777777" w:rsidR="00506D23" w:rsidRPr="008D73A7" w:rsidRDefault="00506D23" w:rsidP="00DE7D17">
            <w:pPr>
              <w:pStyle w:val="ECCTabletext"/>
            </w:pPr>
            <w:r w:rsidRPr="008D73A7">
              <w:t>Maximum mean e.i.r.p. spectral density</w:t>
            </w:r>
          </w:p>
        </w:tc>
        <w:tc>
          <w:tcPr>
            <w:tcW w:w="2872" w:type="pct"/>
          </w:tcPr>
          <w:p w14:paraId="772097C3" w14:textId="6C095057" w:rsidR="0041748F" w:rsidRPr="008D73A7" w:rsidRDefault="003151CA" w:rsidP="00E174D9">
            <w:pPr>
              <w:pStyle w:val="ECCTabletext"/>
              <w:jc w:val="left"/>
            </w:pPr>
            <w:r w:rsidRPr="008D73A7">
              <w:t xml:space="preserve">-32.6 dBm/MHz (116-148.5 GHz) </w:t>
            </w:r>
          </w:p>
          <w:p w14:paraId="7E6C128B" w14:textId="3C5C0906" w:rsidR="0041748F" w:rsidRPr="008D73A7" w:rsidRDefault="003151CA" w:rsidP="00E174D9">
            <w:pPr>
              <w:pStyle w:val="ECCTabletext"/>
              <w:jc w:val="left"/>
            </w:pPr>
            <w:r w:rsidRPr="008D73A7">
              <w:t xml:space="preserve">-29.0 dBm/MHz (167-182 GHz) </w:t>
            </w:r>
          </w:p>
          <w:p w14:paraId="77F747E7" w14:textId="36C9FFEE" w:rsidR="00506D23" w:rsidRPr="008D73A7" w:rsidRDefault="003151CA" w:rsidP="00E174D9">
            <w:pPr>
              <w:pStyle w:val="ECCTabletext"/>
              <w:jc w:val="left"/>
            </w:pPr>
            <w:r w:rsidRPr="008D73A7">
              <w:t>-23.0 dBm/MHz (231.5-250 GHz)</w:t>
            </w:r>
          </w:p>
        </w:tc>
      </w:tr>
      <w:tr w:rsidR="003151CA" w:rsidRPr="008D73A7" w14:paraId="3F138EAC" w14:textId="77777777" w:rsidTr="00E174D9">
        <w:tc>
          <w:tcPr>
            <w:tcW w:w="2128" w:type="pct"/>
          </w:tcPr>
          <w:p w14:paraId="430B028C" w14:textId="4317F571" w:rsidR="003151CA" w:rsidRPr="008D73A7" w:rsidRDefault="003151CA" w:rsidP="003151CA">
            <w:pPr>
              <w:pStyle w:val="ECCTabletext"/>
            </w:pPr>
            <w:r w:rsidRPr="008D73A7">
              <w:t>Maximum peak e.i.r.p</w:t>
            </w:r>
            <w:r w:rsidR="006009EB">
              <w:t>.</w:t>
            </w:r>
          </w:p>
        </w:tc>
        <w:tc>
          <w:tcPr>
            <w:tcW w:w="2872" w:type="pct"/>
          </w:tcPr>
          <w:p w14:paraId="186D95AB" w14:textId="74C36A1C" w:rsidR="003151CA" w:rsidRPr="008D73A7" w:rsidRDefault="003151CA" w:rsidP="00E174D9">
            <w:pPr>
              <w:pStyle w:val="ECCTabletext"/>
              <w:jc w:val="left"/>
            </w:pPr>
            <w:r w:rsidRPr="008D73A7">
              <w:t>15 dBm for all three frequency bands (evaluated in 1 GHz bandwidth)</w:t>
            </w:r>
          </w:p>
        </w:tc>
      </w:tr>
      <w:tr w:rsidR="003151CA" w:rsidRPr="008D73A7" w14:paraId="067E113B" w14:textId="77777777" w:rsidTr="00E174D9">
        <w:tc>
          <w:tcPr>
            <w:tcW w:w="2128" w:type="pct"/>
          </w:tcPr>
          <w:p w14:paraId="6C55363F" w14:textId="77777777" w:rsidR="003151CA" w:rsidRPr="008D73A7" w:rsidRDefault="003151CA" w:rsidP="003151CA">
            <w:pPr>
              <w:pStyle w:val="ECCTabletext"/>
            </w:pPr>
            <w:r w:rsidRPr="008D73A7">
              <w:t>Duty cycle</w:t>
            </w:r>
          </w:p>
        </w:tc>
        <w:tc>
          <w:tcPr>
            <w:tcW w:w="2872" w:type="pct"/>
          </w:tcPr>
          <w:p w14:paraId="1C0EFFF5" w14:textId="6370B125" w:rsidR="003151CA" w:rsidRPr="008D73A7" w:rsidRDefault="003151CA" w:rsidP="00E174D9">
            <w:pPr>
              <w:pStyle w:val="ECCTabletext"/>
              <w:jc w:val="left"/>
            </w:pPr>
            <w:r w:rsidRPr="008D73A7">
              <w:t>Maximum 10% (measured over the whole measurement cycle T</w:t>
            </w:r>
            <w:r w:rsidRPr="008D73A7">
              <w:rPr>
                <w:vertAlign w:val="subscript"/>
              </w:rPr>
              <w:t>meas_cycle</w:t>
            </w:r>
            <w:r w:rsidRPr="008D73A7">
              <w:t>)</w:t>
            </w:r>
          </w:p>
        </w:tc>
      </w:tr>
      <w:tr w:rsidR="003151CA" w:rsidRPr="008D73A7" w14:paraId="76744123" w14:textId="77777777" w:rsidTr="00E174D9">
        <w:tc>
          <w:tcPr>
            <w:tcW w:w="2128" w:type="pct"/>
          </w:tcPr>
          <w:p w14:paraId="2D67B2E4" w14:textId="77777777" w:rsidR="003151CA" w:rsidRPr="008D73A7" w:rsidRDefault="003151CA" w:rsidP="003151CA">
            <w:pPr>
              <w:pStyle w:val="ECCTabletext"/>
            </w:pPr>
            <w:r w:rsidRPr="008D73A7">
              <w:t>Installation requirements</w:t>
            </w:r>
          </w:p>
        </w:tc>
        <w:tc>
          <w:tcPr>
            <w:tcW w:w="2872" w:type="pct"/>
          </w:tcPr>
          <w:p w14:paraId="7E469FFA" w14:textId="7EB63313" w:rsidR="003151CA" w:rsidRPr="008D73A7" w:rsidRDefault="003151CA" w:rsidP="00E174D9">
            <w:pPr>
              <w:pStyle w:val="ECCTabletext"/>
              <w:jc w:val="left"/>
            </w:pPr>
            <w:r w:rsidRPr="008D73A7">
              <w:t>Operation only in a permanent fixed position pointing vertically downwards towards the ground</w:t>
            </w:r>
            <w:r w:rsidR="00ED3ECB" w:rsidRPr="008D73A7">
              <w:t>.</w:t>
            </w:r>
          </w:p>
        </w:tc>
      </w:tr>
    </w:tbl>
    <w:p w14:paraId="465312C9" w14:textId="0E13EBE4" w:rsidR="00780E66" w:rsidRPr="008D73A7" w:rsidRDefault="00780E66" w:rsidP="00406659">
      <w:pPr>
        <w:pStyle w:val="Heading3"/>
        <w:rPr>
          <w:lang w:val="en-GB"/>
        </w:rPr>
      </w:pPr>
      <w:bookmarkStart w:id="325" w:name="_Toc132615029"/>
      <w:bookmarkStart w:id="326" w:name="_Toc123634732"/>
      <w:bookmarkStart w:id="327" w:name="_Toc123634822"/>
      <w:bookmarkStart w:id="328" w:name="_Toc135806336"/>
      <w:bookmarkEnd w:id="325"/>
      <w:r w:rsidRPr="008D73A7">
        <w:rPr>
          <w:lang w:val="en-GB"/>
        </w:rPr>
        <w:lastRenderedPageBreak/>
        <w:t>Mechanical and phased-array CDR (M-CDR and PA-CDR)</w:t>
      </w:r>
      <w:bookmarkEnd w:id="326"/>
      <w:bookmarkEnd w:id="327"/>
      <w:bookmarkEnd w:id="328"/>
    </w:p>
    <w:p w14:paraId="459CB761" w14:textId="7FFB2AA9" w:rsidR="003151CA" w:rsidRPr="008D73A7" w:rsidRDefault="003151CA" w:rsidP="003151CA">
      <w:pPr>
        <w:pStyle w:val="Caption"/>
        <w:rPr>
          <w:lang w:val="en-GB"/>
        </w:rPr>
      </w:pPr>
      <w:r w:rsidRPr="008D73A7">
        <w:rPr>
          <w:lang w:val="en-GB"/>
        </w:rPr>
        <w:t>Table </w:t>
      </w:r>
      <w:r w:rsidRPr="008D73A7">
        <w:rPr>
          <w:lang w:val="en-GB"/>
        </w:rPr>
        <w:fldChar w:fldCharType="begin"/>
      </w:r>
      <w:r w:rsidRPr="008D73A7">
        <w:rPr>
          <w:lang w:val="en-GB"/>
        </w:rPr>
        <w:instrText xml:space="preserve"> SEQ Table \* ARABIC </w:instrText>
      </w:r>
      <w:r w:rsidRPr="008D73A7">
        <w:rPr>
          <w:lang w:val="en-GB"/>
        </w:rPr>
        <w:fldChar w:fldCharType="separate"/>
      </w:r>
      <w:r w:rsidR="00BD0B7C" w:rsidRPr="008D73A7">
        <w:rPr>
          <w:lang w:val="en-GB"/>
        </w:rPr>
        <w:t>7</w:t>
      </w:r>
      <w:r w:rsidRPr="008D73A7">
        <w:rPr>
          <w:lang w:val="en-GB"/>
        </w:rPr>
        <w:fldChar w:fldCharType="end"/>
      </w:r>
      <w:r w:rsidRPr="008D73A7">
        <w:rPr>
          <w:lang w:val="en-GB"/>
        </w:rPr>
        <w:t xml:space="preserve">: </w:t>
      </w:r>
      <w:r w:rsidRPr="008D73A7">
        <w:rPr>
          <w:rFonts w:eastAsia="Calibri"/>
          <w:lang w:val="en-GB"/>
        </w:rPr>
        <w:t xml:space="preserve">Recommended framework for </w:t>
      </w:r>
      <w:r w:rsidR="000D7E27" w:rsidRPr="008D73A7">
        <w:rPr>
          <w:rFonts w:eastAsia="Calibri"/>
          <w:lang w:val="en-GB"/>
        </w:rPr>
        <w:t>mechanical and phased array</w:t>
      </w:r>
      <w:r w:rsidRPr="008D73A7">
        <w:rPr>
          <w:rFonts w:eastAsia="Calibri"/>
          <w:lang w:val="en-GB"/>
        </w:rPr>
        <w:t xml:space="preserve"> CDR (</w:t>
      </w:r>
      <w:r w:rsidR="000D7E27" w:rsidRPr="008D73A7">
        <w:rPr>
          <w:rFonts w:eastAsia="Calibri"/>
          <w:lang w:val="en-GB"/>
        </w:rPr>
        <w:t>M</w:t>
      </w:r>
      <w:r w:rsidRPr="008D73A7">
        <w:rPr>
          <w:rFonts w:eastAsia="Calibri"/>
          <w:lang w:val="en-GB"/>
        </w:rPr>
        <w:t>-CDR</w:t>
      </w:r>
      <w:r w:rsidR="000D7E27" w:rsidRPr="008D73A7">
        <w:rPr>
          <w:rFonts w:eastAsia="Calibri"/>
          <w:lang w:val="en-GB"/>
        </w:rPr>
        <w:t xml:space="preserve"> and PA-DCR</w:t>
      </w:r>
      <w:r w:rsidRPr="008D73A7">
        <w:rPr>
          <w:rFonts w:eastAsia="Calibri"/>
          <w:lang w:val="en-GB"/>
        </w:rPr>
        <w:t>)</w:t>
      </w:r>
    </w:p>
    <w:tbl>
      <w:tblPr>
        <w:tblStyle w:val="ECCTable-redheader"/>
        <w:tblW w:w="5000" w:type="pct"/>
        <w:tblInd w:w="0" w:type="dxa"/>
        <w:tblLook w:val="04A0" w:firstRow="1" w:lastRow="0" w:firstColumn="1" w:lastColumn="0" w:noHBand="0" w:noVBand="1"/>
      </w:tblPr>
      <w:tblGrid>
        <w:gridCol w:w="4098"/>
        <w:gridCol w:w="5531"/>
      </w:tblGrid>
      <w:tr w:rsidR="003151CA" w:rsidRPr="008D73A7" w14:paraId="35126FCA" w14:textId="77777777" w:rsidTr="0049741A">
        <w:trPr>
          <w:cnfStyle w:val="100000000000" w:firstRow="1" w:lastRow="0" w:firstColumn="0" w:lastColumn="0" w:oddVBand="0" w:evenVBand="0" w:oddHBand="0" w:evenHBand="0" w:firstRowFirstColumn="0" w:firstRowLastColumn="0" w:lastRowFirstColumn="0" w:lastRowLastColumn="0"/>
        </w:trPr>
        <w:tc>
          <w:tcPr>
            <w:tcW w:w="2128" w:type="pct"/>
          </w:tcPr>
          <w:p w14:paraId="2833CF8B" w14:textId="77777777" w:rsidR="003151CA" w:rsidRPr="008D73A7" w:rsidRDefault="003151CA" w:rsidP="00DE7D17">
            <w:pPr>
              <w:pStyle w:val="ECCTableHeaderwhitefont"/>
              <w:rPr>
                <w:lang w:val="en-GB"/>
              </w:rPr>
            </w:pPr>
            <w:r w:rsidRPr="008D73A7">
              <w:rPr>
                <w:lang w:val="en-GB"/>
              </w:rPr>
              <w:t>Parameter</w:t>
            </w:r>
          </w:p>
        </w:tc>
        <w:tc>
          <w:tcPr>
            <w:tcW w:w="2872" w:type="pct"/>
          </w:tcPr>
          <w:p w14:paraId="66ADD006" w14:textId="77777777" w:rsidR="003151CA" w:rsidRPr="008D73A7" w:rsidRDefault="003151CA" w:rsidP="00DE7D17">
            <w:pPr>
              <w:pStyle w:val="ECCTableHeaderwhitefont"/>
              <w:rPr>
                <w:lang w:val="en-GB"/>
              </w:rPr>
            </w:pPr>
            <w:r w:rsidRPr="008D73A7">
              <w:rPr>
                <w:lang w:val="en-GB"/>
              </w:rPr>
              <w:t>Limits/Requirements</w:t>
            </w:r>
          </w:p>
        </w:tc>
      </w:tr>
      <w:tr w:rsidR="003151CA" w:rsidRPr="008D73A7" w14:paraId="549089AB" w14:textId="77777777" w:rsidTr="0049741A">
        <w:tc>
          <w:tcPr>
            <w:tcW w:w="2128" w:type="pct"/>
          </w:tcPr>
          <w:p w14:paraId="1F576AA8" w14:textId="77777777" w:rsidR="003151CA" w:rsidRPr="008D73A7" w:rsidRDefault="003151CA" w:rsidP="00DE7D17">
            <w:pPr>
              <w:pStyle w:val="ECCTabletext"/>
            </w:pPr>
            <w:r w:rsidRPr="008D73A7">
              <w:t>Frequency bands</w:t>
            </w:r>
          </w:p>
        </w:tc>
        <w:tc>
          <w:tcPr>
            <w:tcW w:w="2872" w:type="pct"/>
          </w:tcPr>
          <w:p w14:paraId="77A37370" w14:textId="77777777" w:rsidR="003151CA" w:rsidRPr="008D73A7" w:rsidRDefault="003151CA" w:rsidP="00E174D9">
            <w:pPr>
              <w:pStyle w:val="ECCTabletext"/>
              <w:jc w:val="left"/>
            </w:pPr>
            <w:r w:rsidRPr="008D73A7">
              <w:t>116-148.5 GHz, 167-182 GHz and 231.5-250 GHz</w:t>
            </w:r>
          </w:p>
        </w:tc>
      </w:tr>
      <w:tr w:rsidR="003151CA" w:rsidRPr="008D73A7" w14:paraId="24982A3A" w14:textId="77777777" w:rsidTr="0049741A">
        <w:tc>
          <w:tcPr>
            <w:tcW w:w="2128" w:type="pct"/>
          </w:tcPr>
          <w:p w14:paraId="47FE5A3C" w14:textId="77777777" w:rsidR="003151CA" w:rsidRPr="008D73A7" w:rsidRDefault="003151CA" w:rsidP="00DE7D17">
            <w:pPr>
              <w:pStyle w:val="ECCTabletext"/>
            </w:pPr>
            <w:r w:rsidRPr="008D73A7">
              <w:t>Maximum mean e.i.r.p. spectral density</w:t>
            </w:r>
          </w:p>
        </w:tc>
        <w:tc>
          <w:tcPr>
            <w:tcW w:w="2872" w:type="pct"/>
          </w:tcPr>
          <w:p w14:paraId="4CA3CBC4" w14:textId="7F1DCB6C" w:rsidR="00A91ADC" w:rsidRPr="008D73A7" w:rsidRDefault="000D5FDD" w:rsidP="003E4EB3">
            <w:pPr>
              <w:pStyle w:val="ECCTabletext"/>
              <w:jc w:val="left"/>
            </w:pPr>
            <w:r w:rsidRPr="008D73A7">
              <w:t>-12.0 dBm/MHz (116-148.5 GHz)</w:t>
            </w:r>
            <w:r w:rsidR="00A91ADC" w:rsidRPr="008D73A7">
              <w:t>;</w:t>
            </w:r>
            <w:r w:rsidRPr="008D73A7">
              <w:t xml:space="preserve"> </w:t>
            </w:r>
          </w:p>
          <w:p w14:paraId="0E3FB51F" w14:textId="2CCD1F6D" w:rsidR="00A91ADC" w:rsidRPr="008D73A7" w:rsidRDefault="000D5FDD" w:rsidP="003E4EB3">
            <w:pPr>
              <w:pStyle w:val="ECCTabletext"/>
              <w:jc w:val="left"/>
            </w:pPr>
            <w:r w:rsidRPr="008D73A7">
              <w:t>-9.0 dBm/MHz (167</w:t>
            </w:r>
            <w:r w:rsidR="0032717C">
              <w:t>-</w:t>
            </w:r>
            <w:r w:rsidRPr="008D73A7">
              <w:t>182 GHz)</w:t>
            </w:r>
            <w:r w:rsidR="00A91ADC" w:rsidRPr="008D73A7">
              <w:t>;</w:t>
            </w:r>
            <w:r w:rsidRPr="008D73A7">
              <w:t xml:space="preserve"> </w:t>
            </w:r>
          </w:p>
          <w:p w14:paraId="03D885F8" w14:textId="462ED8CB" w:rsidR="003151CA" w:rsidRPr="008D73A7" w:rsidRDefault="000D5FDD" w:rsidP="00E174D9">
            <w:pPr>
              <w:pStyle w:val="ECCTabletext"/>
              <w:jc w:val="left"/>
            </w:pPr>
            <w:r w:rsidRPr="008D73A7">
              <w:t>-6 dBm/MHz (231.5-250 GHz)</w:t>
            </w:r>
          </w:p>
        </w:tc>
      </w:tr>
      <w:tr w:rsidR="003151CA" w:rsidRPr="008D73A7" w14:paraId="6C9408C4" w14:textId="77777777" w:rsidTr="0049741A">
        <w:tc>
          <w:tcPr>
            <w:tcW w:w="2128" w:type="pct"/>
          </w:tcPr>
          <w:p w14:paraId="7C98B035" w14:textId="5C0B0645" w:rsidR="003151CA" w:rsidRPr="008D73A7" w:rsidRDefault="003151CA" w:rsidP="00DE7D17">
            <w:pPr>
              <w:pStyle w:val="ECCTabletext"/>
            </w:pPr>
            <w:r w:rsidRPr="008D73A7">
              <w:t>Maximum peak e.i.r.p</w:t>
            </w:r>
            <w:r w:rsidR="008F5159" w:rsidRPr="008D73A7">
              <w:t>.</w:t>
            </w:r>
          </w:p>
        </w:tc>
        <w:tc>
          <w:tcPr>
            <w:tcW w:w="2872" w:type="pct"/>
          </w:tcPr>
          <w:p w14:paraId="18C9D27B" w14:textId="0A7101D2" w:rsidR="00067749" w:rsidRPr="008D73A7" w:rsidRDefault="000D5FDD" w:rsidP="003E4EB3">
            <w:pPr>
              <w:pStyle w:val="ECCTabletext"/>
              <w:jc w:val="left"/>
            </w:pPr>
            <w:r w:rsidRPr="008D73A7">
              <w:t xml:space="preserve">28.6 dBm (116-148.5 GHz) </w:t>
            </w:r>
          </w:p>
          <w:p w14:paraId="4D711B0D" w14:textId="2C5F9B93" w:rsidR="00067749" w:rsidRPr="008D73A7" w:rsidRDefault="000D5FDD" w:rsidP="003E4EB3">
            <w:pPr>
              <w:pStyle w:val="ECCTabletext"/>
              <w:jc w:val="left"/>
            </w:pPr>
            <w:r w:rsidRPr="008D73A7">
              <w:t>34.6 dBm (167-182 GHz)</w:t>
            </w:r>
            <w:r w:rsidR="00067749" w:rsidRPr="008D73A7">
              <w:t>;</w:t>
            </w:r>
            <w:r w:rsidRPr="008D73A7">
              <w:t xml:space="preserve"> </w:t>
            </w:r>
          </w:p>
          <w:p w14:paraId="08ACE9DA" w14:textId="44175051" w:rsidR="003151CA" w:rsidRPr="008D73A7" w:rsidRDefault="000D5FDD" w:rsidP="00E174D9">
            <w:pPr>
              <w:pStyle w:val="ECCTabletext"/>
              <w:jc w:val="left"/>
            </w:pPr>
            <w:r w:rsidRPr="008D73A7">
              <w:t>37 dBm (231.5-250 GHz) (evaluated in 1 GHz bandwidth)</w:t>
            </w:r>
          </w:p>
        </w:tc>
      </w:tr>
      <w:tr w:rsidR="000D5FDD" w:rsidRPr="008D73A7" w14:paraId="458D2DC8" w14:textId="77777777" w:rsidTr="0049741A">
        <w:tc>
          <w:tcPr>
            <w:tcW w:w="2128" w:type="pct"/>
          </w:tcPr>
          <w:p w14:paraId="280CB4AA" w14:textId="0EC21F92" w:rsidR="000D5FDD" w:rsidRPr="008D73A7" w:rsidRDefault="000D5FDD" w:rsidP="00DE7D17">
            <w:pPr>
              <w:pStyle w:val="ECCTabletext"/>
            </w:pPr>
            <w:r w:rsidRPr="008D73A7">
              <w:t>Maximum peak e.i.r.p</w:t>
            </w:r>
            <w:r w:rsidR="008F5159" w:rsidRPr="008D73A7">
              <w:t>.</w:t>
            </w:r>
            <w:r w:rsidRPr="008D73A7">
              <w:t xml:space="preserve"> for elevations &gt;0°</w:t>
            </w:r>
          </w:p>
        </w:tc>
        <w:tc>
          <w:tcPr>
            <w:tcW w:w="2872" w:type="pct"/>
          </w:tcPr>
          <w:p w14:paraId="0A7BAC49" w14:textId="2EF9AD2F" w:rsidR="000D5FDD" w:rsidRPr="008D73A7" w:rsidRDefault="000D5FDD" w:rsidP="00E174D9">
            <w:pPr>
              <w:pStyle w:val="ECCTabletext"/>
              <w:jc w:val="left"/>
            </w:pPr>
            <w:r w:rsidRPr="008D73A7">
              <w:t>0 dBm (evaluated in 1 GHz bandwidth)</w:t>
            </w:r>
          </w:p>
        </w:tc>
      </w:tr>
      <w:tr w:rsidR="003151CA" w:rsidRPr="008D73A7" w14:paraId="0EFEBB7E" w14:textId="77777777" w:rsidTr="0049741A">
        <w:tc>
          <w:tcPr>
            <w:tcW w:w="2128" w:type="pct"/>
          </w:tcPr>
          <w:p w14:paraId="0621265E" w14:textId="77777777" w:rsidR="003151CA" w:rsidRPr="008D73A7" w:rsidRDefault="003151CA" w:rsidP="00DE7D17">
            <w:pPr>
              <w:pStyle w:val="ECCTabletext"/>
            </w:pPr>
            <w:r w:rsidRPr="008D73A7">
              <w:t>Duty cycle</w:t>
            </w:r>
          </w:p>
        </w:tc>
        <w:tc>
          <w:tcPr>
            <w:tcW w:w="2872" w:type="pct"/>
          </w:tcPr>
          <w:p w14:paraId="40C98BA3" w14:textId="77777777" w:rsidR="003151CA" w:rsidRPr="008D73A7" w:rsidRDefault="003151CA" w:rsidP="00E174D9">
            <w:pPr>
              <w:pStyle w:val="ECCTabletext"/>
              <w:jc w:val="left"/>
            </w:pPr>
            <w:r w:rsidRPr="008D73A7">
              <w:t>Maximum 10% (measured over the whole measurement cycle T</w:t>
            </w:r>
            <w:r w:rsidRPr="008D73A7">
              <w:rPr>
                <w:vertAlign w:val="subscript"/>
              </w:rPr>
              <w:t>meas_cycle</w:t>
            </w:r>
            <w:r w:rsidRPr="008D73A7">
              <w:t>)</w:t>
            </w:r>
          </w:p>
        </w:tc>
      </w:tr>
      <w:tr w:rsidR="003151CA" w:rsidRPr="008D73A7" w14:paraId="4063DD49" w14:textId="77777777" w:rsidTr="0049741A">
        <w:tc>
          <w:tcPr>
            <w:tcW w:w="2128" w:type="pct"/>
          </w:tcPr>
          <w:p w14:paraId="5D6B8AFE" w14:textId="77777777" w:rsidR="003151CA" w:rsidRPr="008D73A7" w:rsidRDefault="003151CA" w:rsidP="00DE7D17">
            <w:pPr>
              <w:pStyle w:val="ECCTabletext"/>
            </w:pPr>
            <w:r w:rsidRPr="008D73A7">
              <w:t>Installation requirements</w:t>
            </w:r>
          </w:p>
        </w:tc>
        <w:tc>
          <w:tcPr>
            <w:tcW w:w="2872" w:type="pct"/>
          </w:tcPr>
          <w:p w14:paraId="5C7AD2F6" w14:textId="6EFC0B52" w:rsidR="003151CA" w:rsidRPr="008D73A7" w:rsidRDefault="003151CA" w:rsidP="00E174D9">
            <w:pPr>
              <w:pStyle w:val="ECCTabletext"/>
              <w:jc w:val="left"/>
            </w:pPr>
            <w:r w:rsidRPr="008D73A7">
              <w:t>Operation only in a permanent fixed position</w:t>
            </w:r>
            <w:r w:rsidR="00686403" w:rsidRPr="008D73A7">
              <w:t>.</w:t>
            </w:r>
          </w:p>
          <w:p w14:paraId="01C01149" w14:textId="57476889" w:rsidR="00686403" w:rsidRPr="008D73A7" w:rsidRDefault="00686403" w:rsidP="00E174D9">
            <w:pPr>
              <w:pStyle w:val="ECCTabletext"/>
              <w:jc w:val="left"/>
            </w:pPr>
            <w:r w:rsidRPr="008D73A7">
              <w:t xml:space="preserve">Tilting angle </w:t>
            </w:r>
            <w:r w:rsidR="00337B29" w:rsidRPr="008D73A7">
              <w:rPr>
                <w:rFonts w:cs="Arial"/>
              </w:rPr>
              <w:t>≤</w:t>
            </w:r>
            <w:r w:rsidRPr="008D73A7">
              <w:t>60° (angle between antenna main beam direction and vertical axis towards the ground).</w:t>
            </w:r>
          </w:p>
        </w:tc>
      </w:tr>
    </w:tbl>
    <w:p w14:paraId="3538A415" w14:textId="55347241" w:rsidR="00EE7BEC" w:rsidRPr="008D73A7" w:rsidRDefault="00EE7BEC" w:rsidP="00A55704">
      <w:pPr>
        <w:pStyle w:val="Heading2"/>
        <w:rPr>
          <w:lang w:val="en-GB"/>
        </w:rPr>
      </w:pPr>
      <w:bookmarkStart w:id="329" w:name="_Toc123634733"/>
      <w:bookmarkStart w:id="330" w:name="_Toc123634823"/>
      <w:bookmarkStart w:id="331" w:name="_Toc135806337"/>
      <w:bookmarkStart w:id="332" w:name="_Toc153443780"/>
      <w:r w:rsidRPr="008D73A7">
        <w:rPr>
          <w:lang w:val="en-GB"/>
        </w:rPr>
        <w:t>Tank level probing radar (TLPR)</w:t>
      </w:r>
      <w:bookmarkEnd w:id="329"/>
      <w:bookmarkEnd w:id="330"/>
      <w:bookmarkEnd w:id="331"/>
      <w:bookmarkEnd w:id="332"/>
    </w:p>
    <w:p w14:paraId="6E6A2CC3" w14:textId="1E65DC59" w:rsidR="00ED3ECB" w:rsidRPr="008D73A7" w:rsidRDefault="00ED3ECB" w:rsidP="00ED3ECB">
      <w:pPr>
        <w:pStyle w:val="Caption"/>
        <w:rPr>
          <w:lang w:val="en-GB"/>
        </w:rPr>
      </w:pPr>
      <w:r w:rsidRPr="008D73A7">
        <w:rPr>
          <w:lang w:val="en-GB"/>
        </w:rPr>
        <w:t>Table </w:t>
      </w:r>
      <w:r w:rsidRPr="008D73A7">
        <w:rPr>
          <w:lang w:val="en-GB"/>
        </w:rPr>
        <w:fldChar w:fldCharType="begin"/>
      </w:r>
      <w:r w:rsidRPr="008D73A7">
        <w:rPr>
          <w:lang w:val="en-GB"/>
        </w:rPr>
        <w:instrText xml:space="preserve"> SEQ Table \* ARABIC </w:instrText>
      </w:r>
      <w:r w:rsidRPr="008D73A7">
        <w:rPr>
          <w:lang w:val="en-GB"/>
        </w:rPr>
        <w:fldChar w:fldCharType="separate"/>
      </w:r>
      <w:r w:rsidR="00BD0B7C" w:rsidRPr="008D73A7">
        <w:rPr>
          <w:lang w:val="en-GB"/>
        </w:rPr>
        <w:t>8</w:t>
      </w:r>
      <w:r w:rsidRPr="008D73A7">
        <w:rPr>
          <w:lang w:val="en-GB"/>
        </w:rPr>
        <w:fldChar w:fldCharType="end"/>
      </w:r>
      <w:r w:rsidRPr="008D73A7">
        <w:rPr>
          <w:lang w:val="en-GB"/>
        </w:rPr>
        <w:t xml:space="preserve">: </w:t>
      </w:r>
      <w:r w:rsidRPr="008D73A7">
        <w:rPr>
          <w:rFonts w:eastAsia="Calibri"/>
          <w:lang w:val="en-GB"/>
        </w:rPr>
        <w:t xml:space="preserve">Recommended framework for </w:t>
      </w:r>
      <w:r w:rsidR="007F62A9" w:rsidRPr="008D73A7">
        <w:rPr>
          <w:rFonts w:eastAsia="Calibri"/>
          <w:lang w:val="en-GB"/>
        </w:rPr>
        <w:t xml:space="preserve">tank level probing radar </w:t>
      </w:r>
      <w:r w:rsidRPr="008D73A7">
        <w:rPr>
          <w:rFonts w:eastAsia="Calibri"/>
          <w:lang w:val="en-GB"/>
        </w:rPr>
        <w:t>(</w:t>
      </w:r>
      <w:r w:rsidR="007F62A9" w:rsidRPr="008D73A7">
        <w:rPr>
          <w:rFonts w:eastAsia="Calibri"/>
          <w:lang w:val="en-GB"/>
        </w:rPr>
        <w:t>TLPR</w:t>
      </w:r>
      <w:r w:rsidRPr="008D73A7">
        <w:rPr>
          <w:rFonts w:eastAsia="Calibri"/>
          <w:lang w:val="en-GB"/>
        </w:rPr>
        <w:t>)</w:t>
      </w:r>
    </w:p>
    <w:tbl>
      <w:tblPr>
        <w:tblStyle w:val="ECCTable-redheader"/>
        <w:tblW w:w="5000" w:type="pct"/>
        <w:tblInd w:w="0" w:type="dxa"/>
        <w:tblLook w:val="04A0" w:firstRow="1" w:lastRow="0" w:firstColumn="1" w:lastColumn="0" w:noHBand="0" w:noVBand="1"/>
      </w:tblPr>
      <w:tblGrid>
        <w:gridCol w:w="4098"/>
        <w:gridCol w:w="5531"/>
      </w:tblGrid>
      <w:tr w:rsidR="00ED3ECB" w:rsidRPr="008D73A7" w14:paraId="74D04B0C" w14:textId="77777777" w:rsidTr="00EB02A0">
        <w:trPr>
          <w:cnfStyle w:val="100000000000" w:firstRow="1" w:lastRow="0" w:firstColumn="0" w:lastColumn="0" w:oddVBand="0" w:evenVBand="0" w:oddHBand="0" w:evenHBand="0" w:firstRowFirstColumn="0" w:firstRowLastColumn="0" w:lastRowFirstColumn="0" w:lastRowLastColumn="0"/>
        </w:trPr>
        <w:tc>
          <w:tcPr>
            <w:tcW w:w="2128" w:type="pct"/>
          </w:tcPr>
          <w:p w14:paraId="7A4436B0" w14:textId="77777777" w:rsidR="00ED3ECB" w:rsidRPr="008D73A7" w:rsidRDefault="00ED3ECB" w:rsidP="00DE7D17">
            <w:pPr>
              <w:pStyle w:val="ECCTableHeaderwhitefont"/>
              <w:rPr>
                <w:lang w:val="en-GB"/>
              </w:rPr>
            </w:pPr>
            <w:r w:rsidRPr="008D73A7">
              <w:rPr>
                <w:lang w:val="en-GB"/>
              </w:rPr>
              <w:t>Parameter</w:t>
            </w:r>
          </w:p>
        </w:tc>
        <w:tc>
          <w:tcPr>
            <w:tcW w:w="2872" w:type="pct"/>
          </w:tcPr>
          <w:p w14:paraId="25F2F5E6" w14:textId="77777777" w:rsidR="00ED3ECB" w:rsidRPr="008D73A7" w:rsidRDefault="00ED3ECB" w:rsidP="00DE7D17">
            <w:pPr>
              <w:pStyle w:val="ECCTableHeaderwhitefont"/>
              <w:rPr>
                <w:lang w:val="en-GB"/>
              </w:rPr>
            </w:pPr>
            <w:r w:rsidRPr="008D73A7">
              <w:rPr>
                <w:lang w:val="en-GB"/>
              </w:rPr>
              <w:t>Limits/Requirements</w:t>
            </w:r>
          </w:p>
        </w:tc>
      </w:tr>
      <w:tr w:rsidR="00ED3ECB" w:rsidRPr="008D73A7" w14:paraId="40A60BC7" w14:textId="77777777" w:rsidTr="00EB02A0">
        <w:tc>
          <w:tcPr>
            <w:tcW w:w="2128" w:type="pct"/>
          </w:tcPr>
          <w:p w14:paraId="75DC0B09" w14:textId="77777777" w:rsidR="00ED3ECB" w:rsidRPr="008D73A7" w:rsidRDefault="00ED3ECB" w:rsidP="00DE7D17">
            <w:pPr>
              <w:pStyle w:val="ECCTabletext"/>
            </w:pPr>
            <w:r w:rsidRPr="008D73A7">
              <w:t>Frequency bands</w:t>
            </w:r>
          </w:p>
        </w:tc>
        <w:tc>
          <w:tcPr>
            <w:tcW w:w="2872" w:type="pct"/>
          </w:tcPr>
          <w:p w14:paraId="15A045E4" w14:textId="77777777" w:rsidR="00ED3ECB" w:rsidRPr="008D73A7" w:rsidRDefault="00ED3ECB" w:rsidP="00E174D9">
            <w:pPr>
              <w:pStyle w:val="ECCTabletext"/>
              <w:jc w:val="left"/>
            </w:pPr>
            <w:r w:rsidRPr="008D73A7">
              <w:t>116-148.5 GHz, 167-182 GHz and 231.5-250 GHz</w:t>
            </w:r>
          </w:p>
        </w:tc>
      </w:tr>
      <w:tr w:rsidR="00ED3ECB" w:rsidRPr="008D73A7" w14:paraId="06F0E52E" w14:textId="77777777" w:rsidTr="00EB02A0">
        <w:tc>
          <w:tcPr>
            <w:tcW w:w="2128" w:type="pct"/>
          </w:tcPr>
          <w:p w14:paraId="3D1EA3DD" w14:textId="77777777" w:rsidR="00ED3ECB" w:rsidRPr="008D73A7" w:rsidRDefault="00ED3ECB" w:rsidP="00DE7D17">
            <w:pPr>
              <w:pStyle w:val="ECCTabletext"/>
            </w:pPr>
            <w:r w:rsidRPr="008D73A7">
              <w:t>Maximum mean e.i.r.p. spectral density</w:t>
            </w:r>
          </w:p>
        </w:tc>
        <w:tc>
          <w:tcPr>
            <w:tcW w:w="2872" w:type="pct"/>
          </w:tcPr>
          <w:p w14:paraId="5B813591" w14:textId="2C79D509" w:rsidR="00ED3ECB" w:rsidRPr="008D73A7" w:rsidRDefault="00ED3ECB" w:rsidP="00E174D9">
            <w:pPr>
              <w:pStyle w:val="ECCTabletext"/>
              <w:jc w:val="left"/>
            </w:pPr>
            <w:r w:rsidRPr="008D73A7">
              <w:t>12 dBm/MHz for all three frequency bands</w:t>
            </w:r>
          </w:p>
        </w:tc>
      </w:tr>
      <w:tr w:rsidR="00ED3ECB" w:rsidRPr="008D73A7" w14:paraId="7CCA018E" w14:textId="77777777" w:rsidTr="00EB02A0">
        <w:tc>
          <w:tcPr>
            <w:tcW w:w="2128" w:type="pct"/>
          </w:tcPr>
          <w:p w14:paraId="6294BF98" w14:textId="362DE70E" w:rsidR="00ED3ECB" w:rsidRPr="008D73A7" w:rsidRDefault="00ED3ECB" w:rsidP="00DE7D17">
            <w:pPr>
              <w:pStyle w:val="ECCTabletext"/>
            </w:pPr>
            <w:r w:rsidRPr="008D73A7">
              <w:t>Maximum peak e.i.r.p</w:t>
            </w:r>
            <w:r w:rsidR="005F6BC5">
              <w:t>.</w:t>
            </w:r>
          </w:p>
        </w:tc>
        <w:tc>
          <w:tcPr>
            <w:tcW w:w="2872" w:type="pct"/>
          </w:tcPr>
          <w:p w14:paraId="7F8718A9" w14:textId="381EEE47" w:rsidR="00ED3ECB" w:rsidRPr="008D73A7" w:rsidRDefault="00ED3ECB" w:rsidP="00E174D9">
            <w:pPr>
              <w:pStyle w:val="ECCTabletext"/>
              <w:jc w:val="left"/>
            </w:pPr>
            <w:r w:rsidRPr="008D73A7">
              <w:t>42 dBm for all three frequency bands (evaluated in 1 GHz bandwidth)</w:t>
            </w:r>
          </w:p>
        </w:tc>
      </w:tr>
      <w:tr w:rsidR="00ED3ECB" w:rsidRPr="008D73A7" w14:paraId="5CEE4FF7" w14:textId="77777777" w:rsidTr="00EB02A0">
        <w:tc>
          <w:tcPr>
            <w:tcW w:w="2128" w:type="pct"/>
          </w:tcPr>
          <w:p w14:paraId="5CF73420" w14:textId="77777777" w:rsidR="00ED3ECB" w:rsidRPr="008D73A7" w:rsidRDefault="00ED3ECB" w:rsidP="00DE7D17">
            <w:pPr>
              <w:pStyle w:val="ECCTabletext"/>
            </w:pPr>
            <w:r w:rsidRPr="008D73A7">
              <w:t>Duty cycle</w:t>
            </w:r>
          </w:p>
        </w:tc>
        <w:tc>
          <w:tcPr>
            <w:tcW w:w="2872" w:type="pct"/>
          </w:tcPr>
          <w:p w14:paraId="129799A7" w14:textId="3BCB3B7E" w:rsidR="00ED3ECB" w:rsidRPr="008D73A7" w:rsidRDefault="00ED3ECB" w:rsidP="00E174D9">
            <w:pPr>
              <w:pStyle w:val="ECCTabletext"/>
              <w:jc w:val="left"/>
            </w:pPr>
            <w:r w:rsidRPr="008D73A7">
              <w:t>No limitation of the duty cycle.</w:t>
            </w:r>
          </w:p>
        </w:tc>
      </w:tr>
      <w:tr w:rsidR="00ED3ECB" w:rsidRPr="008D73A7" w14:paraId="18C40FF7" w14:textId="77777777" w:rsidTr="00EB02A0">
        <w:tc>
          <w:tcPr>
            <w:tcW w:w="2128" w:type="pct"/>
          </w:tcPr>
          <w:p w14:paraId="3D7EAEB1" w14:textId="77777777" w:rsidR="00ED3ECB" w:rsidRPr="008D73A7" w:rsidRDefault="00ED3ECB" w:rsidP="00DE7D17">
            <w:pPr>
              <w:pStyle w:val="ECCTabletext"/>
            </w:pPr>
            <w:r w:rsidRPr="008D73A7">
              <w:t>Installation requirements</w:t>
            </w:r>
          </w:p>
        </w:tc>
        <w:tc>
          <w:tcPr>
            <w:tcW w:w="2872" w:type="pct"/>
          </w:tcPr>
          <w:p w14:paraId="7070218D" w14:textId="623B3878" w:rsidR="00ED3ECB" w:rsidRPr="008D73A7" w:rsidRDefault="00ED3ECB" w:rsidP="00E174D9">
            <w:pPr>
              <w:pStyle w:val="ECCTabletext"/>
              <w:jc w:val="left"/>
            </w:pPr>
            <w:r w:rsidRPr="008D73A7">
              <w:t>Operation only in a permanent fixed position in closed metallic or concrete tanks (no outdoor operation).</w:t>
            </w:r>
          </w:p>
        </w:tc>
      </w:tr>
    </w:tbl>
    <w:p w14:paraId="0BD96AEC" w14:textId="67B8444D" w:rsidR="00534216" w:rsidRPr="008D73A7" w:rsidRDefault="00534216" w:rsidP="00A55704">
      <w:pPr>
        <w:pStyle w:val="Heading2"/>
        <w:rPr>
          <w:lang w:val="en-GB"/>
        </w:rPr>
      </w:pPr>
      <w:bookmarkStart w:id="333" w:name="_Toc153443781"/>
      <w:bookmarkStart w:id="334" w:name="_Ref120787572"/>
      <w:bookmarkStart w:id="335" w:name="_Toc123634734"/>
      <w:bookmarkStart w:id="336" w:name="_Toc123634824"/>
      <w:bookmarkStart w:id="337" w:name="_Toc135806338"/>
      <w:bookmarkStart w:id="338" w:name="_Toc153443782"/>
      <w:bookmarkEnd w:id="333"/>
      <w:r w:rsidRPr="008D73A7">
        <w:rPr>
          <w:lang w:val="en-GB"/>
        </w:rPr>
        <w:t>Radiodetermination systems for industry automation in shielded environments (RDI-S)</w:t>
      </w:r>
      <w:bookmarkEnd w:id="334"/>
      <w:bookmarkEnd w:id="335"/>
      <w:bookmarkEnd w:id="336"/>
      <w:bookmarkEnd w:id="337"/>
      <w:bookmarkEnd w:id="338"/>
    </w:p>
    <w:p w14:paraId="34B7C282" w14:textId="157E9F72" w:rsidR="00142912" w:rsidRPr="008D73A7" w:rsidRDefault="00142912" w:rsidP="00142912">
      <w:pPr>
        <w:pStyle w:val="Caption"/>
        <w:rPr>
          <w:lang w:val="en-GB"/>
        </w:rPr>
      </w:pPr>
      <w:r w:rsidRPr="008D73A7">
        <w:rPr>
          <w:lang w:val="en-GB"/>
        </w:rPr>
        <w:t>Table </w:t>
      </w:r>
      <w:r w:rsidRPr="008D73A7">
        <w:rPr>
          <w:lang w:val="en-GB"/>
        </w:rPr>
        <w:fldChar w:fldCharType="begin"/>
      </w:r>
      <w:r w:rsidRPr="008D73A7">
        <w:rPr>
          <w:lang w:val="en-GB"/>
        </w:rPr>
        <w:instrText xml:space="preserve"> SEQ Table \* ARABIC </w:instrText>
      </w:r>
      <w:r w:rsidRPr="008D73A7">
        <w:rPr>
          <w:lang w:val="en-GB"/>
        </w:rPr>
        <w:fldChar w:fldCharType="separate"/>
      </w:r>
      <w:r w:rsidR="00BD0B7C" w:rsidRPr="008D73A7">
        <w:rPr>
          <w:lang w:val="en-GB"/>
        </w:rPr>
        <w:t>9</w:t>
      </w:r>
      <w:r w:rsidRPr="008D73A7">
        <w:rPr>
          <w:lang w:val="en-GB"/>
        </w:rPr>
        <w:fldChar w:fldCharType="end"/>
      </w:r>
      <w:r w:rsidRPr="008D73A7">
        <w:rPr>
          <w:lang w:val="en-GB"/>
        </w:rPr>
        <w:t xml:space="preserve">: </w:t>
      </w:r>
      <w:r w:rsidRPr="008D73A7">
        <w:rPr>
          <w:rFonts w:eastAsia="Calibri"/>
          <w:lang w:val="en-GB"/>
        </w:rPr>
        <w:t>Recommended framework for radiodetermination systems for industry automation in shielded environments (RDI-S)</w:t>
      </w:r>
    </w:p>
    <w:tbl>
      <w:tblPr>
        <w:tblStyle w:val="ECCTable-redheader"/>
        <w:tblW w:w="9918" w:type="dxa"/>
        <w:tblInd w:w="0" w:type="dxa"/>
        <w:tblLook w:val="04A0" w:firstRow="1" w:lastRow="0" w:firstColumn="1" w:lastColumn="0" w:noHBand="0" w:noVBand="1"/>
      </w:tblPr>
      <w:tblGrid>
        <w:gridCol w:w="2547"/>
        <w:gridCol w:w="7371"/>
      </w:tblGrid>
      <w:tr w:rsidR="00142912" w:rsidRPr="008D73A7" w14:paraId="7A71E176" w14:textId="77777777" w:rsidTr="00053603">
        <w:trPr>
          <w:cnfStyle w:val="100000000000" w:firstRow="1" w:lastRow="0" w:firstColumn="0" w:lastColumn="0" w:oddVBand="0" w:evenVBand="0" w:oddHBand="0" w:evenHBand="0" w:firstRowFirstColumn="0" w:firstRowLastColumn="0" w:lastRowFirstColumn="0" w:lastRowLastColumn="0"/>
        </w:trPr>
        <w:tc>
          <w:tcPr>
            <w:tcW w:w="2547" w:type="dxa"/>
          </w:tcPr>
          <w:p w14:paraId="08ADC1E2" w14:textId="77777777" w:rsidR="00142912" w:rsidRPr="008D73A7" w:rsidRDefault="00142912" w:rsidP="00DE7D17">
            <w:pPr>
              <w:pStyle w:val="ECCTableHeaderwhitefont"/>
              <w:rPr>
                <w:lang w:val="en-GB"/>
              </w:rPr>
            </w:pPr>
            <w:r w:rsidRPr="008D73A7">
              <w:rPr>
                <w:lang w:val="en-GB"/>
              </w:rPr>
              <w:t>Parameter</w:t>
            </w:r>
          </w:p>
        </w:tc>
        <w:tc>
          <w:tcPr>
            <w:tcW w:w="7371" w:type="dxa"/>
          </w:tcPr>
          <w:p w14:paraId="0CF3A79D" w14:textId="77777777" w:rsidR="00142912" w:rsidRPr="008D73A7" w:rsidRDefault="00142912" w:rsidP="00DE7D17">
            <w:pPr>
              <w:pStyle w:val="ECCTableHeaderwhitefont"/>
              <w:rPr>
                <w:lang w:val="en-GB"/>
              </w:rPr>
            </w:pPr>
            <w:r w:rsidRPr="008D73A7">
              <w:rPr>
                <w:lang w:val="en-GB"/>
              </w:rPr>
              <w:t>Limits/Requirements</w:t>
            </w:r>
          </w:p>
        </w:tc>
      </w:tr>
      <w:tr w:rsidR="00142912" w:rsidRPr="008D73A7" w14:paraId="52952449" w14:textId="77777777" w:rsidTr="00053603">
        <w:tc>
          <w:tcPr>
            <w:tcW w:w="2547" w:type="dxa"/>
          </w:tcPr>
          <w:p w14:paraId="7DE36B3E" w14:textId="77777777" w:rsidR="00142912" w:rsidRPr="008D73A7" w:rsidRDefault="00142912" w:rsidP="00E174D9">
            <w:pPr>
              <w:pStyle w:val="ECCTabletext"/>
              <w:jc w:val="left"/>
            </w:pPr>
            <w:r w:rsidRPr="008D73A7">
              <w:t>Frequency bands</w:t>
            </w:r>
          </w:p>
        </w:tc>
        <w:tc>
          <w:tcPr>
            <w:tcW w:w="7371" w:type="dxa"/>
          </w:tcPr>
          <w:p w14:paraId="189621A3" w14:textId="06999043" w:rsidR="0012348D" w:rsidRPr="008D73A7" w:rsidRDefault="0012348D" w:rsidP="00D21AE1">
            <w:pPr>
              <w:pStyle w:val="ECCTabletext"/>
              <w:jc w:val="left"/>
              <w:rPr>
                <w:strike/>
              </w:rPr>
            </w:pPr>
            <w:r w:rsidRPr="008D73A7">
              <w:rPr>
                <w:szCs w:val="24"/>
              </w:rPr>
              <w:t>116-148.5</w:t>
            </w:r>
            <w:r w:rsidR="00BC7DEB" w:rsidRPr="008D73A7">
              <w:rPr>
                <w:szCs w:val="24"/>
              </w:rPr>
              <w:t> </w:t>
            </w:r>
            <w:r w:rsidRPr="008D73A7">
              <w:rPr>
                <w:szCs w:val="24"/>
              </w:rPr>
              <w:t>GHz, 151.5</w:t>
            </w:r>
            <w:r w:rsidR="00C40A85" w:rsidRPr="008D73A7">
              <w:rPr>
                <w:szCs w:val="24"/>
              </w:rPr>
              <w:t>-</w:t>
            </w:r>
            <w:r w:rsidRPr="008D73A7">
              <w:rPr>
                <w:szCs w:val="24"/>
              </w:rPr>
              <w:t>164</w:t>
            </w:r>
            <w:r w:rsidR="00BC7DEB" w:rsidRPr="008D73A7">
              <w:rPr>
                <w:szCs w:val="24"/>
              </w:rPr>
              <w:t> </w:t>
            </w:r>
            <w:r w:rsidRPr="008D73A7">
              <w:rPr>
                <w:szCs w:val="24"/>
              </w:rPr>
              <w:t>GHz, 167-182</w:t>
            </w:r>
            <w:r w:rsidR="00BC7DEB" w:rsidRPr="008D73A7">
              <w:rPr>
                <w:szCs w:val="24"/>
              </w:rPr>
              <w:t> </w:t>
            </w:r>
            <w:r w:rsidRPr="008D73A7">
              <w:rPr>
                <w:szCs w:val="24"/>
              </w:rPr>
              <w:t>GHz, 185-190</w:t>
            </w:r>
            <w:r w:rsidR="00BC7DEB" w:rsidRPr="008D73A7">
              <w:rPr>
                <w:szCs w:val="24"/>
              </w:rPr>
              <w:t> </w:t>
            </w:r>
            <w:r w:rsidRPr="008D73A7">
              <w:rPr>
                <w:szCs w:val="24"/>
              </w:rPr>
              <w:t>GHz, 191.8-200</w:t>
            </w:r>
            <w:r w:rsidR="00BC7DEB" w:rsidRPr="008D73A7">
              <w:rPr>
                <w:szCs w:val="24"/>
              </w:rPr>
              <w:t> </w:t>
            </w:r>
            <w:r w:rsidRPr="008D73A7">
              <w:rPr>
                <w:szCs w:val="24"/>
              </w:rPr>
              <w:t>GHz, 209</w:t>
            </w:r>
            <w:r w:rsidR="0032717C">
              <w:rPr>
                <w:szCs w:val="24"/>
              </w:rPr>
              <w:t>-</w:t>
            </w:r>
            <w:r w:rsidRPr="008D73A7">
              <w:rPr>
                <w:szCs w:val="24"/>
              </w:rPr>
              <w:t>226</w:t>
            </w:r>
            <w:r w:rsidR="00BC7DEB" w:rsidRPr="008D73A7">
              <w:rPr>
                <w:szCs w:val="24"/>
              </w:rPr>
              <w:t> </w:t>
            </w:r>
            <w:r w:rsidRPr="008D73A7">
              <w:rPr>
                <w:szCs w:val="24"/>
              </w:rPr>
              <w:t>GHz, 231.5-250</w:t>
            </w:r>
            <w:r w:rsidR="00BC7DEB" w:rsidRPr="008D73A7">
              <w:rPr>
                <w:szCs w:val="24"/>
              </w:rPr>
              <w:t> </w:t>
            </w:r>
            <w:r w:rsidRPr="008D73A7">
              <w:rPr>
                <w:szCs w:val="24"/>
              </w:rPr>
              <w:t>GHz and 252-260</w:t>
            </w:r>
            <w:r w:rsidR="00BC7DEB" w:rsidRPr="008D73A7">
              <w:rPr>
                <w:szCs w:val="24"/>
              </w:rPr>
              <w:t> </w:t>
            </w:r>
            <w:r w:rsidRPr="008D73A7">
              <w:rPr>
                <w:szCs w:val="24"/>
              </w:rPr>
              <w:t>GHz</w:t>
            </w:r>
          </w:p>
        </w:tc>
      </w:tr>
      <w:tr w:rsidR="00142912" w:rsidRPr="008D73A7" w14:paraId="5967A9E6" w14:textId="77777777" w:rsidTr="00053603">
        <w:tc>
          <w:tcPr>
            <w:tcW w:w="2547" w:type="dxa"/>
          </w:tcPr>
          <w:p w14:paraId="3E9DD598" w14:textId="77777777" w:rsidR="00142912" w:rsidRPr="008D73A7" w:rsidRDefault="00142912" w:rsidP="00E174D9">
            <w:pPr>
              <w:pStyle w:val="ECCTabletext"/>
              <w:jc w:val="left"/>
            </w:pPr>
            <w:r w:rsidRPr="008D73A7">
              <w:t>Maximum mean e.i.r.p. spectral density</w:t>
            </w:r>
          </w:p>
        </w:tc>
        <w:tc>
          <w:tcPr>
            <w:tcW w:w="7371" w:type="dxa"/>
          </w:tcPr>
          <w:p w14:paraId="4817F03A" w14:textId="63931831" w:rsidR="00142912" w:rsidRPr="008D73A7" w:rsidRDefault="00142912" w:rsidP="0024005D">
            <w:pPr>
              <w:pStyle w:val="ECCTabletext"/>
              <w:jc w:val="left"/>
            </w:pPr>
            <w:r w:rsidRPr="008D73A7">
              <w:t xml:space="preserve">between </w:t>
            </w:r>
            <w:r w:rsidR="0012348D" w:rsidRPr="008D73A7">
              <w:t>-5 </w:t>
            </w:r>
            <w:r w:rsidRPr="008D73A7">
              <w:t xml:space="preserve">dBm and 10 dBm depending on the sub frequency range (see </w:t>
            </w:r>
            <w:r w:rsidRPr="008D73A7">
              <w:fldChar w:fldCharType="begin"/>
            </w:r>
            <w:r w:rsidRPr="008D73A7">
              <w:instrText xml:space="preserve"> REF _Ref114576007 \n \h  \* MERGEFORMAT </w:instrText>
            </w:r>
            <w:r w:rsidRPr="008D73A7">
              <w:fldChar w:fldCharType="separate"/>
            </w:r>
            <w:r w:rsidR="00113216" w:rsidRPr="008D73A7">
              <w:t>A1.7</w:t>
            </w:r>
            <w:r w:rsidRPr="008D73A7">
              <w:fldChar w:fldCharType="end"/>
            </w:r>
            <w:r w:rsidRPr="008D73A7">
              <w:t>)</w:t>
            </w:r>
          </w:p>
        </w:tc>
      </w:tr>
      <w:tr w:rsidR="00142912" w:rsidRPr="008D73A7" w14:paraId="2C99CC46" w14:textId="77777777" w:rsidTr="00053603">
        <w:tc>
          <w:tcPr>
            <w:tcW w:w="2547" w:type="dxa"/>
          </w:tcPr>
          <w:p w14:paraId="78EDCBAC" w14:textId="1A05D430" w:rsidR="00142912" w:rsidRPr="008D73A7" w:rsidRDefault="00142912" w:rsidP="00E174D9">
            <w:pPr>
              <w:pStyle w:val="ECCTabletext"/>
              <w:jc w:val="left"/>
            </w:pPr>
            <w:r w:rsidRPr="008D73A7">
              <w:t>Maximum peak e.i.r.p</w:t>
            </w:r>
            <w:r w:rsidR="005F6BC5">
              <w:t>.</w:t>
            </w:r>
          </w:p>
        </w:tc>
        <w:tc>
          <w:tcPr>
            <w:tcW w:w="7371" w:type="dxa"/>
          </w:tcPr>
          <w:p w14:paraId="55AB6DA2" w14:textId="21195D31" w:rsidR="00142912" w:rsidRPr="008D73A7" w:rsidRDefault="00142912" w:rsidP="0024005D">
            <w:pPr>
              <w:pStyle w:val="ECCTabletext"/>
              <w:jc w:val="left"/>
            </w:pPr>
            <w:r w:rsidRPr="008D73A7">
              <w:t xml:space="preserve">between </w:t>
            </w:r>
            <w:r w:rsidR="0012348D" w:rsidRPr="008D73A7">
              <w:t>45 </w:t>
            </w:r>
            <w:r w:rsidRPr="008D73A7">
              <w:t xml:space="preserve">dBm and 60 dBm depending on the sub frequency range (see </w:t>
            </w:r>
            <w:r w:rsidRPr="008D73A7">
              <w:fldChar w:fldCharType="begin"/>
            </w:r>
            <w:r w:rsidRPr="008D73A7">
              <w:instrText xml:space="preserve"> REF _Ref114576007 \n \h  \* MERGEFORMAT </w:instrText>
            </w:r>
            <w:r w:rsidRPr="008D73A7">
              <w:fldChar w:fldCharType="separate"/>
            </w:r>
            <w:r w:rsidR="00113216" w:rsidRPr="008D73A7">
              <w:t>A1.7</w:t>
            </w:r>
            <w:r w:rsidRPr="008D73A7">
              <w:fldChar w:fldCharType="end"/>
            </w:r>
            <w:r w:rsidRPr="008D73A7">
              <w:t>)</w:t>
            </w:r>
          </w:p>
        </w:tc>
      </w:tr>
      <w:tr w:rsidR="00142912" w:rsidRPr="008D73A7" w14:paraId="5910D658" w14:textId="77777777" w:rsidTr="00053603">
        <w:tc>
          <w:tcPr>
            <w:tcW w:w="2547" w:type="dxa"/>
          </w:tcPr>
          <w:p w14:paraId="233E6CE7" w14:textId="77777777" w:rsidR="00142912" w:rsidRPr="008D73A7" w:rsidRDefault="00142912" w:rsidP="00E174D9">
            <w:pPr>
              <w:pStyle w:val="ECCTabletext"/>
              <w:jc w:val="left"/>
            </w:pPr>
            <w:r w:rsidRPr="008D73A7">
              <w:lastRenderedPageBreak/>
              <w:t>Duty cycle</w:t>
            </w:r>
          </w:p>
        </w:tc>
        <w:tc>
          <w:tcPr>
            <w:tcW w:w="7371" w:type="dxa"/>
          </w:tcPr>
          <w:p w14:paraId="2CE49ABC" w14:textId="5F8A514C" w:rsidR="00142912" w:rsidRPr="008D73A7" w:rsidRDefault="00142912" w:rsidP="0024005D">
            <w:pPr>
              <w:pStyle w:val="ECCTabletext"/>
              <w:jc w:val="left"/>
            </w:pPr>
            <w:r w:rsidRPr="008D73A7">
              <w:t>No limitation of the duty cycle</w:t>
            </w:r>
          </w:p>
        </w:tc>
      </w:tr>
      <w:tr w:rsidR="00142912" w:rsidRPr="008D73A7" w14:paraId="145EED7E" w14:textId="77777777" w:rsidTr="00053603">
        <w:tc>
          <w:tcPr>
            <w:tcW w:w="2547" w:type="dxa"/>
          </w:tcPr>
          <w:p w14:paraId="10142CC5" w14:textId="7EB87164" w:rsidR="00142912" w:rsidRPr="008D73A7" w:rsidRDefault="00142912" w:rsidP="00E174D9">
            <w:pPr>
              <w:pStyle w:val="ECCTabletext"/>
              <w:jc w:val="left"/>
            </w:pPr>
            <w:r w:rsidRPr="008D73A7">
              <w:t>Bandwidth requirement</w:t>
            </w:r>
          </w:p>
        </w:tc>
        <w:tc>
          <w:tcPr>
            <w:tcW w:w="7371" w:type="dxa"/>
          </w:tcPr>
          <w:p w14:paraId="710628FA" w14:textId="653883C7" w:rsidR="0012348D" w:rsidRPr="008D73A7" w:rsidRDefault="0012348D" w:rsidP="0024005D">
            <w:pPr>
              <w:pStyle w:val="ECCTabletext"/>
              <w:jc w:val="left"/>
              <w:rPr>
                <w:strike/>
              </w:rPr>
            </w:pPr>
            <w:r w:rsidRPr="008D73A7">
              <w:t xml:space="preserve">The operating frequency range (OFR) shall be </w:t>
            </w:r>
            <w:r w:rsidR="00FC77B6">
              <w:t xml:space="preserve">equal to or </w:t>
            </w:r>
            <w:r w:rsidRPr="008D73A7">
              <w:t>higher than 35 GHz, including discontinuities for the passive bands</w:t>
            </w:r>
          </w:p>
        </w:tc>
      </w:tr>
      <w:tr w:rsidR="00142912" w:rsidRPr="008D73A7" w14:paraId="2EC520FD" w14:textId="77777777" w:rsidTr="00053603">
        <w:tc>
          <w:tcPr>
            <w:tcW w:w="2547" w:type="dxa"/>
          </w:tcPr>
          <w:p w14:paraId="75FBC2B6" w14:textId="77777777" w:rsidR="00142912" w:rsidRPr="008D73A7" w:rsidRDefault="00142912" w:rsidP="00E174D9">
            <w:pPr>
              <w:pStyle w:val="ECCTabletext"/>
              <w:jc w:val="left"/>
            </w:pPr>
            <w:r w:rsidRPr="008D73A7">
              <w:t>Installation requirements</w:t>
            </w:r>
          </w:p>
        </w:tc>
        <w:tc>
          <w:tcPr>
            <w:tcW w:w="7371" w:type="dxa"/>
          </w:tcPr>
          <w:p w14:paraId="38F4C379" w14:textId="6B85DACE" w:rsidR="0079061D" w:rsidRPr="008D73A7" w:rsidRDefault="0079061D" w:rsidP="0024005D">
            <w:pPr>
              <w:pStyle w:val="ECCTabletext"/>
              <w:jc w:val="left"/>
            </w:pPr>
            <w:r w:rsidRPr="008D73A7">
              <w:t>Only indoor operation (i.e. inside a building) or inside similar</w:t>
            </w:r>
            <w:r w:rsidR="00870CC9" w:rsidRPr="008D73A7">
              <w:t>ly</w:t>
            </w:r>
            <w:r w:rsidRPr="008D73A7">
              <w:t xml:space="preserve"> shielded environments.</w:t>
            </w:r>
          </w:p>
          <w:p w14:paraId="5669AAAA" w14:textId="6BA34F2E" w:rsidR="00142912" w:rsidRPr="008D73A7" w:rsidRDefault="00142912" w:rsidP="0024005D">
            <w:pPr>
              <w:pStyle w:val="ECCTabletext"/>
              <w:jc w:val="left"/>
            </w:pPr>
            <w:r w:rsidRPr="008D73A7">
              <w:t>Antenna main beam shall not point directly towards windows.</w:t>
            </w:r>
          </w:p>
        </w:tc>
      </w:tr>
    </w:tbl>
    <w:p w14:paraId="71A6D652" w14:textId="5995ED44" w:rsidR="00FF35A8" w:rsidRPr="008D73A7" w:rsidRDefault="00FF35A8" w:rsidP="00A55704">
      <w:pPr>
        <w:pStyle w:val="Heading2"/>
        <w:rPr>
          <w:rFonts w:eastAsiaTheme="minorHAnsi"/>
          <w:lang w:val="en-GB"/>
        </w:rPr>
      </w:pPr>
      <w:bookmarkStart w:id="339" w:name="_Toc135806339"/>
      <w:bookmarkStart w:id="340" w:name="_Toc153443783"/>
      <w:bookmarkStart w:id="341" w:name="_Hlk133234710"/>
      <w:r w:rsidRPr="008D73A7">
        <w:rPr>
          <w:rFonts w:eastAsiaTheme="minorHAnsi"/>
          <w:lang w:val="en-GB"/>
        </w:rPr>
        <w:t>Exter</w:t>
      </w:r>
      <w:r w:rsidR="00B65D52" w:rsidRPr="008D73A7">
        <w:rPr>
          <w:rFonts w:eastAsiaTheme="minorHAnsi"/>
          <w:lang w:val="en-GB"/>
        </w:rPr>
        <w:t>ior</w:t>
      </w:r>
      <w:r w:rsidRPr="008D73A7">
        <w:rPr>
          <w:rFonts w:eastAsiaTheme="minorHAnsi"/>
          <w:lang w:val="en-GB"/>
        </w:rPr>
        <w:t xml:space="preserve"> vehicular radar</w:t>
      </w:r>
      <w:r w:rsidR="00D01A2C" w:rsidRPr="008D73A7">
        <w:rPr>
          <w:rFonts w:eastAsiaTheme="minorHAnsi"/>
          <w:lang w:val="en-GB"/>
        </w:rPr>
        <w:t xml:space="preserve"> (EVR)</w:t>
      </w:r>
      <w:bookmarkEnd w:id="339"/>
      <w:bookmarkEnd w:id="340"/>
    </w:p>
    <w:p w14:paraId="2297F56B" w14:textId="5650BB44" w:rsidR="00B65D52" w:rsidRPr="008D73A7" w:rsidRDefault="00B65D52" w:rsidP="00B65D52">
      <w:pPr>
        <w:pStyle w:val="Caption"/>
        <w:keepNext/>
        <w:rPr>
          <w:lang w:val="en-GB"/>
        </w:rPr>
      </w:pPr>
      <w:r w:rsidRPr="008D73A7">
        <w:rPr>
          <w:lang w:val="en-GB"/>
        </w:rPr>
        <w:t xml:space="preserve">Table </w:t>
      </w:r>
      <w:r w:rsidRPr="008D73A7">
        <w:rPr>
          <w:lang w:val="en-GB"/>
        </w:rPr>
        <w:fldChar w:fldCharType="begin"/>
      </w:r>
      <w:r w:rsidRPr="008D73A7">
        <w:rPr>
          <w:lang w:val="en-GB"/>
        </w:rPr>
        <w:instrText xml:space="preserve"> SEQ Table \* ARABIC </w:instrText>
      </w:r>
      <w:r w:rsidRPr="008D73A7">
        <w:rPr>
          <w:lang w:val="en-GB"/>
        </w:rPr>
        <w:fldChar w:fldCharType="separate"/>
      </w:r>
      <w:r w:rsidR="00BD0B7C" w:rsidRPr="008D73A7">
        <w:rPr>
          <w:lang w:val="en-GB"/>
        </w:rPr>
        <w:t>10</w:t>
      </w:r>
      <w:r w:rsidRPr="008D73A7">
        <w:rPr>
          <w:lang w:val="en-GB"/>
        </w:rPr>
        <w:fldChar w:fldCharType="end"/>
      </w:r>
      <w:r w:rsidRPr="008D73A7">
        <w:rPr>
          <w:lang w:val="en-GB"/>
        </w:rPr>
        <w:t xml:space="preserve">: </w:t>
      </w:r>
      <w:r w:rsidR="007532B8" w:rsidRPr="008D73A7">
        <w:rPr>
          <w:lang w:val="en-GB"/>
        </w:rPr>
        <w:t>Recommended framework</w:t>
      </w:r>
      <w:r w:rsidRPr="008D73A7">
        <w:rPr>
          <w:lang w:val="en-GB"/>
        </w:rPr>
        <w:t xml:space="preserve"> for exterior vehicular radars (EVR)</w:t>
      </w:r>
    </w:p>
    <w:tbl>
      <w:tblPr>
        <w:tblStyle w:val="ECCTable-redheader"/>
        <w:tblW w:w="9634" w:type="dxa"/>
        <w:tblInd w:w="0" w:type="dxa"/>
        <w:tblLook w:val="04A0" w:firstRow="1" w:lastRow="0" w:firstColumn="1" w:lastColumn="0" w:noHBand="0" w:noVBand="1"/>
      </w:tblPr>
      <w:tblGrid>
        <w:gridCol w:w="1980"/>
        <w:gridCol w:w="1701"/>
        <w:gridCol w:w="1701"/>
        <w:gridCol w:w="2126"/>
        <w:gridCol w:w="2126"/>
      </w:tblGrid>
      <w:tr w:rsidR="00B65D52" w:rsidRPr="008D73A7" w14:paraId="25697CD4" w14:textId="77777777" w:rsidTr="00A55704">
        <w:trPr>
          <w:cnfStyle w:val="100000000000" w:firstRow="1" w:lastRow="0" w:firstColumn="0" w:lastColumn="0" w:oddVBand="0" w:evenVBand="0" w:oddHBand="0" w:evenHBand="0" w:firstRowFirstColumn="0" w:firstRowLastColumn="0" w:lastRowFirstColumn="0" w:lastRowLastColumn="0"/>
        </w:trPr>
        <w:tc>
          <w:tcPr>
            <w:tcW w:w="1980" w:type="dxa"/>
            <w:tcBorders>
              <w:bottom w:val="single" w:sz="4" w:space="0" w:color="FFFFFF" w:themeColor="background1"/>
            </w:tcBorders>
          </w:tcPr>
          <w:p w14:paraId="3AAEBFBF" w14:textId="77777777" w:rsidR="00B65D52" w:rsidRPr="008D73A7" w:rsidRDefault="00B65D52" w:rsidP="0049741A">
            <w:pPr>
              <w:spacing w:before="120" w:after="120"/>
              <w:rPr>
                <w:bCs/>
                <w:szCs w:val="20"/>
                <w:lang w:val="en-GB"/>
              </w:rPr>
            </w:pPr>
            <w:r w:rsidRPr="008D73A7">
              <w:rPr>
                <w:bCs/>
                <w:szCs w:val="20"/>
                <w:lang w:val="en-GB"/>
              </w:rPr>
              <w:t>Designated frequency band</w:t>
            </w:r>
          </w:p>
        </w:tc>
        <w:tc>
          <w:tcPr>
            <w:tcW w:w="3402" w:type="dxa"/>
            <w:gridSpan w:val="2"/>
            <w:tcBorders>
              <w:bottom w:val="single" w:sz="4" w:space="0" w:color="FFFFFF" w:themeColor="background1"/>
            </w:tcBorders>
          </w:tcPr>
          <w:p w14:paraId="5CFECCDD" w14:textId="77777777" w:rsidR="00B65D52" w:rsidRPr="008D73A7" w:rsidRDefault="00B65D52" w:rsidP="0049741A">
            <w:pPr>
              <w:spacing w:before="120" w:after="120"/>
              <w:rPr>
                <w:bCs/>
                <w:szCs w:val="20"/>
                <w:lang w:val="en-GB"/>
              </w:rPr>
            </w:pPr>
            <w:r w:rsidRPr="008D73A7">
              <w:rPr>
                <w:bCs/>
                <w:szCs w:val="20"/>
                <w:lang w:val="en-GB"/>
              </w:rPr>
              <w:t>Front radars</w:t>
            </w:r>
          </w:p>
        </w:tc>
        <w:tc>
          <w:tcPr>
            <w:tcW w:w="4252" w:type="dxa"/>
            <w:gridSpan w:val="2"/>
            <w:tcBorders>
              <w:bottom w:val="single" w:sz="4" w:space="0" w:color="FFFFFF" w:themeColor="background1"/>
            </w:tcBorders>
          </w:tcPr>
          <w:p w14:paraId="36062941" w14:textId="77777777" w:rsidR="00B65D52" w:rsidRPr="008D73A7" w:rsidRDefault="00B65D52" w:rsidP="0049741A">
            <w:pPr>
              <w:spacing w:before="120" w:after="120"/>
              <w:rPr>
                <w:bCs/>
                <w:szCs w:val="20"/>
                <w:lang w:val="en-GB"/>
              </w:rPr>
            </w:pPr>
            <w:r w:rsidRPr="008D73A7">
              <w:rPr>
                <w:bCs/>
                <w:szCs w:val="20"/>
                <w:lang w:val="en-GB"/>
              </w:rPr>
              <w:t>Corner and short/ultra-</w:t>
            </w:r>
            <w:proofErr w:type="gramStart"/>
            <w:r w:rsidRPr="008D73A7">
              <w:rPr>
                <w:bCs/>
                <w:szCs w:val="20"/>
                <w:lang w:val="en-GB"/>
              </w:rPr>
              <w:t>short range</w:t>
            </w:r>
            <w:proofErr w:type="gramEnd"/>
            <w:r w:rsidRPr="008D73A7">
              <w:rPr>
                <w:bCs/>
                <w:szCs w:val="20"/>
                <w:lang w:val="en-GB"/>
              </w:rPr>
              <w:t xml:space="preserve"> radars</w:t>
            </w:r>
          </w:p>
        </w:tc>
      </w:tr>
      <w:tr w:rsidR="003942F5" w:rsidRPr="008D73A7" w14:paraId="07EA305A" w14:textId="77777777" w:rsidTr="00A55704">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AE69F2A" w14:textId="728C1A98" w:rsidR="00B65D52" w:rsidRPr="008D73A7" w:rsidRDefault="00B65D52" w:rsidP="0049741A">
            <w:pPr>
              <w:spacing w:before="120" w:after="120"/>
              <w:jc w:val="center"/>
              <w:rPr>
                <w:b/>
                <w:bCs/>
                <w:color w:val="FFFFFF" w:themeColor="background1"/>
                <w:lang w:val="en-GB"/>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C74F967" w14:textId="7320D1EF" w:rsidR="00B65D52" w:rsidRPr="008D73A7" w:rsidRDefault="00B65D52" w:rsidP="0049741A">
            <w:pPr>
              <w:spacing w:before="120" w:after="120"/>
              <w:jc w:val="center"/>
              <w:rPr>
                <w:b/>
                <w:bCs/>
                <w:color w:val="FFFFFF" w:themeColor="background1"/>
                <w:vertAlign w:val="superscript"/>
                <w:lang w:val="en-GB"/>
              </w:rPr>
            </w:pPr>
            <w:r w:rsidRPr="008D73A7">
              <w:rPr>
                <w:b/>
                <w:bCs/>
                <w:color w:val="FFFFFF" w:themeColor="background1"/>
                <w:lang w:val="en-GB"/>
              </w:rPr>
              <w:t>Maximum mean e.i.r.p</w:t>
            </w:r>
            <w:r w:rsidR="00714072" w:rsidRPr="008D73A7">
              <w:rPr>
                <w:b/>
                <w:bCs/>
                <w:color w:val="FFFFFF" w:themeColor="background1"/>
                <w:lang w:val="en-GB"/>
              </w:rPr>
              <w:t>. (</w:t>
            </w:r>
            <w:r w:rsidRPr="008D73A7">
              <w:rPr>
                <w:b/>
                <w:bCs/>
                <w:color w:val="FFFFFF" w:themeColor="background1"/>
                <w:lang w:val="en-GB"/>
              </w:rPr>
              <w:t>Note</w:t>
            </w:r>
            <w:r w:rsidR="00714072" w:rsidRPr="008D73A7">
              <w:rPr>
                <w:b/>
                <w:bCs/>
                <w:color w:val="FFFFFF" w:themeColor="background1"/>
                <w:lang w:val="en-GB"/>
              </w:rPr>
              <w: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E90DAE2" w14:textId="0D9AD0F3" w:rsidR="00B65D52" w:rsidRPr="008D73A7" w:rsidRDefault="00B65D52" w:rsidP="0049741A">
            <w:pPr>
              <w:spacing w:before="120" w:after="120"/>
              <w:jc w:val="center"/>
              <w:rPr>
                <w:b/>
                <w:bCs/>
                <w:color w:val="FFFFFF" w:themeColor="background1"/>
                <w:lang w:val="en-GB"/>
              </w:rPr>
            </w:pPr>
            <w:r w:rsidRPr="008D73A7">
              <w:rPr>
                <w:b/>
                <w:bCs/>
                <w:color w:val="FFFFFF" w:themeColor="background1"/>
                <w:lang w:val="en-GB"/>
              </w:rPr>
              <w:t>Maximum peak e.i.r.p</w:t>
            </w:r>
            <w:r w:rsidR="00714072" w:rsidRPr="008D73A7">
              <w:rPr>
                <w:b/>
                <w:bCs/>
                <w:color w:val="FFFFFF" w:themeColor="background1"/>
                <w:lang w:val="en-GB"/>
              </w:rPr>
              <w: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629CA3E" w14:textId="58CFF94B" w:rsidR="00B65D52" w:rsidRPr="008D73A7" w:rsidRDefault="00B65D52" w:rsidP="0049741A">
            <w:pPr>
              <w:spacing w:before="120" w:after="120"/>
              <w:jc w:val="center"/>
              <w:rPr>
                <w:b/>
                <w:bCs/>
                <w:color w:val="FFFFFF" w:themeColor="background1"/>
                <w:vertAlign w:val="superscript"/>
                <w:lang w:val="en-GB"/>
              </w:rPr>
            </w:pPr>
            <w:r w:rsidRPr="008D73A7">
              <w:rPr>
                <w:b/>
                <w:bCs/>
                <w:color w:val="FFFFFF" w:themeColor="background1"/>
                <w:lang w:val="en-GB"/>
              </w:rPr>
              <w:t>Maximum mean e.i.r.p</w:t>
            </w:r>
            <w:r w:rsidR="00714072" w:rsidRPr="008D73A7">
              <w:rPr>
                <w:b/>
                <w:bCs/>
                <w:color w:val="FFFFFF" w:themeColor="background1"/>
                <w:lang w:val="en-GB"/>
              </w:rPr>
              <w:t>. (</w:t>
            </w:r>
            <w:r w:rsidRPr="008D73A7">
              <w:rPr>
                <w:b/>
                <w:bCs/>
                <w:color w:val="FFFFFF" w:themeColor="background1"/>
                <w:lang w:val="en-GB"/>
              </w:rPr>
              <w:t>Note</w:t>
            </w:r>
            <w:r w:rsidR="00714072" w:rsidRPr="008D73A7">
              <w:rPr>
                <w:b/>
                <w:bCs/>
                <w:color w:val="FFFFFF" w:themeColor="background1"/>
                <w:lang w:val="en-GB"/>
              </w:rPr>
              <w: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C40AAED" w14:textId="7DCDC936" w:rsidR="00B65D52" w:rsidRPr="008D73A7" w:rsidRDefault="00B65D52" w:rsidP="0049741A">
            <w:pPr>
              <w:spacing w:before="120" w:after="120"/>
              <w:jc w:val="center"/>
              <w:rPr>
                <w:b/>
                <w:bCs/>
                <w:color w:val="FFFFFF" w:themeColor="background1"/>
                <w:lang w:val="en-GB"/>
              </w:rPr>
            </w:pPr>
            <w:r w:rsidRPr="008D73A7">
              <w:rPr>
                <w:b/>
                <w:bCs/>
                <w:color w:val="FFFFFF" w:themeColor="background1"/>
                <w:lang w:val="en-GB"/>
              </w:rPr>
              <w:t>Maximum peak e.i.r.p</w:t>
            </w:r>
            <w:r w:rsidR="00714072" w:rsidRPr="008D73A7">
              <w:rPr>
                <w:b/>
                <w:bCs/>
                <w:color w:val="FFFFFF" w:themeColor="background1"/>
                <w:lang w:val="en-GB"/>
              </w:rPr>
              <w:t>.</w:t>
            </w:r>
          </w:p>
        </w:tc>
      </w:tr>
      <w:tr w:rsidR="00B65D52" w:rsidRPr="008D73A7" w14:paraId="5EE00E65" w14:textId="77777777" w:rsidTr="00A55704">
        <w:tc>
          <w:tcPr>
            <w:tcW w:w="1980" w:type="dxa"/>
            <w:tcBorders>
              <w:top w:val="single" w:sz="4" w:space="0" w:color="FFFFFF" w:themeColor="background1"/>
            </w:tcBorders>
          </w:tcPr>
          <w:p w14:paraId="3E4D8FB0" w14:textId="1D79107B" w:rsidR="00B65D52" w:rsidRPr="008D73A7" w:rsidRDefault="00B65D52" w:rsidP="0049741A">
            <w:pPr>
              <w:spacing w:before="60"/>
              <w:jc w:val="left"/>
              <w:rPr>
                <w:lang w:val="en-GB"/>
              </w:rPr>
            </w:pPr>
            <w:r w:rsidRPr="008D73A7">
              <w:rPr>
                <w:lang w:val="en-GB"/>
              </w:rPr>
              <w:t>122.25</w:t>
            </w:r>
            <w:r w:rsidR="00D90ECB">
              <w:rPr>
                <w:lang w:val="en-GB"/>
              </w:rPr>
              <w:t>-</w:t>
            </w:r>
            <w:r w:rsidRPr="008D73A7">
              <w:rPr>
                <w:lang w:val="en-GB"/>
              </w:rPr>
              <w:t>130 GHz</w:t>
            </w:r>
          </w:p>
        </w:tc>
        <w:tc>
          <w:tcPr>
            <w:tcW w:w="1701" w:type="dxa"/>
            <w:tcBorders>
              <w:top w:val="single" w:sz="4" w:space="0" w:color="FFFFFF" w:themeColor="background1"/>
            </w:tcBorders>
          </w:tcPr>
          <w:p w14:paraId="408E261C" w14:textId="77777777" w:rsidR="00B65D52" w:rsidRPr="008D73A7" w:rsidRDefault="00B65D52" w:rsidP="0049741A">
            <w:pPr>
              <w:spacing w:before="60"/>
              <w:jc w:val="left"/>
              <w:rPr>
                <w:lang w:val="en-GB"/>
              </w:rPr>
            </w:pPr>
            <w:r w:rsidRPr="008D73A7">
              <w:rPr>
                <w:lang w:val="en-GB"/>
              </w:rPr>
              <w:t xml:space="preserve">32 dBm </w:t>
            </w:r>
          </w:p>
        </w:tc>
        <w:tc>
          <w:tcPr>
            <w:tcW w:w="1701" w:type="dxa"/>
            <w:tcBorders>
              <w:top w:val="single" w:sz="4" w:space="0" w:color="FFFFFF" w:themeColor="background1"/>
            </w:tcBorders>
          </w:tcPr>
          <w:p w14:paraId="2858CB7A" w14:textId="77777777" w:rsidR="00B65D52" w:rsidRPr="008D73A7" w:rsidRDefault="00B65D52" w:rsidP="0049741A">
            <w:pPr>
              <w:spacing w:before="60"/>
              <w:jc w:val="left"/>
              <w:rPr>
                <w:lang w:val="en-GB"/>
              </w:rPr>
            </w:pPr>
          </w:p>
        </w:tc>
        <w:tc>
          <w:tcPr>
            <w:tcW w:w="2126" w:type="dxa"/>
            <w:tcBorders>
              <w:top w:val="single" w:sz="4" w:space="0" w:color="FFFFFF" w:themeColor="background1"/>
            </w:tcBorders>
          </w:tcPr>
          <w:p w14:paraId="7182CFD9" w14:textId="77777777" w:rsidR="00B65D52" w:rsidRPr="008D73A7" w:rsidRDefault="00B65D52" w:rsidP="0049741A">
            <w:pPr>
              <w:spacing w:before="60"/>
              <w:jc w:val="left"/>
              <w:rPr>
                <w:lang w:val="en-GB"/>
              </w:rPr>
            </w:pPr>
            <w:r w:rsidRPr="008D73A7">
              <w:rPr>
                <w:lang w:val="en-GB"/>
              </w:rPr>
              <w:t xml:space="preserve">9 dBm </w:t>
            </w:r>
          </w:p>
        </w:tc>
        <w:tc>
          <w:tcPr>
            <w:tcW w:w="2126" w:type="dxa"/>
            <w:tcBorders>
              <w:top w:val="single" w:sz="4" w:space="0" w:color="FFFFFF" w:themeColor="background1"/>
            </w:tcBorders>
          </w:tcPr>
          <w:p w14:paraId="426CB171" w14:textId="77777777" w:rsidR="00B65D52" w:rsidRPr="008D73A7" w:rsidRDefault="00B65D52" w:rsidP="0049741A">
            <w:pPr>
              <w:spacing w:before="60"/>
              <w:jc w:val="left"/>
              <w:rPr>
                <w:lang w:val="en-GB"/>
              </w:rPr>
            </w:pPr>
          </w:p>
        </w:tc>
      </w:tr>
      <w:tr w:rsidR="00B65D52" w:rsidRPr="008D73A7" w14:paraId="7CD75C10" w14:textId="77777777" w:rsidTr="00A55704">
        <w:tc>
          <w:tcPr>
            <w:tcW w:w="1980" w:type="dxa"/>
          </w:tcPr>
          <w:p w14:paraId="54952A6E" w14:textId="4879F35C" w:rsidR="00B65D52" w:rsidRPr="008D73A7" w:rsidRDefault="00B65D52" w:rsidP="0049741A">
            <w:pPr>
              <w:spacing w:before="60"/>
              <w:jc w:val="left"/>
              <w:rPr>
                <w:lang w:val="en-GB"/>
              </w:rPr>
            </w:pPr>
            <w:r w:rsidRPr="008D73A7">
              <w:rPr>
                <w:lang w:val="en-GB"/>
              </w:rPr>
              <w:t>134</w:t>
            </w:r>
            <w:r w:rsidR="00D90ECB">
              <w:rPr>
                <w:lang w:val="en-GB"/>
              </w:rPr>
              <w:t>-</w:t>
            </w:r>
            <w:r w:rsidRPr="008D73A7">
              <w:rPr>
                <w:lang w:val="en-GB"/>
              </w:rPr>
              <w:t>141 GHz</w:t>
            </w:r>
          </w:p>
        </w:tc>
        <w:tc>
          <w:tcPr>
            <w:tcW w:w="1701" w:type="dxa"/>
          </w:tcPr>
          <w:p w14:paraId="7989B3D2" w14:textId="77777777" w:rsidR="00B65D52" w:rsidRPr="008D73A7" w:rsidRDefault="00B65D52" w:rsidP="0049741A">
            <w:pPr>
              <w:spacing w:before="60"/>
              <w:jc w:val="left"/>
              <w:rPr>
                <w:lang w:val="en-GB"/>
              </w:rPr>
            </w:pPr>
            <w:r w:rsidRPr="008D73A7">
              <w:rPr>
                <w:lang w:val="en-GB"/>
              </w:rPr>
              <w:t xml:space="preserve">32 dBm </w:t>
            </w:r>
          </w:p>
        </w:tc>
        <w:tc>
          <w:tcPr>
            <w:tcW w:w="1701" w:type="dxa"/>
          </w:tcPr>
          <w:p w14:paraId="32C474C7" w14:textId="77777777" w:rsidR="00B65D52" w:rsidRPr="008D73A7" w:rsidRDefault="00B65D52" w:rsidP="0049741A">
            <w:pPr>
              <w:spacing w:before="60"/>
              <w:jc w:val="left"/>
              <w:rPr>
                <w:lang w:val="en-GB"/>
              </w:rPr>
            </w:pPr>
          </w:p>
        </w:tc>
        <w:tc>
          <w:tcPr>
            <w:tcW w:w="2126" w:type="dxa"/>
          </w:tcPr>
          <w:p w14:paraId="35C0C8F1" w14:textId="77777777" w:rsidR="00B65D52" w:rsidRPr="008D73A7" w:rsidRDefault="00B65D52" w:rsidP="0049741A">
            <w:pPr>
              <w:spacing w:before="60"/>
              <w:jc w:val="left"/>
              <w:rPr>
                <w:lang w:val="en-GB"/>
              </w:rPr>
            </w:pPr>
            <w:r w:rsidRPr="008D73A7">
              <w:rPr>
                <w:lang w:val="en-GB"/>
              </w:rPr>
              <w:t xml:space="preserve">9 dBm </w:t>
            </w:r>
          </w:p>
        </w:tc>
        <w:tc>
          <w:tcPr>
            <w:tcW w:w="2126" w:type="dxa"/>
          </w:tcPr>
          <w:p w14:paraId="3FE98670" w14:textId="77777777" w:rsidR="00B65D52" w:rsidRPr="008D73A7" w:rsidRDefault="00B65D52" w:rsidP="0049741A">
            <w:pPr>
              <w:spacing w:before="60"/>
              <w:jc w:val="left"/>
              <w:rPr>
                <w:lang w:val="en-GB"/>
              </w:rPr>
            </w:pPr>
          </w:p>
        </w:tc>
      </w:tr>
      <w:tr w:rsidR="00B65D52" w:rsidRPr="008D73A7" w14:paraId="46327D6B" w14:textId="77777777" w:rsidTr="00A55704">
        <w:tc>
          <w:tcPr>
            <w:tcW w:w="1980" w:type="dxa"/>
          </w:tcPr>
          <w:p w14:paraId="6CF3C8CC" w14:textId="0979DE80" w:rsidR="00B65D52" w:rsidRPr="008D73A7" w:rsidRDefault="00B65D52" w:rsidP="0049741A">
            <w:pPr>
              <w:spacing w:before="60"/>
              <w:rPr>
                <w:lang w:val="en-GB"/>
              </w:rPr>
            </w:pPr>
            <w:r w:rsidRPr="008D73A7">
              <w:rPr>
                <w:lang w:val="en-GB"/>
              </w:rPr>
              <w:t>141</w:t>
            </w:r>
            <w:r w:rsidR="00D90ECB">
              <w:rPr>
                <w:lang w:val="en-GB"/>
              </w:rPr>
              <w:t>-</w:t>
            </w:r>
            <w:r w:rsidRPr="008D73A7">
              <w:rPr>
                <w:lang w:val="en-GB"/>
              </w:rPr>
              <w:t>148.5 GHz</w:t>
            </w:r>
          </w:p>
        </w:tc>
        <w:tc>
          <w:tcPr>
            <w:tcW w:w="1701" w:type="dxa"/>
          </w:tcPr>
          <w:p w14:paraId="5F6B2508" w14:textId="77777777" w:rsidR="00B65D52" w:rsidRPr="008D73A7" w:rsidRDefault="00B65D52" w:rsidP="0049741A">
            <w:pPr>
              <w:spacing w:before="60"/>
              <w:jc w:val="left"/>
              <w:rPr>
                <w:lang w:val="en-GB"/>
              </w:rPr>
            </w:pPr>
            <w:r w:rsidRPr="008D73A7">
              <w:rPr>
                <w:lang w:val="en-GB"/>
              </w:rPr>
              <w:t>-6 dBm within 1 GHz</w:t>
            </w:r>
          </w:p>
        </w:tc>
        <w:tc>
          <w:tcPr>
            <w:tcW w:w="1701" w:type="dxa"/>
          </w:tcPr>
          <w:p w14:paraId="2C78858A" w14:textId="77777777" w:rsidR="00B65D52" w:rsidRPr="008D73A7" w:rsidRDefault="00B65D52" w:rsidP="0049741A">
            <w:pPr>
              <w:spacing w:before="60"/>
              <w:jc w:val="left"/>
              <w:rPr>
                <w:lang w:val="en-GB"/>
              </w:rPr>
            </w:pPr>
            <w:r w:rsidRPr="008D73A7">
              <w:rPr>
                <w:lang w:val="en-GB"/>
              </w:rPr>
              <w:t>-1 dBm within 1 GHz</w:t>
            </w:r>
          </w:p>
        </w:tc>
        <w:tc>
          <w:tcPr>
            <w:tcW w:w="2126" w:type="dxa"/>
          </w:tcPr>
          <w:p w14:paraId="26A7CC9C" w14:textId="77777777" w:rsidR="00B65D52" w:rsidRPr="008D73A7" w:rsidRDefault="00B65D52" w:rsidP="0049741A">
            <w:pPr>
              <w:spacing w:before="60"/>
              <w:jc w:val="left"/>
              <w:rPr>
                <w:lang w:val="en-GB"/>
              </w:rPr>
            </w:pPr>
            <w:r w:rsidRPr="008D73A7">
              <w:rPr>
                <w:lang w:val="en-GB"/>
              </w:rPr>
              <w:t>-6 dBm within 1 GHz</w:t>
            </w:r>
          </w:p>
        </w:tc>
        <w:tc>
          <w:tcPr>
            <w:tcW w:w="2126" w:type="dxa"/>
          </w:tcPr>
          <w:p w14:paraId="0E614F79" w14:textId="77777777" w:rsidR="00B65D52" w:rsidRPr="008D73A7" w:rsidRDefault="00B65D52" w:rsidP="0049741A">
            <w:pPr>
              <w:spacing w:before="60"/>
              <w:jc w:val="left"/>
              <w:rPr>
                <w:lang w:val="en-GB"/>
              </w:rPr>
            </w:pPr>
            <w:r w:rsidRPr="008D73A7">
              <w:rPr>
                <w:lang w:val="en-GB"/>
              </w:rPr>
              <w:t>-1 dBm within 1 GHz</w:t>
            </w:r>
          </w:p>
        </w:tc>
      </w:tr>
      <w:tr w:rsidR="00B65D52" w:rsidRPr="008D73A7" w14:paraId="659DD119" w14:textId="77777777">
        <w:tc>
          <w:tcPr>
            <w:tcW w:w="9634" w:type="dxa"/>
            <w:gridSpan w:val="5"/>
          </w:tcPr>
          <w:p w14:paraId="1A024F02" w14:textId="3F568741" w:rsidR="00B65D52" w:rsidRPr="008D73A7" w:rsidRDefault="00B65D52" w:rsidP="005F721D">
            <w:pPr>
              <w:pStyle w:val="ECCTablenote"/>
            </w:pPr>
            <w:r w:rsidRPr="008D73A7">
              <w:t xml:space="preserve">Note: Maximum mean e.i.r.p. is the radiated mean power during transmitter signal repetition time as defined in ETSI EN 303 883-1, section 5.3.1 </w:t>
            </w:r>
            <w:r w:rsidR="00CC07BA" w:rsidRPr="008D73A7">
              <w:fldChar w:fldCharType="begin"/>
            </w:r>
            <w:r w:rsidR="00CC07BA" w:rsidRPr="008D73A7">
              <w:instrText xml:space="preserve"> REF _Ref135724710 \r \h </w:instrText>
            </w:r>
            <w:r w:rsidR="00CC07BA" w:rsidRPr="008D73A7">
              <w:fldChar w:fldCharType="separate"/>
            </w:r>
            <w:r w:rsidR="00CC07BA" w:rsidRPr="008D73A7">
              <w:t>[7]</w:t>
            </w:r>
            <w:r w:rsidR="00CC07BA" w:rsidRPr="008D73A7">
              <w:fldChar w:fldCharType="end"/>
            </w:r>
            <w:r w:rsidRPr="008D73A7">
              <w:t>, with the effect of duty cycle included.</w:t>
            </w:r>
          </w:p>
        </w:tc>
      </w:tr>
    </w:tbl>
    <w:p w14:paraId="14DC6A71" w14:textId="66EA142A" w:rsidR="00DE3A2E" w:rsidRPr="008D73A7" w:rsidRDefault="00D7043B" w:rsidP="00A55704">
      <w:pPr>
        <w:pStyle w:val="Heading2"/>
        <w:rPr>
          <w:rFonts w:eastAsiaTheme="minorHAnsi"/>
          <w:lang w:val="en-GB"/>
        </w:rPr>
      </w:pPr>
      <w:bookmarkStart w:id="342" w:name="_Ref134115650"/>
      <w:bookmarkStart w:id="343" w:name="_Toc135806340"/>
      <w:bookmarkStart w:id="344" w:name="_Toc153443784"/>
      <w:r>
        <w:rPr>
          <w:rFonts w:eastAsiaTheme="minorHAnsi"/>
          <w:lang w:val="en-GB"/>
        </w:rPr>
        <w:t>I</w:t>
      </w:r>
      <w:r w:rsidR="00D62A3B" w:rsidRPr="008D73A7">
        <w:rPr>
          <w:rFonts w:eastAsiaTheme="minorHAnsi"/>
          <w:lang w:val="en-GB"/>
        </w:rPr>
        <w:t>n-cabin vehicular radar</w:t>
      </w:r>
      <w:r w:rsidR="00D01A2C" w:rsidRPr="008D73A7">
        <w:rPr>
          <w:rFonts w:eastAsiaTheme="minorHAnsi"/>
          <w:lang w:val="en-GB"/>
        </w:rPr>
        <w:t xml:space="preserve"> (IVR)</w:t>
      </w:r>
      <w:bookmarkEnd w:id="342"/>
      <w:bookmarkEnd w:id="343"/>
      <w:bookmarkEnd w:id="344"/>
    </w:p>
    <w:p w14:paraId="49E96D38" w14:textId="0EEBB197" w:rsidR="00B65D52" w:rsidRPr="008D73A7" w:rsidRDefault="00B65D52" w:rsidP="00A55704">
      <w:pPr>
        <w:pStyle w:val="Caption"/>
        <w:rPr>
          <w:lang w:val="en-GB"/>
        </w:rPr>
      </w:pPr>
      <w:r w:rsidRPr="008D73A7">
        <w:rPr>
          <w:lang w:val="en-GB"/>
        </w:rPr>
        <w:t xml:space="preserve">Table </w:t>
      </w:r>
      <w:r w:rsidRPr="008D73A7">
        <w:rPr>
          <w:lang w:val="en-GB"/>
        </w:rPr>
        <w:fldChar w:fldCharType="begin"/>
      </w:r>
      <w:r w:rsidRPr="008D73A7">
        <w:rPr>
          <w:lang w:val="en-GB"/>
        </w:rPr>
        <w:instrText xml:space="preserve"> SEQ Table \* ARABIC </w:instrText>
      </w:r>
      <w:r w:rsidRPr="008D73A7">
        <w:rPr>
          <w:lang w:val="en-GB"/>
        </w:rPr>
        <w:fldChar w:fldCharType="separate"/>
      </w:r>
      <w:r w:rsidR="00BD0B7C" w:rsidRPr="008D73A7">
        <w:rPr>
          <w:lang w:val="en-GB"/>
        </w:rPr>
        <w:t>11</w:t>
      </w:r>
      <w:r w:rsidRPr="008D73A7">
        <w:rPr>
          <w:lang w:val="en-GB"/>
        </w:rPr>
        <w:fldChar w:fldCharType="end"/>
      </w:r>
      <w:r w:rsidRPr="008D73A7">
        <w:rPr>
          <w:lang w:val="en-GB"/>
        </w:rPr>
        <w:t xml:space="preserve">: </w:t>
      </w:r>
      <w:r w:rsidR="007532B8" w:rsidRPr="008D73A7">
        <w:rPr>
          <w:lang w:val="en-GB"/>
        </w:rPr>
        <w:t>Recommended framework</w:t>
      </w:r>
      <w:r w:rsidRPr="008D73A7">
        <w:rPr>
          <w:lang w:val="en-GB"/>
        </w:rPr>
        <w:t xml:space="preserve"> for in-cabin vehicular radars</w:t>
      </w:r>
      <w:r w:rsidR="007532B8" w:rsidRPr="008D73A7">
        <w:rPr>
          <w:lang w:val="en-GB"/>
        </w:rPr>
        <w:t xml:space="preserve"> (IVR)</w:t>
      </w:r>
    </w:p>
    <w:tbl>
      <w:tblPr>
        <w:tblStyle w:val="ECCTable-redheader"/>
        <w:tblW w:w="0" w:type="auto"/>
        <w:tblInd w:w="0" w:type="dxa"/>
        <w:tblLook w:val="04A0" w:firstRow="1" w:lastRow="0" w:firstColumn="1" w:lastColumn="0" w:noHBand="0" w:noVBand="1"/>
      </w:tblPr>
      <w:tblGrid>
        <w:gridCol w:w="2686"/>
        <w:gridCol w:w="2871"/>
        <w:gridCol w:w="2036"/>
        <w:gridCol w:w="2036"/>
      </w:tblGrid>
      <w:tr w:rsidR="002B7123" w:rsidRPr="008D73A7" w14:paraId="3E2CEC8E" w14:textId="77777777">
        <w:trPr>
          <w:cnfStyle w:val="100000000000" w:firstRow="1" w:lastRow="0" w:firstColumn="0" w:lastColumn="0" w:oddVBand="0" w:evenVBand="0" w:oddHBand="0" w:evenHBand="0" w:firstRowFirstColumn="0" w:firstRowLastColumn="0" w:lastRowFirstColumn="0" w:lastRowLastColumn="0"/>
        </w:trPr>
        <w:tc>
          <w:tcPr>
            <w:tcW w:w="2686" w:type="dxa"/>
          </w:tcPr>
          <w:p w14:paraId="1B0FCAE6" w14:textId="77777777" w:rsidR="00B65D52" w:rsidRPr="008D73A7" w:rsidRDefault="00B65D52" w:rsidP="00A55704">
            <w:pPr>
              <w:spacing w:before="120" w:after="120"/>
              <w:rPr>
                <w:bCs/>
                <w:szCs w:val="20"/>
                <w:lang w:val="en-GB"/>
              </w:rPr>
            </w:pPr>
            <w:r w:rsidRPr="008D73A7">
              <w:rPr>
                <w:bCs/>
                <w:szCs w:val="20"/>
                <w:lang w:val="en-GB"/>
              </w:rPr>
              <w:t>Designated frequency band</w:t>
            </w:r>
          </w:p>
        </w:tc>
        <w:tc>
          <w:tcPr>
            <w:tcW w:w="2871" w:type="dxa"/>
          </w:tcPr>
          <w:p w14:paraId="47E78CF5" w14:textId="3718318B" w:rsidR="00B65D52" w:rsidRPr="008D73A7" w:rsidRDefault="00B65D52" w:rsidP="00A55704">
            <w:pPr>
              <w:spacing w:before="120" w:after="120"/>
              <w:rPr>
                <w:bCs/>
                <w:szCs w:val="20"/>
                <w:lang w:val="en-GB"/>
              </w:rPr>
            </w:pPr>
            <w:r w:rsidRPr="008D73A7">
              <w:rPr>
                <w:bCs/>
                <w:szCs w:val="20"/>
                <w:lang w:val="en-GB"/>
              </w:rPr>
              <w:t>Maximum mean e.i.r.p</w:t>
            </w:r>
            <w:r w:rsidR="008F5159" w:rsidRPr="008D73A7">
              <w:rPr>
                <w:bCs/>
                <w:szCs w:val="20"/>
                <w:lang w:val="en-GB"/>
              </w:rPr>
              <w:t>.</w:t>
            </w:r>
            <w:r w:rsidRPr="008D73A7">
              <w:rPr>
                <w:bCs/>
                <w:szCs w:val="20"/>
                <w:lang w:val="en-GB"/>
              </w:rPr>
              <w:t xml:space="preserve"> density</w:t>
            </w:r>
          </w:p>
        </w:tc>
        <w:tc>
          <w:tcPr>
            <w:tcW w:w="2036" w:type="dxa"/>
          </w:tcPr>
          <w:p w14:paraId="19175DB6" w14:textId="7E04AD7E" w:rsidR="00B65D52" w:rsidRPr="008D73A7" w:rsidRDefault="00B65D52" w:rsidP="00A55704">
            <w:pPr>
              <w:spacing w:before="120" w:after="120"/>
              <w:rPr>
                <w:bCs/>
                <w:szCs w:val="20"/>
                <w:lang w:val="en-GB"/>
              </w:rPr>
            </w:pPr>
            <w:r w:rsidRPr="008D73A7">
              <w:rPr>
                <w:bCs/>
                <w:szCs w:val="20"/>
                <w:lang w:val="en-GB"/>
              </w:rPr>
              <w:t>Maximum mean e.i.r.p</w:t>
            </w:r>
            <w:r w:rsidR="008F5159" w:rsidRPr="008D73A7">
              <w:rPr>
                <w:bCs/>
                <w:szCs w:val="20"/>
                <w:lang w:val="en-GB"/>
              </w:rPr>
              <w:t>.</w:t>
            </w:r>
            <w:r w:rsidRPr="008D73A7">
              <w:rPr>
                <w:bCs/>
                <w:szCs w:val="20"/>
                <w:lang w:val="en-GB"/>
              </w:rPr>
              <w:t xml:space="preserve"> over the bandwidth</w:t>
            </w:r>
          </w:p>
        </w:tc>
        <w:tc>
          <w:tcPr>
            <w:tcW w:w="2036" w:type="dxa"/>
          </w:tcPr>
          <w:p w14:paraId="3072C644" w14:textId="26D1D9AE" w:rsidR="00B65D52" w:rsidRPr="008D73A7" w:rsidRDefault="00B65D52" w:rsidP="00A55704">
            <w:pPr>
              <w:spacing w:before="120" w:after="120"/>
              <w:rPr>
                <w:bCs/>
                <w:szCs w:val="20"/>
                <w:lang w:val="en-GB"/>
              </w:rPr>
            </w:pPr>
            <w:r w:rsidRPr="008D73A7">
              <w:rPr>
                <w:bCs/>
                <w:szCs w:val="20"/>
                <w:lang w:val="en-GB"/>
              </w:rPr>
              <w:t>Maximum peak e.i.r.p</w:t>
            </w:r>
            <w:r w:rsidR="008F5159" w:rsidRPr="008D73A7">
              <w:rPr>
                <w:bCs/>
                <w:szCs w:val="20"/>
                <w:lang w:val="en-GB"/>
              </w:rPr>
              <w:t>.</w:t>
            </w:r>
            <w:r w:rsidRPr="008D73A7">
              <w:rPr>
                <w:bCs/>
                <w:szCs w:val="20"/>
                <w:lang w:val="en-GB"/>
              </w:rPr>
              <w:t xml:space="preserve"> over the bandwidth</w:t>
            </w:r>
          </w:p>
        </w:tc>
      </w:tr>
      <w:tr w:rsidR="00B65D52" w:rsidRPr="008D73A7" w14:paraId="6D1450BB" w14:textId="77777777">
        <w:tc>
          <w:tcPr>
            <w:tcW w:w="2686" w:type="dxa"/>
          </w:tcPr>
          <w:p w14:paraId="5C7BD2DC" w14:textId="23599251" w:rsidR="00B65D52" w:rsidRPr="008D73A7" w:rsidRDefault="00B65D52" w:rsidP="00A55704">
            <w:pPr>
              <w:spacing w:before="60"/>
              <w:rPr>
                <w:lang w:val="en-GB"/>
              </w:rPr>
            </w:pPr>
            <w:r w:rsidRPr="008D73A7">
              <w:rPr>
                <w:lang w:val="en-GB"/>
              </w:rPr>
              <w:t>122.25</w:t>
            </w:r>
            <w:r w:rsidR="00D90ECB">
              <w:rPr>
                <w:lang w:val="en-GB"/>
              </w:rPr>
              <w:t>-</w:t>
            </w:r>
            <w:r w:rsidRPr="008D73A7">
              <w:rPr>
                <w:lang w:val="en-GB"/>
              </w:rPr>
              <w:t>130 GHz</w:t>
            </w:r>
          </w:p>
        </w:tc>
        <w:tc>
          <w:tcPr>
            <w:tcW w:w="2871" w:type="dxa"/>
          </w:tcPr>
          <w:p w14:paraId="15552282" w14:textId="77777777" w:rsidR="00B65D52" w:rsidRPr="008D73A7" w:rsidRDefault="00B65D52" w:rsidP="00A55704">
            <w:pPr>
              <w:pStyle w:val="ECCBulletsLv1"/>
              <w:numPr>
                <w:ilvl w:val="0"/>
                <w:numId w:val="0"/>
              </w:numPr>
            </w:pPr>
            <w:r w:rsidRPr="008D73A7">
              <w:t>-30 dBm/MHz</w:t>
            </w:r>
          </w:p>
        </w:tc>
        <w:tc>
          <w:tcPr>
            <w:tcW w:w="2036" w:type="dxa"/>
          </w:tcPr>
          <w:p w14:paraId="7E198DDE" w14:textId="77777777" w:rsidR="00B65D52" w:rsidRPr="008D73A7" w:rsidRDefault="00B65D52" w:rsidP="00A55704">
            <w:pPr>
              <w:pStyle w:val="ECCBulletsLv1"/>
              <w:numPr>
                <w:ilvl w:val="0"/>
                <w:numId w:val="0"/>
              </w:numPr>
              <w:rPr>
                <w:lang w:eastAsia="en-US"/>
              </w:rPr>
            </w:pPr>
            <w:r w:rsidRPr="008D73A7">
              <w:t>3 dBm</w:t>
            </w:r>
          </w:p>
        </w:tc>
        <w:tc>
          <w:tcPr>
            <w:tcW w:w="2036" w:type="dxa"/>
          </w:tcPr>
          <w:p w14:paraId="35648A24" w14:textId="77777777" w:rsidR="00B65D52" w:rsidRPr="008D73A7" w:rsidRDefault="00B65D52" w:rsidP="00A55704">
            <w:pPr>
              <w:pStyle w:val="ECCBulletsLv1"/>
              <w:numPr>
                <w:ilvl w:val="0"/>
                <w:numId w:val="0"/>
              </w:numPr>
              <w:rPr>
                <w:lang w:eastAsia="en-US"/>
              </w:rPr>
            </w:pPr>
            <w:r w:rsidRPr="008D73A7">
              <w:t>16 dBm</w:t>
            </w:r>
          </w:p>
        </w:tc>
      </w:tr>
      <w:tr w:rsidR="00B65D52" w:rsidRPr="008D73A7" w14:paraId="4B706F2E" w14:textId="77777777">
        <w:tc>
          <w:tcPr>
            <w:tcW w:w="2686" w:type="dxa"/>
          </w:tcPr>
          <w:p w14:paraId="3F6A04FA" w14:textId="3E4F01A5" w:rsidR="00B65D52" w:rsidRPr="008D73A7" w:rsidRDefault="00B65D52" w:rsidP="00A55704">
            <w:pPr>
              <w:spacing w:before="60"/>
              <w:rPr>
                <w:lang w:val="en-GB"/>
              </w:rPr>
            </w:pPr>
            <w:r w:rsidRPr="008D73A7">
              <w:rPr>
                <w:lang w:val="en-GB"/>
              </w:rPr>
              <w:t>134</w:t>
            </w:r>
            <w:r w:rsidR="00D90ECB">
              <w:rPr>
                <w:lang w:val="en-GB"/>
              </w:rPr>
              <w:t>-</w:t>
            </w:r>
            <w:r w:rsidRPr="008D73A7">
              <w:rPr>
                <w:lang w:val="en-GB"/>
              </w:rPr>
              <w:t>148.5 GHz</w:t>
            </w:r>
          </w:p>
        </w:tc>
        <w:tc>
          <w:tcPr>
            <w:tcW w:w="2871" w:type="dxa"/>
          </w:tcPr>
          <w:p w14:paraId="614DCC27" w14:textId="77777777" w:rsidR="00B65D52" w:rsidRPr="008D73A7" w:rsidRDefault="00B65D52" w:rsidP="00A55704">
            <w:pPr>
              <w:pStyle w:val="ECCBulletsLv1"/>
              <w:numPr>
                <w:ilvl w:val="0"/>
                <w:numId w:val="0"/>
              </w:numPr>
            </w:pPr>
            <w:r w:rsidRPr="008D73A7">
              <w:t>-30 dBm/MHz</w:t>
            </w:r>
          </w:p>
        </w:tc>
        <w:tc>
          <w:tcPr>
            <w:tcW w:w="2036" w:type="dxa"/>
          </w:tcPr>
          <w:p w14:paraId="009DCC23" w14:textId="77777777" w:rsidR="00B65D52" w:rsidRPr="008D73A7" w:rsidRDefault="00B65D52" w:rsidP="00A55704">
            <w:pPr>
              <w:pStyle w:val="ECCBulletsLv1"/>
              <w:numPr>
                <w:ilvl w:val="0"/>
                <w:numId w:val="0"/>
              </w:numPr>
              <w:rPr>
                <w:lang w:eastAsia="en-US"/>
              </w:rPr>
            </w:pPr>
            <w:r w:rsidRPr="008D73A7">
              <w:t>3 dBm</w:t>
            </w:r>
          </w:p>
        </w:tc>
        <w:tc>
          <w:tcPr>
            <w:tcW w:w="2036" w:type="dxa"/>
          </w:tcPr>
          <w:p w14:paraId="40AD17A2" w14:textId="77777777" w:rsidR="00B65D52" w:rsidRPr="008D73A7" w:rsidRDefault="00B65D52" w:rsidP="00A55704">
            <w:pPr>
              <w:pStyle w:val="ECCBulletsLv1"/>
              <w:numPr>
                <w:ilvl w:val="0"/>
                <w:numId w:val="0"/>
              </w:numPr>
              <w:rPr>
                <w:lang w:eastAsia="en-US"/>
              </w:rPr>
            </w:pPr>
            <w:r w:rsidRPr="008D73A7">
              <w:t>16 dBm</w:t>
            </w:r>
          </w:p>
        </w:tc>
      </w:tr>
      <w:tr w:rsidR="00232B70" w:rsidRPr="008D73A7" w14:paraId="6C4F1051" w14:textId="77777777">
        <w:tc>
          <w:tcPr>
            <w:tcW w:w="9629" w:type="dxa"/>
            <w:gridSpan w:val="4"/>
          </w:tcPr>
          <w:p w14:paraId="33660809" w14:textId="25F183E0" w:rsidR="00232B70" w:rsidRPr="008D73A7" w:rsidRDefault="00232B70" w:rsidP="00A55704">
            <w:pPr>
              <w:pStyle w:val="ECCTablenote"/>
              <w:rPr>
                <w:lang w:eastAsia="en-US"/>
              </w:rPr>
            </w:pPr>
            <w:r w:rsidRPr="008D73A7">
              <w:t xml:space="preserve">Note: Maximum mean e.i.r.p. is the radiated mean power during transmitter signal repetition time as defined in ETSI EN 303 883-1, section 5.3.1 </w:t>
            </w:r>
            <w:r w:rsidR="00CC07BA" w:rsidRPr="008D73A7">
              <w:fldChar w:fldCharType="begin"/>
            </w:r>
            <w:r w:rsidR="00CC07BA" w:rsidRPr="008D73A7">
              <w:instrText xml:space="preserve"> REF _Ref135724710 \r \h </w:instrText>
            </w:r>
            <w:r w:rsidR="00CC07BA" w:rsidRPr="008D73A7">
              <w:fldChar w:fldCharType="separate"/>
            </w:r>
            <w:r w:rsidR="00CC07BA" w:rsidRPr="008D73A7">
              <w:t>[7]</w:t>
            </w:r>
            <w:r w:rsidR="00CC07BA" w:rsidRPr="008D73A7">
              <w:fldChar w:fldCharType="end"/>
            </w:r>
            <w:r w:rsidR="00CC07BA" w:rsidRPr="008D73A7">
              <w:t xml:space="preserve"> </w:t>
            </w:r>
            <w:r w:rsidRPr="008D73A7">
              <w:t>, with the effect of duty cycle included.</w:t>
            </w:r>
          </w:p>
        </w:tc>
      </w:tr>
    </w:tbl>
    <w:p w14:paraId="2C76B539" w14:textId="77FEF712" w:rsidR="00833946" w:rsidRPr="008D73A7" w:rsidRDefault="00EA0FD7" w:rsidP="00415C19">
      <w:pPr>
        <w:pStyle w:val="ECCAnnexheading1"/>
      </w:pPr>
      <w:bookmarkStart w:id="345" w:name="_Ref114568495"/>
      <w:bookmarkStart w:id="346" w:name="_Toc123634735"/>
      <w:bookmarkStart w:id="347" w:name="_Toc123634825"/>
      <w:bookmarkStart w:id="348" w:name="_Ref135742787"/>
      <w:bookmarkStart w:id="349" w:name="_Toc135806341"/>
      <w:bookmarkStart w:id="350" w:name="_Toc153443785"/>
      <w:bookmarkEnd w:id="341"/>
      <w:r w:rsidRPr="008D73A7">
        <w:lastRenderedPageBreak/>
        <w:t xml:space="preserve">Proposed harmonised technical conditions for </w:t>
      </w:r>
      <w:r w:rsidR="00B96B4F" w:rsidRPr="008D73A7">
        <w:t xml:space="preserve">Radiodetermination Applications </w:t>
      </w:r>
      <w:r w:rsidR="003E4B3F" w:rsidRPr="008D73A7">
        <w:t xml:space="preserve">in the </w:t>
      </w:r>
      <w:r w:rsidR="00F81822" w:rsidRPr="008D73A7">
        <w:t>frequency range</w:t>
      </w:r>
      <w:r w:rsidR="003E4B3F" w:rsidRPr="008D73A7">
        <w:t xml:space="preserve"> 116</w:t>
      </w:r>
      <w:r w:rsidR="00BE64D6" w:rsidRPr="008D73A7">
        <w:t>-</w:t>
      </w:r>
      <w:r w:rsidR="003E4B3F" w:rsidRPr="008D73A7">
        <w:t>260</w:t>
      </w:r>
      <w:r w:rsidR="00B96B4F" w:rsidRPr="008D73A7">
        <w:t> </w:t>
      </w:r>
      <w:r w:rsidR="003E4B3F" w:rsidRPr="008D73A7">
        <w:t>GHz</w:t>
      </w:r>
      <w:bookmarkEnd w:id="345"/>
      <w:r w:rsidR="00B96B4F" w:rsidRPr="008D73A7">
        <w:t xml:space="preserve"> using specific Radiodetermination Technology</w:t>
      </w:r>
      <w:bookmarkEnd w:id="346"/>
      <w:bookmarkEnd w:id="347"/>
      <w:bookmarkEnd w:id="348"/>
      <w:bookmarkEnd w:id="349"/>
      <w:bookmarkEnd w:id="350"/>
    </w:p>
    <w:p w14:paraId="7832DEB8" w14:textId="6DEF6E5E" w:rsidR="000477B0" w:rsidRPr="008D73A7" w:rsidRDefault="000477B0" w:rsidP="00F81822">
      <w:pPr>
        <w:pStyle w:val="ECCAnnexheading2"/>
        <w:ind w:left="576"/>
        <w:rPr>
          <w:lang w:val="en-GB" w:eastAsia="ar-SA"/>
        </w:rPr>
      </w:pPr>
      <w:r w:rsidRPr="008D73A7">
        <w:rPr>
          <w:lang w:val="en-GB" w:eastAsia="ar-SA"/>
        </w:rPr>
        <w:t>PROTECTION OF RADIO ASTRONOMY SERVICE (RAS) SITES</w:t>
      </w:r>
    </w:p>
    <w:p w14:paraId="074F943E" w14:textId="46F81478" w:rsidR="000477B0" w:rsidRPr="008D73A7" w:rsidRDefault="000477B0" w:rsidP="00BF1DA7">
      <w:pPr>
        <w:pStyle w:val="ECCParagraph"/>
        <w:rPr>
          <w:lang w:eastAsia="ar-SA"/>
        </w:rPr>
      </w:pPr>
      <w:r w:rsidRPr="008D73A7">
        <w:rPr>
          <w:lang w:eastAsia="ar-SA"/>
        </w:rPr>
        <w:fldChar w:fldCharType="begin"/>
      </w:r>
      <w:r w:rsidRPr="008D73A7">
        <w:rPr>
          <w:lang w:eastAsia="ar-SA"/>
        </w:rPr>
        <w:instrText xml:space="preserve"> REF _Ref66370646 \h  \* MERGEFORMAT </w:instrText>
      </w:r>
      <w:r w:rsidRPr="008D73A7">
        <w:rPr>
          <w:lang w:eastAsia="ar-SA"/>
        </w:rPr>
      </w:r>
      <w:r w:rsidRPr="008D73A7">
        <w:rPr>
          <w:lang w:eastAsia="ar-SA"/>
        </w:rPr>
        <w:fldChar w:fldCharType="separate"/>
      </w:r>
      <w:r w:rsidR="00B432BC" w:rsidRPr="008D73A7">
        <w:rPr>
          <w:lang w:eastAsia="ar-SA"/>
        </w:rPr>
        <w:t>Table 12</w:t>
      </w:r>
      <w:r w:rsidRPr="008D73A7">
        <w:rPr>
          <w:lang w:eastAsia="ar-SA"/>
        </w:rPr>
        <w:fldChar w:fldCharType="end"/>
      </w:r>
      <w:r w:rsidRPr="008D73A7">
        <w:rPr>
          <w:lang w:eastAsia="ar-SA"/>
        </w:rPr>
        <w:t xml:space="preserve"> lists the RAS stations in CEPT member countries operating in the range 116-260 GHz. The related exclusion zones to be implemented by different </w:t>
      </w:r>
      <w:r w:rsidR="00B96B4F" w:rsidRPr="008D73A7">
        <w:rPr>
          <w:lang w:eastAsia="ar-SA"/>
        </w:rPr>
        <w:t xml:space="preserve">specific </w:t>
      </w:r>
      <w:r w:rsidRPr="008D73A7">
        <w:rPr>
          <w:lang w:eastAsia="ar-SA"/>
        </w:rPr>
        <w:t xml:space="preserve">radiodetermination applications can be extracted from </w:t>
      </w:r>
      <w:r w:rsidRPr="008D73A7">
        <w:rPr>
          <w:lang w:eastAsia="ar-SA"/>
        </w:rPr>
        <w:fldChar w:fldCharType="begin"/>
      </w:r>
      <w:r w:rsidRPr="008D73A7">
        <w:rPr>
          <w:lang w:eastAsia="ar-SA"/>
        </w:rPr>
        <w:instrText xml:space="preserve"> REF _Ref82009764 \h  \* MERGEFORMAT </w:instrText>
      </w:r>
      <w:r w:rsidRPr="008D73A7">
        <w:rPr>
          <w:lang w:eastAsia="ar-SA"/>
        </w:rPr>
      </w:r>
      <w:r w:rsidRPr="008D73A7">
        <w:rPr>
          <w:lang w:eastAsia="ar-SA"/>
        </w:rPr>
        <w:fldChar w:fldCharType="separate"/>
      </w:r>
      <w:r w:rsidR="00F900A2" w:rsidRPr="008D73A7">
        <w:rPr>
          <w:lang w:eastAsia="ar-SA"/>
        </w:rPr>
        <w:t>Table </w:t>
      </w:r>
      <w:r w:rsidR="00F900A2">
        <w:rPr>
          <w:lang w:eastAsia="ar-SA"/>
        </w:rPr>
        <w:t>13</w:t>
      </w:r>
      <w:r w:rsidRPr="008D73A7">
        <w:rPr>
          <w:lang w:eastAsia="ar-SA"/>
        </w:rPr>
        <w:fldChar w:fldCharType="end"/>
      </w:r>
      <w:r w:rsidRPr="008D73A7">
        <w:rPr>
          <w:lang w:eastAsia="ar-SA"/>
        </w:rPr>
        <w:t>.</w:t>
      </w:r>
    </w:p>
    <w:p w14:paraId="12F6D1AA" w14:textId="2107187E" w:rsidR="000477B0" w:rsidRPr="008D73A7" w:rsidRDefault="000477B0" w:rsidP="00BE64D6">
      <w:pPr>
        <w:pStyle w:val="Caption"/>
        <w:spacing w:before="360"/>
        <w:rPr>
          <w:lang w:val="en-GB"/>
        </w:rPr>
      </w:pPr>
      <w:bookmarkStart w:id="351" w:name="_Ref66370646"/>
      <w:r w:rsidRPr="008D73A7">
        <w:rPr>
          <w:lang w:val="en-GB"/>
        </w:rPr>
        <w:t>Table </w:t>
      </w:r>
      <w:r w:rsidRPr="008D73A7">
        <w:rPr>
          <w:lang w:val="en-GB"/>
        </w:rPr>
        <w:fldChar w:fldCharType="begin"/>
      </w:r>
      <w:r w:rsidRPr="008D73A7">
        <w:rPr>
          <w:lang w:val="en-GB"/>
        </w:rPr>
        <w:instrText xml:space="preserve"> SEQ Table \* ARABIC </w:instrText>
      </w:r>
      <w:r w:rsidRPr="008D73A7">
        <w:rPr>
          <w:lang w:val="en-GB"/>
        </w:rPr>
        <w:fldChar w:fldCharType="separate"/>
      </w:r>
      <w:r w:rsidR="00F900A2">
        <w:rPr>
          <w:noProof/>
          <w:lang w:val="en-GB"/>
        </w:rPr>
        <w:t>12</w:t>
      </w:r>
      <w:r w:rsidRPr="008D73A7">
        <w:rPr>
          <w:lang w:val="en-GB"/>
        </w:rPr>
        <w:fldChar w:fldCharType="end"/>
      </w:r>
      <w:bookmarkEnd w:id="351"/>
      <w:r w:rsidRPr="008D73A7">
        <w:rPr>
          <w:lang w:val="en-GB"/>
        </w:rPr>
        <w:t xml:space="preserve">: </w:t>
      </w:r>
      <w:r w:rsidRPr="008D73A7">
        <w:rPr>
          <w:rFonts w:eastAsia="Calibri"/>
          <w:lang w:val="en-GB"/>
        </w:rPr>
        <w:t>European radio astronomy observatories</w:t>
      </w:r>
      <w:r w:rsidRPr="008D73A7">
        <w:rPr>
          <w:lang w:val="en-GB"/>
        </w:rPr>
        <w:t xml:space="preserve"> operating in the frequency range 116-260 GHz</w:t>
      </w:r>
    </w:p>
    <w:tbl>
      <w:tblPr>
        <w:tblStyle w:val="ECCTable-redheader"/>
        <w:tblW w:w="0" w:type="auto"/>
        <w:tblInd w:w="0" w:type="dxa"/>
        <w:tblLook w:val="04A0" w:firstRow="1" w:lastRow="0" w:firstColumn="1" w:lastColumn="0" w:noHBand="0" w:noVBand="1"/>
      </w:tblPr>
      <w:tblGrid>
        <w:gridCol w:w="1980"/>
        <w:gridCol w:w="2951"/>
        <w:gridCol w:w="1328"/>
        <w:gridCol w:w="1674"/>
      </w:tblGrid>
      <w:tr w:rsidR="000477B0" w:rsidRPr="008D73A7" w14:paraId="55D84455" w14:textId="77777777" w:rsidTr="00232B70">
        <w:trPr>
          <w:cnfStyle w:val="100000000000" w:firstRow="1" w:lastRow="0" w:firstColumn="0" w:lastColumn="0" w:oddVBand="0" w:evenVBand="0" w:oddHBand="0" w:evenHBand="0" w:firstRowFirstColumn="0" w:firstRowLastColumn="0" w:lastRowFirstColumn="0" w:lastRowLastColumn="0"/>
        </w:trPr>
        <w:tc>
          <w:tcPr>
            <w:tcW w:w="1980" w:type="dxa"/>
          </w:tcPr>
          <w:p w14:paraId="21D610A5" w14:textId="77777777" w:rsidR="000477B0" w:rsidRPr="008D73A7" w:rsidRDefault="000477B0" w:rsidP="00D97CA2">
            <w:pPr>
              <w:pStyle w:val="ECCTableHeaderwhitefont"/>
              <w:rPr>
                <w:lang w:val="en-GB"/>
              </w:rPr>
            </w:pPr>
            <w:r w:rsidRPr="008D73A7">
              <w:rPr>
                <w:lang w:val="en-GB"/>
              </w:rPr>
              <w:t>Country / administration</w:t>
            </w:r>
          </w:p>
        </w:tc>
        <w:tc>
          <w:tcPr>
            <w:tcW w:w="2951" w:type="dxa"/>
          </w:tcPr>
          <w:p w14:paraId="2C495206" w14:textId="77777777" w:rsidR="000477B0" w:rsidRPr="008D73A7" w:rsidRDefault="000477B0" w:rsidP="00D97CA2">
            <w:pPr>
              <w:pStyle w:val="ECCTableHeaderwhitefont"/>
              <w:rPr>
                <w:lang w:val="en-GB"/>
              </w:rPr>
            </w:pPr>
            <w:r w:rsidRPr="008D73A7">
              <w:rPr>
                <w:lang w:val="en-GB"/>
              </w:rPr>
              <w:t>Observatory name and location</w:t>
            </w:r>
          </w:p>
        </w:tc>
        <w:tc>
          <w:tcPr>
            <w:tcW w:w="1328" w:type="dxa"/>
          </w:tcPr>
          <w:p w14:paraId="13DC7FFB" w14:textId="77777777" w:rsidR="000477B0" w:rsidRPr="008D73A7" w:rsidRDefault="000477B0" w:rsidP="00416905">
            <w:pPr>
              <w:pStyle w:val="ECCTableHeaderwhitefont"/>
              <w:spacing w:after="0"/>
              <w:rPr>
                <w:lang w:val="en-GB"/>
              </w:rPr>
            </w:pPr>
            <w:r w:rsidRPr="008D73A7">
              <w:rPr>
                <w:lang w:val="en-GB"/>
              </w:rPr>
              <w:t>Geographic</w:t>
            </w:r>
          </w:p>
          <w:p w14:paraId="0D2684D2" w14:textId="77777777" w:rsidR="000477B0" w:rsidRPr="008D73A7" w:rsidRDefault="000477B0" w:rsidP="00416905">
            <w:pPr>
              <w:pStyle w:val="ECCTableHeaderwhitefont"/>
              <w:spacing w:before="0"/>
              <w:rPr>
                <w:lang w:val="en-GB"/>
              </w:rPr>
            </w:pPr>
            <w:r w:rsidRPr="008D73A7">
              <w:rPr>
                <w:lang w:val="en-GB"/>
              </w:rPr>
              <w:t>Latitude</w:t>
            </w:r>
          </w:p>
        </w:tc>
        <w:tc>
          <w:tcPr>
            <w:tcW w:w="1674" w:type="dxa"/>
          </w:tcPr>
          <w:p w14:paraId="19C22E74" w14:textId="77777777" w:rsidR="000477B0" w:rsidRPr="008D73A7" w:rsidRDefault="000477B0" w:rsidP="00416905">
            <w:pPr>
              <w:pStyle w:val="ECCTableHeaderwhitefont"/>
              <w:spacing w:after="0"/>
              <w:rPr>
                <w:lang w:val="en-GB"/>
              </w:rPr>
            </w:pPr>
            <w:r w:rsidRPr="008D73A7">
              <w:rPr>
                <w:lang w:val="en-GB"/>
              </w:rPr>
              <w:t>Geographic</w:t>
            </w:r>
          </w:p>
          <w:p w14:paraId="497CDA87" w14:textId="77777777" w:rsidR="000477B0" w:rsidRPr="008D73A7" w:rsidRDefault="000477B0" w:rsidP="00416905">
            <w:pPr>
              <w:pStyle w:val="ECCTableHeaderwhitefont"/>
              <w:spacing w:before="0"/>
              <w:rPr>
                <w:lang w:val="en-GB"/>
              </w:rPr>
            </w:pPr>
            <w:r w:rsidRPr="008D73A7">
              <w:rPr>
                <w:lang w:val="en-GB"/>
              </w:rPr>
              <w:t>Longitude</w:t>
            </w:r>
          </w:p>
        </w:tc>
      </w:tr>
      <w:tr w:rsidR="000477B0" w:rsidRPr="008D73A7" w14:paraId="1CAAA96A" w14:textId="77777777" w:rsidTr="00232B70">
        <w:tc>
          <w:tcPr>
            <w:tcW w:w="1980" w:type="dxa"/>
          </w:tcPr>
          <w:p w14:paraId="64C2622B" w14:textId="77777777" w:rsidR="000477B0" w:rsidRPr="008D73A7" w:rsidRDefault="000477B0" w:rsidP="00DE7D17">
            <w:pPr>
              <w:pStyle w:val="ECCTabletext"/>
            </w:pPr>
            <w:r w:rsidRPr="008D73A7">
              <w:t>France</w:t>
            </w:r>
          </w:p>
        </w:tc>
        <w:tc>
          <w:tcPr>
            <w:tcW w:w="2951" w:type="dxa"/>
          </w:tcPr>
          <w:p w14:paraId="103CFE0A" w14:textId="77777777" w:rsidR="000477B0" w:rsidRPr="008D73A7" w:rsidRDefault="000477B0" w:rsidP="00DE7D17">
            <w:pPr>
              <w:pStyle w:val="ECCTabletext"/>
            </w:pPr>
            <w:r w:rsidRPr="008D73A7">
              <w:t>NOEMA, Plateau de Bure</w:t>
            </w:r>
          </w:p>
        </w:tc>
        <w:tc>
          <w:tcPr>
            <w:tcW w:w="1328" w:type="dxa"/>
          </w:tcPr>
          <w:p w14:paraId="0EEA8720" w14:textId="77777777" w:rsidR="000477B0" w:rsidRPr="008D73A7" w:rsidRDefault="000477B0" w:rsidP="00DE7D17">
            <w:pPr>
              <w:pStyle w:val="ECCTabletext"/>
            </w:pPr>
            <w:r w:rsidRPr="008D73A7">
              <w:t>44°38'02" N</w:t>
            </w:r>
          </w:p>
        </w:tc>
        <w:tc>
          <w:tcPr>
            <w:tcW w:w="1674" w:type="dxa"/>
          </w:tcPr>
          <w:p w14:paraId="564E80A9" w14:textId="77777777" w:rsidR="000477B0" w:rsidRPr="008D73A7" w:rsidRDefault="000477B0" w:rsidP="00DE7D17">
            <w:pPr>
              <w:pStyle w:val="ECCTabletext"/>
            </w:pPr>
            <w:r w:rsidRPr="008D73A7">
              <w:t>05°54'28" E</w:t>
            </w:r>
          </w:p>
        </w:tc>
      </w:tr>
      <w:tr w:rsidR="000477B0" w:rsidRPr="008D73A7" w14:paraId="4CFF1153" w14:textId="77777777" w:rsidTr="00232B70">
        <w:tc>
          <w:tcPr>
            <w:tcW w:w="1980" w:type="dxa"/>
          </w:tcPr>
          <w:p w14:paraId="5A320F10" w14:textId="77777777" w:rsidR="000477B0" w:rsidRPr="008D73A7" w:rsidRDefault="000477B0" w:rsidP="00DE7D17">
            <w:pPr>
              <w:pStyle w:val="ECCTabletext"/>
            </w:pPr>
            <w:r w:rsidRPr="008D73A7">
              <w:t>Spain</w:t>
            </w:r>
          </w:p>
        </w:tc>
        <w:tc>
          <w:tcPr>
            <w:tcW w:w="2951" w:type="dxa"/>
          </w:tcPr>
          <w:p w14:paraId="4D78C48F" w14:textId="5F8D7E40" w:rsidR="000477B0" w:rsidRPr="008D73A7" w:rsidRDefault="000477B0" w:rsidP="00DE7D17">
            <w:pPr>
              <w:pStyle w:val="ECCTabletext"/>
            </w:pPr>
            <w:r w:rsidRPr="008D73A7">
              <w:t>IRAM</w:t>
            </w:r>
            <w:r w:rsidR="00986D67" w:rsidRPr="008D73A7">
              <w:t xml:space="preserve"> </w:t>
            </w:r>
            <w:r w:rsidRPr="008D73A7">
              <w:t>30 m, Pico Veleta</w:t>
            </w:r>
          </w:p>
        </w:tc>
        <w:tc>
          <w:tcPr>
            <w:tcW w:w="1328" w:type="dxa"/>
          </w:tcPr>
          <w:p w14:paraId="2D19836F" w14:textId="77777777" w:rsidR="000477B0" w:rsidRPr="008D73A7" w:rsidRDefault="000477B0" w:rsidP="00DE7D17">
            <w:pPr>
              <w:pStyle w:val="ECCTabletext"/>
            </w:pPr>
            <w:r w:rsidRPr="008D73A7">
              <w:t>37°04'06" N</w:t>
            </w:r>
          </w:p>
        </w:tc>
        <w:tc>
          <w:tcPr>
            <w:tcW w:w="1674" w:type="dxa"/>
          </w:tcPr>
          <w:p w14:paraId="46D3F8DD" w14:textId="77777777" w:rsidR="000477B0" w:rsidRPr="008D73A7" w:rsidRDefault="000477B0" w:rsidP="00DE7D17">
            <w:pPr>
              <w:pStyle w:val="ECCTabletext"/>
            </w:pPr>
            <w:r w:rsidRPr="008D73A7">
              <w:t>03°23'55" W</w:t>
            </w:r>
          </w:p>
        </w:tc>
      </w:tr>
    </w:tbl>
    <w:p w14:paraId="25467440" w14:textId="0BA9A158" w:rsidR="000477B0" w:rsidRPr="008D73A7" w:rsidRDefault="000477B0" w:rsidP="00BE64D6">
      <w:pPr>
        <w:pStyle w:val="Caption"/>
        <w:spacing w:before="360"/>
        <w:rPr>
          <w:lang w:val="en-GB"/>
        </w:rPr>
      </w:pPr>
      <w:bookmarkStart w:id="352" w:name="_Ref82009764"/>
      <w:r w:rsidRPr="008D73A7">
        <w:rPr>
          <w:lang w:val="en-GB"/>
        </w:rPr>
        <w:t>Table </w:t>
      </w:r>
      <w:r w:rsidRPr="008D73A7">
        <w:rPr>
          <w:lang w:val="en-GB"/>
        </w:rPr>
        <w:fldChar w:fldCharType="begin"/>
      </w:r>
      <w:r w:rsidRPr="008D73A7">
        <w:rPr>
          <w:lang w:val="en-GB"/>
        </w:rPr>
        <w:instrText xml:space="preserve"> SEQ Table \* ARABIC </w:instrText>
      </w:r>
      <w:r w:rsidRPr="008D73A7">
        <w:rPr>
          <w:lang w:val="en-GB"/>
        </w:rPr>
        <w:fldChar w:fldCharType="separate"/>
      </w:r>
      <w:r w:rsidR="00F900A2">
        <w:rPr>
          <w:noProof/>
          <w:lang w:val="en-GB"/>
        </w:rPr>
        <w:t>13</w:t>
      </w:r>
      <w:r w:rsidRPr="008D73A7">
        <w:rPr>
          <w:lang w:val="en-GB"/>
        </w:rPr>
        <w:fldChar w:fldCharType="end"/>
      </w:r>
      <w:bookmarkEnd w:id="352"/>
      <w:r w:rsidRPr="008D73A7">
        <w:rPr>
          <w:lang w:val="en-GB"/>
        </w:rPr>
        <w:t xml:space="preserve">: </w:t>
      </w:r>
      <w:r w:rsidRPr="008D73A7">
        <w:rPr>
          <w:rFonts w:eastAsia="Calibri"/>
          <w:lang w:val="en-GB"/>
        </w:rPr>
        <w:t xml:space="preserve">Exclusion zones around RAS sites to be implemented by different </w:t>
      </w:r>
      <w:r w:rsidR="00B96B4F" w:rsidRPr="008D73A7">
        <w:rPr>
          <w:rFonts w:eastAsia="Calibri"/>
          <w:lang w:val="en-GB"/>
        </w:rPr>
        <w:t xml:space="preserve">specific </w:t>
      </w:r>
      <w:r w:rsidRPr="008D73A7">
        <w:rPr>
          <w:rFonts w:eastAsia="Calibri"/>
          <w:lang w:val="en-GB"/>
        </w:rPr>
        <w:t>radiodetermination applications</w:t>
      </w:r>
    </w:p>
    <w:tbl>
      <w:tblPr>
        <w:tblStyle w:val="ECCTable-redheader"/>
        <w:tblW w:w="4858" w:type="pct"/>
        <w:tblInd w:w="0" w:type="dxa"/>
        <w:tblLook w:val="04A0" w:firstRow="1" w:lastRow="0" w:firstColumn="1" w:lastColumn="0" w:noHBand="0" w:noVBand="1"/>
      </w:tblPr>
      <w:tblGrid>
        <w:gridCol w:w="5949"/>
        <w:gridCol w:w="3407"/>
      </w:tblGrid>
      <w:tr w:rsidR="000477B0" w:rsidRPr="008D73A7" w14:paraId="7FBFFB05" w14:textId="77777777" w:rsidTr="0024005D">
        <w:trPr>
          <w:cnfStyle w:val="100000000000" w:firstRow="1" w:lastRow="0" w:firstColumn="0" w:lastColumn="0" w:oddVBand="0" w:evenVBand="0" w:oddHBand="0" w:evenHBand="0" w:firstRowFirstColumn="0" w:firstRowLastColumn="0" w:lastRowFirstColumn="0" w:lastRowLastColumn="0"/>
        </w:trPr>
        <w:tc>
          <w:tcPr>
            <w:tcW w:w="3179" w:type="pct"/>
          </w:tcPr>
          <w:p w14:paraId="1AE68F8C" w14:textId="1D71D66E" w:rsidR="000477B0" w:rsidRPr="008D73A7" w:rsidRDefault="00B96B4F" w:rsidP="00DE7D17">
            <w:pPr>
              <w:pStyle w:val="ECCTableHeaderwhitefont"/>
              <w:rPr>
                <w:lang w:val="en-GB"/>
              </w:rPr>
            </w:pPr>
            <w:r w:rsidRPr="008D73A7">
              <w:rPr>
                <w:lang w:val="en-GB"/>
              </w:rPr>
              <w:t xml:space="preserve">Specific radiodetermination </w:t>
            </w:r>
            <w:r w:rsidR="000477B0" w:rsidRPr="008D73A7">
              <w:rPr>
                <w:lang w:val="en-GB"/>
              </w:rPr>
              <w:t>application</w:t>
            </w:r>
            <w:r w:rsidRPr="008D73A7">
              <w:rPr>
                <w:lang w:val="en-GB"/>
              </w:rPr>
              <w:t>s</w:t>
            </w:r>
          </w:p>
        </w:tc>
        <w:tc>
          <w:tcPr>
            <w:tcW w:w="1821" w:type="pct"/>
          </w:tcPr>
          <w:p w14:paraId="1A1DAE9A" w14:textId="77777777" w:rsidR="000477B0" w:rsidRPr="008D73A7" w:rsidRDefault="000477B0" w:rsidP="00DE7D17">
            <w:pPr>
              <w:pStyle w:val="ECCTableHeaderwhitefont"/>
              <w:rPr>
                <w:lang w:val="en-GB"/>
              </w:rPr>
            </w:pPr>
            <w:r w:rsidRPr="008D73A7">
              <w:rPr>
                <w:lang w:val="en-GB"/>
              </w:rPr>
              <w:t>Exclusion zone around RAS site</w:t>
            </w:r>
          </w:p>
        </w:tc>
      </w:tr>
      <w:tr w:rsidR="000477B0" w:rsidRPr="008D73A7" w14:paraId="596947F7" w14:textId="77777777" w:rsidTr="0024005D">
        <w:tc>
          <w:tcPr>
            <w:tcW w:w="3179" w:type="pct"/>
          </w:tcPr>
          <w:p w14:paraId="030DEE0C" w14:textId="16118E0B" w:rsidR="000477B0" w:rsidRPr="008D73A7" w:rsidRDefault="000477B0" w:rsidP="00DE7D17">
            <w:pPr>
              <w:pStyle w:val="ECCTabletext"/>
              <w:jc w:val="left"/>
            </w:pPr>
            <w:r w:rsidRPr="008D73A7">
              <w:t>Hand</w:t>
            </w:r>
            <w:r w:rsidR="001D4B4D" w:rsidRPr="008D73A7">
              <w:t>-</w:t>
            </w:r>
            <w:r w:rsidRPr="008D73A7">
              <w:t>held/mobile generic indoor surveillance radar</w:t>
            </w:r>
          </w:p>
        </w:tc>
        <w:tc>
          <w:tcPr>
            <w:tcW w:w="1821" w:type="pct"/>
          </w:tcPr>
          <w:p w14:paraId="48720652" w14:textId="77777777" w:rsidR="000477B0" w:rsidRPr="008D73A7" w:rsidRDefault="000477B0" w:rsidP="00DE7D17">
            <w:pPr>
              <w:pStyle w:val="ECCBulletsLv1"/>
              <w:numPr>
                <w:ilvl w:val="0"/>
                <w:numId w:val="0"/>
              </w:numPr>
              <w:ind w:left="360" w:hanging="360"/>
            </w:pPr>
            <w:r w:rsidRPr="008D73A7">
              <w:t>1.6 km</w:t>
            </w:r>
          </w:p>
        </w:tc>
      </w:tr>
      <w:tr w:rsidR="000477B0" w:rsidRPr="008D73A7" w14:paraId="45B12E05" w14:textId="77777777" w:rsidTr="0024005D">
        <w:tc>
          <w:tcPr>
            <w:tcW w:w="3179" w:type="pct"/>
          </w:tcPr>
          <w:p w14:paraId="36FAA6D9" w14:textId="77777777" w:rsidR="000477B0" w:rsidRPr="008D73A7" w:rsidRDefault="000477B0" w:rsidP="00DE7D17">
            <w:pPr>
              <w:pStyle w:val="ECCTabletext"/>
              <w:jc w:val="left"/>
            </w:pPr>
            <w:r w:rsidRPr="008D73A7">
              <w:t>Fixed generic indoor surveillance radar</w:t>
            </w:r>
          </w:p>
        </w:tc>
        <w:tc>
          <w:tcPr>
            <w:tcW w:w="1821" w:type="pct"/>
          </w:tcPr>
          <w:p w14:paraId="48DF9DAF" w14:textId="77777777" w:rsidR="000477B0" w:rsidRPr="008D73A7" w:rsidRDefault="000477B0" w:rsidP="00DE7D17">
            <w:pPr>
              <w:pStyle w:val="ECCBulletsLv1"/>
              <w:numPr>
                <w:ilvl w:val="0"/>
                <w:numId w:val="0"/>
              </w:numPr>
              <w:ind w:left="360" w:hanging="360"/>
            </w:pPr>
            <w:r w:rsidRPr="008D73A7">
              <w:t>10.7 km</w:t>
            </w:r>
          </w:p>
        </w:tc>
      </w:tr>
      <w:tr w:rsidR="000477B0" w:rsidRPr="008D73A7" w14:paraId="7B413951" w14:textId="77777777" w:rsidTr="0024005D">
        <w:tc>
          <w:tcPr>
            <w:tcW w:w="3179" w:type="pct"/>
          </w:tcPr>
          <w:p w14:paraId="393F61CA" w14:textId="77777777" w:rsidR="000477B0" w:rsidRPr="008D73A7" w:rsidRDefault="000477B0" w:rsidP="00DE7D17">
            <w:pPr>
              <w:pStyle w:val="ECCTabletext"/>
              <w:jc w:val="left"/>
            </w:pPr>
            <w:r w:rsidRPr="008D73A7">
              <w:t>Radiodetermination systems for industry automation (RDI)</w:t>
            </w:r>
          </w:p>
        </w:tc>
        <w:tc>
          <w:tcPr>
            <w:tcW w:w="1821" w:type="pct"/>
          </w:tcPr>
          <w:p w14:paraId="4F975268" w14:textId="77777777" w:rsidR="000477B0" w:rsidRPr="008D73A7" w:rsidRDefault="000477B0" w:rsidP="00DE7D17">
            <w:pPr>
              <w:pStyle w:val="ECCBulletsLv1"/>
              <w:numPr>
                <w:ilvl w:val="0"/>
                <w:numId w:val="0"/>
              </w:numPr>
              <w:ind w:left="360" w:hanging="360"/>
            </w:pPr>
            <w:r w:rsidRPr="008D73A7">
              <w:t>20.0 km</w:t>
            </w:r>
          </w:p>
        </w:tc>
      </w:tr>
      <w:tr w:rsidR="000477B0" w:rsidRPr="008D73A7" w14:paraId="185912A3" w14:textId="77777777" w:rsidTr="0024005D">
        <w:tc>
          <w:tcPr>
            <w:tcW w:w="3179" w:type="pct"/>
          </w:tcPr>
          <w:p w14:paraId="1040DAF4" w14:textId="77777777" w:rsidR="000477B0" w:rsidRPr="008D73A7" w:rsidRDefault="000477B0" w:rsidP="00DE7D17">
            <w:pPr>
              <w:pStyle w:val="ECCTabletext"/>
              <w:jc w:val="left"/>
            </w:pPr>
            <w:r w:rsidRPr="008D73A7">
              <w:t>Level Probing Radar (LPR)</w:t>
            </w:r>
          </w:p>
        </w:tc>
        <w:tc>
          <w:tcPr>
            <w:tcW w:w="1821" w:type="pct"/>
          </w:tcPr>
          <w:p w14:paraId="231C864E" w14:textId="77777777" w:rsidR="000477B0" w:rsidRPr="008D73A7" w:rsidRDefault="000477B0" w:rsidP="00DE7D17">
            <w:pPr>
              <w:pStyle w:val="ECCBulletsLv1"/>
              <w:numPr>
                <w:ilvl w:val="0"/>
                <w:numId w:val="0"/>
              </w:numPr>
              <w:ind w:left="360" w:hanging="360"/>
            </w:pPr>
            <w:r w:rsidRPr="008D73A7">
              <w:t>13.0 km</w:t>
            </w:r>
          </w:p>
        </w:tc>
      </w:tr>
      <w:tr w:rsidR="000477B0" w:rsidRPr="008D73A7" w14:paraId="788C86E4" w14:textId="77777777" w:rsidTr="0024005D">
        <w:tc>
          <w:tcPr>
            <w:tcW w:w="3179" w:type="pct"/>
          </w:tcPr>
          <w:p w14:paraId="2C2CC8D0" w14:textId="77777777" w:rsidR="000477B0" w:rsidRPr="008D73A7" w:rsidRDefault="000477B0" w:rsidP="00DE7D17">
            <w:pPr>
              <w:pStyle w:val="ECCTabletext"/>
              <w:jc w:val="left"/>
            </w:pPr>
            <w:r w:rsidRPr="008D73A7">
              <w:t>Contour determination and acquisition radar (CDR)</w:t>
            </w:r>
          </w:p>
        </w:tc>
        <w:tc>
          <w:tcPr>
            <w:tcW w:w="1821" w:type="pct"/>
          </w:tcPr>
          <w:p w14:paraId="4D20A5FC" w14:textId="77777777" w:rsidR="000477B0" w:rsidRPr="008D73A7" w:rsidRDefault="000477B0" w:rsidP="00DE7D17">
            <w:pPr>
              <w:pStyle w:val="ECCBulletsLv1"/>
              <w:numPr>
                <w:ilvl w:val="0"/>
                <w:numId w:val="0"/>
              </w:numPr>
              <w:ind w:left="360" w:hanging="360"/>
            </w:pPr>
            <w:r w:rsidRPr="008D73A7">
              <w:t>20.0 km</w:t>
            </w:r>
          </w:p>
        </w:tc>
      </w:tr>
      <w:tr w:rsidR="000477B0" w:rsidRPr="008D73A7" w14:paraId="35F8C700" w14:textId="77777777" w:rsidTr="0024005D">
        <w:tc>
          <w:tcPr>
            <w:tcW w:w="3179" w:type="pct"/>
          </w:tcPr>
          <w:p w14:paraId="421FCA92" w14:textId="77777777" w:rsidR="000477B0" w:rsidRPr="008D73A7" w:rsidRDefault="000477B0" w:rsidP="00DE7D17">
            <w:pPr>
              <w:pStyle w:val="ECCTabletext"/>
              <w:jc w:val="left"/>
            </w:pPr>
            <w:r w:rsidRPr="008D73A7">
              <w:t>Radiodetermination systems for industry automation in shielded environments (RDI-S)</w:t>
            </w:r>
          </w:p>
        </w:tc>
        <w:tc>
          <w:tcPr>
            <w:tcW w:w="1821" w:type="pct"/>
          </w:tcPr>
          <w:p w14:paraId="58AB12B0" w14:textId="77777777" w:rsidR="000477B0" w:rsidRPr="008D73A7" w:rsidRDefault="000477B0" w:rsidP="00DE7D17">
            <w:pPr>
              <w:pStyle w:val="ECCBulletsLv1"/>
              <w:numPr>
                <w:ilvl w:val="0"/>
                <w:numId w:val="0"/>
              </w:numPr>
              <w:ind w:left="360" w:hanging="360"/>
            </w:pPr>
            <w:r w:rsidRPr="008D73A7">
              <w:t>13.2 km</w:t>
            </w:r>
          </w:p>
        </w:tc>
      </w:tr>
      <w:tr w:rsidR="00D01A2C" w:rsidRPr="008D73A7" w14:paraId="7270442F" w14:textId="77777777" w:rsidTr="0024005D">
        <w:tc>
          <w:tcPr>
            <w:tcW w:w="3179" w:type="pct"/>
          </w:tcPr>
          <w:p w14:paraId="188C5CA0" w14:textId="19BDE64D" w:rsidR="00D01A2C" w:rsidRPr="008D73A7" w:rsidRDefault="00D01A2C">
            <w:pPr>
              <w:pStyle w:val="ECCTabletext"/>
              <w:jc w:val="left"/>
            </w:pPr>
            <w:r w:rsidRPr="008D73A7">
              <w:t>Exterior vehicular radar applications (EVR)</w:t>
            </w:r>
            <w:r w:rsidR="004D4389" w:rsidRPr="008D73A7">
              <w:t xml:space="preserve"> (Note 1)</w:t>
            </w:r>
          </w:p>
        </w:tc>
        <w:tc>
          <w:tcPr>
            <w:tcW w:w="1821" w:type="pct"/>
          </w:tcPr>
          <w:p w14:paraId="5BCA140E" w14:textId="4A47E5A8" w:rsidR="00D01A2C" w:rsidRPr="008D73A7" w:rsidRDefault="00D01A2C">
            <w:pPr>
              <w:pStyle w:val="ECCBulletsLv1"/>
              <w:numPr>
                <w:ilvl w:val="0"/>
                <w:numId w:val="0"/>
              </w:numPr>
              <w:ind w:left="360" w:hanging="360"/>
            </w:pPr>
            <w:r w:rsidRPr="008D73A7">
              <w:t>3.0</w:t>
            </w:r>
            <w:r w:rsidR="00232B70" w:rsidRPr="008D73A7">
              <w:t> </w:t>
            </w:r>
            <w:r w:rsidRPr="008D73A7">
              <w:t>km</w:t>
            </w:r>
          </w:p>
        </w:tc>
      </w:tr>
      <w:tr w:rsidR="00D01A2C" w:rsidRPr="008D73A7" w14:paraId="4F16F13E" w14:textId="77777777" w:rsidTr="0024005D">
        <w:tc>
          <w:tcPr>
            <w:tcW w:w="3179" w:type="pct"/>
          </w:tcPr>
          <w:p w14:paraId="7C3C9491" w14:textId="7BF96CFC" w:rsidR="00D01A2C" w:rsidRPr="008D73A7" w:rsidRDefault="00D01A2C">
            <w:pPr>
              <w:pStyle w:val="ECCTabletext"/>
              <w:jc w:val="left"/>
            </w:pPr>
            <w:r w:rsidRPr="008D73A7">
              <w:t>In-cabin vehicular radar applications (IVR)</w:t>
            </w:r>
          </w:p>
        </w:tc>
        <w:tc>
          <w:tcPr>
            <w:tcW w:w="1821" w:type="pct"/>
          </w:tcPr>
          <w:p w14:paraId="3B1C7DE8" w14:textId="7A95D115" w:rsidR="00D01A2C" w:rsidRPr="008D73A7" w:rsidRDefault="00D01A2C">
            <w:pPr>
              <w:pStyle w:val="ECCBulletsLv1"/>
              <w:numPr>
                <w:ilvl w:val="0"/>
                <w:numId w:val="0"/>
              </w:numPr>
              <w:ind w:left="360" w:hanging="360"/>
            </w:pPr>
            <w:r w:rsidRPr="008D73A7">
              <w:t>3.0</w:t>
            </w:r>
            <w:r w:rsidR="00232B70" w:rsidRPr="008D73A7">
              <w:t> </w:t>
            </w:r>
            <w:r w:rsidRPr="008D73A7">
              <w:t>km</w:t>
            </w:r>
          </w:p>
        </w:tc>
      </w:tr>
      <w:tr w:rsidR="004D4389" w:rsidRPr="008D73A7" w14:paraId="1DD9F214" w14:textId="77777777" w:rsidTr="0024005D">
        <w:tc>
          <w:tcPr>
            <w:tcW w:w="0" w:type="pct"/>
            <w:gridSpan w:val="2"/>
          </w:tcPr>
          <w:p w14:paraId="1BC2DE61" w14:textId="5827D941" w:rsidR="004D4389" w:rsidRPr="008D73A7" w:rsidRDefault="004D4389" w:rsidP="005F721D">
            <w:pPr>
              <w:pStyle w:val="ECCTablenote"/>
            </w:pPr>
            <w:r w:rsidRPr="008D73A7">
              <w:t>Note 1: Additional coordination zones are required for exterior vehicular radar applications. Administrations can define these at a national level.</w:t>
            </w:r>
          </w:p>
        </w:tc>
      </w:tr>
    </w:tbl>
    <w:p w14:paraId="2DDEDDEE" w14:textId="77777777" w:rsidR="00D7043B" w:rsidRPr="008D73A7" w:rsidRDefault="00D7043B" w:rsidP="00D7043B">
      <w:pPr>
        <w:pStyle w:val="ECCParagraph"/>
        <w:rPr>
          <w:lang w:eastAsia="ar-SA"/>
        </w:rPr>
      </w:pPr>
    </w:p>
    <w:p w14:paraId="01ED5E9B" w14:textId="77777777" w:rsidR="00083DD8" w:rsidRPr="008D73A7" w:rsidRDefault="00083DD8">
      <w:pPr>
        <w:spacing w:before="0" w:after="0"/>
        <w:rPr>
          <w:b/>
          <w:caps/>
          <w:lang w:val="en-GB" w:eastAsia="ar-SA"/>
        </w:rPr>
      </w:pPr>
      <w:r w:rsidRPr="008D73A7">
        <w:rPr>
          <w:lang w:val="en-GB" w:eastAsia="ar-SA"/>
        </w:rPr>
        <w:br w:type="page"/>
      </w:r>
    </w:p>
    <w:p w14:paraId="65577535" w14:textId="5023A13C" w:rsidR="00E10018" w:rsidRPr="008D73A7" w:rsidRDefault="00E10018" w:rsidP="00D64498">
      <w:pPr>
        <w:pStyle w:val="ECCAnnexheading2"/>
        <w:ind w:left="576"/>
        <w:rPr>
          <w:lang w:val="en-GB" w:eastAsia="ar-SA"/>
        </w:rPr>
      </w:pPr>
      <w:r w:rsidRPr="008D73A7">
        <w:rPr>
          <w:lang w:val="en-GB" w:eastAsia="ar-SA"/>
        </w:rPr>
        <w:lastRenderedPageBreak/>
        <w:t>Technical requirements for generic indoor surveillance radar</w:t>
      </w:r>
    </w:p>
    <w:p w14:paraId="67385B4D" w14:textId="197425D9" w:rsidR="00E10018" w:rsidRPr="008D73A7" w:rsidRDefault="00E10018" w:rsidP="00E25082">
      <w:pPr>
        <w:pStyle w:val="Caption"/>
        <w:keepNext/>
        <w:spacing w:before="360"/>
        <w:rPr>
          <w:lang w:val="en-GB"/>
        </w:rPr>
      </w:pPr>
      <w:bookmarkStart w:id="353" w:name="_Ref82073980"/>
      <w:r w:rsidRPr="008D73A7">
        <w:rPr>
          <w:lang w:val="en-GB"/>
        </w:rPr>
        <w:t>Table </w:t>
      </w:r>
      <w:r w:rsidRPr="008D73A7">
        <w:rPr>
          <w:lang w:val="en-GB"/>
        </w:rPr>
        <w:fldChar w:fldCharType="begin"/>
      </w:r>
      <w:r w:rsidRPr="008D73A7">
        <w:rPr>
          <w:lang w:val="en-GB"/>
        </w:rPr>
        <w:instrText xml:space="preserve"> SEQ Table \* ARABIC </w:instrText>
      </w:r>
      <w:r w:rsidRPr="008D73A7">
        <w:rPr>
          <w:lang w:val="en-GB"/>
        </w:rPr>
        <w:fldChar w:fldCharType="separate"/>
      </w:r>
      <w:r w:rsidR="00BD0B7C" w:rsidRPr="008D73A7">
        <w:rPr>
          <w:lang w:val="en-GB"/>
        </w:rPr>
        <w:t>14</w:t>
      </w:r>
      <w:r w:rsidRPr="008D73A7">
        <w:rPr>
          <w:lang w:val="en-GB"/>
        </w:rPr>
        <w:fldChar w:fldCharType="end"/>
      </w:r>
      <w:bookmarkEnd w:id="353"/>
      <w:r w:rsidRPr="008D73A7">
        <w:rPr>
          <w:lang w:val="en-GB"/>
        </w:rPr>
        <w:t>: Technical requirements for hand</w:t>
      </w:r>
      <w:r w:rsidR="00B710B5" w:rsidRPr="008D73A7">
        <w:rPr>
          <w:lang w:val="en-GB"/>
        </w:rPr>
        <w:t>-</w:t>
      </w:r>
      <w:r w:rsidRPr="008D73A7">
        <w:rPr>
          <w:lang w:val="en-GB"/>
        </w:rPr>
        <w:t>held/mobile generic indoor surveillance radar in the designated bands</w:t>
      </w:r>
    </w:p>
    <w:tbl>
      <w:tblPr>
        <w:tblStyle w:val="ECCTable-redheader"/>
        <w:tblW w:w="9222" w:type="dxa"/>
        <w:tblInd w:w="0" w:type="dxa"/>
        <w:tblLook w:val="04A0" w:firstRow="1" w:lastRow="0" w:firstColumn="1" w:lastColumn="0" w:noHBand="0" w:noVBand="1"/>
      </w:tblPr>
      <w:tblGrid>
        <w:gridCol w:w="1295"/>
        <w:gridCol w:w="1200"/>
        <w:gridCol w:w="1463"/>
        <w:gridCol w:w="1145"/>
        <w:gridCol w:w="1981"/>
        <w:gridCol w:w="2138"/>
      </w:tblGrid>
      <w:tr w:rsidR="00E10018" w:rsidRPr="008D73A7" w14:paraId="06A9187B" w14:textId="77777777" w:rsidTr="00D7043B">
        <w:trPr>
          <w:cnfStyle w:val="100000000000" w:firstRow="1" w:lastRow="0" w:firstColumn="0" w:lastColumn="0" w:oddVBand="0" w:evenVBand="0" w:oddHBand="0" w:evenHBand="0" w:firstRowFirstColumn="0" w:firstRowLastColumn="0" w:lastRowFirstColumn="0" w:lastRowLastColumn="0"/>
        </w:trPr>
        <w:tc>
          <w:tcPr>
            <w:tcW w:w="1295" w:type="dxa"/>
            <w:tcBorders>
              <w:top w:val="single" w:sz="4" w:space="0" w:color="FFFFFF" w:themeColor="background1"/>
              <w:left w:val="single" w:sz="4" w:space="0" w:color="FFFFFF" w:themeColor="background1"/>
              <w:bottom w:val="nil"/>
            </w:tcBorders>
          </w:tcPr>
          <w:p w14:paraId="78138C22" w14:textId="77777777" w:rsidR="00E10018" w:rsidRPr="008D73A7" w:rsidRDefault="00E10018" w:rsidP="00E25082">
            <w:pPr>
              <w:pStyle w:val="ECCTableHeaderwhitefont"/>
              <w:keepNext/>
              <w:rPr>
                <w:b w:val="0"/>
                <w:lang w:val="en-GB"/>
              </w:rPr>
            </w:pPr>
            <w:r w:rsidRPr="008D73A7">
              <w:rPr>
                <w:lang w:val="en-GB"/>
              </w:rPr>
              <w:t>Designated frequency band</w:t>
            </w:r>
          </w:p>
          <w:p w14:paraId="20F3FB86" w14:textId="71724AF0" w:rsidR="00E10018" w:rsidRPr="008D73A7" w:rsidRDefault="00E10018" w:rsidP="00E25082">
            <w:pPr>
              <w:pStyle w:val="ECCTableHeaderwhitefont"/>
              <w:keepNext/>
              <w:spacing w:before="60"/>
              <w:rPr>
                <w:lang w:val="en-GB"/>
              </w:rPr>
            </w:pPr>
          </w:p>
        </w:tc>
        <w:tc>
          <w:tcPr>
            <w:tcW w:w="1200" w:type="dxa"/>
            <w:tcBorders>
              <w:bottom w:val="single" w:sz="4" w:space="0" w:color="FFFFFF" w:themeColor="background1"/>
            </w:tcBorders>
          </w:tcPr>
          <w:p w14:paraId="4B05113B" w14:textId="77777777" w:rsidR="00E10018" w:rsidRPr="008D73A7" w:rsidRDefault="00E10018" w:rsidP="00E25082">
            <w:pPr>
              <w:pStyle w:val="ECCTableHeaderwhitefont"/>
              <w:keepNext/>
              <w:rPr>
                <w:lang w:val="en-GB"/>
              </w:rPr>
            </w:pPr>
            <w:r w:rsidRPr="008D73A7">
              <w:rPr>
                <w:lang w:val="en-GB"/>
              </w:rPr>
              <w:t>Maximum mean e.i.r.p. (Note 1)</w:t>
            </w:r>
          </w:p>
        </w:tc>
        <w:tc>
          <w:tcPr>
            <w:tcW w:w="1463" w:type="dxa"/>
            <w:tcBorders>
              <w:bottom w:val="single" w:sz="4" w:space="0" w:color="FFFFFF" w:themeColor="background1"/>
            </w:tcBorders>
          </w:tcPr>
          <w:p w14:paraId="1C72DE33" w14:textId="77777777" w:rsidR="00E10018" w:rsidRPr="008D73A7" w:rsidRDefault="00E10018" w:rsidP="00E25082">
            <w:pPr>
              <w:pStyle w:val="ECCTableHeaderwhitefont"/>
              <w:keepNext/>
              <w:rPr>
                <w:lang w:val="en-GB"/>
              </w:rPr>
            </w:pPr>
            <w:r w:rsidRPr="008D73A7">
              <w:rPr>
                <w:lang w:val="en-GB"/>
              </w:rPr>
              <w:t>Maximum mean e.i.r.p. spectral density (Note 2)</w:t>
            </w:r>
          </w:p>
        </w:tc>
        <w:tc>
          <w:tcPr>
            <w:tcW w:w="1145" w:type="dxa"/>
            <w:tcBorders>
              <w:bottom w:val="single" w:sz="4" w:space="0" w:color="FFFFFF" w:themeColor="background1"/>
            </w:tcBorders>
          </w:tcPr>
          <w:p w14:paraId="7DC3153A" w14:textId="77777777" w:rsidR="00E10018" w:rsidRPr="008D73A7" w:rsidRDefault="00E10018" w:rsidP="00E25082">
            <w:pPr>
              <w:pStyle w:val="ECCTableHeaderwhitefont"/>
              <w:keepNext/>
              <w:rPr>
                <w:lang w:val="en-GB"/>
              </w:rPr>
            </w:pPr>
            <w:r w:rsidRPr="008D73A7">
              <w:rPr>
                <w:lang w:val="en-GB"/>
              </w:rPr>
              <w:t>Maximum peak e.i.r.p. (Note 5)</w:t>
            </w:r>
          </w:p>
        </w:tc>
        <w:tc>
          <w:tcPr>
            <w:tcW w:w="1981" w:type="dxa"/>
            <w:tcBorders>
              <w:bottom w:val="single" w:sz="4" w:space="0" w:color="FFFFFF" w:themeColor="background1"/>
            </w:tcBorders>
          </w:tcPr>
          <w:p w14:paraId="401255F2" w14:textId="77777777" w:rsidR="00E10018" w:rsidRPr="008D73A7" w:rsidRDefault="00E10018" w:rsidP="00E25082">
            <w:pPr>
              <w:pStyle w:val="ECCTableHeaderwhitefont"/>
              <w:keepNext/>
              <w:rPr>
                <w:lang w:val="en-GB"/>
              </w:rPr>
            </w:pPr>
            <w:r w:rsidRPr="008D73A7">
              <w:rPr>
                <w:lang w:val="en-GB"/>
              </w:rPr>
              <w:t>Spectrum access and mitigation requirements (Note 3)</w:t>
            </w:r>
          </w:p>
        </w:tc>
        <w:tc>
          <w:tcPr>
            <w:tcW w:w="2138" w:type="dxa"/>
            <w:tcBorders>
              <w:bottom w:val="single" w:sz="4" w:space="0" w:color="FFFFFF" w:themeColor="background1"/>
            </w:tcBorders>
          </w:tcPr>
          <w:p w14:paraId="1A77F2C4" w14:textId="77777777" w:rsidR="00E10018" w:rsidRPr="008D73A7" w:rsidRDefault="00E10018" w:rsidP="00E25082">
            <w:pPr>
              <w:pStyle w:val="ECCTableHeaderwhitefont"/>
              <w:keepNext/>
              <w:rPr>
                <w:lang w:val="en-GB"/>
              </w:rPr>
            </w:pPr>
            <w:r w:rsidRPr="008D73A7">
              <w:rPr>
                <w:lang w:val="en-GB"/>
              </w:rPr>
              <w:t>Minimum unwanted emissions attenuation (Note 4)</w:t>
            </w:r>
          </w:p>
        </w:tc>
      </w:tr>
      <w:tr w:rsidR="00E10018" w:rsidRPr="008D73A7" w14:paraId="087E3428" w14:textId="77777777" w:rsidTr="00D7043B">
        <w:tc>
          <w:tcPr>
            <w:tcW w:w="1295" w:type="dxa"/>
            <w:tcBorders>
              <w:top w:val="nil"/>
              <w:left w:val="single" w:sz="4" w:space="0" w:color="FFFFFF" w:themeColor="background1"/>
              <w:bottom w:val="single" w:sz="4" w:space="0" w:color="FFFFFF" w:themeColor="background1"/>
              <w:right w:val="single" w:sz="4" w:space="0" w:color="FFFFFF" w:themeColor="background1"/>
            </w:tcBorders>
            <w:shd w:val="clear" w:color="auto" w:fill="D2232A"/>
          </w:tcPr>
          <w:p w14:paraId="201CE0E8" w14:textId="77777777" w:rsidR="00E10018" w:rsidRPr="008D73A7" w:rsidRDefault="00E10018" w:rsidP="00E25082">
            <w:pPr>
              <w:pStyle w:val="ECCTableHeaderwhitefont"/>
              <w:keepNext/>
              <w:rPr>
                <w:lang w:val="en-GB"/>
              </w:rPr>
            </w:pPr>
          </w:p>
        </w:tc>
        <w:tc>
          <w:tcPr>
            <w:tcW w:w="1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EECDCEE" w14:textId="77777777" w:rsidR="00E10018" w:rsidRPr="008D73A7" w:rsidRDefault="00E10018" w:rsidP="00E25082">
            <w:pPr>
              <w:pStyle w:val="ECCTabletext"/>
              <w:keepNext/>
              <w:jc w:val="center"/>
              <w:rPr>
                <w:b/>
                <w:color w:val="FFFFFF" w:themeColor="background1"/>
              </w:rPr>
            </w:pPr>
            <w:r w:rsidRPr="008D73A7">
              <w:rPr>
                <w:b/>
                <w:color w:val="FFFFFF" w:themeColor="background1"/>
              </w:rPr>
              <w:t>A</w:t>
            </w:r>
          </w:p>
        </w:tc>
        <w:tc>
          <w:tcPr>
            <w:tcW w:w="14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FE4563A" w14:textId="77777777" w:rsidR="00E10018" w:rsidRPr="008D73A7" w:rsidRDefault="00E10018" w:rsidP="00E25082">
            <w:pPr>
              <w:pStyle w:val="ECCTabletext"/>
              <w:keepNext/>
              <w:jc w:val="center"/>
              <w:rPr>
                <w:b/>
                <w:color w:val="FFFFFF" w:themeColor="background1"/>
              </w:rPr>
            </w:pPr>
            <w:r w:rsidRPr="008D73A7">
              <w:rPr>
                <w:b/>
                <w:color w:val="FFFFFF" w:themeColor="background1"/>
              </w:rPr>
              <w:t>B</w:t>
            </w:r>
          </w:p>
        </w:tc>
        <w:tc>
          <w:tcPr>
            <w:tcW w:w="11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5CCB8A6" w14:textId="77777777" w:rsidR="00E10018" w:rsidRPr="008D73A7" w:rsidRDefault="00E10018" w:rsidP="00E25082">
            <w:pPr>
              <w:pStyle w:val="ECCTabletext"/>
              <w:keepNext/>
              <w:jc w:val="center"/>
              <w:rPr>
                <w:b/>
                <w:color w:val="FFFFFF" w:themeColor="background1"/>
              </w:rPr>
            </w:pPr>
            <w:r w:rsidRPr="008D73A7">
              <w:rPr>
                <w:b/>
                <w:color w:val="FFFFFF" w:themeColor="background1"/>
              </w:rPr>
              <w:t>C</w:t>
            </w:r>
          </w:p>
        </w:tc>
        <w:tc>
          <w:tcPr>
            <w:tcW w:w="19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9D4A060" w14:textId="77777777" w:rsidR="00E10018" w:rsidRPr="008D73A7" w:rsidRDefault="00E10018" w:rsidP="00E25082">
            <w:pPr>
              <w:pStyle w:val="ECCTabletext"/>
              <w:keepNext/>
              <w:jc w:val="center"/>
              <w:rPr>
                <w:b/>
                <w:color w:val="FFFFFF" w:themeColor="background1"/>
              </w:rPr>
            </w:pPr>
            <w:r w:rsidRPr="008D73A7">
              <w:rPr>
                <w:b/>
                <w:color w:val="FFFFFF" w:themeColor="background1"/>
              </w:rPr>
              <w:t>D</w:t>
            </w:r>
          </w:p>
        </w:tc>
        <w:tc>
          <w:tcPr>
            <w:tcW w:w="2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D198E8A" w14:textId="77777777" w:rsidR="00E10018" w:rsidRPr="008D73A7" w:rsidRDefault="00E10018" w:rsidP="00E25082">
            <w:pPr>
              <w:pStyle w:val="ECCTabletext"/>
              <w:keepNext/>
              <w:jc w:val="center"/>
              <w:rPr>
                <w:b/>
                <w:color w:val="FFFFFF" w:themeColor="background1"/>
              </w:rPr>
            </w:pPr>
            <w:r w:rsidRPr="008D73A7">
              <w:rPr>
                <w:b/>
                <w:color w:val="FFFFFF" w:themeColor="background1"/>
              </w:rPr>
              <w:t>E</w:t>
            </w:r>
          </w:p>
        </w:tc>
      </w:tr>
      <w:tr w:rsidR="00E10018" w:rsidRPr="008D73A7" w14:paraId="277ED9F7" w14:textId="77777777" w:rsidTr="00D7043B">
        <w:tc>
          <w:tcPr>
            <w:tcW w:w="1295" w:type="dxa"/>
            <w:tcBorders>
              <w:top w:val="single" w:sz="4" w:space="0" w:color="FFFFFF" w:themeColor="background1"/>
            </w:tcBorders>
          </w:tcPr>
          <w:p w14:paraId="6CA384EC" w14:textId="2D67A28C" w:rsidR="00E10018" w:rsidRPr="008D73A7" w:rsidRDefault="00E10018" w:rsidP="00E25082">
            <w:pPr>
              <w:pStyle w:val="ECCTabletext"/>
              <w:keepNext/>
              <w:jc w:val="left"/>
            </w:pPr>
            <w:r w:rsidRPr="008D73A7">
              <w:t>122.25</w:t>
            </w:r>
            <w:r w:rsidR="00666B9A" w:rsidRPr="008D73A7">
              <w:t>-</w:t>
            </w:r>
            <w:r w:rsidRPr="008D73A7">
              <w:t>130</w:t>
            </w:r>
            <w:r w:rsidR="00CF7407" w:rsidRPr="008D73A7">
              <w:t xml:space="preserve"> </w:t>
            </w:r>
            <w:r w:rsidR="00D44467" w:rsidRPr="008D73A7">
              <w:t>GHz</w:t>
            </w:r>
          </w:p>
        </w:tc>
        <w:tc>
          <w:tcPr>
            <w:tcW w:w="1200" w:type="dxa"/>
            <w:tcBorders>
              <w:top w:val="single" w:sz="4" w:space="0" w:color="FFFFFF" w:themeColor="background1"/>
            </w:tcBorders>
          </w:tcPr>
          <w:p w14:paraId="582F39E2" w14:textId="77777777" w:rsidR="00E10018" w:rsidRPr="008D73A7" w:rsidRDefault="00E10018" w:rsidP="00E25082">
            <w:pPr>
              <w:pStyle w:val="ECCTabletext"/>
              <w:keepNext/>
              <w:jc w:val="left"/>
            </w:pPr>
            <w:r w:rsidRPr="008D73A7">
              <w:t>10 dBm</w:t>
            </w:r>
          </w:p>
        </w:tc>
        <w:tc>
          <w:tcPr>
            <w:tcW w:w="1463" w:type="dxa"/>
            <w:tcBorders>
              <w:top w:val="single" w:sz="4" w:space="0" w:color="FFFFFF" w:themeColor="background1"/>
            </w:tcBorders>
          </w:tcPr>
          <w:p w14:paraId="26CC7F86" w14:textId="77777777" w:rsidR="00E10018" w:rsidRPr="008D73A7" w:rsidRDefault="00E10018" w:rsidP="00E25082">
            <w:pPr>
              <w:pStyle w:val="ECCTabletext"/>
              <w:keepNext/>
              <w:jc w:val="left"/>
            </w:pPr>
            <w:r w:rsidRPr="008D73A7">
              <w:t>-20 dBm/MHz</w:t>
            </w:r>
          </w:p>
        </w:tc>
        <w:tc>
          <w:tcPr>
            <w:tcW w:w="1145" w:type="dxa"/>
            <w:tcBorders>
              <w:top w:val="single" w:sz="4" w:space="0" w:color="FFFFFF" w:themeColor="background1"/>
            </w:tcBorders>
          </w:tcPr>
          <w:p w14:paraId="0E450B27" w14:textId="77777777" w:rsidR="00E10018" w:rsidRPr="008D73A7" w:rsidRDefault="00E10018" w:rsidP="00E25082">
            <w:pPr>
              <w:pStyle w:val="ECCTabletext"/>
              <w:keepNext/>
              <w:jc w:val="left"/>
            </w:pPr>
            <w:r w:rsidRPr="008D73A7">
              <w:t>20 dBm</w:t>
            </w:r>
          </w:p>
        </w:tc>
        <w:tc>
          <w:tcPr>
            <w:tcW w:w="1981" w:type="dxa"/>
            <w:tcBorders>
              <w:top w:val="single" w:sz="4" w:space="0" w:color="FFFFFF" w:themeColor="background1"/>
            </w:tcBorders>
          </w:tcPr>
          <w:p w14:paraId="09C997FC" w14:textId="77777777" w:rsidR="00E10018" w:rsidRPr="008D73A7" w:rsidRDefault="00E10018" w:rsidP="00E25082">
            <w:pPr>
              <w:pStyle w:val="ECCTabletext"/>
              <w:keepNext/>
              <w:jc w:val="left"/>
            </w:pPr>
            <w:r w:rsidRPr="008D73A7">
              <w:t>∑</w:t>
            </w:r>
            <w:proofErr w:type="spellStart"/>
            <w:r w:rsidRPr="008D73A7">
              <w:t>T</w:t>
            </w:r>
            <w:r w:rsidRPr="008D73A7">
              <w:rPr>
                <w:vertAlign w:val="subscript"/>
              </w:rPr>
              <w:t>meas</w:t>
            </w:r>
            <w:proofErr w:type="spellEnd"/>
            <w:r w:rsidRPr="008D73A7">
              <w:t xml:space="preserve"> ≤ 400 ms within Tobs = 1 s is equivalent to a maximum duty cycle of 40%</w:t>
            </w:r>
          </w:p>
        </w:tc>
        <w:tc>
          <w:tcPr>
            <w:tcW w:w="2138" w:type="dxa"/>
            <w:tcBorders>
              <w:top w:val="single" w:sz="4" w:space="0" w:color="FFFFFF" w:themeColor="background1"/>
            </w:tcBorders>
          </w:tcPr>
          <w:p w14:paraId="15D85699" w14:textId="77777777" w:rsidR="00E10018" w:rsidRPr="008D73A7" w:rsidRDefault="00E10018" w:rsidP="00E25082">
            <w:pPr>
              <w:pStyle w:val="ECCTabletext"/>
              <w:keepNext/>
              <w:jc w:val="left"/>
            </w:pPr>
            <w:r w:rsidRPr="008D73A7">
              <w:t>20 dB</w:t>
            </w:r>
          </w:p>
        </w:tc>
      </w:tr>
      <w:tr w:rsidR="00E10018" w:rsidRPr="008D73A7" w14:paraId="3C89EB9B" w14:textId="77777777" w:rsidTr="00DE7D17">
        <w:tc>
          <w:tcPr>
            <w:tcW w:w="1295" w:type="dxa"/>
          </w:tcPr>
          <w:p w14:paraId="487C9CEA" w14:textId="0F22C89F" w:rsidR="00E10018" w:rsidRPr="008D73A7" w:rsidRDefault="00E10018" w:rsidP="00E25082">
            <w:pPr>
              <w:pStyle w:val="ECCTabletext"/>
              <w:keepNext/>
              <w:jc w:val="left"/>
            </w:pPr>
            <w:r w:rsidRPr="008D73A7">
              <w:t>134</w:t>
            </w:r>
            <w:r w:rsidR="00666B9A" w:rsidRPr="008D73A7">
              <w:t>-</w:t>
            </w:r>
            <w:r w:rsidRPr="008D73A7">
              <w:t>148.5</w:t>
            </w:r>
            <w:r w:rsidR="00CF7407" w:rsidRPr="008D73A7">
              <w:t xml:space="preserve"> </w:t>
            </w:r>
            <w:r w:rsidR="00D44467" w:rsidRPr="008D73A7">
              <w:t>GHz</w:t>
            </w:r>
          </w:p>
        </w:tc>
        <w:tc>
          <w:tcPr>
            <w:tcW w:w="1200" w:type="dxa"/>
          </w:tcPr>
          <w:p w14:paraId="6F9CA215" w14:textId="77777777" w:rsidR="00E10018" w:rsidRPr="008D73A7" w:rsidRDefault="00E10018" w:rsidP="00E25082">
            <w:pPr>
              <w:pStyle w:val="ECCTabletext"/>
              <w:keepNext/>
              <w:jc w:val="left"/>
            </w:pPr>
            <w:r w:rsidRPr="008D73A7">
              <w:t>10 dBm</w:t>
            </w:r>
          </w:p>
        </w:tc>
        <w:tc>
          <w:tcPr>
            <w:tcW w:w="1463" w:type="dxa"/>
          </w:tcPr>
          <w:p w14:paraId="6703011A" w14:textId="77777777" w:rsidR="00E10018" w:rsidRPr="008D73A7" w:rsidRDefault="00E10018" w:rsidP="00E25082">
            <w:pPr>
              <w:pStyle w:val="ECCTabletext"/>
              <w:keepNext/>
              <w:jc w:val="left"/>
            </w:pPr>
            <w:r w:rsidRPr="008D73A7">
              <w:t>-20 dBm/MHz</w:t>
            </w:r>
          </w:p>
        </w:tc>
        <w:tc>
          <w:tcPr>
            <w:tcW w:w="1145" w:type="dxa"/>
          </w:tcPr>
          <w:p w14:paraId="794E3DD9" w14:textId="77777777" w:rsidR="00E10018" w:rsidRPr="008D73A7" w:rsidRDefault="00E10018" w:rsidP="00E25082">
            <w:pPr>
              <w:pStyle w:val="ECCTabletext"/>
              <w:keepNext/>
              <w:jc w:val="left"/>
            </w:pPr>
            <w:r w:rsidRPr="008D73A7">
              <w:t>20 dBm</w:t>
            </w:r>
          </w:p>
        </w:tc>
        <w:tc>
          <w:tcPr>
            <w:tcW w:w="1981" w:type="dxa"/>
          </w:tcPr>
          <w:p w14:paraId="49A7B441" w14:textId="77777777" w:rsidR="00E10018" w:rsidRPr="008D73A7" w:rsidRDefault="00E10018" w:rsidP="00E25082">
            <w:pPr>
              <w:pStyle w:val="ECCTabletext"/>
              <w:keepNext/>
              <w:jc w:val="left"/>
            </w:pPr>
            <w:r w:rsidRPr="008D73A7">
              <w:t>∑</w:t>
            </w:r>
            <w:proofErr w:type="spellStart"/>
            <w:r w:rsidRPr="008D73A7">
              <w:t>T</w:t>
            </w:r>
            <w:r w:rsidRPr="008D73A7">
              <w:rPr>
                <w:vertAlign w:val="subscript"/>
              </w:rPr>
              <w:t>meas</w:t>
            </w:r>
            <w:proofErr w:type="spellEnd"/>
            <w:r w:rsidRPr="008D73A7">
              <w:t xml:space="preserve"> ≤ 400 ms within Tobs = 1 s is equivalent to a maximum duty cycle of 40%</w:t>
            </w:r>
          </w:p>
        </w:tc>
        <w:tc>
          <w:tcPr>
            <w:tcW w:w="2138" w:type="dxa"/>
          </w:tcPr>
          <w:p w14:paraId="41BAF65B" w14:textId="77777777" w:rsidR="00E10018" w:rsidRPr="008D73A7" w:rsidRDefault="00E10018" w:rsidP="00E25082">
            <w:pPr>
              <w:pStyle w:val="ECCTabletext"/>
              <w:keepNext/>
              <w:jc w:val="left"/>
            </w:pPr>
            <w:r w:rsidRPr="008D73A7">
              <w:t>20 dB</w:t>
            </w:r>
          </w:p>
        </w:tc>
      </w:tr>
      <w:tr w:rsidR="00E10018" w:rsidRPr="008D73A7" w14:paraId="4FB5AB26" w14:textId="77777777" w:rsidTr="00DE7D17">
        <w:tc>
          <w:tcPr>
            <w:tcW w:w="9222" w:type="dxa"/>
            <w:gridSpan w:val="6"/>
          </w:tcPr>
          <w:p w14:paraId="12207E64" w14:textId="77777777" w:rsidR="00E10018" w:rsidRPr="008D73A7" w:rsidRDefault="00E10018" w:rsidP="005F721D">
            <w:pPr>
              <w:pStyle w:val="ECCTablenote"/>
            </w:pPr>
            <w:r w:rsidRPr="008D73A7">
              <w:t xml:space="preserve">Note 1: Maximum mean e.i.r.p. within the OFR (see Note 4) and during </w:t>
            </w:r>
            <w:proofErr w:type="spellStart"/>
            <w:r w:rsidRPr="008D73A7">
              <w:t>T</w:t>
            </w:r>
            <w:r w:rsidRPr="008D73A7">
              <w:rPr>
                <w:vertAlign w:val="subscript"/>
              </w:rPr>
              <w:t>meas</w:t>
            </w:r>
            <w:proofErr w:type="spellEnd"/>
            <w:r w:rsidRPr="008D73A7">
              <w:t xml:space="preserve"> (time when transmission is on).</w:t>
            </w:r>
          </w:p>
          <w:p w14:paraId="039D7715" w14:textId="77777777" w:rsidR="00E10018" w:rsidRPr="008D73A7" w:rsidRDefault="00E10018" w:rsidP="005F721D">
            <w:pPr>
              <w:pStyle w:val="ECCTablenote"/>
            </w:pPr>
            <w:r w:rsidRPr="008D73A7">
              <w:t>Note 2: These limits should be measured with an RMS detector and averaging time of 1 ms.</w:t>
            </w:r>
          </w:p>
          <w:p w14:paraId="4AEE0F4F" w14:textId="442C4048" w:rsidR="00E10018" w:rsidRPr="008D73A7" w:rsidRDefault="00E10018" w:rsidP="005F721D">
            <w:pPr>
              <w:pStyle w:val="ECCTablenote"/>
            </w:pPr>
            <w:r w:rsidRPr="008D73A7">
              <w:t>Note 3: The maximum duty cycle is not included in the maximum mean e.i.r.p. and maximum mean e.i.r.p. spectral density values. Consequently, these values must be reduced by 4 dB when averaging over the observation time T</w:t>
            </w:r>
            <w:r w:rsidRPr="008D73A7">
              <w:rPr>
                <w:vertAlign w:val="subscript"/>
              </w:rPr>
              <w:t>obs</w:t>
            </w:r>
            <w:r w:rsidRPr="008D73A7">
              <w:t xml:space="preserve"> = 1 s because of the inclusion of the maximum duty cycle of 40%.</w:t>
            </w:r>
          </w:p>
          <w:p w14:paraId="29CE29C2" w14:textId="6CFEC1C2" w:rsidR="00E10018" w:rsidRPr="008D73A7" w:rsidRDefault="00E10018" w:rsidP="005F721D">
            <w:pPr>
              <w:pStyle w:val="ECCTablenote"/>
            </w:pPr>
            <w:r w:rsidRPr="008D73A7">
              <w:t>Note 4: The operating frequency range (OFR) is defined over the 20 dB reduction of the intentional transmission (</w:t>
            </w:r>
            <w:r w:rsidR="00272AC5" w:rsidRPr="008D73A7">
              <w:t>“</w:t>
            </w:r>
            <w:r w:rsidRPr="008D73A7">
              <w:t>20 dB bandwidth</w:t>
            </w:r>
            <w:r w:rsidR="00272AC5" w:rsidRPr="008D73A7">
              <w:t>”</w:t>
            </w:r>
            <w:r w:rsidRPr="008D73A7">
              <w:t>) radiated by the equipment into the air. The unwanted emissions attenuation applies to the frequencies outside the OFR and shall be applied to the maximum mean e.i.r.p. spectral density and the maximum peak e.i.r.p. The measurement bandwidth for the unwanted emissions domain is 1 MHz.</w:t>
            </w:r>
          </w:p>
          <w:p w14:paraId="6524CC12" w14:textId="77777777" w:rsidR="00E10018" w:rsidRPr="008D73A7" w:rsidRDefault="00E10018" w:rsidP="005F721D">
            <w:pPr>
              <w:pStyle w:val="ECCTablenote"/>
            </w:pPr>
            <w:r w:rsidRPr="008D73A7">
              <w:t>Note 5: The maximum peak e.i.r.p. shall be measured/evaluated in 1 GHz bandwidth.</w:t>
            </w:r>
          </w:p>
        </w:tc>
      </w:tr>
    </w:tbl>
    <w:p w14:paraId="59F4B5D9" w14:textId="77777777" w:rsidR="00D7043B" w:rsidRPr="008D73A7" w:rsidRDefault="00D7043B" w:rsidP="00D7043B">
      <w:pPr>
        <w:pStyle w:val="ECCParagraph"/>
        <w:rPr>
          <w:lang w:eastAsia="ar-SA"/>
        </w:rPr>
      </w:pPr>
      <w:bookmarkStart w:id="354" w:name="_Ref106107080"/>
    </w:p>
    <w:p w14:paraId="56BD65B7" w14:textId="77777777" w:rsidR="005734B6" w:rsidRPr="008D73A7" w:rsidRDefault="005734B6">
      <w:pPr>
        <w:spacing w:before="0" w:after="0"/>
        <w:rPr>
          <w:b/>
          <w:bCs/>
          <w:color w:val="D2232A"/>
          <w:sz w:val="18"/>
          <w:szCs w:val="18"/>
          <w:lang w:val="en-GB"/>
        </w:rPr>
      </w:pPr>
      <w:r w:rsidRPr="008D73A7">
        <w:rPr>
          <w:lang w:val="en-GB"/>
        </w:rPr>
        <w:br w:type="page"/>
      </w:r>
    </w:p>
    <w:p w14:paraId="0773BE21" w14:textId="7C9EBB80" w:rsidR="00E10018" w:rsidRPr="008D73A7" w:rsidRDefault="00E10018" w:rsidP="0061151D">
      <w:pPr>
        <w:pStyle w:val="Caption"/>
        <w:spacing w:before="360"/>
        <w:rPr>
          <w:lang w:val="en-GB"/>
        </w:rPr>
      </w:pPr>
      <w:r w:rsidRPr="008D73A7">
        <w:rPr>
          <w:lang w:val="en-GB"/>
        </w:rPr>
        <w:lastRenderedPageBreak/>
        <w:t>Table </w:t>
      </w:r>
      <w:r w:rsidRPr="008D73A7">
        <w:rPr>
          <w:lang w:val="en-GB"/>
        </w:rPr>
        <w:fldChar w:fldCharType="begin"/>
      </w:r>
      <w:r w:rsidRPr="008D73A7">
        <w:rPr>
          <w:lang w:val="en-GB"/>
        </w:rPr>
        <w:instrText xml:space="preserve"> SEQ Table \* ARABIC </w:instrText>
      </w:r>
      <w:r w:rsidRPr="008D73A7">
        <w:rPr>
          <w:lang w:val="en-GB"/>
        </w:rPr>
        <w:fldChar w:fldCharType="separate"/>
      </w:r>
      <w:r w:rsidR="00BD0B7C" w:rsidRPr="008D73A7">
        <w:rPr>
          <w:lang w:val="en-GB"/>
        </w:rPr>
        <w:t>15</w:t>
      </w:r>
      <w:r w:rsidRPr="008D73A7">
        <w:rPr>
          <w:lang w:val="en-GB"/>
        </w:rPr>
        <w:fldChar w:fldCharType="end"/>
      </w:r>
      <w:bookmarkEnd w:id="354"/>
      <w:r w:rsidRPr="008D73A7">
        <w:rPr>
          <w:lang w:val="en-GB"/>
        </w:rPr>
        <w:t>: Technical requirements for fixed generic indoor surveillance radar in the designated bands</w:t>
      </w:r>
    </w:p>
    <w:tbl>
      <w:tblPr>
        <w:tblStyle w:val="ECCTable-redheader"/>
        <w:tblW w:w="9351" w:type="dxa"/>
        <w:tblInd w:w="0" w:type="dxa"/>
        <w:tblLook w:val="04A0" w:firstRow="1" w:lastRow="0" w:firstColumn="1" w:lastColumn="0" w:noHBand="0" w:noVBand="1"/>
      </w:tblPr>
      <w:tblGrid>
        <w:gridCol w:w="1295"/>
        <w:gridCol w:w="1395"/>
        <w:gridCol w:w="1805"/>
        <w:gridCol w:w="1265"/>
        <w:gridCol w:w="2205"/>
        <w:gridCol w:w="1386"/>
      </w:tblGrid>
      <w:tr w:rsidR="00E10018" w:rsidRPr="008D73A7" w14:paraId="0AE0F48A" w14:textId="77777777" w:rsidTr="00A14969">
        <w:trPr>
          <w:cnfStyle w:val="100000000000" w:firstRow="1" w:lastRow="0" w:firstColumn="0" w:lastColumn="0" w:oddVBand="0" w:evenVBand="0" w:oddHBand="0" w:evenHBand="0" w:firstRowFirstColumn="0" w:firstRowLastColumn="0" w:lastRowFirstColumn="0" w:lastRowLastColumn="0"/>
        </w:trPr>
        <w:tc>
          <w:tcPr>
            <w:tcW w:w="0" w:type="dxa"/>
            <w:tcBorders>
              <w:top w:val="single" w:sz="4" w:space="0" w:color="FFFFFF" w:themeColor="background1"/>
              <w:left w:val="single" w:sz="4" w:space="0" w:color="FFFFFF" w:themeColor="background1"/>
              <w:bottom w:val="nil"/>
            </w:tcBorders>
          </w:tcPr>
          <w:p w14:paraId="1E3FE500" w14:textId="5CC90315" w:rsidR="00E10018" w:rsidRPr="008D73A7" w:rsidRDefault="00E10018" w:rsidP="008547B2">
            <w:pPr>
              <w:rPr>
                <w:b w:val="0"/>
                <w:lang w:val="en-GB"/>
              </w:rPr>
            </w:pPr>
            <w:r w:rsidRPr="008D73A7">
              <w:rPr>
                <w:lang w:val="en-GB"/>
              </w:rPr>
              <w:t>Designated frequency band</w:t>
            </w:r>
          </w:p>
        </w:tc>
        <w:tc>
          <w:tcPr>
            <w:tcW w:w="0" w:type="dxa"/>
            <w:tcBorders>
              <w:bottom w:val="single" w:sz="4" w:space="0" w:color="FFFFFF" w:themeColor="background1"/>
            </w:tcBorders>
          </w:tcPr>
          <w:p w14:paraId="1440ED9F" w14:textId="77777777" w:rsidR="00E10018" w:rsidRPr="008D73A7" w:rsidRDefault="00E10018" w:rsidP="00DE7D17">
            <w:pPr>
              <w:rPr>
                <w:lang w:val="en-GB"/>
              </w:rPr>
            </w:pPr>
            <w:r w:rsidRPr="008D73A7">
              <w:rPr>
                <w:lang w:val="en-GB"/>
              </w:rPr>
              <w:t>Maximum mean e.i.r.p. (Note 1)</w:t>
            </w:r>
          </w:p>
        </w:tc>
        <w:tc>
          <w:tcPr>
            <w:tcW w:w="0" w:type="dxa"/>
            <w:tcBorders>
              <w:bottom w:val="single" w:sz="4" w:space="0" w:color="FFFFFF" w:themeColor="background1"/>
            </w:tcBorders>
          </w:tcPr>
          <w:p w14:paraId="19E89E38" w14:textId="77777777" w:rsidR="00E10018" w:rsidRPr="008D73A7" w:rsidRDefault="00E10018" w:rsidP="00DE7D17">
            <w:pPr>
              <w:rPr>
                <w:lang w:val="en-GB"/>
              </w:rPr>
            </w:pPr>
            <w:r w:rsidRPr="008D73A7">
              <w:rPr>
                <w:lang w:val="en-GB"/>
              </w:rPr>
              <w:t>Maximum mean e.i.r.p. spectral density (Note 2)</w:t>
            </w:r>
          </w:p>
        </w:tc>
        <w:tc>
          <w:tcPr>
            <w:tcW w:w="0" w:type="dxa"/>
            <w:tcBorders>
              <w:bottom w:val="single" w:sz="4" w:space="0" w:color="FFFFFF" w:themeColor="background1"/>
            </w:tcBorders>
          </w:tcPr>
          <w:p w14:paraId="0C0A7954" w14:textId="77777777" w:rsidR="00E10018" w:rsidRPr="008D73A7" w:rsidRDefault="00E10018" w:rsidP="00DE7D17">
            <w:pPr>
              <w:rPr>
                <w:lang w:val="en-GB"/>
              </w:rPr>
            </w:pPr>
            <w:r w:rsidRPr="008D73A7">
              <w:rPr>
                <w:lang w:val="en-GB"/>
              </w:rPr>
              <w:t>Maximum peak e.i.r.p. (Note 5)</w:t>
            </w:r>
          </w:p>
        </w:tc>
        <w:tc>
          <w:tcPr>
            <w:tcW w:w="0" w:type="dxa"/>
            <w:tcBorders>
              <w:bottom w:val="single" w:sz="4" w:space="0" w:color="FFFFFF" w:themeColor="background1"/>
            </w:tcBorders>
          </w:tcPr>
          <w:p w14:paraId="08DD3AB9" w14:textId="77777777" w:rsidR="00E10018" w:rsidRPr="008D73A7" w:rsidRDefault="00E10018" w:rsidP="00DE7D17">
            <w:pPr>
              <w:rPr>
                <w:lang w:val="en-GB"/>
              </w:rPr>
            </w:pPr>
            <w:r w:rsidRPr="008D73A7">
              <w:rPr>
                <w:lang w:val="en-GB"/>
              </w:rPr>
              <w:t>Spectrum access and mitigation requirements (Note 3)</w:t>
            </w:r>
          </w:p>
        </w:tc>
        <w:tc>
          <w:tcPr>
            <w:tcW w:w="0" w:type="dxa"/>
            <w:tcBorders>
              <w:bottom w:val="single" w:sz="4" w:space="0" w:color="FFFFFF" w:themeColor="background1"/>
            </w:tcBorders>
          </w:tcPr>
          <w:p w14:paraId="2A228F52" w14:textId="77777777" w:rsidR="00E10018" w:rsidRPr="008D73A7" w:rsidRDefault="00E10018" w:rsidP="00DE7D17">
            <w:pPr>
              <w:rPr>
                <w:lang w:val="en-GB"/>
              </w:rPr>
            </w:pPr>
            <w:r w:rsidRPr="008D73A7">
              <w:rPr>
                <w:lang w:val="en-GB"/>
              </w:rPr>
              <w:t>Minimum unwanted emissions attenuation (Note 4)</w:t>
            </w:r>
          </w:p>
        </w:tc>
      </w:tr>
      <w:tr w:rsidR="00E10018" w:rsidRPr="008D73A7" w14:paraId="72480E56" w14:textId="77777777" w:rsidTr="00A14969">
        <w:tc>
          <w:tcPr>
            <w:tcW w:w="0" w:type="dxa"/>
            <w:tcBorders>
              <w:top w:val="nil"/>
              <w:left w:val="single" w:sz="4" w:space="0" w:color="FFFFFF" w:themeColor="background1"/>
              <w:bottom w:val="single" w:sz="4" w:space="0" w:color="FFFFFF" w:themeColor="background1"/>
              <w:right w:val="single" w:sz="4" w:space="0" w:color="FFFFFF" w:themeColor="background1"/>
            </w:tcBorders>
            <w:shd w:val="clear" w:color="auto" w:fill="D2232A"/>
          </w:tcPr>
          <w:p w14:paraId="73120B00" w14:textId="77777777" w:rsidR="00E10018" w:rsidRPr="008D73A7" w:rsidRDefault="00E10018" w:rsidP="00E25082">
            <w:pPr>
              <w:spacing w:before="120" w:after="120"/>
              <w:jc w:val="center"/>
              <w:rPr>
                <w:color w:val="FFFFFF" w:themeColor="background1"/>
                <w:lang w:val="en-GB"/>
              </w:rPr>
            </w:pP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163CFA09" w14:textId="77777777" w:rsidR="00E10018" w:rsidRPr="008D73A7" w:rsidRDefault="00E10018" w:rsidP="00E25082">
            <w:pPr>
              <w:spacing w:before="120" w:after="120"/>
              <w:jc w:val="center"/>
              <w:rPr>
                <w:color w:val="FFFFFF" w:themeColor="background1"/>
                <w:lang w:val="en-GB"/>
              </w:rPr>
            </w:pPr>
            <w:r w:rsidRPr="008D73A7">
              <w:rPr>
                <w:b/>
                <w:color w:val="FFFFFF" w:themeColor="background1"/>
                <w:lang w:val="en-GB"/>
              </w:rPr>
              <w:t>A</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C50E8A3" w14:textId="77777777" w:rsidR="00E10018" w:rsidRPr="008D73A7" w:rsidRDefault="00E10018" w:rsidP="00E25082">
            <w:pPr>
              <w:spacing w:before="120" w:after="120"/>
              <w:jc w:val="center"/>
              <w:rPr>
                <w:color w:val="FFFFFF" w:themeColor="background1"/>
                <w:lang w:val="en-GB"/>
              </w:rPr>
            </w:pPr>
            <w:r w:rsidRPr="008D73A7">
              <w:rPr>
                <w:b/>
                <w:color w:val="FFFFFF" w:themeColor="background1"/>
                <w:lang w:val="en-GB"/>
              </w:rPr>
              <w:t>B</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6F985FE" w14:textId="77777777" w:rsidR="00E10018" w:rsidRPr="008D73A7" w:rsidRDefault="00E10018" w:rsidP="00E25082">
            <w:pPr>
              <w:spacing w:before="120" w:after="120"/>
              <w:jc w:val="center"/>
              <w:rPr>
                <w:color w:val="FFFFFF" w:themeColor="background1"/>
                <w:lang w:val="en-GB"/>
              </w:rPr>
            </w:pPr>
            <w:r w:rsidRPr="008D73A7">
              <w:rPr>
                <w:b/>
                <w:color w:val="FFFFFF" w:themeColor="background1"/>
                <w:lang w:val="en-GB"/>
              </w:rPr>
              <w:t>C</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D960D68" w14:textId="77777777" w:rsidR="00E10018" w:rsidRPr="008D73A7" w:rsidRDefault="00E10018" w:rsidP="00E25082">
            <w:pPr>
              <w:spacing w:before="120" w:after="120"/>
              <w:jc w:val="center"/>
              <w:rPr>
                <w:color w:val="FFFFFF" w:themeColor="background1"/>
                <w:lang w:val="en-GB"/>
              </w:rPr>
            </w:pPr>
            <w:r w:rsidRPr="008D73A7">
              <w:rPr>
                <w:b/>
                <w:color w:val="FFFFFF" w:themeColor="background1"/>
                <w:lang w:val="en-GB"/>
              </w:rPr>
              <w:t>D</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08D2818" w14:textId="77777777" w:rsidR="00E10018" w:rsidRPr="008D73A7" w:rsidRDefault="00E10018" w:rsidP="00E25082">
            <w:pPr>
              <w:spacing w:before="120" w:after="120"/>
              <w:jc w:val="center"/>
              <w:rPr>
                <w:color w:val="FFFFFF" w:themeColor="background1"/>
                <w:lang w:val="en-GB"/>
              </w:rPr>
            </w:pPr>
            <w:r w:rsidRPr="008D73A7">
              <w:rPr>
                <w:b/>
                <w:color w:val="FFFFFF" w:themeColor="background1"/>
                <w:lang w:val="en-GB"/>
              </w:rPr>
              <w:t>E</w:t>
            </w:r>
          </w:p>
        </w:tc>
      </w:tr>
      <w:tr w:rsidR="00E10018" w:rsidRPr="008D73A7" w14:paraId="4A4F32E5" w14:textId="77777777" w:rsidTr="00A14969">
        <w:tc>
          <w:tcPr>
            <w:tcW w:w="0" w:type="dxa"/>
            <w:tcBorders>
              <w:top w:val="single" w:sz="4" w:space="0" w:color="FFFFFF" w:themeColor="background1"/>
            </w:tcBorders>
          </w:tcPr>
          <w:p w14:paraId="515AEF8E" w14:textId="57D27263" w:rsidR="00E10018" w:rsidRPr="008D73A7" w:rsidRDefault="00E10018" w:rsidP="00DE7D17">
            <w:pPr>
              <w:jc w:val="left"/>
              <w:rPr>
                <w:lang w:val="en-GB"/>
              </w:rPr>
            </w:pPr>
            <w:r w:rsidRPr="008D73A7">
              <w:rPr>
                <w:lang w:val="en-GB"/>
              </w:rPr>
              <w:t>122.25</w:t>
            </w:r>
            <w:r w:rsidR="00666B9A" w:rsidRPr="008D73A7">
              <w:rPr>
                <w:lang w:val="en-GB"/>
              </w:rPr>
              <w:t>-</w:t>
            </w:r>
            <w:r w:rsidRPr="008D73A7">
              <w:rPr>
                <w:lang w:val="en-GB"/>
              </w:rPr>
              <w:t>130</w:t>
            </w:r>
            <w:r w:rsidR="00CF7407" w:rsidRPr="008D73A7">
              <w:rPr>
                <w:lang w:val="en-GB"/>
              </w:rPr>
              <w:t xml:space="preserve"> </w:t>
            </w:r>
            <w:r w:rsidR="008547B2" w:rsidRPr="008D73A7">
              <w:rPr>
                <w:lang w:val="en-GB"/>
              </w:rPr>
              <w:t>GHz</w:t>
            </w:r>
          </w:p>
        </w:tc>
        <w:tc>
          <w:tcPr>
            <w:tcW w:w="0" w:type="dxa"/>
            <w:tcBorders>
              <w:top w:val="single" w:sz="4" w:space="0" w:color="FFFFFF" w:themeColor="background1"/>
            </w:tcBorders>
          </w:tcPr>
          <w:p w14:paraId="28A4ED3C" w14:textId="77777777" w:rsidR="00E10018" w:rsidRPr="008D73A7" w:rsidRDefault="00E10018" w:rsidP="00DE7D17">
            <w:pPr>
              <w:jc w:val="left"/>
              <w:rPr>
                <w:lang w:val="en-GB"/>
              </w:rPr>
            </w:pPr>
            <w:r w:rsidRPr="008D73A7">
              <w:rPr>
                <w:lang w:val="en-GB"/>
              </w:rPr>
              <w:t xml:space="preserve">20 dBm and 12 dBm &gt; 0° </w:t>
            </w:r>
            <w:proofErr w:type="gramStart"/>
            <w:r w:rsidRPr="008D73A7">
              <w:rPr>
                <w:lang w:val="en-GB"/>
              </w:rPr>
              <w:t>elevation</w:t>
            </w:r>
            <w:proofErr w:type="gramEnd"/>
          </w:p>
        </w:tc>
        <w:tc>
          <w:tcPr>
            <w:tcW w:w="0" w:type="dxa"/>
            <w:tcBorders>
              <w:top w:val="single" w:sz="4" w:space="0" w:color="FFFFFF" w:themeColor="background1"/>
            </w:tcBorders>
          </w:tcPr>
          <w:p w14:paraId="5A2DD7AF" w14:textId="77777777" w:rsidR="00E10018" w:rsidRPr="008D73A7" w:rsidRDefault="00E10018" w:rsidP="00DE7D17">
            <w:pPr>
              <w:jc w:val="left"/>
              <w:rPr>
                <w:lang w:val="en-GB"/>
              </w:rPr>
            </w:pPr>
            <w:r w:rsidRPr="008D73A7">
              <w:rPr>
                <w:lang w:val="en-GB"/>
              </w:rPr>
              <w:t>-10 dBm/MHz and -18 dBm/MHz &gt; 0° elevation</w:t>
            </w:r>
          </w:p>
        </w:tc>
        <w:tc>
          <w:tcPr>
            <w:tcW w:w="0" w:type="dxa"/>
            <w:tcBorders>
              <w:top w:val="single" w:sz="4" w:space="0" w:color="FFFFFF" w:themeColor="background1"/>
            </w:tcBorders>
          </w:tcPr>
          <w:p w14:paraId="2BB839F4" w14:textId="77777777" w:rsidR="00E10018" w:rsidRPr="008D73A7" w:rsidRDefault="00E10018" w:rsidP="00DE7D17">
            <w:pPr>
              <w:jc w:val="left"/>
              <w:rPr>
                <w:lang w:val="en-GB"/>
              </w:rPr>
            </w:pPr>
            <w:r w:rsidRPr="008D73A7">
              <w:rPr>
                <w:lang w:val="en-GB"/>
              </w:rPr>
              <w:t xml:space="preserve">30 dBm and 22 dBm &gt; 0° </w:t>
            </w:r>
            <w:proofErr w:type="gramStart"/>
            <w:r w:rsidRPr="008D73A7">
              <w:rPr>
                <w:lang w:val="en-GB"/>
              </w:rPr>
              <w:t>elevation</w:t>
            </w:r>
            <w:proofErr w:type="gramEnd"/>
          </w:p>
        </w:tc>
        <w:tc>
          <w:tcPr>
            <w:tcW w:w="0" w:type="dxa"/>
            <w:tcBorders>
              <w:top w:val="single" w:sz="4" w:space="0" w:color="FFFFFF" w:themeColor="background1"/>
            </w:tcBorders>
          </w:tcPr>
          <w:p w14:paraId="55941643" w14:textId="77777777" w:rsidR="00E10018" w:rsidRPr="008D73A7" w:rsidRDefault="00E10018" w:rsidP="00DE7D17">
            <w:pPr>
              <w:jc w:val="left"/>
              <w:rPr>
                <w:lang w:val="en-GB"/>
              </w:rPr>
            </w:pPr>
            <w:r w:rsidRPr="008D73A7">
              <w:rPr>
                <w:lang w:val="en-GB"/>
              </w:rPr>
              <w:t>∑</w:t>
            </w:r>
            <w:proofErr w:type="spellStart"/>
            <w:r w:rsidRPr="008D73A7">
              <w:rPr>
                <w:lang w:val="en-GB"/>
              </w:rPr>
              <w:t>T</w:t>
            </w:r>
            <w:r w:rsidRPr="008D73A7">
              <w:rPr>
                <w:vertAlign w:val="subscript"/>
                <w:lang w:val="en-GB"/>
              </w:rPr>
              <w:t>meas</w:t>
            </w:r>
            <w:proofErr w:type="spellEnd"/>
            <w:r w:rsidRPr="008D73A7">
              <w:rPr>
                <w:lang w:val="en-GB"/>
              </w:rPr>
              <w:t xml:space="preserve"> ≤ 100 ms within Tobs = 1 s is equivalent to a maximum duty cycle of 10%</w:t>
            </w:r>
          </w:p>
        </w:tc>
        <w:tc>
          <w:tcPr>
            <w:tcW w:w="0" w:type="dxa"/>
            <w:tcBorders>
              <w:top w:val="single" w:sz="4" w:space="0" w:color="FFFFFF" w:themeColor="background1"/>
            </w:tcBorders>
          </w:tcPr>
          <w:p w14:paraId="2D26F344" w14:textId="77777777" w:rsidR="00E10018" w:rsidRPr="008D73A7" w:rsidRDefault="00E10018" w:rsidP="00DE7D17">
            <w:pPr>
              <w:jc w:val="left"/>
              <w:rPr>
                <w:lang w:val="en-GB"/>
              </w:rPr>
            </w:pPr>
            <w:r w:rsidRPr="008D73A7">
              <w:rPr>
                <w:lang w:val="en-GB"/>
              </w:rPr>
              <w:t>20 dB</w:t>
            </w:r>
          </w:p>
        </w:tc>
      </w:tr>
      <w:tr w:rsidR="00E10018" w:rsidRPr="008D73A7" w14:paraId="09107D43" w14:textId="77777777" w:rsidTr="00DE7D17">
        <w:tc>
          <w:tcPr>
            <w:tcW w:w="1295" w:type="dxa"/>
          </w:tcPr>
          <w:p w14:paraId="5B606810" w14:textId="125A56CD" w:rsidR="00E10018" w:rsidRPr="008D73A7" w:rsidRDefault="00E10018" w:rsidP="00DE7D17">
            <w:pPr>
              <w:jc w:val="left"/>
              <w:rPr>
                <w:lang w:val="en-GB"/>
              </w:rPr>
            </w:pPr>
            <w:r w:rsidRPr="008D73A7">
              <w:rPr>
                <w:lang w:val="en-GB"/>
              </w:rPr>
              <w:t>134</w:t>
            </w:r>
            <w:r w:rsidR="00666B9A" w:rsidRPr="008D73A7">
              <w:rPr>
                <w:lang w:val="en-GB"/>
              </w:rPr>
              <w:t>-</w:t>
            </w:r>
            <w:r w:rsidRPr="008D73A7">
              <w:rPr>
                <w:lang w:val="en-GB"/>
              </w:rPr>
              <w:t>148.5</w:t>
            </w:r>
            <w:r w:rsidR="00CF7407" w:rsidRPr="008D73A7">
              <w:rPr>
                <w:lang w:val="en-GB"/>
              </w:rPr>
              <w:t xml:space="preserve"> </w:t>
            </w:r>
            <w:r w:rsidR="008547B2" w:rsidRPr="008D73A7">
              <w:rPr>
                <w:lang w:val="en-GB"/>
              </w:rPr>
              <w:t>GHz</w:t>
            </w:r>
          </w:p>
        </w:tc>
        <w:tc>
          <w:tcPr>
            <w:tcW w:w="1395" w:type="dxa"/>
          </w:tcPr>
          <w:p w14:paraId="1C8504BB" w14:textId="77777777" w:rsidR="00E10018" w:rsidRPr="008D73A7" w:rsidRDefault="00E10018" w:rsidP="00DE7D17">
            <w:pPr>
              <w:jc w:val="left"/>
              <w:rPr>
                <w:lang w:val="en-GB"/>
              </w:rPr>
            </w:pPr>
            <w:r w:rsidRPr="008D73A7">
              <w:rPr>
                <w:lang w:val="en-GB"/>
              </w:rPr>
              <w:t xml:space="preserve">20 dBm and 12 dBm &gt; 0° </w:t>
            </w:r>
            <w:proofErr w:type="gramStart"/>
            <w:r w:rsidRPr="008D73A7">
              <w:rPr>
                <w:lang w:val="en-GB"/>
              </w:rPr>
              <w:t>elevation</w:t>
            </w:r>
            <w:proofErr w:type="gramEnd"/>
          </w:p>
        </w:tc>
        <w:tc>
          <w:tcPr>
            <w:tcW w:w="1805" w:type="dxa"/>
          </w:tcPr>
          <w:p w14:paraId="36134862" w14:textId="77777777" w:rsidR="00E10018" w:rsidRPr="008D73A7" w:rsidRDefault="00E10018" w:rsidP="00DE7D17">
            <w:pPr>
              <w:jc w:val="left"/>
              <w:rPr>
                <w:lang w:val="en-GB"/>
              </w:rPr>
            </w:pPr>
            <w:r w:rsidRPr="008D73A7">
              <w:rPr>
                <w:lang w:val="en-GB"/>
              </w:rPr>
              <w:t>-10 dBm/MHz and -18 dBm/MHz &gt; 0° elevation</w:t>
            </w:r>
          </w:p>
        </w:tc>
        <w:tc>
          <w:tcPr>
            <w:tcW w:w="1265" w:type="dxa"/>
          </w:tcPr>
          <w:p w14:paraId="1CCCB843" w14:textId="77777777" w:rsidR="00E10018" w:rsidRPr="008D73A7" w:rsidRDefault="00E10018" w:rsidP="00DE7D17">
            <w:pPr>
              <w:jc w:val="left"/>
              <w:rPr>
                <w:lang w:val="en-GB"/>
              </w:rPr>
            </w:pPr>
            <w:r w:rsidRPr="008D73A7">
              <w:rPr>
                <w:lang w:val="en-GB"/>
              </w:rPr>
              <w:t xml:space="preserve">30 dBm and 22 dBm &gt; 0° </w:t>
            </w:r>
            <w:proofErr w:type="gramStart"/>
            <w:r w:rsidRPr="008D73A7">
              <w:rPr>
                <w:lang w:val="en-GB"/>
              </w:rPr>
              <w:t>elevation</w:t>
            </w:r>
            <w:proofErr w:type="gramEnd"/>
          </w:p>
        </w:tc>
        <w:tc>
          <w:tcPr>
            <w:tcW w:w="2205" w:type="dxa"/>
          </w:tcPr>
          <w:p w14:paraId="74C5A1F3" w14:textId="77777777" w:rsidR="00E10018" w:rsidRPr="008D73A7" w:rsidRDefault="00E10018" w:rsidP="00DE7D17">
            <w:pPr>
              <w:jc w:val="left"/>
              <w:rPr>
                <w:lang w:val="en-GB"/>
              </w:rPr>
            </w:pPr>
            <w:r w:rsidRPr="008D73A7">
              <w:rPr>
                <w:lang w:val="en-GB"/>
              </w:rPr>
              <w:t>∑</w:t>
            </w:r>
            <w:proofErr w:type="spellStart"/>
            <w:r w:rsidRPr="008D73A7">
              <w:rPr>
                <w:lang w:val="en-GB"/>
              </w:rPr>
              <w:t>T</w:t>
            </w:r>
            <w:r w:rsidRPr="008D73A7">
              <w:rPr>
                <w:vertAlign w:val="subscript"/>
                <w:lang w:val="en-GB"/>
              </w:rPr>
              <w:t>meas</w:t>
            </w:r>
            <w:proofErr w:type="spellEnd"/>
            <w:r w:rsidRPr="008D73A7">
              <w:rPr>
                <w:lang w:val="en-GB"/>
              </w:rPr>
              <w:t xml:space="preserve"> ≤ 100 ms within Tobs = 1 s is equivalent to a maximum duty cycle of 10%</w:t>
            </w:r>
          </w:p>
        </w:tc>
        <w:tc>
          <w:tcPr>
            <w:tcW w:w="1386" w:type="dxa"/>
          </w:tcPr>
          <w:p w14:paraId="5CE2EFA5" w14:textId="77777777" w:rsidR="00E10018" w:rsidRPr="008D73A7" w:rsidRDefault="00E10018" w:rsidP="00DE7D17">
            <w:pPr>
              <w:jc w:val="left"/>
              <w:rPr>
                <w:lang w:val="en-GB"/>
              </w:rPr>
            </w:pPr>
            <w:r w:rsidRPr="008D73A7">
              <w:rPr>
                <w:lang w:val="en-GB"/>
              </w:rPr>
              <w:t>20 dB</w:t>
            </w:r>
          </w:p>
        </w:tc>
      </w:tr>
      <w:tr w:rsidR="00E10018" w:rsidRPr="008D73A7" w14:paraId="6428C01D" w14:textId="77777777" w:rsidTr="00DE7D17">
        <w:tc>
          <w:tcPr>
            <w:tcW w:w="9351" w:type="dxa"/>
            <w:gridSpan w:val="6"/>
          </w:tcPr>
          <w:p w14:paraId="58A23187" w14:textId="77777777" w:rsidR="00E10018" w:rsidRPr="008D73A7" w:rsidRDefault="00E10018" w:rsidP="005F721D">
            <w:pPr>
              <w:pStyle w:val="ECCTablenote"/>
            </w:pPr>
            <w:r w:rsidRPr="008D73A7">
              <w:t xml:space="preserve">Note 1: Maximum mean e.i.r.p. within the OFR (see Note 4) and during </w:t>
            </w:r>
            <w:proofErr w:type="spellStart"/>
            <w:r w:rsidRPr="008D73A7">
              <w:t>T</w:t>
            </w:r>
            <w:r w:rsidRPr="008D73A7">
              <w:rPr>
                <w:vertAlign w:val="subscript"/>
              </w:rPr>
              <w:t>meas</w:t>
            </w:r>
            <w:proofErr w:type="spellEnd"/>
            <w:r w:rsidRPr="008D73A7">
              <w:t xml:space="preserve"> (time when transmission is on).</w:t>
            </w:r>
          </w:p>
          <w:p w14:paraId="6152FF1A" w14:textId="77777777" w:rsidR="00E10018" w:rsidRPr="008D73A7" w:rsidRDefault="00E10018" w:rsidP="005F721D">
            <w:pPr>
              <w:pStyle w:val="ECCTablenote"/>
            </w:pPr>
            <w:r w:rsidRPr="008D73A7">
              <w:t>Note 2: These limits should be measured with an RMS detector and averaging time of 1 ms.</w:t>
            </w:r>
          </w:p>
          <w:p w14:paraId="48117A56" w14:textId="70AAD8C1" w:rsidR="00E10018" w:rsidRPr="008D73A7" w:rsidRDefault="00E10018" w:rsidP="005F721D">
            <w:pPr>
              <w:pStyle w:val="ECCTablenote"/>
            </w:pPr>
            <w:r w:rsidRPr="008D73A7">
              <w:t>Note 3: The maximum duty cycle is not included in the maximum mean e.i.r.p. and maximum mean e.i.r.p. spectral density values. Consequently, these values must be reduced by 10 dB when averaging over the observation time T</w:t>
            </w:r>
            <w:r w:rsidRPr="008D73A7">
              <w:rPr>
                <w:vertAlign w:val="subscript"/>
              </w:rPr>
              <w:t>obs</w:t>
            </w:r>
            <w:r w:rsidRPr="008D73A7">
              <w:t xml:space="preserve"> = 1 s because of the inclusion of the maximum duty cycle of 10%.</w:t>
            </w:r>
          </w:p>
          <w:p w14:paraId="618F12AD" w14:textId="6C21D48F" w:rsidR="00E10018" w:rsidRPr="008D73A7" w:rsidRDefault="00E10018" w:rsidP="005F721D">
            <w:pPr>
              <w:pStyle w:val="ECCTablenote"/>
            </w:pPr>
            <w:r w:rsidRPr="008D73A7">
              <w:t>Note 4: The operating frequency range (OFR) is defined over the 20 dB reduction of the intentional transmission (</w:t>
            </w:r>
            <w:r w:rsidR="008547B2" w:rsidRPr="008D73A7">
              <w:t>“</w:t>
            </w:r>
            <w:r w:rsidRPr="008D73A7">
              <w:t>20 dB bandwidth</w:t>
            </w:r>
            <w:r w:rsidR="008547B2" w:rsidRPr="008D73A7">
              <w:t>”</w:t>
            </w:r>
            <w:r w:rsidRPr="008D73A7">
              <w:t>) radiated by the equipment into the air. The unwanted emissions attenuation applies to the frequencies outside the OFR and shall be applied to the maximum mean e.i.r.p. spectral density and the maximum peak e.i.r.p. The measurement bandwidth for the unwanted emissions domain is 1 MHz.</w:t>
            </w:r>
          </w:p>
          <w:p w14:paraId="48CC6418" w14:textId="77777777" w:rsidR="00E10018" w:rsidRPr="008D73A7" w:rsidRDefault="00E10018" w:rsidP="005F721D">
            <w:pPr>
              <w:pStyle w:val="ECCTablenote"/>
            </w:pPr>
            <w:r w:rsidRPr="008D73A7">
              <w:t>Note 5: The maximum peak e.i.r.p. shall be measured/evaluated in 1 GHz bandwidth.</w:t>
            </w:r>
          </w:p>
        </w:tc>
      </w:tr>
    </w:tbl>
    <w:p w14:paraId="0A5EF8BF" w14:textId="77777777" w:rsidR="00E10018" w:rsidRPr="008D73A7" w:rsidRDefault="00E10018" w:rsidP="00E10018">
      <w:pPr>
        <w:spacing w:after="120"/>
        <w:jc w:val="both"/>
        <w:rPr>
          <w:lang w:val="en-GB"/>
        </w:rPr>
      </w:pPr>
      <w:r w:rsidRPr="008D73A7">
        <w:rPr>
          <w:lang w:val="en-GB"/>
        </w:rPr>
        <w:t>Additional requirements for generic indoor surveillance radars to allow licence-exempt use:</w:t>
      </w:r>
    </w:p>
    <w:p w14:paraId="7879738D" w14:textId="161DB74F" w:rsidR="00E10018" w:rsidRPr="008D73A7" w:rsidRDefault="00E10018" w:rsidP="00231CB5">
      <w:pPr>
        <w:pStyle w:val="NumberedList"/>
        <w:numPr>
          <w:ilvl w:val="0"/>
          <w:numId w:val="19"/>
        </w:numPr>
        <w:spacing w:after="120"/>
      </w:pPr>
      <w:r w:rsidRPr="008D73A7">
        <w:t>All generic indoor surveillance radars (hand</w:t>
      </w:r>
      <w:r w:rsidR="00B710B5" w:rsidRPr="008D73A7">
        <w:t>-</w:t>
      </w:r>
      <w:r w:rsidRPr="008D73A7">
        <w:t>held/mobile and fixed) shall only be operated indoors (i.e. inside a building) or inside similarly shielded environments;</w:t>
      </w:r>
    </w:p>
    <w:p w14:paraId="6652E2F4" w14:textId="77777777" w:rsidR="00E10018" w:rsidRPr="008D73A7" w:rsidRDefault="00E10018" w:rsidP="00231CB5">
      <w:pPr>
        <w:pStyle w:val="NumberedList"/>
        <w:numPr>
          <w:ilvl w:val="0"/>
          <w:numId w:val="19"/>
        </w:numPr>
        <w:spacing w:after="120"/>
      </w:pPr>
      <w:r w:rsidRPr="008D73A7">
        <w:t>Fixed generic indoor surveillance radars shall be installed at a permanent fixed position indoors (i.e. inside a building) or inside similarly shielded environments;</w:t>
      </w:r>
    </w:p>
    <w:p w14:paraId="14D998DD" w14:textId="77777777" w:rsidR="00E10018" w:rsidRPr="008D73A7" w:rsidRDefault="00E10018" w:rsidP="00231CB5">
      <w:pPr>
        <w:pStyle w:val="NumberedList"/>
        <w:numPr>
          <w:ilvl w:val="0"/>
          <w:numId w:val="19"/>
        </w:numPr>
        <w:spacing w:after="120"/>
      </w:pPr>
      <w:r w:rsidRPr="008D73A7">
        <w:t>Users and installers have to ensure that fixed generic indoor surveillance radars, although installed inside a building, do not perform a function outside the building structure, such as for example the detection of persons outside the building (e.g. through-wall imaging);</w:t>
      </w:r>
    </w:p>
    <w:p w14:paraId="7ACA112D" w14:textId="77777777" w:rsidR="00E10018" w:rsidRPr="008D73A7" w:rsidRDefault="00E10018" w:rsidP="00231CB5">
      <w:pPr>
        <w:pStyle w:val="NumberedList"/>
        <w:numPr>
          <w:ilvl w:val="0"/>
          <w:numId w:val="19"/>
        </w:numPr>
        <w:spacing w:after="120"/>
      </w:pPr>
      <w:r w:rsidRPr="008D73A7">
        <w:t>For fixed generic indoor surveillance radars, the mean e.i.r.p. above 0° elevation shall be limited to 12 dBm (8 dB below the maximum mean e.i.r.p. of 20 dBm);</w:t>
      </w:r>
    </w:p>
    <w:p w14:paraId="3501E2B6" w14:textId="77777777" w:rsidR="00E10018" w:rsidRPr="008D73A7" w:rsidRDefault="00E10018" w:rsidP="00231CB5">
      <w:pPr>
        <w:pStyle w:val="NumberedList"/>
        <w:numPr>
          <w:ilvl w:val="0"/>
          <w:numId w:val="19"/>
        </w:numPr>
      </w:pPr>
      <w:r w:rsidRPr="008D73A7">
        <w:t>The provider is required to inform the users and installers of fixed generic indoor surveillance radars about the installation requirements and additional special mounting instructions.</w:t>
      </w:r>
    </w:p>
    <w:p w14:paraId="63413BB8" w14:textId="77777777" w:rsidR="00083DD8" w:rsidRPr="008D73A7" w:rsidRDefault="00083DD8">
      <w:pPr>
        <w:spacing w:before="0" w:after="0"/>
        <w:rPr>
          <w:b/>
          <w:caps/>
          <w:lang w:val="en-GB" w:eastAsia="ar-SA"/>
        </w:rPr>
      </w:pPr>
      <w:r w:rsidRPr="008D73A7">
        <w:rPr>
          <w:lang w:val="en-GB" w:eastAsia="ar-SA"/>
        </w:rPr>
        <w:br w:type="page"/>
      </w:r>
    </w:p>
    <w:p w14:paraId="2463213B" w14:textId="180A6E96" w:rsidR="00883A68" w:rsidRPr="008D73A7" w:rsidRDefault="00E10018" w:rsidP="00D64498">
      <w:pPr>
        <w:pStyle w:val="ECCAnnexheading2"/>
        <w:ind w:left="576"/>
        <w:rPr>
          <w:lang w:val="en-GB" w:eastAsia="ar-SA"/>
        </w:rPr>
      </w:pPr>
      <w:r w:rsidRPr="008D73A7">
        <w:rPr>
          <w:lang w:val="en-GB" w:eastAsia="ar-SA"/>
        </w:rPr>
        <w:lastRenderedPageBreak/>
        <w:t>TECHNICAL REQUIREMENTS FOR RADIODETERMINATION SYSTEMS FOR INDUSTRY AUTOMATION (RDI)</w:t>
      </w:r>
    </w:p>
    <w:p w14:paraId="09FEA85B" w14:textId="05528AB2" w:rsidR="00E10018" w:rsidRPr="008D73A7" w:rsidRDefault="00E10018" w:rsidP="00477873">
      <w:pPr>
        <w:pStyle w:val="Caption"/>
        <w:spacing w:before="360"/>
        <w:rPr>
          <w:lang w:val="en-GB"/>
        </w:rPr>
      </w:pPr>
      <w:bookmarkStart w:id="355" w:name="_Ref106107085"/>
      <w:r w:rsidRPr="008D73A7">
        <w:rPr>
          <w:lang w:val="en-GB"/>
        </w:rPr>
        <w:t>Table </w:t>
      </w:r>
      <w:r w:rsidRPr="008D73A7">
        <w:rPr>
          <w:lang w:val="en-GB"/>
        </w:rPr>
        <w:fldChar w:fldCharType="begin"/>
      </w:r>
      <w:r w:rsidRPr="008D73A7">
        <w:rPr>
          <w:lang w:val="en-GB"/>
        </w:rPr>
        <w:instrText xml:space="preserve"> SEQ Table \* ARABIC </w:instrText>
      </w:r>
      <w:r w:rsidRPr="008D73A7">
        <w:rPr>
          <w:lang w:val="en-GB"/>
        </w:rPr>
        <w:fldChar w:fldCharType="separate"/>
      </w:r>
      <w:r w:rsidR="00BD0B7C" w:rsidRPr="008D73A7">
        <w:rPr>
          <w:lang w:val="en-GB"/>
        </w:rPr>
        <w:t>16</w:t>
      </w:r>
      <w:r w:rsidRPr="008D73A7">
        <w:rPr>
          <w:lang w:val="en-GB"/>
        </w:rPr>
        <w:fldChar w:fldCharType="end"/>
      </w:r>
      <w:bookmarkEnd w:id="355"/>
      <w:r w:rsidRPr="008D73A7">
        <w:rPr>
          <w:lang w:val="en-GB"/>
        </w:rPr>
        <w:t>: Technical requirements for RDI devices in the designated bands</w:t>
      </w:r>
    </w:p>
    <w:tbl>
      <w:tblPr>
        <w:tblStyle w:val="ECCTable-redheader"/>
        <w:tblW w:w="4752" w:type="pct"/>
        <w:tblInd w:w="0" w:type="dxa"/>
        <w:tblLook w:val="04A0" w:firstRow="1" w:lastRow="0" w:firstColumn="1" w:lastColumn="0" w:noHBand="0" w:noVBand="1"/>
      </w:tblPr>
      <w:tblGrid>
        <w:gridCol w:w="1696"/>
        <w:gridCol w:w="1276"/>
        <w:gridCol w:w="2013"/>
        <w:gridCol w:w="1913"/>
        <w:gridCol w:w="2253"/>
      </w:tblGrid>
      <w:tr w:rsidR="00E10018" w:rsidRPr="008D73A7" w14:paraId="72C5B638" w14:textId="77777777" w:rsidTr="00A14969">
        <w:trPr>
          <w:cnfStyle w:val="100000000000" w:firstRow="1" w:lastRow="0" w:firstColumn="0" w:lastColumn="0" w:oddVBand="0" w:evenVBand="0" w:oddHBand="0" w:evenHBand="0" w:firstRowFirstColumn="0" w:firstRowLastColumn="0" w:lastRowFirstColumn="0" w:lastRowLastColumn="0"/>
        </w:trPr>
        <w:tc>
          <w:tcPr>
            <w:tcW w:w="0" w:type="pct"/>
            <w:tcBorders>
              <w:top w:val="single" w:sz="4" w:space="0" w:color="FFFFFF" w:themeColor="background1"/>
              <w:left w:val="single" w:sz="4" w:space="0" w:color="FFFFFF" w:themeColor="background1"/>
              <w:bottom w:val="nil"/>
            </w:tcBorders>
          </w:tcPr>
          <w:p w14:paraId="11F4627A" w14:textId="1EA5D7CC" w:rsidR="00E10018" w:rsidRPr="008D73A7" w:rsidRDefault="00E10018" w:rsidP="008547B2">
            <w:pPr>
              <w:pStyle w:val="ECCTableHeaderwhitefont"/>
              <w:rPr>
                <w:b w:val="0"/>
                <w:lang w:val="en-GB"/>
              </w:rPr>
            </w:pPr>
            <w:r w:rsidRPr="008D73A7">
              <w:rPr>
                <w:lang w:val="en-GB"/>
              </w:rPr>
              <w:t>Designated frequency band</w:t>
            </w:r>
          </w:p>
        </w:tc>
        <w:tc>
          <w:tcPr>
            <w:tcW w:w="0" w:type="pct"/>
            <w:tcBorders>
              <w:bottom w:val="single" w:sz="4" w:space="0" w:color="FFFFFF"/>
            </w:tcBorders>
          </w:tcPr>
          <w:p w14:paraId="677292F2" w14:textId="77777777" w:rsidR="00E10018" w:rsidRPr="008D73A7" w:rsidRDefault="00E10018" w:rsidP="00DE7D17">
            <w:pPr>
              <w:pStyle w:val="ECCTableHeaderwhitefont"/>
              <w:rPr>
                <w:lang w:val="en-GB"/>
              </w:rPr>
            </w:pPr>
            <w:r w:rsidRPr="008D73A7">
              <w:rPr>
                <w:lang w:val="en-GB"/>
              </w:rPr>
              <w:t>Maximum duty cycle</w:t>
            </w:r>
          </w:p>
        </w:tc>
        <w:tc>
          <w:tcPr>
            <w:tcW w:w="0" w:type="pct"/>
            <w:tcBorders>
              <w:bottom w:val="single" w:sz="4" w:space="0" w:color="FFFFFF"/>
            </w:tcBorders>
          </w:tcPr>
          <w:p w14:paraId="317C49B2" w14:textId="77777777" w:rsidR="00E10018" w:rsidRPr="008D73A7" w:rsidRDefault="00E10018" w:rsidP="00DE7D17">
            <w:pPr>
              <w:pStyle w:val="ECCTableHeaderwhitefont"/>
              <w:rPr>
                <w:lang w:val="en-GB"/>
              </w:rPr>
            </w:pPr>
            <w:r w:rsidRPr="008D73A7">
              <w:rPr>
                <w:lang w:val="en-GB"/>
              </w:rPr>
              <w:t>Maximum mean e.i.r.p. spectral density (Note 2)</w:t>
            </w:r>
          </w:p>
        </w:tc>
        <w:tc>
          <w:tcPr>
            <w:tcW w:w="0" w:type="pct"/>
            <w:tcBorders>
              <w:bottom w:val="single" w:sz="4" w:space="0" w:color="FFFFFF"/>
            </w:tcBorders>
          </w:tcPr>
          <w:p w14:paraId="08240E34" w14:textId="77777777" w:rsidR="00E10018" w:rsidRPr="008D73A7" w:rsidRDefault="00E10018" w:rsidP="00DE7D17">
            <w:pPr>
              <w:pStyle w:val="ECCTableHeaderwhitefont"/>
              <w:rPr>
                <w:lang w:val="en-GB"/>
              </w:rPr>
            </w:pPr>
            <w:r w:rsidRPr="008D73A7">
              <w:rPr>
                <w:lang w:val="en-GB"/>
              </w:rPr>
              <w:t>Maximum peak e.i.r.p. (Note 3)</w:t>
            </w:r>
          </w:p>
        </w:tc>
        <w:tc>
          <w:tcPr>
            <w:tcW w:w="0" w:type="pct"/>
            <w:tcBorders>
              <w:bottom w:val="single" w:sz="4" w:space="0" w:color="FFFFFF"/>
            </w:tcBorders>
          </w:tcPr>
          <w:p w14:paraId="6A41A0E1" w14:textId="77777777" w:rsidR="00E10018" w:rsidRPr="008D73A7" w:rsidRDefault="00E10018" w:rsidP="00DE7D17">
            <w:pPr>
              <w:pStyle w:val="ECCTableHeaderwhitefont"/>
              <w:rPr>
                <w:lang w:val="en-GB"/>
              </w:rPr>
            </w:pPr>
            <w:r w:rsidRPr="008D73A7">
              <w:rPr>
                <w:lang w:val="en-GB"/>
              </w:rPr>
              <w:t>Minimum unwanted emissions attenuation (Note 1)</w:t>
            </w:r>
          </w:p>
        </w:tc>
      </w:tr>
      <w:tr w:rsidR="00E10018" w:rsidRPr="008D73A7" w14:paraId="5EE0FD0E" w14:textId="77777777" w:rsidTr="00A14969">
        <w:tc>
          <w:tcPr>
            <w:tcW w:w="0" w:type="pct"/>
            <w:tcBorders>
              <w:top w:val="nil"/>
              <w:left w:val="single" w:sz="4" w:space="0" w:color="FFFFFF" w:themeColor="background1"/>
              <w:bottom w:val="single" w:sz="4" w:space="0" w:color="FFFFFF" w:themeColor="background1"/>
              <w:right w:val="single" w:sz="4" w:space="0" w:color="FFFFFF" w:themeColor="background1"/>
            </w:tcBorders>
            <w:shd w:val="clear" w:color="auto" w:fill="D2232A"/>
          </w:tcPr>
          <w:p w14:paraId="25EC846C" w14:textId="77777777" w:rsidR="00E10018" w:rsidRPr="008D73A7" w:rsidRDefault="00E10018" w:rsidP="00E25082">
            <w:pPr>
              <w:pStyle w:val="ECCTableHeaderwhitefont"/>
              <w:rPr>
                <w:lang w:val="en-GB"/>
              </w:rPr>
            </w:pPr>
          </w:p>
        </w:tc>
        <w:tc>
          <w:tcPr>
            <w:tcW w:w="0" w:type="pct"/>
            <w:tcBorders>
              <w:top w:val="single" w:sz="4" w:space="0" w:color="FFFFFF"/>
              <w:left w:val="single" w:sz="4" w:space="0" w:color="FFFFFF" w:themeColor="background1"/>
              <w:bottom w:val="single" w:sz="4" w:space="0" w:color="FFFFFF"/>
              <w:right w:val="single" w:sz="4" w:space="0" w:color="FFFFFF"/>
            </w:tcBorders>
            <w:shd w:val="clear" w:color="auto" w:fill="D2232A"/>
          </w:tcPr>
          <w:p w14:paraId="7DA0E34B" w14:textId="77777777" w:rsidR="00E10018" w:rsidRPr="008D73A7" w:rsidRDefault="00E10018" w:rsidP="00E25082">
            <w:pPr>
              <w:pStyle w:val="ECCTabletext"/>
              <w:spacing w:before="120" w:after="120"/>
              <w:jc w:val="center"/>
              <w:rPr>
                <w:b/>
                <w:color w:val="FFFFFF" w:themeColor="background1"/>
              </w:rPr>
            </w:pPr>
            <w:r w:rsidRPr="008D73A7">
              <w:rPr>
                <w:b/>
                <w:color w:val="FFFFFF" w:themeColor="background1"/>
              </w:rPr>
              <w:t>A</w:t>
            </w:r>
          </w:p>
        </w:tc>
        <w:tc>
          <w:tcPr>
            <w:tcW w:w="0" w:type="pct"/>
            <w:tcBorders>
              <w:top w:val="single" w:sz="4" w:space="0" w:color="FFFFFF"/>
              <w:left w:val="single" w:sz="4" w:space="0" w:color="FFFFFF"/>
              <w:bottom w:val="single" w:sz="4" w:space="0" w:color="FFFFFF"/>
              <w:right w:val="single" w:sz="4" w:space="0" w:color="FFFFFF"/>
            </w:tcBorders>
            <w:shd w:val="clear" w:color="auto" w:fill="D2232A"/>
          </w:tcPr>
          <w:p w14:paraId="203CC011" w14:textId="77777777" w:rsidR="00E10018" w:rsidRPr="008D73A7" w:rsidRDefault="00E10018" w:rsidP="00E25082">
            <w:pPr>
              <w:pStyle w:val="ECCTabletext"/>
              <w:spacing w:before="120" w:after="120"/>
              <w:jc w:val="center"/>
              <w:rPr>
                <w:b/>
                <w:color w:val="FFFFFF" w:themeColor="background1"/>
              </w:rPr>
            </w:pPr>
            <w:r w:rsidRPr="008D73A7">
              <w:rPr>
                <w:b/>
                <w:color w:val="FFFFFF" w:themeColor="background1"/>
              </w:rPr>
              <w:t>B</w:t>
            </w:r>
          </w:p>
        </w:tc>
        <w:tc>
          <w:tcPr>
            <w:tcW w:w="0" w:type="pct"/>
            <w:tcBorders>
              <w:top w:val="single" w:sz="4" w:space="0" w:color="FFFFFF"/>
              <w:left w:val="single" w:sz="4" w:space="0" w:color="FFFFFF"/>
              <w:bottom w:val="single" w:sz="4" w:space="0" w:color="FFFFFF"/>
              <w:right w:val="single" w:sz="4" w:space="0" w:color="FFFFFF"/>
            </w:tcBorders>
            <w:shd w:val="clear" w:color="auto" w:fill="D2232A"/>
          </w:tcPr>
          <w:p w14:paraId="55A0FD8D" w14:textId="77777777" w:rsidR="00E10018" w:rsidRPr="008D73A7" w:rsidRDefault="00E10018" w:rsidP="00E25082">
            <w:pPr>
              <w:pStyle w:val="ECCTabletext"/>
              <w:spacing w:before="120" w:after="120"/>
              <w:jc w:val="center"/>
              <w:rPr>
                <w:b/>
                <w:color w:val="FFFFFF" w:themeColor="background1"/>
              </w:rPr>
            </w:pPr>
            <w:r w:rsidRPr="008D73A7">
              <w:rPr>
                <w:b/>
                <w:color w:val="FFFFFF" w:themeColor="background1"/>
              </w:rPr>
              <w:t>C</w:t>
            </w:r>
          </w:p>
        </w:tc>
        <w:tc>
          <w:tcPr>
            <w:tcW w:w="0" w:type="pct"/>
            <w:tcBorders>
              <w:top w:val="single" w:sz="4" w:space="0" w:color="FFFFFF"/>
              <w:left w:val="single" w:sz="4" w:space="0" w:color="FFFFFF"/>
              <w:bottom w:val="single" w:sz="4" w:space="0" w:color="FFFFFF"/>
              <w:right w:val="single" w:sz="4" w:space="0" w:color="FFFFFF"/>
            </w:tcBorders>
            <w:shd w:val="clear" w:color="auto" w:fill="D2232A"/>
          </w:tcPr>
          <w:p w14:paraId="1C2BFEF7" w14:textId="77777777" w:rsidR="00E10018" w:rsidRPr="008D73A7" w:rsidRDefault="00E10018" w:rsidP="00E25082">
            <w:pPr>
              <w:pStyle w:val="ECCTabletext"/>
              <w:spacing w:before="120" w:after="120"/>
              <w:jc w:val="center"/>
              <w:rPr>
                <w:b/>
                <w:color w:val="FFFFFF" w:themeColor="background1"/>
              </w:rPr>
            </w:pPr>
            <w:r w:rsidRPr="008D73A7">
              <w:rPr>
                <w:b/>
                <w:color w:val="FFFFFF" w:themeColor="background1"/>
              </w:rPr>
              <w:t>D</w:t>
            </w:r>
          </w:p>
        </w:tc>
      </w:tr>
      <w:tr w:rsidR="00E10018" w:rsidRPr="008D73A7" w14:paraId="1332A251" w14:textId="77777777" w:rsidTr="00A14969">
        <w:tc>
          <w:tcPr>
            <w:tcW w:w="0" w:type="pct"/>
            <w:tcBorders>
              <w:top w:val="single" w:sz="4" w:space="0" w:color="FFFFFF" w:themeColor="background1"/>
            </w:tcBorders>
          </w:tcPr>
          <w:p w14:paraId="7858EC2E" w14:textId="2E9413D9" w:rsidR="00E10018" w:rsidRPr="008D73A7" w:rsidRDefault="00E10018" w:rsidP="00DE7D17">
            <w:pPr>
              <w:pStyle w:val="ECCTabletext"/>
              <w:jc w:val="left"/>
            </w:pPr>
            <w:r w:rsidRPr="008D73A7">
              <w:t>174.8</w:t>
            </w:r>
            <w:r w:rsidR="00666B9A" w:rsidRPr="008D73A7">
              <w:t>-</w:t>
            </w:r>
            <w:r w:rsidRPr="008D73A7">
              <w:t>182</w:t>
            </w:r>
            <w:r w:rsidR="008547B2" w:rsidRPr="008D73A7">
              <w:t> GHz</w:t>
            </w:r>
          </w:p>
        </w:tc>
        <w:tc>
          <w:tcPr>
            <w:tcW w:w="0" w:type="pct"/>
            <w:tcBorders>
              <w:top w:val="single" w:sz="4" w:space="0" w:color="FFFFFF"/>
            </w:tcBorders>
          </w:tcPr>
          <w:p w14:paraId="0669A8B6" w14:textId="77777777" w:rsidR="00E10018" w:rsidRPr="008D73A7" w:rsidRDefault="00E10018" w:rsidP="00DE7D17">
            <w:pPr>
              <w:pStyle w:val="ECCTabletext"/>
              <w:jc w:val="left"/>
            </w:pPr>
            <w:r w:rsidRPr="008D73A7">
              <w:t>5%</w:t>
            </w:r>
          </w:p>
        </w:tc>
        <w:tc>
          <w:tcPr>
            <w:tcW w:w="0" w:type="pct"/>
            <w:tcBorders>
              <w:top w:val="single" w:sz="4" w:space="0" w:color="FFFFFF"/>
            </w:tcBorders>
          </w:tcPr>
          <w:p w14:paraId="1E79F54F" w14:textId="77777777" w:rsidR="00E10018" w:rsidRPr="008D73A7" w:rsidRDefault="00E10018" w:rsidP="00DE7D17">
            <w:pPr>
              <w:pStyle w:val="ECCTabletext"/>
              <w:jc w:val="left"/>
            </w:pPr>
            <w:r w:rsidRPr="008D73A7">
              <w:t>-13.8 dBm/MHz</w:t>
            </w:r>
          </w:p>
        </w:tc>
        <w:tc>
          <w:tcPr>
            <w:tcW w:w="0" w:type="pct"/>
            <w:tcBorders>
              <w:top w:val="single" w:sz="4" w:space="0" w:color="FFFFFF"/>
            </w:tcBorders>
          </w:tcPr>
          <w:p w14:paraId="47C48B1A" w14:textId="77777777" w:rsidR="00E10018" w:rsidRPr="008D73A7" w:rsidRDefault="00E10018" w:rsidP="00DE7D17">
            <w:pPr>
              <w:pStyle w:val="ECCTabletext"/>
              <w:jc w:val="left"/>
            </w:pPr>
            <w:r w:rsidRPr="008D73A7">
              <w:t>31 dBm</w:t>
            </w:r>
          </w:p>
        </w:tc>
        <w:tc>
          <w:tcPr>
            <w:tcW w:w="0" w:type="pct"/>
            <w:tcBorders>
              <w:top w:val="single" w:sz="4" w:space="0" w:color="FFFFFF"/>
            </w:tcBorders>
          </w:tcPr>
          <w:p w14:paraId="5A192F26" w14:textId="77777777" w:rsidR="00E10018" w:rsidRPr="008D73A7" w:rsidRDefault="00E10018" w:rsidP="00DE7D17">
            <w:pPr>
              <w:pStyle w:val="ECCTabletext"/>
              <w:jc w:val="left"/>
            </w:pPr>
            <w:r w:rsidRPr="008D73A7">
              <w:t>20 dB</w:t>
            </w:r>
          </w:p>
        </w:tc>
      </w:tr>
      <w:tr w:rsidR="00E10018" w:rsidRPr="008D73A7" w14:paraId="11A2C7D2" w14:textId="77777777" w:rsidTr="00DE7D17">
        <w:tc>
          <w:tcPr>
            <w:tcW w:w="927" w:type="pct"/>
          </w:tcPr>
          <w:p w14:paraId="1889CB47" w14:textId="00C252D3" w:rsidR="00E10018" w:rsidRPr="008D73A7" w:rsidRDefault="00E10018" w:rsidP="00DE7D17">
            <w:pPr>
              <w:pStyle w:val="ECCTabletext"/>
              <w:jc w:val="left"/>
            </w:pPr>
            <w:r w:rsidRPr="008D73A7">
              <w:t>185</w:t>
            </w:r>
            <w:r w:rsidR="00666B9A" w:rsidRPr="008D73A7">
              <w:t>-</w:t>
            </w:r>
            <w:r w:rsidRPr="008D73A7">
              <w:t>190</w:t>
            </w:r>
            <w:r w:rsidR="008547B2" w:rsidRPr="008D73A7">
              <w:t> GHz</w:t>
            </w:r>
          </w:p>
        </w:tc>
        <w:tc>
          <w:tcPr>
            <w:tcW w:w="697" w:type="pct"/>
          </w:tcPr>
          <w:p w14:paraId="79483210" w14:textId="77777777" w:rsidR="00E10018" w:rsidRPr="008D73A7" w:rsidRDefault="00E10018" w:rsidP="00DE7D17">
            <w:pPr>
              <w:pStyle w:val="ECCTabletext"/>
              <w:jc w:val="left"/>
            </w:pPr>
            <w:r w:rsidRPr="008D73A7">
              <w:t>5%</w:t>
            </w:r>
          </w:p>
        </w:tc>
        <w:tc>
          <w:tcPr>
            <w:tcW w:w="1100" w:type="pct"/>
          </w:tcPr>
          <w:p w14:paraId="61B596C2" w14:textId="77777777" w:rsidR="00E10018" w:rsidRPr="008D73A7" w:rsidRDefault="00E10018" w:rsidP="00DE7D17">
            <w:pPr>
              <w:pStyle w:val="ECCTabletext"/>
              <w:jc w:val="left"/>
            </w:pPr>
            <w:r w:rsidRPr="008D73A7">
              <w:t>-13.8 dBm/MHz</w:t>
            </w:r>
          </w:p>
        </w:tc>
        <w:tc>
          <w:tcPr>
            <w:tcW w:w="1045" w:type="pct"/>
          </w:tcPr>
          <w:p w14:paraId="0E656F90" w14:textId="77777777" w:rsidR="00E10018" w:rsidRPr="008D73A7" w:rsidRDefault="00E10018" w:rsidP="00DE7D17">
            <w:pPr>
              <w:pStyle w:val="ECCTabletext"/>
              <w:jc w:val="left"/>
            </w:pPr>
            <w:r w:rsidRPr="008D73A7">
              <w:t>31 dBm</w:t>
            </w:r>
          </w:p>
        </w:tc>
        <w:tc>
          <w:tcPr>
            <w:tcW w:w="1227" w:type="pct"/>
          </w:tcPr>
          <w:p w14:paraId="6475AE0B" w14:textId="77777777" w:rsidR="00E10018" w:rsidRPr="008D73A7" w:rsidRDefault="00E10018" w:rsidP="00DE7D17">
            <w:pPr>
              <w:pStyle w:val="ECCTabletext"/>
              <w:jc w:val="left"/>
            </w:pPr>
            <w:r w:rsidRPr="008D73A7">
              <w:t>20 dB</w:t>
            </w:r>
          </w:p>
        </w:tc>
      </w:tr>
      <w:tr w:rsidR="00E10018" w:rsidRPr="008D73A7" w14:paraId="7C16CF36" w14:textId="77777777" w:rsidTr="00DE7D17">
        <w:tc>
          <w:tcPr>
            <w:tcW w:w="927" w:type="pct"/>
          </w:tcPr>
          <w:p w14:paraId="2CD88561" w14:textId="457F94C9" w:rsidR="00E10018" w:rsidRPr="008D73A7" w:rsidRDefault="00E10018" w:rsidP="00DE7D17">
            <w:pPr>
              <w:pStyle w:val="ECCTabletext"/>
              <w:jc w:val="left"/>
            </w:pPr>
            <w:r w:rsidRPr="008D73A7">
              <w:t>231.5</w:t>
            </w:r>
            <w:r w:rsidR="00666B9A" w:rsidRPr="008D73A7">
              <w:t>-</w:t>
            </w:r>
            <w:r w:rsidRPr="008D73A7">
              <w:t>250</w:t>
            </w:r>
            <w:r w:rsidR="008547B2" w:rsidRPr="008D73A7">
              <w:t> GHz</w:t>
            </w:r>
          </w:p>
        </w:tc>
        <w:tc>
          <w:tcPr>
            <w:tcW w:w="697" w:type="pct"/>
          </w:tcPr>
          <w:p w14:paraId="098195A9" w14:textId="77777777" w:rsidR="00E10018" w:rsidRPr="008D73A7" w:rsidRDefault="00E10018" w:rsidP="00DE7D17">
            <w:pPr>
              <w:pStyle w:val="ECCTabletext"/>
              <w:jc w:val="left"/>
            </w:pPr>
            <w:r w:rsidRPr="008D73A7">
              <w:t>5%</w:t>
            </w:r>
          </w:p>
        </w:tc>
        <w:tc>
          <w:tcPr>
            <w:tcW w:w="1100" w:type="pct"/>
          </w:tcPr>
          <w:p w14:paraId="4B572972" w14:textId="77777777" w:rsidR="00E10018" w:rsidRPr="008D73A7" w:rsidRDefault="00E10018" w:rsidP="00DE7D17">
            <w:pPr>
              <w:pStyle w:val="ECCTabletext"/>
              <w:jc w:val="left"/>
            </w:pPr>
            <w:r w:rsidRPr="008D73A7">
              <w:t>-25.6 dBm/MHz</w:t>
            </w:r>
          </w:p>
        </w:tc>
        <w:tc>
          <w:tcPr>
            <w:tcW w:w="1045" w:type="pct"/>
          </w:tcPr>
          <w:p w14:paraId="69DDC4F7" w14:textId="77777777" w:rsidR="00E10018" w:rsidRPr="008D73A7" w:rsidRDefault="00E10018" w:rsidP="00DE7D17">
            <w:pPr>
              <w:pStyle w:val="ECCTabletext"/>
              <w:jc w:val="left"/>
            </w:pPr>
            <w:r w:rsidRPr="008D73A7">
              <w:t>31 dBm</w:t>
            </w:r>
          </w:p>
        </w:tc>
        <w:tc>
          <w:tcPr>
            <w:tcW w:w="1227" w:type="pct"/>
          </w:tcPr>
          <w:p w14:paraId="7BDA2DAA" w14:textId="77777777" w:rsidR="00E10018" w:rsidRPr="008D73A7" w:rsidRDefault="00E10018" w:rsidP="00DE7D17">
            <w:pPr>
              <w:pStyle w:val="ECCTabletext"/>
              <w:jc w:val="left"/>
            </w:pPr>
            <w:r w:rsidRPr="008D73A7">
              <w:t>20 dB</w:t>
            </w:r>
          </w:p>
        </w:tc>
      </w:tr>
      <w:tr w:rsidR="00E10018" w:rsidRPr="008D73A7" w14:paraId="2DC02D2E" w14:textId="77777777" w:rsidTr="00DE7D17">
        <w:tc>
          <w:tcPr>
            <w:tcW w:w="5000" w:type="pct"/>
            <w:gridSpan w:val="5"/>
          </w:tcPr>
          <w:p w14:paraId="12183F95" w14:textId="5440A845" w:rsidR="00E10018" w:rsidRPr="008D73A7" w:rsidRDefault="00E10018" w:rsidP="005F721D">
            <w:pPr>
              <w:pStyle w:val="ECCTablenote"/>
            </w:pPr>
            <w:r w:rsidRPr="008D73A7">
              <w:t>Note 1: The operating frequency range (OFR) is defined over the 20 dB reduction of the intentional transmission (</w:t>
            </w:r>
            <w:r w:rsidR="008547B2" w:rsidRPr="008D73A7">
              <w:t>“</w:t>
            </w:r>
            <w:r w:rsidRPr="008D73A7">
              <w:t>20 dB bandwidth</w:t>
            </w:r>
            <w:r w:rsidR="008547B2" w:rsidRPr="008D73A7">
              <w:t>”</w:t>
            </w:r>
            <w:r w:rsidRPr="008D73A7">
              <w:t>) radiated by the equipment into the air. The unwanted emissions attenuation applies to the frequencies outside the OFR and shall be applied to the maximum mean e.i.r.p. spectral density and the maximum peak e.i.r.p. The measurement bandwidth for the unwanted emissions domain is 1 MHz.</w:t>
            </w:r>
          </w:p>
          <w:p w14:paraId="474BFF6F" w14:textId="77777777" w:rsidR="00E10018" w:rsidRPr="008D73A7" w:rsidRDefault="00E10018" w:rsidP="005F721D">
            <w:pPr>
              <w:pStyle w:val="ECCTablenote"/>
            </w:pPr>
            <w:r w:rsidRPr="008D73A7">
              <w:t>Note 2: The maximum duty cycle of 5% is already included in this mean e.i.r.p. limit value. Consequently, the given maximum mean e.i.r.p. spectral density limit is valid for averaging over the whole measurement cycle T</w:t>
            </w:r>
            <w:r w:rsidRPr="008D73A7">
              <w:rPr>
                <w:rStyle w:val="ECCHLsubscript"/>
              </w:rPr>
              <w:t xml:space="preserve">meas_cycle </w:t>
            </w:r>
            <w:r w:rsidRPr="008D73A7">
              <w:t>of the device including any T</w:t>
            </w:r>
            <w:r w:rsidRPr="008D73A7">
              <w:rPr>
                <w:rStyle w:val="ECCHLsubscript"/>
              </w:rPr>
              <w:t>off</w:t>
            </w:r>
            <w:r w:rsidRPr="008D73A7">
              <w:t xml:space="preserve"> times in 1 MHz resolution bandwidth of the measuring receiver.</w:t>
            </w:r>
          </w:p>
          <w:p w14:paraId="49932A07" w14:textId="77777777" w:rsidR="00E10018" w:rsidRPr="008D73A7" w:rsidRDefault="00E10018" w:rsidP="005F721D">
            <w:pPr>
              <w:pStyle w:val="ECCTablenote"/>
            </w:pPr>
            <w:r w:rsidRPr="008D73A7">
              <w:t>Note 3: The maximum peak e.i.r.p. shall be measured/evaluated in 1 GHz bandwidth.</w:t>
            </w:r>
          </w:p>
        </w:tc>
      </w:tr>
    </w:tbl>
    <w:p w14:paraId="409200FF" w14:textId="77777777" w:rsidR="00E10018" w:rsidRPr="008D73A7" w:rsidRDefault="00E10018" w:rsidP="00E10018">
      <w:pPr>
        <w:spacing w:before="360" w:after="120"/>
        <w:jc w:val="both"/>
        <w:rPr>
          <w:lang w:val="en-GB"/>
        </w:rPr>
      </w:pPr>
      <w:r w:rsidRPr="008D73A7">
        <w:rPr>
          <w:lang w:val="en-GB"/>
        </w:rPr>
        <w:t>Additional requirements for radiodetermination systems for industry automation (RDI) to allow licence-exempt use:</w:t>
      </w:r>
    </w:p>
    <w:p w14:paraId="3C3D14D2" w14:textId="77777777" w:rsidR="00E10018" w:rsidRPr="008D73A7" w:rsidRDefault="00E10018" w:rsidP="00F5346F">
      <w:pPr>
        <w:pStyle w:val="NumberedList"/>
        <w:numPr>
          <w:ilvl w:val="0"/>
          <w:numId w:val="20"/>
        </w:numPr>
        <w:spacing w:before="60"/>
      </w:pPr>
      <w:r w:rsidRPr="008D73A7">
        <w:t>The operation of RDI sensors is envisaged for industrial purposes only;</w:t>
      </w:r>
    </w:p>
    <w:p w14:paraId="0E54A27F" w14:textId="77777777" w:rsidR="00E10018" w:rsidRPr="008D73A7" w:rsidRDefault="00E10018" w:rsidP="00F5346F">
      <w:pPr>
        <w:pStyle w:val="NumberedList"/>
        <w:numPr>
          <w:ilvl w:val="0"/>
          <w:numId w:val="20"/>
        </w:numPr>
        <w:spacing w:before="60"/>
      </w:pPr>
      <w:r w:rsidRPr="008D73A7">
        <w:t>Installation and maintenance of RDI equipment shall be performed by professionally trained personnel only;</w:t>
      </w:r>
    </w:p>
    <w:p w14:paraId="5FEA8C52" w14:textId="77777777" w:rsidR="00E10018" w:rsidRPr="008D73A7" w:rsidRDefault="00E10018" w:rsidP="00F5346F">
      <w:pPr>
        <w:pStyle w:val="NumberedList"/>
        <w:numPr>
          <w:ilvl w:val="0"/>
          <w:numId w:val="20"/>
        </w:numPr>
        <w:spacing w:before="60"/>
      </w:pPr>
      <w:r w:rsidRPr="008D73A7">
        <w:t>RDI equipment shall not be marketed to private end customers;</w:t>
      </w:r>
    </w:p>
    <w:p w14:paraId="441609BE" w14:textId="77777777" w:rsidR="00E10018" w:rsidRPr="008D73A7" w:rsidRDefault="00E10018" w:rsidP="00F5346F">
      <w:pPr>
        <w:pStyle w:val="NumberedList"/>
        <w:numPr>
          <w:ilvl w:val="0"/>
          <w:numId w:val="20"/>
        </w:numPr>
        <w:spacing w:before="60"/>
      </w:pPr>
      <w:r w:rsidRPr="008D73A7">
        <w:t>Installers have to ensure that there are no unwanted obstacles in the main beam of the antenna in order to minimise unintentional reflections and scattering;</w:t>
      </w:r>
    </w:p>
    <w:p w14:paraId="1C80A3B4" w14:textId="77777777" w:rsidR="00E10018" w:rsidRPr="008D73A7" w:rsidRDefault="00E10018" w:rsidP="00F5346F">
      <w:pPr>
        <w:pStyle w:val="NumberedList"/>
        <w:numPr>
          <w:ilvl w:val="0"/>
          <w:numId w:val="20"/>
        </w:numPr>
        <w:spacing w:before="60"/>
      </w:pPr>
      <w:r w:rsidRPr="008D73A7">
        <w:t>Outdoor RDI sensors shall only be installed in heights from 0 m to 3 m above ground;</w:t>
      </w:r>
    </w:p>
    <w:p w14:paraId="0E14F687" w14:textId="77777777" w:rsidR="00E10018" w:rsidRPr="008D73A7" w:rsidRDefault="00E10018" w:rsidP="00F5346F">
      <w:pPr>
        <w:pStyle w:val="NumberedList"/>
        <w:numPr>
          <w:ilvl w:val="0"/>
          <w:numId w:val="20"/>
        </w:numPr>
        <w:spacing w:before="60"/>
        <w:rPr>
          <w:shd w:val="solid" w:color="FFFF00" w:fill="auto"/>
        </w:rPr>
      </w:pPr>
      <w:r w:rsidRPr="008D73A7">
        <w:t>The provider is required to inform the users and installers of RDI equipment about the installation requirements and additional special mounting instructions;</w:t>
      </w:r>
    </w:p>
    <w:p w14:paraId="55424D1E" w14:textId="77777777" w:rsidR="00E10018" w:rsidRPr="008D73A7" w:rsidRDefault="00E10018" w:rsidP="00F5346F">
      <w:pPr>
        <w:pStyle w:val="NumberedList"/>
        <w:numPr>
          <w:ilvl w:val="0"/>
          <w:numId w:val="20"/>
        </w:numPr>
        <w:spacing w:before="60"/>
      </w:pPr>
      <w:r w:rsidRPr="008D73A7">
        <w:t>For RDI devices using an antenna gain smaller than 20 dBi, the maximum conducted peak output power shall be limited to 15 dBm.</w:t>
      </w:r>
    </w:p>
    <w:p w14:paraId="5E0F385E" w14:textId="77777777" w:rsidR="00083DD8" w:rsidRPr="008D73A7" w:rsidRDefault="00083DD8">
      <w:pPr>
        <w:spacing w:before="0" w:after="0"/>
        <w:rPr>
          <w:b/>
          <w:caps/>
          <w:lang w:val="en-GB" w:eastAsia="ar-SA"/>
        </w:rPr>
      </w:pPr>
      <w:r w:rsidRPr="008D73A7">
        <w:rPr>
          <w:lang w:val="en-GB" w:eastAsia="ar-SA"/>
        </w:rPr>
        <w:br w:type="page"/>
      </w:r>
    </w:p>
    <w:p w14:paraId="6B955AF4" w14:textId="535AD0F5" w:rsidR="00E10018" w:rsidRPr="008D73A7" w:rsidRDefault="00E10018" w:rsidP="00D64498">
      <w:pPr>
        <w:pStyle w:val="ECCAnnexheading2"/>
        <w:ind w:left="576"/>
        <w:rPr>
          <w:lang w:val="en-GB" w:eastAsia="ar-SA"/>
        </w:rPr>
      </w:pPr>
      <w:r w:rsidRPr="008D73A7">
        <w:rPr>
          <w:lang w:val="en-GB" w:eastAsia="ar-SA"/>
        </w:rPr>
        <w:lastRenderedPageBreak/>
        <w:t>TECHNICAL REQUIREMENTS FOR LEVEL PROBING RADAR (LPR)</w:t>
      </w:r>
    </w:p>
    <w:p w14:paraId="5BCF216C" w14:textId="7D9BB28E" w:rsidR="00E10018" w:rsidRPr="008D73A7" w:rsidRDefault="00E10018">
      <w:pPr>
        <w:pStyle w:val="Caption"/>
        <w:spacing w:before="360"/>
        <w:rPr>
          <w:lang w:val="en-GB"/>
        </w:rPr>
      </w:pPr>
      <w:bookmarkStart w:id="356" w:name="_Ref106107087"/>
      <w:r w:rsidRPr="008D73A7">
        <w:rPr>
          <w:lang w:val="en-GB"/>
        </w:rPr>
        <w:t>Table </w:t>
      </w:r>
      <w:r w:rsidRPr="008D73A7">
        <w:rPr>
          <w:lang w:val="en-GB"/>
        </w:rPr>
        <w:fldChar w:fldCharType="begin"/>
      </w:r>
      <w:r w:rsidRPr="008D73A7">
        <w:rPr>
          <w:lang w:val="en-GB"/>
        </w:rPr>
        <w:instrText xml:space="preserve"> SEQ Table \* ARABIC </w:instrText>
      </w:r>
      <w:r w:rsidRPr="008D73A7">
        <w:rPr>
          <w:lang w:val="en-GB"/>
        </w:rPr>
        <w:fldChar w:fldCharType="separate"/>
      </w:r>
      <w:r w:rsidR="00BD0B7C" w:rsidRPr="008D73A7">
        <w:rPr>
          <w:lang w:val="en-GB"/>
        </w:rPr>
        <w:t>17</w:t>
      </w:r>
      <w:r w:rsidRPr="008D73A7">
        <w:rPr>
          <w:lang w:val="en-GB"/>
        </w:rPr>
        <w:fldChar w:fldCharType="end"/>
      </w:r>
      <w:bookmarkEnd w:id="356"/>
      <w:r w:rsidRPr="008D73A7">
        <w:rPr>
          <w:lang w:val="en-GB"/>
        </w:rPr>
        <w:t>: Technical requirements for LPR devices in the designated bands</w:t>
      </w:r>
    </w:p>
    <w:tbl>
      <w:tblPr>
        <w:tblStyle w:val="ECCTable-redheader"/>
        <w:tblW w:w="4835" w:type="pct"/>
        <w:tblInd w:w="0" w:type="dxa"/>
        <w:tblLook w:val="04A0" w:firstRow="1" w:lastRow="0" w:firstColumn="1" w:lastColumn="0" w:noHBand="0" w:noVBand="1"/>
      </w:tblPr>
      <w:tblGrid>
        <w:gridCol w:w="1557"/>
        <w:gridCol w:w="1361"/>
        <w:gridCol w:w="2086"/>
        <w:gridCol w:w="1847"/>
        <w:gridCol w:w="2460"/>
      </w:tblGrid>
      <w:tr w:rsidR="00E10018" w:rsidRPr="008D73A7" w14:paraId="6DE68139" w14:textId="77777777" w:rsidTr="00A14969">
        <w:trPr>
          <w:cnfStyle w:val="100000000000" w:firstRow="1" w:lastRow="0" w:firstColumn="0" w:lastColumn="0" w:oddVBand="0" w:evenVBand="0" w:oddHBand="0" w:evenHBand="0" w:firstRowFirstColumn="0" w:firstRowLastColumn="0" w:lastRowFirstColumn="0" w:lastRowLastColumn="0"/>
        </w:trPr>
        <w:tc>
          <w:tcPr>
            <w:tcW w:w="0" w:type="pct"/>
            <w:tcBorders>
              <w:top w:val="single" w:sz="4" w:space="0" w:color="FFFFFF" w:themeColor="background1"/>
              <w:left w:val="single" w:sz="4" w:space="0" w:color="FFFFFF" w:themeColor="background1"/>
              <w:bottom w:val="nil"/>
            </w:tcBorders>
          </w:tcPr>
          <w:p w14:paraId="6867E51A" w14:textId="588C6FF2" w:rsidR="00E10018" w:rsidRPr="008D73A7" w:rsidRDefault="00E10018" w:rsidP="008547B2">
            <w:pPr>
              <w:pStyle w:val="ECCTableHeaderwhitefont"/>
              <w:spacing w:after="0"/>
              <w:rPr>
                <w:b w:val="0"/>
                <w:lang w:val="en-GB"/>
              </w:rPr>
            </w:pPr>
            <w:r w:rsidRPr="008D73A7">
              <w:rPr>
                <w:lang w:val="en-GB"/>
              </w:rPr>
              <w:t>Designated frequency band</w:t>
            </w:r>
          </w:p>
        </w:tc>
        <w:tc>
          <w:tcPr>
            <w:tcW w:w="0" w:type="pct"/>
            <w:tcBorders>
              <w:bottom w:val="single" w:sz="4" w:space="0" w:color="FFFFFF"/>
            </w:tcBorders>
          </w:tcPr>
          <w:p w14:paraId="74CCF946" w14:textId="77777777" w:rsidR="00E10018" w:rsidRPr="008D73A7" w:rsidRDefault="00E10018" w:rsidP="00DE7D17">
            <w:pPr>
              <w:pStyle w:val="ECCTableHeaderwhitefont"/>
              <w:rPr>
                <w:lang w:val="en-GB"/>
              </w:rPr>
            </w:pPr>
            <w:r w:rsidRPr="008D73A7">
              <w:rPr>
                <w:lang w:val="en-GB"/>
              </w:rPr>
              <w:t>Maximum duty cycle</w:t>
            </w:r>
          </w:p>
        </w:tc>
        <w:tc>
          <w:tcPr>
            <w:tcW w:w="0" w:type="pct"/>
            <w:tcBorders>
              <w:bottom w:val="single" w:sz="4" w:space="0" w:color="FFFFFF"/>
            </w:tcBorders>
          </w:tcPr>
          <w:p w14:paraId="7683E2AB" w14:textId="77777777" w:rsidR="00E10018" w:rsidRPr="008D73A7" w:rsidRDefault="00E10018" w:rsidP="00DE7D17">
            <w:pPr>
              <w:pStyle w:val="ECCTableHeaderwhitefont"/>
              <w:rPr>
                <w:lang w:val="en-GB"/>
              </w:rPr>
            </w:pPr>
            <w:r w:rsidRPr="008D73A7">
              <w:rPr>
                <w:lang w:val="en-GB"/>
              </w:rPr>
              <w:t>Maximum mean e.i.r.p. spectral density (Note 2)</w:t>
            </w:r>
          </w:p>
        </w:tc>
        <w:tc>
          <w:tcPr>
            <w:tcW w:w="0" w:type="pct"/>
            <w:tcBorders>
              <w:bottom w:val="single" w:sz="4" w:space="0" w:color="FFFFFF"/>
            </w:tcBorders>
          </w:tcPr>
          <w:p w14:paraId="3C9BBE38" w14:textId="77777777" w:rsidR="00E10018" w:rsidRPr="008D73A7" w:rsidRDefault="00E10018" w:rsidP="00DE7D17">
            <w:pPr>
              <w:pStyle w:val="ECCTableHeaderwhitefont"/>
              <w:rPr>
                <w:lang w:val="en-GB"/>
              </w:rPr>
            </w:pPr>
            <w:r w:rsidRPr="008D73A7">
              <w:rPr>
                <w:lang w:val="en-GB"/>
              </w:rPr>
              <w:t>Maximum peak e.i.r.p. (Note 3)</w:t>
            </w:r>
          </w:p>
        </w:tc>
        <w:tc>
          <w:tcPr>
            <w:tcW w:w="0" w:type="pct"/>
            <w:tcBorders>
              <w:bottom w:val="single" w:sz="4" w:space="0" w:color="FFFFFF"/>
            </w:tcBorders>
          </w:tcPr>
          <w:p w14:paraId="3DDD4D2D" w14:textId="77777777" w:rsidR="00E10018" w:rsidRPr="008D73A7" w:rsidRDefault="00E10018" w:rsidP="00DE7D17">
            <w:pPr>
              <w:pStyle w:val="ECCTableHeaderwhitefont"/>
              <w:rPr>
                <w:lang w:val="en-GB"/>
              </w:rPr>
            </w:pPr>
            <w:r w:rsidRPr="008D73A7">
              <w:rPr>
                <w:lang w:val="en-GB"/>
              </w:rPr>
              <w:t>Minimum unwanted emissions attenuation (Note 1)</w:t>
            </w:r>
          </w:p>
        </w:tc>
      </w:tr>
      <w:tr w:rsidR="00E10018" w:rsidRPr="008D73A7" w14:paraId="099B2C68" w14:textId="77777777" w:rsidTr="00A14969">
        <w:tc>
          <w:tcPr>
            <w:tcW w:w="0" w:type="pct"/>
            <w:tcBorders>
              <w:top w:val="nil"/>
              <w:left w:val="single" w:sz="4" w:space="0" w:color="FFFFFF" w:themeColor="background1"/>
              <w:bottom w:val="single" w:sz="4" w:space="0" w:color="FFFFFF" w:themeColor="background1"/>
              <w:right w:val="single" w:sz="4" w:space="0" w:color="FFFFFF" w:themeColor="background1"/>
            </w:tcBorders>
            <w:shd w:val="clear" w:color="auto" w:fill="D2232A"/>
          </w:tcPr>
          <w:p w14:paraId="3EF86BA8" w14:textId="77777777" w:rsidR="00E10018" w:rsidRPr="008D73A7" w:rsidRDefault="00E10018" w:rsidP="00E25082">
            <w:pPr>
              <w:pStyle w:val="ECCTabletext"/>
              <w:spacing w:before="120" w:after="120"/>
              <w:jc w:val="center"/>
              <w:rPr>
                <w:b/>
                <w:color w:val="FFFFFF" w:themeColor="background1"/>
              </w:rPr>
            </w:pPr>
          </w:p>
        </w:tc>
        <w:tc>
          <w:tcPr>
            <w:tcW w:w="0" w:type="pct"/>
            <w:tcBorders>
              <w:top w:val="single" w:sz="4" w:space="0" w:color="FFFFFF"/>
              <w:left w:val="single" w:sz="4" w:space="0" w:color="FFFFFF" w:themeColor="background1"/>
              <w:bottom w:val="single" w:sz="4" w:space="0" w:color="FFFFFF"/>
              <w:right w:val="single" w:sz="4" w:space="0" w:color="FFFFFF"/>
            </w:tcBorders>
            <w:shd w:val="clear" w:color="auto" w:fill="D2232A"/>
          </w:tcPr>
          <w:p w14:paraId="5B46E0EC" w14:textId="77777777" w:rsidR="00E10018" w:rsidRPr="008D73A7" w:rsidRDefault="00E10018" w:rsidP="00E25082">
            <w:pPr>
              <w:pStyle w:val="ECCTabletext"/>
              <w:spacing w:before="120" w:after="120"/>
              <w:jc w:val="center"/>
              <w:rPr>
                <w:b/>
                <w:color w:val="FFFFFF" w:themeColor="background1"/>
              </w:rPr>
            </w:pPr>
            <w:r w:rsidRPr="008D73A7">
              <w:rPr>
                <w:b/>
                <w:color w:val="FFFFFF" w:themeColor="background1"/>
              </w:rPr>
              <w:t>A</w:t>
            </w:r>
          </w:p>
        </w:tc>
        <w:tc>
          <w:tcPr>
            <w:tcW w:w="0" w:type="pct"/>
            <w:tcBorders>
              <w:top w:val="single" w:sz="4" w:space="0" w:color="FFFFFF"/>
              <w:left w:val="single" w:sz="4" w:space="0" w:color="FFFFFF"/>
              <w:bottom w:val="single" w:sz="4" w:space="0" w:color="FFFFFF"/>
              <w:right w:val="single" w:sz="4" w:space="0" w:color="FFFFFF"/>
            </w:tcBorders>
            <w:shd w:val="clear" w:color="auto" w:fill="D2232A"/>
          </w:tcPr>
          <w:p w14:paraId="492FB638" w14:textId="77777777" w:rsidR="00E10018" w:rsidRPr="008D73A7" w:rsidRDefault="00E10018" w:rsidP="00E25082">
            <w:pPr>
              <w:pStyle w:val="ECCTabletext"/>
              <w:spacing w:before="120" w:after="120"/>
              <w:jc w:val="center"/>
              <w:rPr>
                <w:b/>
                <w:color w:val="FFFFFF" w:themeColor="background1"/>
              </w:rPr>
            </w:pPr>
            <w:r w:rsidRPr="008D73A7">
              <w:rPr>
                <w:b/>
                <w:color w:val="FFFFFF" w:themeColor="background1"/>
              </w:rPr>
              <w:t>B</w:t>
            </w:r>
          </w:p>
        </w:tc>
        <w:tc>
          <w:tcPr>
            <w:tcW w:w="0" w:type="pct"/>
            <w:tcBorders>
              <w:top w:val="single" w:sz="4" w:space="0" w:color="FFFFFF"/>
              <w:left w:val="single" w:sz="4" w:space="0" w:color="FFFFFF"/>
              <w:bottom w:val="single" w:sz="4" w:space="0" w:color="FFFFFF"/>
              <w:right w:val="single" w:sz="4" w:space="0" w:color="FFFFFF"/>
            </w:tcBorders>
            <w:shd w:val="clear" w:color="auto" w:fill="D2232A"/>
          </w:tcPr>
          <w:p w14:paraId="466E5F2E" w14:textId="77777777" w:rsidR="00E10018" w:rsidRPr="008D73A7" w:rsidRDefault="00E10018" w:rsidP="00E25082">
            <w:pPr>
              <w:pStyle w:val="ECCTabletext"/>
              <w:spacing w:before="120" w:after="120"/>
              <w:jc w:val="center"/>
              <w:rPr>
                <w:b/>
                <w:color w:val="FFFFFF" w:themeColor="background1"/>
              </w:rPr>
            </w:pPr>
            <w:r w:rsidRPr="008D73A7">
              <w:rPr>
                <w:b/>
                <w:color w:val="FFFFFF" w:themeColor="background1"/>
              </w:rPr>
              <w:t>C</w:t>
            </w:r>
          </w:p>
        </w:tc>
        <w:tc>
          <w:tcPr>
            <w:tcW w:w="0" w:type="pct"/>
            <w:tcBorders>
              <w:top w:val="single" w:sz="4" w:space="0" w:color="FFFFFF"/>
              <w:left w:val="single" w:sz="4" w:space="0" w:color="FFFFFF"/>
              <w:bottom w:val="single" w:sz="4" w:space="0" w:color="FFFFFF"/>
              <w:right w:val="single" w:sz="4" w:space="0" w:color="FFFFFF"/>
            </w:tcBorders>
            <w:shd w:val="clear" w:color="auto" w:fill="D2232A"/>
          </w:tcPr>
          <w:p w14:paraId="13464393" w14:textId="77777777" w:rsidR="00E10018" w:rsidRPr="008D73A7" w:rsidRDefault="00E10018" w:rsidP="00E25082">
            <w:pPr>
              <w:pStyle w:val="ECCTabletext"/>
              <w:spacing w:before="120" w:after="120"/>
              <w:jc w:val="center"/>
              <w:rPr>
                <w:b/>
                <w:color w:val="FFFFFF" w:themeColor="background1"/>
              </w:rPr>
            </w:pPr>
            <w:r w:rsidRPr="008D73A7">
              <w:rPr>
                <w:b/>
                <w:color w:val="FFFFFF" w:themeColor="background1"/>
              </w:rPr>
              <w:t>D</w:t>
            </w:r>
          </w:p>
        </w:tc>
      </w:tr>
      <w:tr w:rsidR="00E10018" w:rsidRPr="008D73A7" w14:paraId="63154DE5" w14:textId="77777777" w:rsidTr="00A14969">
        <w:tc>
          <w:tcPr>
            <w:tcW w:w="0" w:type="pct"/>
            <w:tcBorders>
              <w:top w:val="single" w:sz="4" w:space="0" w:color="FFFFFF" w:themeColor="background1"/>
            </w:tcBorders>
          </w:tcPr>
          <w:p w14:paraId="210348A2" w14:textId="5418A1F4" w:rsidR="00E10018" w:rsidRPr="008D73A7" w:rsidRDefault="00E10018" w:rsidP="00DE7D17">
            <w:pPr>
              <w:pStyle w:val="ECCTabletext"/>
              <w:jc w:val="left"/>
            </w:pPr>
            <w:r w:rsidRPr="008D73A7">
              <w:t>116</w:t>
            </w:r>
            <w:r w:rsidR="00666B9A" w:rsidRPr="008D73A7">
              <w:t>-</w:t>
            </w:r>
            <w:r w:rsidRPr="008D73A7">
              <w:t>148.5</w:t>
            </w:r>
            <w:r w:rsidR="005F721D" w:rsidRPr="008D73A7">
              <w:t xml:space="preserve"> </w:t>
            </w:r>
            <w:r w:rsidR="008547B2" w:rsidRPr="008D73A7">
              <w:t>GHz</w:t>
            </w:r>
          </w:p>
        </w:tc>
        <w:tc>
          <w:tcPr>
            <w:tcW w:w="0" w:type="pct"/>
            <w:tcBorders>
              <w:top w:val="single" w:sz="4" w:space="0" w:color="FFFFFF"/>
            </w:tcBorders>
          </w:tcPr>
          <w:p w14:paraId="160620D5" w14:textId="77777777" w:rsidR="00E10018" w:rsidRPr="008D73A7" w:rsidRDefault="00E10018" w:rsidP="00DE7D17">
            <w:pPr>
              <w:pStyle w:val="ECCTabletext"/>
              <w:jc w:val="left"/>
            </w:pPr>
            <w:r w:rsidRPr="008D73A7">
              <w:t>5%</w:t>
            </w:r>
          </w:p>
        </w:tc>
        <w:tc>
          <w:tcPr>
            <w:tcW w:w="0" w:type="pct"/>
            <w:tcBorders>
              <w:top w:val="single" w:sz="4" w:space="0" w:color="FFFFFF"/>
            </w:tcBorders>
          </w:tcPr>
          <w:p w14:paraId="042644C7" w14:textId="77777777" w:rsidR="00E10018" w:rsidRPr="008D73A7" w:rsidRDefault="00E10018" w:rsidP="00DE7D17">
            <w:pPr>
              <w:pStyle w:val="ECCTabletext"/>
              <w:jc w:val="left"/>
            </w:pPr>
            <w:r w:rsidRPr="008D73A7">
              <w:t>-8.0 dBm/MHz</w:t>
            </w:r>
          </w:p>
        </w:tc>
        <w:tc>
          <w:tcPr>
            <w:tcW w:w="0" w:type="pct"/>
            <w:tcBorders>
              <w:top w:val="single" w:sz="4" w:space="0" w:color="FFFFFF"/>
            </w:tcBorders>
          </w:tcPr>
          <w:p w14:paraId="4B293F03" w14:textId="77777777" w:rsidR="00E10018" w:rsidRPr="008D73A7" w:rsidRDefault="00E10018" w:rsidP="00DE7D17">
            <w:pPr>
              <w:pStyle w:val="ECCTabletext"/>
              <w:jc w:val="left"/>
            </w:pPr>
            <w:r w:rsidRPr="008D73A7">
              <w:t>37 dBm</w:t>
            </w:r>
          </w:p>
        </w:tc>
        <w:tc>
          <w:tcPr>
            <w:tcW w:w="0" w:type="pct"/>
            <w:tcBorders>
              <w:top w:val="single" w:sz="4" w:space="0" w:color="FFFFFF"/>
            </w:tcBorders>
          </w:tcPr>
          <w:p w14:paraId="08634330" w14:textId="77777777" w:rsidR="00E10018" w:rsidRPr="008D73A7" w:rsidRDefault="00E10018" w:rsidP="00DE7D17">
            <w:pPr>
              <w:pStyle w:val="ECCTabletext"/>
              <w:jc w:val="left"/>
            </w:pPr>
            <w:r w:rsidRPr="008D73A7">
              <w:t>20 dB</w:t>
            </w:r>
          </w:p>
        </w:tc>
      </w:tr>
      <w:tr w:rsidR="00E10018" w:rsidRPr="008D73A7" w14:paraId="159A272B" w14:textId="77777777" w:rsidTr="00DE7D17">
        <w:tc>
          <w:tcPr>
            <w:tcW w:w="836" w:type="pct"/>
          </w:tcPr>
          <w:p w14:paraId="435A32A4" w14:textId="500A006E" w:rsidR="00E10018" w:rsidRPr="008D73A7" w:rsidRDefault="00E10018" w:rsidP="00DE7D17">
            <w:pPr>
              <w:pStyle w:val="ECCTabletext"/>
              <w:jc w:val="left"/>
            </w:pPr>
            <w:r w:rsidRPr="008D73A7">
              <w:t>167</w:t>
            </w:r>
            <w:r w:rsidR="00666B9A" w:rsidRPr="008D73A7">
              <w:t>-</w:t>
            </w:r>
            <w:r w:rsidRPr="008D73A7">
              <w:t>182</w:t>
            </w:r>
            <w:r w:rsidR="005F721D" w:rsidRPr="008D73A7">
              <w:t xml:space="preserve"> </w:t>
            </w:r>
            <w:r w:rsidR="008547B2" w:rsidRPr="008D73A7">
              <w:t>GHz</w:t>
            </w:r>
          </w:p>
        </w:tc>
        <w:tc>
          <w:tcPr>
            <w:tcW w:w="731" w:type="pct"/>
          </w:tcPr>
          <w:p w14:paraId="76559F5B" w14:textId="77777777" w:rsidR="00E10018" w:rsidRPr="008D73A7" w:rsidRDefault="00E10018" w:rsidP="00DE7D17">
            <w:pPr>
              <w:pStyle w:val="ECCTabletext"/>
              <w:jc w:val="left"/>
            </w:pPr>
            <w:r w:rsidRPr="008D73A7">
              <w:t>5%</w:t>
            </w:r>
          </w:p>
        </w:tc>
        <w:tc>
          <w:tcPr>
            <w:tcW w:w="1120" w:type="pct"/>
          </w:tcPr>
          <w:p w14:paraId="4DCF67D5" w14:textId="77777777" w:rsidR="00E10018" w:rsidRPr="008D73A7" w:rsidRDefault="00E10018" w:rsidP="00DE7D17">
            <w:pPr>
              <w:pStyle w:val="ECCTabletext"/>
              <w:jc w:val="left"/>
            </w:pPr>
            <w:r w:rsidRPr="008D73A7">
              <w:t>-6.0 dBm/MHz</w:t>
            </w:r>
          </w:p>
        </w:tc>
        <w:tc>
          <w:tcPr>
            <w:tcW w:w="992" w:type="pct"/>
          </w:tcPr>
          <w:p w14:paraId="28CF474C" w14:textId="77777777" w:rsidR="00E10018" w:rsidRPr="008D73A7" w:rsidRDefault="00E10018" w:rsidP="00DE7D17">
            <w:pPr>
              <w:pStyle w:val="ECCTabletext"/>
              <w:jc w:val="left"/>
            </w:pPr>
            <w:r w:rsidRPr="008D73A7">
              <w:t>37 dBm</w:t>
            </w:r>
          </w:p>
        </w:tc>
        <w:tc>
          <w:tcPr>
            <w:tcW w:w="1318" w:type="pct"/>
          </w:tcPr>
          <w:p w14:paraId="32EEFE2F" w14:textId="77777777" w:rsidR="00E10018" w:rsidRPr="008D73A7" w:rsidRDefault="00E10018" w:rsidP="00DE7D17">
            <w:pPr>
              <w:pStyle w:val="ECCTabletext"/>
              <w:jc w:val="left"/>
            </w:pPr>
            <w:r w:rsidRPr="008D73A7">
              <w:t>20 dB</w:t>
            </w:r>
          </w:p>
        </w:tc>
      </w:tr>
      <w:tr w:rsidR="00E10018" w:rsidRPr="008D73A7" w14:paraId="4443D160" w14:textId="77777777" w:rsidTr="00DE7D17">
        <w:tc>
          <w:tcPr>
            <w:tcW w:w="836" w:type="pct"/>
          </w:tcPr>
          <w:p w14:paraId="55DD6B25" w14:textId="2ABF604B" w:rsidR="00E10018" w:rsidRPr="008D73A7" w:rsidRDefault="00E10018" w:rsidP="00DE7D17">
            <w:pPr>
              <w:pStyle w:val="ECCTabletext"/>
              <w:jc w:val="left"/>
            </w:pPr>
            <w:r w:rsidRPr="008D73A7">
              <w:t>231.5</w:t>
            </w:r>
            <w:r w:rsidR="00666B9A" w:rsidRPr="008D73A7">
              <w:t>-</w:t>
            </w:r>
            <w:r w:rsidRPr="008D73A7">
              <w:t>250</w:t>
            </w:r>
            <w:r w:rsidR="005F721D" w:rsidRPr="008D73A7">
              <w:t xml:space="preserve"> </w:t>
            </w:r>
            <w:r w:rsidR="008547B2" w:rsidRPr="008D73A7">
              <w:t>GHz</w:t>
            </w:r>
          </w:p>
        </w:tc>
        <w:tc>
          <w:tcPr>
            <w:tcW w:w="731" w:type="pct"/>
          </w:tcPr>
          <w:p w14:paraId="2A645212" w14:textId="77777777" w:rsidR="00E10018" w:rsidRPr="008D73A7" w:rsidRDefault="00E10018" w:rsidP="00DE7D17">
            <w:pPr>
              <w:pStyle w:val="ECCTabletext"/>
              <w:jc w:val="left"/>
            </w:pPr>
            <w:r w:rsidRPr="008D73A7">
              <w:t>5%</w:t>
            </w:r>
          </w:p>
        </w:tc>
        <w:tc>
          <w:tcPr>
            <w:tcW w:w="1120" w:type="pct"/>
          </w:tcPr>
          <w:p w14:paraId="65AD3808" w14:textId="77777777" w:rsidR="00E10018" w:rsidRPr="008D73A7" w:rsidRDefault="00E10018" w:rsidP="00DE7D17">
            <w:pPr>
              <w:pStyle w:val="ECCTabletext"/>
              <w:jc w:val="left"/>
            </w:pPr>
            <w:r w:rsidRPr="008D73A7">
              <w:t>-6.0 dBm/MHz</w:t>
            </w:r>
          </w:p>
        </w:tc>
        <w:tc>
          <w:tcPr>
            <w:tcW w:w="992" w:type="pct"/>
          </w:tcPr>
          <w:p w14:paraId="414B6D4A" w14:textId="77777777" w:rsidR="00E10018" w:rsidRPr="008D73A7" w:rsidRDefault="00E10018" w:rsidP="00DE7D17">
            <w:pPr>
              <w:pStyle w:val="ECCTabletext"/>
              <w:jc w:val="left"/>
            </w:pPr>
            <w:r w:rsidRPr="008D73A7">
              <w:t>37 dBm</w:t>
            </w:r>
          </w:p>
        </w:tc>
        <w:tc>
          <w:tcPr>
            <w:tcW w:w="1318" w:type="pct"/>
          </w:tcPr>
          <w:p w14:paraId="05AC7652" w14:textId="77777777" w:rsidR="00E10018" w:rsidRPr="008D73A7" w:rsidRDefault="00E10018" w:rsidP="00DE7D17">
            <w:pPr>
              <w:pStyle w:val="ECCTabletext"/>
              <w:jc w:val="left"/>
            </w:pPr>
            <w:r w:rsidRPr="008D73A7">
              <w:t>20 dB</w:t>
            </w:r>
          </w:p>
        </w:tc>
      </w:tr>
      <w:tr w:rsidR="00E10018" w:rsidRPr="008D73A7" w14:paraId="28868061" w14:textId="77777777" w:rsidTr="00DE7D17">
        <w:tc>
          <w:tcPr>
            <w:tcW w:w="5000" w:type="pct"/>
            <w:gridSpan w:val="5"/>
          </w:tcPr>
          <w:p w14:paraId="78C42271" w14:textId="070665C2" w:rsidR="00E10018" w:rsidRPr="008D73A7" w:rsidRDefault="00E10018" w:rsidP="005F721D">
            <w:pPr>
              <w:pStyle w:val="ECCTablenote"/>
            </w:pPr>
            <w:r w:rsidRPr="008D73A7">
              <w:t>Note 1: The operating frequency range (OFR) is defined over the 20 dB reduction of the intentional transmission (</w:t>
            </w:r>
            <w:r w:rsidR="008547B2" w:rsidRPr="008D73A7">
              <w:t>“</w:t>
            </w:r>
            <w:r w:rsidRPr="008D73A7">
              <w:t>20 dB bandwidth</w:t>
            </w:r>
            <w:r w:rsidR="008547B2" w:rsidRPr="008D73A7">
              <w:t>”</w:t>
            </w:r>
            <w:r w:rsidRPr="008D73A7">
              <w:t>) radiated by the equipment into the air. The unwanted emissions attenuation applies to the frequencies outside the OFR and shall be applied to the maximum mean e.i.r.p. spectral density and the maximum peak e.i.r.p. The measurement bandwidth for the unwanted emissions domain is 1 MHz.</w:t>
            </w:r>
          </w:p>
          <w:p w14:paraId="176A4FB3" w14:textId="77777777" w:rsidR="00E10018" w:rsidRPr="008D73A7" w:rsidRDefault="00E10018" w:rsidP="005F721D">
            <w:pPr>
              <w:pStyle w:val="ECCTablenote"/>
            </w:pPr>
            <w:r w:rsidRPr="008D73A7">
              <w:t>Note 2: The duty cycle of 5% is already included in this mean e.i.r.p. limit value. Consequently, the given maximum mean e.i.r.p. spectral density is valid for averaging over the whole measurement cycle T</w:t>
            </w:r>
            <w:r w:rsidRPr="008D73A7">
              <w:rPr>
                <w:rStyle w:val="ECCHLsubscript"/>
              </w:rPr>
              <w:t xml:space="preserve">meas_cycle </w:t>
            </w:r>
            <w:r w:rsidRPr="008D73A7">
              <w:t>of the device including any T</w:t>
            </w:r>
            <w:r w:rsidRPr="008D73A7">
              <w:rPr>
                <w:rStyle w:val="ECCHLsubscript"/>
              </w:rPr>
              <w:t>off</w:t>
            </w:r>
            <w:r w:rsidRPr="008D73A7">
              <w:t xml:space="preserve"> times in 1 MHz resolution bandwidth of the measuring receiver.</w:t>
            </w:r>
          </w:p>
          <w:p w14:paraId="6480493C" w14:textId="77777777" w:rsidR="00E10018" w:rsidRPr="008D73A7" w:rsidRDefault="00E10018" w:rsidP="005F721D">
            <w:pPr>
              <w:pStyle w:val="ECCTablenote"/>
            </w:pPr>
            <w:r w:rsidRPr="008D73A7">
              <w:t>Note 3: The maximum peak e.i.r.p. shall be measured/evaluated in 1 GHz bandwidth.</w:t>
            </w:r>
          </w:p>
        </w:tc>
      </w:tr>
    </w:tbl>
    <w:p w14:paraId="4AF7CD33" w14:textId="77777777" w:rsidR="00E10018" w:rsidRPr="008D73A7" w:rsidRDefault="00E10018" w:rsidP="00E10018">
      <w:pPr>
        <w:spacing w:before="360" w:after="120"/>
        <w:jc w:val="both"/>
        <w:rPr>
          <w:lang w:val="en-GB"/>
        </w:rPr>
      </w:pPr>
      <w:r w:rsidRPr="008D73A7">
        <w:rPr>
          <w:lang w:val="en-GB"/>
        </w:rPr>
        <w:t>Additional requirements for level probing radars (LPR) to allow licence-exempt use:</w:t>
      </w:r>
    </w:p>
    <w:p w14:paraId="1F87EDB4" w14:textId="77777777" w:rsidR="00E10018" w:rsidRPr="008D73A7" w:rsidRDefault="00E10018" w:rsidP="00F5346F">
      <w:pPr>
        <w:pStyle w:val="NumberedList"/>
        <w:numPr>
          <w:ilvl w:val="0"/>
          <w:numId w:val="21"/>
        </w:numPr>
        <w:spacing w:before="60"/>
      </w:pPr>
      <w:r w:rsidRPr="008D73A7">
        <w:t>The operation of LPR sensors is envisaged for industrial purposes only;</w:t>
      </w:r>
    </w:p>
    <w:p w14:paraId="3CB6D381" w14:textId="77777777" w:rsidR="00E10018" w:rsidRPr="008D73A7" w:rsidRDefault="00E10018" w:rsidP="00F5346F">
      <w:pPr>
        <w:pStyle w:val="NumberedList"/>
        <w:numPr>
          <w:ilvl w:val="0"/>
          <w:numId w:val="21"/>
        </w:numPr>
        <w:spacing w:before="60"/>
      </w:pPr>
      <w:r w:rsidRPr="008D73A7">
        <w:t>Installation and maintenance of LPR equipment shall be performed by professionally trained individuals only;</w:t>
      </w:r>
    </w:p>
    <w:p w14:paraId="4CDCCFC8" w14:textId="77777777" w:rsidR="00E10018" w:rsidRPr="008D73A7" w:rsidRDefault="00E10018" w:rsidP="00F5346F">
      <w:pPr>
        <w:pStyle w:val="NumberedList"/>
        <w:numPr>
          <w:ilvl w:val="0"/>
          <w:numId w:val="21"/>
        </w:numPr>
        <w:spacing w:before="60"/>
      </w:pPr>
      <w:r w:rsidRPr="008D73A7">
        <w:t>LPR equipment shall not be marketed to private end customers;</w:t>
      </w:r>
    </w:p>
    <w:p w14:paraId="4E1C1647" w14:textId="77777777" w:rsidR="00E10018" w:rsidRPr="008D73A7" w:rsidRDefault="00E10018" w:rsidP="00F5346F">
      <w:pPr>
        <w:pStyle w:val="NumberedList"/>
        <w:numPr>
          <w:ilvl w:val="0"/>
          <w:numId w:val="21"/>
        </w:numPr>
        <w:spacing w:before="60"/>
      </w:pPr>
      <w:r w:rsidRPr="008D73A7">
        <w:t>Level probing radars are required to be installed at a permanent fixed position pointing in a downwards direction towards the ground. The equipment shall not operate while being moved, or while inside a moving container;</w:t>
      </w:r>
    </w:p>
    <w:p w14:paraId="268F8DD7" w14:textId="77777777" w:rsidR="00E10018" w:rsidRPr="008D73A7" w:rsidRDefault="00E10018" w:rsidP="00F5346F">
      <w:pPr>
        <w:pStyle w:val="NumberedList"/>
        <w:numPr>
          <w:ilvl w:val="0"/>
          <w:numId w:val="21"/>
        </w:numPr>
        <w:spacing w:before="60"/>
      </w:pPr>
      <w:r w:rsidRPr="008D73A7">
        <w:t>Installers have to ensure that there are no unwanted obstacles in the main beam of the antenna in order to minimise unintentional reflections and scattering;</w:t>
      </w:r>
    </w:p>
    <w:p w14:paraId="6C414818" w14:textId="77777777" w:rsidR="00E10018" w:rsidRPr="008D73A7" w:rsidRDefault="00E10018" w:rsidP="00F5346F">
      <w:pPr>
        <w:pStyle w:val="NumberedList"/>
        <w:numPr>
          <w:ilvl w:val="0"/>
          <w:numId w:val="21"/>
        </w:numPr>
        <w:spacing w:before="60"/>
      </w:pPr>
      <w:r w:rsidRPr="008D73A7">
        <w:t>The provider is required to inform the users and installers of LPR equipment about the installation requirements and additional special mounting instructions;</w:t>
      </w:r>
    </w:p>
    <w:p w14:paraId="1F77BC81" w14:textId="77777777" w:rsidR="00E10018" w:rsidRPr="008D73A7" w:rsidRDefault="00E10018" w:rsidP="00F5346F">
      <w:pPr>
        <w:pStyle w:val="NumberedList"/>
        <w:numPr>
          <w:ilvl w:val="0"/>
          <w:numId w:val="21"/>
        </w:numPr>
        <w:spacing w:before="60"/>
      </w:pPr>
      <w:r w:rsidRPr="008D73A7">
        <w:t>For LPR devices, the peak e.i.r.p. for elevations above 0° shall be limited to 0 dBm;</w:t>
      </w:r>
    </w:p>
    <w:p w14:paraId="4F875709" w14:textId="77777777" w:rsidR="00E10018" w:rsidRPr="008D73A7" w:rsidRDefault="00E10018" w:rsidP="00F5346F">
      <w:pPr>
        <w:pStyle w:val="NumberedList"/>
        <w:numPr>
          <w:ilvl w:val="0"/>
          <w:numId w:val="21"/>
        </w:numPr>
        <w:spacing w:before="60"/>
      </w:pPr>
      <w:r w:rsidRPr="008D73A7">
        <w:t>For LPR devices using an antenna gain smaller than 20 dBi, the maximum conducted peak output power shall be limited to 15 dBm.</w:t>
      </w:r>
    </w:p>
    <w:p w14:paraId="4BA3E8D9" w14:textId="77777777" w:rsidR="00E556F8" w:rsidRPr="008D73A7" w:rsidRDefault="00E556F8">
      <w:pPr>
        <w:spacing w:before="0" w:after="0"/>
        <w:rPr>
          <w:b/>
          <w:caps/>
          <w:lang w:val="en-GB" w:eastAsia="ar-SA"/>
        </w:rPr>
      </w:pPr>
      <w:r w:rsidRPr="008D73A7">
        <w:rPr>
          <w:lang w:val="en-GB" w:eastAsia="ar-SA"/>
        </w:rPr>
        <w:br w:type="page"/>
      </w:r>
    </w:p>
    <w:p w14:paraId="1622DAA0" w14:textId="383B07B8" w:rsidR="00E10018" w:rsidRPr="008D73A7" w:rsidRDefault="00E10018" w:rsidP="00D64498">
      <w:pPr>
        <w:pStyle w:val="ECCAnnexheading2"/>
        <w:ind w:left="576"/>
        <w:rPr>
          <w:lang w:val="en-GB" w:eastAsia="ar-SA"/>
        </w:rPr>
      </w:pPr>
      <w:r w:rsidRPr="008D73A7">
        <w:rPr>
          <w:lang w:val="en-GB" w:eastAsia="ar-SA"/>
        </w:rPr>
        <w:lastRenderedPageBreak/>
        <w:t>TECHNICAL REQUIREMENTS FOR CONTOUR DETERMINATION AND ACQUISITION RADAR (CDR)</w:t>
      </w:r>
    </w:p>
    <w:p w14:paraId="5229E43F" w14:textId="7EBF3F57" w:rsidR="00E10018" w:rsidRPr="008D73A7" w:rsidRDefault="00E10018" w:rsidP="00300841">
      <w:pPr>
        <w:pStyle w:val="Caption"/>
        <w:rPr>
          <w:lang w:val="en-GB"/>
        </w:rPr>
      </w:pPr>
      <w:bookmarkStart w:id="357" w:name="_Ref106107088"/>
      <w:r w:rsidRPr="008D73A7">
        <w:rPr>
          <w:lang w:val="en-GB"/>
        </w:rPr>
        <w:t>Table </w:t>
      </w:r>
      <w:r w:rsidRPr="008D73A7">
        <w:rPr>
          <w:lang w:val="en-GB"/>
        </w:rPr>
        <w:fldChar w:fldCharType="begin"/>
      </w:r>
      <w:r w:rsidRPr="008D73A7">
        <w:rPr>
          <w:lang w:val="en-GB"/>
        </w:rPr>
        <w:instrText xml:space="preserve"> SEQ Table \* ARABIC </w:instrText>
      </w:r>
      <w:r w:rsidRPr="008D73A7">
        <w:rPr>
          <w:lang w:val="en-GB"/>
        </w:rPr>
        <w:fldChar w:fldCharType="separate"/>
      </w:r>
      <w:r w:rsidR="00BD0B7C" w:rsidRPr="008D73A7">
        <w:rPr>
          <w:lang w:val="en-GB"/>
        </w:rPr>
        <w:t>18</w:t>
      </w:r>
      <w:r w:rsidRPr="008D73A7">
        <w:rPr>
          <w:lang w:val="en-GB"/>
        </w:rPr>
        <w:fldChar w:fldCharType="end"/>
      </w:r>
      <w:bookmarkEnd w:id="357"/>
      <w:r w:rsidRPr="008D73A7">
        <w:rPr>
          <w:lang w:val="en-GB"/>
        </w:rPr>
        <w:t>: Technical requirements for DBF-CDR devices in the designated bands</w:t>
      </w:r>
    </w:p>
    <w:tbl>
      <w:tblPr>
        <w:tblStyle w:val="ECCTable-redheader"/>
        <w:tblW w:w="8926" w:type="dxa"/>
        <w:tblInd w:w="0" w:type="dxa"/>
        <w:tblLook w:val="04A0" w:firstRow="1" w:lastRow="0" w:firstColumn="1" w:lastColumn="0" w:noHBand="0" w:noVBand="1"/>
      </w:tblPr>
      <w:tblGrid>
        <w:gridCol w:w="1833"/>
        <w:gridCol w:w="1423"/>
        <w:gridCol w:w="1842"/>
        <w:gridCol w:w="1560"/>
        <w:gridCol w:w="2268"/>
      </w:tblGrid>
      <w:tr w:rsidR="00E10018" w:rsidRPr="008D73A7" w14:paraId="1672562A" w14:textId="77777777" w:rsidTr="00A14969">
        <w:trPr>
          <w:cnfStyle w:val="100000000000" w:firstRow="1" w:lastRow="0" w:firstColumn="0" w:lastColumn="0" w:oddVBand="0" w:evenVBand="0" w:oddHBand="0" w:evenHBand="0" w:firstRowFirstColumn="0" w:firstRowLastColumn="0" w:lastRowFirstColumn="0" w:lastRowLastColumn="0"/>
        </w:trPr>
        <w:tc>
          <w:tcPr>
            <w:tcW w:w="1833" w:type="dxa"/>
            <w:tcBorders>
              <w:top w:val="single" w:sz="4" w:space="0" w:color="FFFFFF" w:themeColor="background1"/>
              <w:left w:val="single" w:sz="4" w:space="0" w:color="FFFFFF" w:themeColor="background1"/>
              <w:bottom w:val="nil"/>
            </w:tcBorders>
          </w:tcPr>
          <w:p w14:paraId="4DBD7402" w14:textId="29F82F2B" w:rsidR="00E10018" w:rsidRPr="008D73A7" w:rsidRDefault="00E10018" w:rsidP="008547B2">
            <w:pPr>
              <w:pStyle w:val="ECCTableHeaderwhitefont"/>
              <w:rPr>
                <w:b w:val="0"/>
                <w:lang w:val="en-GB"/>
              </w:rPr>
            </w:pPr>
            <w:r w:rsidRPr="008D73A7">
              <w:rPr>
                <w:lang w:val="en-GB"/>
              </w:rPr>
              <w:t>Designated frequency band</w:t>
            </w:r>
          </w:p>
        </w:tc>
        <w:tc>
          <w:tcPr>
            <w:tcW w:w="1423" w:type="dxa"/>
            <w:tcBorders>
              <w:bottom w:val="single" w:sz="4" w:space="0" w:color="FFFFFF"/>
            </w:tcBorders>
          </w:tcPr>
          <w:p w14:paraId="7818562D" w14:textId="77777777" w:rsidR="00E10018" w:rsidRPr="008D73A7" w:rsidRDefault="00E10018" w:rsidP="00DE7D17">
            <w:pPr>
              <w:pStyle w:val="ECCTableHeaderwhitefont"/>
              <w:rPr>
                <w:lang w:val="en-GB"/>
              </w:rPr>
            </w:pPr>
            <w:r w:rsidRPr="008D73A7">
              <w:rPr>
                <w:lang w:val="en-GB"/>
              </w:rPr>
              <w:t>Maximum duty cycle</w:t>
            </w:r>
          </w:p>
        </w:tc>
        <w:tc>
          <w:tcPr>
            <w:tcW w:w="1842" w:type="dxa"/>
            <w:tcBorders>
              <w:bottom w:val="single" w:sz="4" w:space="0" w:color="FFFFFF"/>
            </w:tcBorders>
          </w:tcPr>
          <w:p w14:paraId="58AEFA4D" w14:textId="77777777" w:rsidR="00E10018" w:rsidRPr="008D73A7" w:rsidRDefault="00E10018" w:rsidP="00DE7D17">
            <w:pPr>
              <w:pStyle w:val="ECCTableHeaderwhitefont"/>
              <w:rPr>
                <w:lang w:val="en-GB"/>
              </w:rPr>
            </w:pPr>
            <w:r w:rsidRPr="008D73A7">
              <w:rPr>
                <w:lang w:val="en-GB"/>
              </w:rPr>
              <w:t>Maximum mean e.i.r.p. spectral density (Note 2)</w:t>
            </w:r>
          </w:p>
        </w:tc>
        <w:tc>
          <w:tcPr>
            <w:tcW w:w="1560" w:type="dxa"/>
            <w:tcBorders>
              <w:bottom w:val="single" w:sz="4" w:space="0" w:color="FFFFFF"/>
            </w:tcBorders>
          </w:tcPr>
          <w:p w14:paraId="4BC542D9" w14:textId="77777777" w:rsidR="00E10018" w:rsidRPr="008D73A7" w:rsidRDefault="00E10018" w:rsidP="00DE7D17">
            <w:pPr>
              <w:pStyle w:val="ECCTableHeaderwhitefont"/>
              <w:rPr>
                <w:lang w:val="en-GB"/>
              </w:rPr>
            </w:pPr>
            <w:r w:rsidRPr="008D73A7">
              <w:rPr>
                <w:lang w:val="en-GB"/>
              </w:rPr>
              <w:t>Maximum peak e.i.r.p. (Note 3)</w:t>
            </w:r>
          </w:p>
        </w:tc>
        <w:tc>
          <w:tcPr>
            <w:tcW w:w="2268" w:type="dxa"/>
            <w:tcBorders>
              <w:bottom w:val="single" w:sz="4" w:space="0" w:color="FFFFFF"/>
            </w:tcBorders>
          </w:tcPr>
          <w:p w14:paraId="69A267BB" w14:textId="77777777" w:rsidR="00E10018" w:rsidRPr="008D73A7" w:rsidRDefault="00E10018" w:rsidP="00DE7D17">
            <w:pPr>
              <w:pStyle w:val="ECCTableHeaderwhitefont"/>
              <w:rPr>
                <w:lang w:val="en-GB"/>
              </w:rPr>
            </w:pPr>
            <w:r w:rsidRPr="008D73A7">
              <w:rPr>
                <w:lang w:val="en-GB"/>
              </w:rPr>
              <w:t>Minimum unwanted emissions attenuation (Note 1)</w:t>
            </w:r>
          </w:p>
        </w:tc>
      </w:tr>
      <w:tr w:rsidR="00B9269B" w:rsidRPr="008D73A7" w14:paraId="6EF02CED" w14:textId="77777777" w:rsidTr="00B9269B">
        <w:tc>
          <w:tcPr>
            <w:tcW w:w="1833" w:type="dxa"/>
            <w:tcBorders>
              <w:top w:val="nil"/>
              <w:left w:val="single" w:sz="4" w:space="0" w:color="FFFFFF" w:themeColor="background1"/>
              <w:bottom w:val="single" w:sz="4" w:space="0" w:color="FFFFFF" w:themeColor="background1"/>
              <w:right w:val="single" w:sz="4" w:space="0" w:color="FFFFFF" w:themeColor="background1"/>
            </w:tcBorders>
            <w:shd w:val="clear" w:color="auto" w:fill="D2232A"/>
          </w:tcPr>
          <w:p w14:paraId="3B604BF2" w14:textId="77777777" w:rsidR="00E10018" w:rsidRPr="008D73A7" w:rsidRDefault="00E10018" w:rsidP="00DE7D17">
            <w:pPr>
              <w:pStyle w:val="ECCTableHeaderwhitefont"/>
              <w:rPr>
                <w:lang w:val="en-GB"/>
              </w:rPr>
            </w:pPr>
          </w:p>
        </w:tc>
        <w:tc>
          <w:tcPr>
            <w:tcW w:w="1423" w:type="dxa"/>
            <w:tcBorders>
              <w:top w:val="single" w:sz="4" w:space="0" w:color="FFFFFF"/>
              <w:left w:val="single" w:sz="4" w:space="0" w:color="FFFFFF" w:themeColor="background1"/>
              <w:bottom w:val="single" w:sz="4" w:space="0" w:color="FFFFFF"/>
              <w:right w:val="single" w:sz="4" w:space="0" w:color="FFFFFF"/>
            </w:tcBorders>
            <w:shd w:val="clear" w:color="auto" w:fill="D2232A"/>
          </w:tcPr>
          <w:p w14:paraId="784E4FB6" w14:textId="77777777" w:rsidR="00E10018" w:rsidRPr="008D73A7" w:rsidRDefault="00E10018" w:rsidP="00DE7D17">
            <w:pPr>
              <w:pStyle w:val="ECCTabletext"/>
              <w:jc w:val="center"/>
              <w:rPr>
                <w:b/>
                <w:color w:val="FFFFFF" w:themeColor="background1"/>
              </w:rPr>
            </w:pPr>
            <w:r w:rsidRPr="008D73A7">
              <w:rPr>
                <w:b/>
                <w:color w:val="FFFFFF" w:themeColor="background1"/>
              </w:rPr>
              <w:t>A</w:t>
            </w:r>
          </w:p>
        </w:tc>
        <w:tc>
          <w:tcPr>
            <w:tcW w:w="1842" w:type="dxa"/>
            <w:tcBorders>
              <w:top w:val="single" w:sz="4" w:space="0" w:color="FFFFFF"/>
              <w:left w:val="single" w:sz="4" w:space="0" w:color="FFFFFF"/>
              <w:bottom w:val="single" w:sz="4" w:space="0" w:color="FFFFFF"/>
              <w:right w:val="single" w:sz="4" w:space="0" w:color="FFFFFF"/>
            </w:tcBorders>
            <w:shd w:val="clear" w:color="auto" w:fill="D2232A"/>
          </w:tcPr>
          <w:p w14:paraId="6F550049" w14:textId="77777777" w:rsidR="00E10018" w:rsidRPr="008D73A7" w:rsidRDefault="00E10018" w:rsidP="00DE7D17">
            <w:pPr>
              <w:pStyle w:val="ECCTabletext"/>
              <w:jc w:val="center"/>
              <w:rPr>
                <w:b/>
                <w:color w:val="FFFFFF" w:themeColor="background1"/>
              </w:rPr>
            </w:pPr>
            <w:r w:rsidRPr="008D73A7">
              <w:rPr>
                <w:b/>
                <w:color w:val="FFFFFF" w:themeColor="background1"/>
              </w:rPr>
              <w:t>B</w:t>
            </w:r>
          </w:p>
        </w:tc>
        <w:tc>
          <w:tcPr>
            <w:tcW w:w="1560" w:type="dxa"/>
            <w:tcBorders>
              <w:top w:val="single" w:sz="4" w:space="0" w:color="FFFFFF"/>
              <w:left w:val="single" w:sz="4" w:space="0" w:color="FFFFFF"/>
              <w:bottom w:val="single" w:sz="4" w:space="0" w:color="FFFFFF"/>
              <w:right w:val="single" w:sz="4" w:space="0" w:color="FFFFFF"/>
            </w:tcBorders>
            <w:shd w:val="clear" w:color="auto" w:fill="D2232A"/>
          </w:tcPr>
          <w:p w14:paraId="2AF8E46F" w14:textId="77777777" w:rsidR="00E10018" w:rsidRPr="008D73A7" w:rsidRDefault="00E10018" w:rsidP="00DE7D17">
            <w:pPr>
              <w:pStyle w:val="ECCTabletext"/>
              <w:jc w:val="center"/>
              <w:rPr>
                <w:b/>
                <w:color w:val="FFFFFF" w:themeColor="background1"/>
              </w:rPr>
            </w:pPr>
            <w:r w:rsidRPr="008D73A7">
              <w:rPr>
                <w:b/>
                <w:color w:val="FFFFFF" w:themeColor="background1"/>
              </w:rPr>
              <w:t>C</w:t>
            </w:r>
          </w:p>
        </w:tc>
        <w:tc>
          <w:tcPr>
            <w:tcW w:w="2268" w:type="dxa"/>
            <w:tcBorders>
              <w:top w:val="single" w:sz="4" w:space="0" w:color="FFFFFF"/>
              <w:left w:val="single" w:sz="4" w:space="0" w:color="FFFFFF"/>
              <w:bottom w:val="single" w:sz="4" w:space="0" w:color="FFFFFF"/>
              <w:right w:val="single" w:sz="4" w:space="0" w:color="FFFFFF"/>
            </w:tcBorders>
            <w:shd w:val="clear" w:color="auto" w:fill="D2232A"/>
          </w:tcPr>
          <w:p w14:paraId="2960502A" w14:textId="77777777" w:rsidR="00E10018" w:rsidRPr="008D73A7" w:rsidRDefault="00E10018" w:rsidP="00DE7D17">
            <w:pPr>
              <w:pStyle w:val="ECCTabletext"/>
              <w:jc w:val="center"/>
              <w:rPr>
                <w:b/>
                <w:color w:val="FFFFFF" w:themeColor="background1"/>
              </w:rPr>
            </w:pPr>
            <w:r w:rsidRPr="008D73A7">
              <w:rPr>
                <w:b/>
                <w:color w:val="FFFFFF" w:themeColor="background1"/>
              </w:rPr>
              <w:t>D</w:t>
            </w:r>
          </w:p>
        </w:tc>
      </w:tr>
      <w:tr w:rsidR="00E10018" w:rsidRPr="008D73A7" w14:paraId="4D348E5F" w14:textId="77777777" w:rsidTr="00A14969">
        <w:tc>
          <w:tcPr>
            <w:tcW w:w="1833" w:type="dxa"/>
            <w:tcBorders>
              <w:top w:val="single" w:sz="4" w:space="0" w:color="FFFFFF" w:themeColor="background1"/>
            </w:tcBorders>
          </w:tcPr>
          <w:p w14:paraId="0EF87FDB" w14:textId="22424783" w:rsidR="00E10018" w:rsidRPr="008D73A7" w:rsidRDefault="00E10018" w:rsidP="00DE7D17">
            <w:pPr>
              <w:pStyle w:val="ECCTabletext"/>
              <w:jc w:val="left"/>
            </w:pPr>
            <w:r w:rsidRPr="008D73A7">
              <w:t>116</w:t>
            </w:r>
            <w:r w:rsidR="00666B9A" w:rsidRPr="008D73A7">
              <w:t>-</w:t>
            </w:r>
            <w:r w:rsidRPr="008D73A7">
              <w:t>148.5</w:t>
            </w:r>
            <w:r w:rsidR="008547B2" w:rsidRPr="008D73A7">
              <w:t> GHz</w:t>
            </w:r>
          </w:p>
        </w:tc>
        <w:tc>
          <w:tcPr>
            <w:tcW w:w="1423" w:type="dxa"/>
            <w:tcBorders>
              <w:top w:val="single" w:sz="4" w:space="0" w:color="FFFFFF"/>
            </w:tcBorders>
          </w:tcPr>
          <w:p w14:paraId="6E4D9C7E" w14:textId="77777777" w:rsidR="00E10018" w:rsidRPr="008D73A7" w:rsidRDefault="00E10018" w:rsidP="00DE7D17">
            <w:pPr>
              <w:pStyle w:val="ECCTabletext"/>
              <w:jc w:val="left"/>
            </w:pPr>
            <w:r w:rsidRPr="008D73A7">
              <w:t>10%</w:t>
            </w:r>
          </w:p>
        </w:tc>
        <w:tc>
          <w:tcPr>
            <w:tcW w:w="1842" w:type="dxa"/>
            <w:tcBorders>
              <w:top w:val="single" w:sz="4" w:space="0" w:color="FFFFFF"/>
            </w:tcBorders>
          </w:tcPr>
          <w:p w14:paraId="327986DC" w14:textId="77777777" w:rsidR="00E10018" w:rsidRPr="008D73A7" w:rsidRDefault="00E10018" w:rsidP="00DE7D17">
            <w:pPr>
              <w:pStyle w:val="ECCTabletext"/>
              <w:jc w:val="left"/>
            </w:pPr>
            <w:r w:rsidRPr="008D73A7">
              <w:t>-32.6 dBm/MHz</w:t>
            </w:r>
          </w:p>
        </w:tc>
        <w:tc>
          <w:tcPr>
            <w:tcW w:w="1560" w:type="dxa"/>
            <w:tcBorders>
              <w:top w:val="single" w:sz="4" w:space="0" w:color="FFFFFF"/>
            </w:tcBorders>
            <w:shd w:val="clear" w:color="auto" w:fill="auto"/>
          </w:tcPr>
          <w:p w14:paraId="7B376DC6" w14:textId="77777777" w:rsidR="00E10018" w:rsidRPr="008D73A7" w:rsidRDefault="00E10018" w:rsidP="00DE7D17">
            <w:pPr>
              <w:pStyle w:val="ECCTabletext"/>
              <w:jc w:val="left"/>
            </w:pPr>
            <w:r w:rsidRPr="008D73A7">
              <w:t>15 dBm</w:t>
            </w:r>
          </w:p>
        </w:tc>
        <w:tc>
          <w:tcPr>
            <w:tcW w:w="2268" w:type="dxa"/>
            <w:tcBorders>
              <w:top w:val="single" w:sz="4" w:space="0" w:color="FFFFFF"/>
            </w:tcBorders>
          </w:tcPr>
          <w:p w14:paraId="187B4C8D" w14:textId="77777777" w:rsidR="00E10018" w:rsidRPr="008D73A7" w:rsidRDefault="00E10018" w:rsidP="00DE7D17">
            <w:pPr>
              <w:pStyle w:val="ECCTabletext"/>
              <w:jc w:val="left"/>
            </w:pPr>
            <w:r w:rsidRPr="008D73A7">
              <w:t>20 dB</w:t>
            </w:r>
          </w:p>
        </w:tc>
      </w:tr>
      <w:tr w:rsidR="00E10018" w:rsidRPr="008D73A7" w14:paraId="69E80717" w14:textId="77777777" w:rsidTr="00A14969">
        <w:tc>
          <w:tcPr>
            <w:tcW w:w="1833" w:type="dxa"/>
          </w:tcPr>
          <w:p w14:paraId="7446A17C" w14:textId="1507BBA3" w:rsidR="00E10018" w:rsidRPr="008D73A7" w:rsidRDefault="00E10018" w:rsidP="00DE7D17">
            <w:pPr>
              <w:pStyle w:val="ECCTabletext"/>
              <w:jc w:val="left"/>
            </w:pPr>
            <w:r w:rsidRPr="008D73A7">
              <w:t>167</w:t>
            </w:r>
            <w:r w:rsidR="00666B9A" w:rsidRPr="008D73A7">
              <w:t>-</w:t>
            </w:r>
            <w:r w:rsidRPr="008D73A7">
              <w:t>182</w:t>
            </w:r>
            <w:r w:rsidR="008547B2" w:rsidRPr="008D73A7">
              <w:t> GHz</w:t>
            </w:r>
          </w:p>
        </w:tc>
        <w:tc>
          <w:tcPr>
            <w:tcW w:w="1423" w:type="dxa"/>
          </w:tcPr>
          <w:p w14:paraId="54ADFD1E" w14:textId="77777777" w:rsidR="00E10018" w:rsidRPr="008D73A7" w:rsidRDefault="00E10018" w:rsidP="00DE7D17">
            <w:pPr>
              <w:pStyle w:val="ECCTabletext"/>
              <w:jc w:val="left"/>
            </w:pPr>
            <w:r w:rsidRPr="008D73A7">
              <w:t>10%</w:t>
            </w:r>
          </w:p>
        </w:tc>
        <w:tc>
          <w:tcPr>
            <w:tcW w:w="1842" w:type="dxa"/>
          </w:tcPr>
          <w:p w14:paraId="31D45778" w14:textId="77777777" w:rsidR="00E10018" w:rsidRPr="008D73A7" w:rsidRDefault="00E10018" w:rsidP="00DE7D17">
            <w:pPr>
              <w:pStyle w:val="ECCTabletext"/>
              <w:jc w:val="left"/>
            </w:pPr>
            <w:r w:rsidRPr="008D73A7">
              <w:t>-29.0 dBm/MHz</w:t>
            </w:r>
          </w:p>
        </w:tc>
        <w:tc>
          <w:tcPr>
            <w:tcW w:w="1560" w:type="dxa"/>
            <w:shd w:val="clear" w:color="auto" w:fill="auto"/>
          </w:tcPr>
          <w:p w14:paraId="3A2C5BD4" w14:textId="77777777" w:rsidR="00E10018" w:rsidRPr="008D73A7" w:rsidRDefault="00E10018" w:rsidP="00DE7D17">
            <w:pPr>
              <w:pStyle w:val="ECCTabletext"/>
              <w:jc w:val="left"/>
            </w:pPr>
            <w:r w:rsidRPr="008D73A7">
              <w:t>15 dBm</w:t>
            </w:r>
          </w:p>
        </w:tc>
        <w:tc>
          <w:tcPr>
            <w:tcW w:w="2268" w:type="dxa"/>
          </w:tcPr>
          <w:p w14:paraId="52CBA78F" w14:textId="77777777" w:rsidR="00E10018" w:rsidRPr="008D73A7" w:rsidRDefault="00E10018" w:rsidP="00DE7D17">
            <w:pPr>
              <w:pStyle w:val="ECCTabletext"/>
              <w:jc w:val="left"/>
            </w:pPr>
            <w:r w:rsidRPr="008D73A7">
              <w:t>20 dB</w:t>
            </w:r>
          </w:p>
        </w:tc>
      </w:tr>
      <w:tr w:rsidR="00E10018" w:rsidRPr="008D73A7" w14:paraId="5EA747D4" w14:textId="77777777" w:rsidTr="00A14969">
        <w:tc>
          <w:tcPr>
            <w:tcW w:w="1833" w:type="dxa"/>
          </w:tcPr>
          <w:p w14:paraId="0564FE03" w14:textId="04489D30" w:rsidR="00E10018" w:rsidRPr="008D73A7" w:rsidRDefault="00E10018" w:rsidP="00DE7D17">
            <w:pPr>
              <w:pStyle w:val="ECCTabletext"/>
              <w:jc w:val="left"/>
            </w:pPr>
            <w:r w:rsidRPr="008D73A7">
              <w:t>231.5</w:t>
            </w:r>
            <w:r w:rsidR="00666B9A" w:rsidRPr="008D73A7">
              <w:t>-</w:t>
            </w:r>
            <w:r w:rsidRPr="008D73A7">
              <w:t>250</w:t>
            </w:r>
            <w:r w:rsidR="008547B2" w:rsidRPr="008D73A7">
              <w:t> GHz</w:t>
            </w:r>
          </w:p>
        </w:tc>
        <w:tc>
          <w:tcPr>
            <w:tcW w:w="1423" w:type="dxa"/>
          </w:tcPr>
          <w:p w14:paraId="0E7167D9" w14:textId="77777777" w:rsidR="00E10018" w:rsidRPr="008D73A7" w:rsidRDefault="00E10018" w:rsidP="00DE7D17">
            <w:pPr>
              <w:pStyle w:val="ECCTabletext"/>
              <w:jc w:val="left"/>
            </w:pPr>
            <w:r w:rsidRPr="008D73A7">
              <w:t>10%</w:t>
            </w:r>
          </w:p>
        </w:tc>
        <w:tc>
          <w:tcPr>
            <w:tcW w:w="1842" w:type="dxa"/>
          </w:tcPr>
          <w:p w14:paraId="2FA9B07F" w14:textId="77777777" w:rsidR="00E10018" w:rsidRPr="008D73A7" w:rsidRDefault="00E10018" w:rsidP="00DE7D17">
            <w:pPr>
              <w:pStyle w:val="ECCTabletext"/>
              <w:jc w:val="left"/>
            </w:pPr>
            <w:r w:rsidRPr="008D73A7">
              <w:t>-23.0 dBm/MHz</w:t>
            </w:r>
          </w:p>
        </w:tc>
        <w:tc>
          <w:tcPr>
            <w:tcW w:w="1560" w:type="dxa"/>
            <w:shd w:val="clear" w:color="auto" w:fill="auto"/>
          </w:tcPr>
          <w:p w14:paraId="1BE4C89D" w14:textId="77777777" w:rsidR="00E10018" w:rsidRPr="008D73A7" w:rsidRDefault="00E10018" w:rsidP="00DE7D17">
            <w:pPr>
              <w:pStyle w:val="ECCTabletext"/>
              <w:jc w:val="left"/>
            </w:pPr>
            <w:r w:rsidRPr="008D73A7">
              <w:t>15 dBm</w:t>
            </w:r>
          </w:p>
        </w:tc>
        <w:tc>
          <w:tcPr>
            <w:tcW w:w="2268" w:type="dxa"/>
          </w:tcPr>
          <w:p w14:paraId="32F0E5A9" w14:textId="77777777" w:rsidR="00E10018" w:rsidRPr="008D73A7" w:rsidRDefault="00E10018" w:rsidP="00DE7D17">
            <w:pPr>
              <w:pStyle w:val="ECCTabletext"/>
              <w:jc w:val="left"/>
            </w:pPr>
            <w:r w:rsidRPr="008D73A7">
              <w:t>20 dB</w:t>
            </w:r>
          </w:p>
        </w:tc>
      </w:tr>
      <w:tr w:rsidR="00E10018" w:rsidRPr="008D73A7" w14:paraId="0586D65B" w14:textId="77777777" w:rsidTr="00DE7D17">
        <w:tc>
          <w:tcPr>
            <w:tcW w:w="8926" w:type="dxa"/>
            <w:gridSpan w:val="5"/>
          </w:tcPr>
          <w:p w14:paraId="527B7C23" w14:textId="286B2571" w:rsidR="00E10018" w:rsidRPr="008D73A7" w:rsidRDefault="00E10018" w:rsidP="005F721D">
            <w:pPr>
              <w:pStyle w:val="ECCTablenote"/>
            </w:pPr>
            <w:r w:rsidRPr="008D73A7">
              <w:t>Note 1: The operating frequency range (OFR) is defined over the 20 dB reduction of the intentional transmission (</w:t>
            </w:r>
            <w:r w:rsidR="008547B2" w:rsidRPr="008D73A7">
              <w:t>“</w:t>
            </w:r>
            <w:r w:rsidRPr="008D73A7">
              <w:t>20 dB bandwidth</w:t>
            </w:r>
            <w:r w:rsidR="008547B2" w:rsidRPr="008D73A7">
              <w:t>”</w:t>
            </w:r>
            <w:r w:rsidRPr="008D73A7">
              <w:t>) radiated by the equipment into the air. The unwanted emissions attenuation applies  the frequencies outside the OFR and shall be applied to the maximum mean e.i.r.p. spectral density and the maximum peak e.i.r.p. The measurement bandwidth for the unwanted emissions domain is 1 MHz.</w:t>
            </w:r>
          </w:p>
          <w:p w14:paraId="665628AC" w14:textId="77777777" w:rsidR="00E10018" w:rsidRPr="008D73A7" w:rsidRDefault="00E10018" w:rsidP="005F721D">
            <w:pPr>
              <w:pStyle w:val="ECCTablenote"/>
            </w:pPr>
            <w:r w:rsidRPr="008D73A7">
              <w:t>Note 2: The duty cycle of 10% is already included in this mean e.i.r.p. value. Consequently, the given maximum mean e.i.r.p. spectral density is valid for averaging over the whole measurement cycle T</w:t>
            </w:r>
            <w:r w:rsidRPr="008D73A7">
              <w:rPr>
                <w:rStyle w:val="ECCHLsubscript"/>
              </w:rPr>
              <w:t xml:space="preserve">meas_cycle </w:t>
            </w:r>
            <w:r w:rsidRPr="008D73A7">
              <w:t>of the device including any T</w:t>
            </w:r>
            <w:r w:rsidRPr="008D73A7">
              <w:rPr>
                <w:rStyle w:val="ECCHLsubscript"/>
              </w:rPr>
              <w:t>off</w:t>
            </w:r>
            <w:r w:rsidRPr="008D73A7">
              <w:t xml:space="preserve"> times in 1 MHz resolution bandwidth of the measuring receiver.</w:t>
            </w:r>
          </w:p>
          <w:p w14:paraId="12634626" w14:textId="77777777" w:rsidR="00E10018" w:rsidRPr="008D73A7" w:rsidRDefault="00E10018" w:rsidP="005F721D">
            <w:pPr>
              <w:pStyle w:val="ECCTablenote"/>
            </w:pPr>
            <w:r w:rsidRPr="008D73A7">
              <w:t>Note 3: The maximum peak e.i.r.p. shall be measured/evaluated in 1 GHz bandwidth.</w:t>
            </w:r>
          </w:p>
        </w:tc>
      </w:tr>
    </w:tbl>
    <w:p w14:paraId="20DA1D87" w14:textId="3981A58C" w:rsidR="00E10018" w:rsidRPr="008D73A7" w:rsidRDefault="00E10018" w:rsidP="00477873">
      <w:pPr>
        <w:pStyle w:val="Caption"/>
        <w:spacing w:before="360"/>
        <w:rPr>
          <w:lang w:val="en-GB"/>
        </w:rPr>
      </w:pPr>
      <w:bookmarkStart w:id="358" w:name="_Ref65592335"/>
      <w:r w:rsidRPr="008D73A7">
        <w:rPr>
          <w:lang w:val="en-GB"/>
        </w:rPr>
        <w:t>Table </w:t>
      </w:r>
      <w:r w:rsidRPr="008D73A7">
        <w:rPr>
          <w:lang w:val="en-GB"/>
        </w:rPr>
        <w:fldChar w:fldCharType="begin"/>
      </w:r>
      <w:r w:rsidRPr="008D73A7">
        <w:rPr>
          <w:lang w:val="en-GB"/>
        </w:rPr>
        <w:instrText xml:space="preserve"> SEQ Table \* ARABIC </w:instrText>
      </w:r>
      <w:r w:rsidRPr="008D73A7">
        <w:rPr>
          <w:lang w:val="en-GB"/>
        </w:rPr>
        <w:fldChar w:fldCharType="separate"/>
      </w:r>
      <w:r w:rsidR="00BD0B7C" w:rsidRPr="008D73A7">
        <w:rPr>
          <w:lang w:val="en-GB"/>
        </w:rPr>
        <w:t>19</w:t>
      </w:r>
      <w:r w:rsidRPr="008D73A7">
        <w:rPr>
          <w:lang w:val="en-GB"/>
        </w:rPr>
        <w:fldChar w:fldCharType="end"/>
      </w:r>
      <w:bookmarkEnd w:id="358"/>
      <w:r w:rsidRPr="008D73A7">
        <w:rPr>
          <w:lang w:val="en-GB"/>
        </w:rPr>
        <w:t>: Technical requirements for M-CDR and PA-CDR devices in the designated bands</w:t>
      </w:r>
    </w:p>
    <w:tbl>
      <w:tblPr>
        <w:tblStyle w:val="ECCTable-redheader"/>
        <w:tblW w:w="9051" w:type="dxa"/>
        <w:tblInd w:w="0" w:type="dxa"/>
        <w:tblLook w:val="04A0" w:firstRow="1" w:lastRow="0" w:firstColumn="1" w:lastColumn="0" w:noHBand="0" w:noVBand="1"/>
      </w:tblPr>
      <w:tblGrid>
        <w:gridCol w:w="1653"/>
        <w:gridCol w:w="1319"/>
        <w:gridCol w:w="1985"/>
        <w:gridCol w:w="1984"/>
        <w:gridCol w:w="2110"/>
      </w:tblGrid>
      <w:tr w:rsidR="00E10018" w:rsidRPr="008D73A7" w14:paraId="3D08F229" w14:textId="77777777" w:rsidTr="00A14969">
        <w:trPr>
          <w:cnfStyle w:val="100000000000" w:firstRow="1" w:lastRow="0" w:firstColumn="0" w:lastColumn="0" w:oddVBand="0" w:evenVBand="0" w:oddHBand="0" w:evenHBand="0" w:firstRowFirstColumn="0" w:firstRowLastColumn="0" w:lastRowFirstColumn="0" w:lastRowLastColumn="0"/>
        </w:trPr>
        <w:tc>
          <w:tcPr>
            <w:tcW w:w="1653" w:type="dxa"/>
            <w:tcBorders>
              <w:top w:val="single" w:sz="4" w:space="0" w:color="FFFFFF" w:themeColor="background1"/>
              <w:left w:val="single" w:sz="4" w:space="0" w:color="FFFFFF" w:themeColor="background1"/>
              <w:bottom w:val="nil"/>
            </w:tcBorders>
          </w:tcPr>
          <w:p w14:paraId="52707452" w14:textId="1B47A1BB" w:rsidR="00E10018" w:rsidRPr="008D73A7" w:rsidRDefault="00E10018" w:rsidP="008547B2">
            <w:pPr>
              <w:pStyle w:val="ECCTableHeaderwhitefont"/>
              <w:rPr>
                <w:b w:val="0"/>
                <w:lang w:val="en-GB"/>
              </w:rPr>
            </w:pPr>
            <w:r w:rsidRPr="008D73A7">
              <w:rPr>
                <w:lang w:val="en-GB"/>
              </w:rPr>
              <w:t>Designated frequency band</w:t>
            </w:r>
          </w:p>
        </w:tc>
        <w:tc>
          <w:tcPr>
            <w:tcW w:w="1319" w:type="dxa"/>
            <w:tcBorders>
              <w:bottom w:val="single" w:sz="4" w:space="0" w:color="FFFFFF"/>
            </w:tcBorders>
          </w:tcPr>
          <w:p w14:paraId="3F2B429C" w14:textId="77777777" w:rsidR="00E10018" w:rsidRPr="008D73A7" w:rsidRDefault="00E10018" w:rsidP="00DE7D17">
            <w:pPr>
              <w:pStyle w:val="ECCTableHeaderwhitefont"/>
              <w:rPr>
                <w:lang w:val="en-GB"/>
              </w:rPr>
            </w:pPr>
            <w:r w:rsidRPr="008D73A7">
              <w:rPr>
                <w:lang w:val="en-GB"/>
              </w:rPr>
              <w:t>Maximum duty cycle</w:t>
            </w:r>
          </w:p>
        </w:tc>
        <w:tc>
          <w:tcPr>
            <w:tcW w:w="1985" w:type="dxa"/>
            <w:tcBorders>
              <w:bottom w:val="single" w:sz="4" w:space="0" w:color="FFFFFF"/>
            </w:tcBorders>
          </w:tcPr>
          <w:p w14:paraId="79A725D2" w14:textId="77777777" w:rsidR="00E10018" w:rsidRPr="008D73A7" w:rsidRDefault="00E10018" w:rsidP="00DE7D17">
            <w:pPr>
              <w:pStyle w:val="ECCTableHeaderwhitefont"/>
              <w:rPr>
                <w:lang w:val="en-GB"/>
              </w:rPr>
            </w:pPr>
            <w:r w:rsidRPr="008D73A7">
              <w:rPr>
                <w:lang w:val="en-GB"/>
              </w:rPr>
              <w:t>Maximum mean e.i.r.p. spectral density (Note 2)</w:t>
            </w:r>
          </w:p>
        </w:tc>
        <w:tc>
          <w:tcPr>
            <w:tcW w:w="1984" w:type="dxa"/>
            <w:tcBorders>
              <w:bottom w:val="single" w:sz="4" w:space="0" w:color="FFFFFF"/>
            </w:tcBorders>
          </w:tcPr>
          <w:p w14:paraId="1C62F09D" w14:textId="77777777" w:rsidR="00E10018" w:rsidRPr="008D73A7" w:rsidRDefault="00E10018" w:rsidP="00DE7D17">
            <w:pPr>
              <w:pStyle w:val="ECCTableHeaderwhitefont"/>
              <w:rPr>
                <w:lang w:val="en-GB"/>
              </w:rPr>
            </w:pPr>
            <w:r w:rsidRPr="008D73A7">
              <w:rPr>
                <w:lang w:val="en-GB"/>
              </w:rPr>
              <w:t>Maximum peak e.i.r.p. (Note 3)</w:t>
            </w:r>
          </w:p>
        </w:tc>
        <w:tc>
          <w:tcPr>
            <w:tcW w:w="2103" w:type="dxa"/>
            <w:tcBorders>
              <w:bottom w:val="single" w:sz="4" w:space="0" w:color="FFFFFF"/>
            </w:tcBorders>
          </w:tcPr>
          <w:p w14:paraId="1AB56C50" w14:textId="77777777" w:rsidR="00E10018" w:rsidRPr="008D73A7" w:rsidRDefault="00E10018" w:rsidP="00DE7D17">
            <w:pPr>
              <w:pStyle w:val="ECCTableHeaderwhitefont"/>
              <w:rPr>
                <w:lang w:val="en-GB"/>
              </w:rPr>
            </w:pPr>
            <w:r w:rsidRPr="008D73A7">
              <w:rPr>
                <w:lang w:val="en-GB"/>
              </w:rPr>
              <w:t>Minimum unwanted emissions attenuation (Note 1)</w:t>
            </w:r>
          </w:p>
        </w:tc>
      </w:tr>
      <w:tr w:rsidR="00B9269B" w:rsidRPr="008D73A7" w14:paraId="4CA88D4E" w14:textId="77777777" w:rsidTr="00B9269B">
        <w:tc>
          <w:tcPr>
            <w:tcW w:w="1653" w:type="dxa"/>
            <w:tcBorders>
              <w:top w:val="nil"/>
              <w:left w:val="single" w:sz="4" w:space="0" w:color="FFFFFF" w:themeColor="background1"/>
              <w:bottom w:val="single" w:sz="4" w:space="0" w:color="FFFFFF" w:themeColor="background1"/>
              <w:right w:val="single" w:sz="4" w:space="0" w:color="FFFFFF" w:themeColor="background1"/>
            </w:tcBorders>
            <w:shd w:val="clear" w:color="auto" w:fill="D2232A"/>
          </w:tcPr>
          <w:p w14:paraId="1B3ED21C" w14:textId="77777777" w:rsidR="00E10018" w:rsidRPr="008D73A7" w:rsidRDefault="00E10018" w:rsidP="00DE7D17">
            <w:pPr>
              <w:pStyle w:val="ECCTableHeaderwhitefont"/>
              <w:rPr>
                <w:lang w:val="en-GB"/>
              </w:rPr>
            </w:pPr>
          </w:p>
        </w:tc>
        <w:tc>
          <w:tcPr>
            <w:tcW w:w="1319" w:type="dxa"/>
            <w:tcBorders>
              <w:top w:val="single" w:sz="4" w:space="0" w:color="FFFFFF"/>
              <w:left w:val="single" w:sz="4" w:space="0" w:color="FFFFFF" w:themeColor="background1"/>
              <w:bottom w:val="single" w:sz="4" w:space="0" w:color="FFFFFF"/>
              <w:right w:val="single" w:sz="4" w:space="0" w:color="FFFFFF"/>
            </w:tcBorders>
            <w:shd w:val="clear" w:color="auto" w:fill="D2232A"/>
          </w:tcPr>
          <w:p w14:paraId="540F2D06" w14:textId="77777777" w:rsidR="00E10018" w:rsidRPr="008D73A7" w:rsidRDefault="00E10018" w:rsidP="00DE7D17">
            <w:pPr>
              <w:pStyle w:val="ECCTabletext"/>
              <w:jc w:val="center"/>
              <w:rPr>
                <w:b/>
                <w:color w:val="FFFFFF" w:themeColor="background1"/>
              </w:rPr>
            </w:pPr>
            <w:r w:rsidRPr="008D73A7">
              <w:rPr>
                <w:b/>
                <w:color w:val="FFFFFF" w:themeColor="background1"/>
              </w:rPr>
              <w:t>A</w:t>
            </w:r>
          </w:p>
        </w:tc>
        <w:tc>
          <w:tcPr>
            <w:tcW w:w="1985" w:type="dxa"/>
            <w:tcBorders>
              <w:top w:val="single" w:sz="4" w:space="0" w:color="FFFFFF"/>
              <w:left w:val="single" w:sz="4" w:space="0" w:color="FFFFFF"/>
              <w:bottom w:val="single" w:sz="4" w:space="0" w:color="FFFFFF"/>
              <w:right w:val="single" w:sz="4" w:space="0" w:color="FFFFFF"/>
            </w:tcBorders>
            <w:shd w:val="clear" w:color="auto" w:fill="D2232A"/>
          </w:tcPr>
          <w:p w14:paraId="653F2980" w14:textId="77777777" w:rsidR="00E10018" w:rsidRPr="008D73A7" w:rsidRDefault="00E10018" w:rsidP="00DE7D17">
            <w:pPr>
              <w:pStyle w:val="ECCTabletext"/>
              <w:jc w:val="center"/>
              <w:rPr>
                <w:b/>
                <w:color w:val="FFFFFF" w:themeColor="background1"/>
              </w:rPr>
            </w:pPr>
            <w:r w:rsidRPr="008D73A7">
              <w:rPr>
                <w:b/>
                <w:color w:val="FFFFFF" w:themeColor="background1"/>
              </w:rPr>
              <w:t>B</w:t>
            </w:r>
          </w:p>
        </w:tc>
        <w:tc>
          <w:tcPr>
            <w:tcW w:w="1984" w:type="dxa"/>
            <w:tcBorders>
              <w:top w:val="single" w:sz="4" w:space="0" w:color="FFFFFF"/>
              <w:left w:val="single" w:sz="4" w:space="0" w:color="FFFFFF"/>
              <w:bottom w:val="single" w:sz="4" w:space="0" w:color="FFFFFF"/>
              <w:right w:val="single" w:sz="4" w:space="0" w:color="FFFFFF"/>
            </w:tcBorders>
            <w:shd w:val="clear" w:color="auto" w:fill="D2232A"/>
          </w:tcPr>
          <w:p w14:paraId="43280A09" w14:textId="77777777" w:rsidR="00E10018" w:rsidRPr="008D73A7" w:rsidRDefault="00E10018" w:rsidP="00DE7D17">
            <w:pPr>
              <w:pStyle w:val="ECCTabletext"/>
              <w:jc w:val="center"/>
              <w:rPr>
                <w:b/>
                <w:color w:val="FFFFFF" w:themeColor="background1"/>
              </w:rPr>
            </w:pPr>
            <w:r w:rsidRPr="008D73A7">
              <w:rPr>
                <w:b/>
                <w:color w:val="FFFFFF" w:themeColor="background1"/>
              </w:rPr>
              <w:t>C</w:t>
            </w:r>
          </w:p>
        </w:tc>
        <w:tc>
          <w:tcPr>
            <w:tcW w:w="2103" w:type="dxa"/>
            <w:tcBorders>
              <w:top w:val="single" w:sz="4" w:space="0" w:color="FFFFFF"/>
              <w:left w:val="single" w:sz="4" w:space="0" w:color="FFFFFF"/>
              <w:bottom w:val="single" w:sz="4" w:space="0" w:color="FFFFFF"/>
              <w:right w:val="single" w:sz="4" w:space="0" w:color="FFFFFF"/>
            </w:tcBorders>
            <w:shd w:val="clear" w:color="auto" w:fill="D2232A"/>
          </w:tcPr>
          <w:p w14:paraId="7215E2BE" w14:textId="77777777" w:rsidR="00E10018" w:rsidRPr="008D73A7" w:rsidRDefault="00E10018" w:rsidP="00DE7D17">
            <w:pPr>
              <w:pStyle w:val="ECCTabletext"/>
              <w:jc w:val="center"/>
              <w:rPr>
                <w:b/>
                <w:color w:val="FFFFFF" w:themeColor="background1"/>
              </w:rPr>
            </w:pPr>
            <w:r w:rsidRPr="008D73A7">
              <w:rPr>
                <w:b/>
                <w:color w:val="FFFFFF" w:themeColor="background1"/>
              </w:rPr>
              <w:t>D</w:t>
            </w:r>
          </w:p>
        </w:tc>
      </w:tr>
      <w:tr w:rsidR="00E10018" w:rsidRPr="008D73A7" w14:paraId="4E824727" w14:textId="77777777" w:rsidTr="00A14969">
        <w:tc>
          <w:tcPr>
            <w:tcW w:w="1653" w:type="dxa"/>
            <w:tcBorders>
              <w:top w:val="single" w:sz="4" w:space="0" w:color="FFFFFF" w:themeColor="background1"/>
            </w:tcBorders>
          </w:tcPr>
          <w:p w14:paraId="7941D3F5" w14:textId="717920AE" w:rsidR="00E10018" w:rsidRPr="008D73A7" w:rsidRDefault="00E10018" w:rsidP="00DE7D17">
            <w:pPr>
              <w:pStyle w:val="ECCTabletext"/>
              <w:jc w:val="left"/>
            </w:pPr>
            <w:r w:rsidRPr="008D73A7">
              <w:t>116</w:t>
            </w:r>
            <w:r w:rsidR="00666B9A" w:rsidRPr="008D73A7">
              <w:t>-</w:t>
            </w:r>
            <w:r w:rsidRPr="008D73A7">
              <w:t>148.5</w:t>
            </w:r>
            <w:r w:rsidR="008547B2" w:rsidRPr="008D73A7">
              <w:t> GHz</w:t>
            </w:r>
          </w:p>
        </w:tc>
        <w:tc>
          <w:tcPr>
            <w:tcW w:w="1319" w:type="dxa"/>
            <w:tcBorders>
              <w:top w:val="single" w:sz="4" w:space="0" w:color="FFFFFF"/>
            </w:tcBorders>
          </w:tcPr>
          <w:p w14:paraId="6D6D4A0C" w14:textId="77777777" w:rsidR="00E10018" w:rsidRPr="008D73A7" w:rsidRDefault="00E10018" w:rsidP="00DE7D17">
            <w:pPr>
              <w:pStyle w:val="ECCTabletext"/>
              <w:jc w:val="left"/>
            </w:pPr>
            <w:r w:rsidRPr="008D73A7">
              <w:t>10%</w:t>
            </w:r>
          </w:p>
        </w:tc>
        <w:tc>
          <w:tcPr>
            <w:tcW w:w="1985" w:type="dxa"/>
            <w:tcBorders>
              <w:top w:val="single" w:sz="4" w:space="0" w:color="FFFFFF"/>
            </w:tcBorders>
            <w:shd w:val="clear" w:color="auto" w:fill="auto"/>
          </w:tcPr>
          <w:p w14:paraId="14BEABDE" w14:textId="77777777" w:rsidR="00E10018" w:rsidRPr="008D73A7" w:rsidRDefault="00E10018" w:rsidP="00DE7D17">
            <w:pPr>
              <w:rPr>
                <w:lang w:val="en-GB"/>
              </w:rPr>
            </w:pPr>
            <w:r w:rsidRPr="008D73A7">
              <w:rPr>
                <w:lang w:val="en-GB"/>
              </w:rPr>
              <w:t>-12.0 dBm/MHz</w:t>
            </w:r>
          </w:p>
        </w:tc>
        <w:tc>
          <w:tcPr>
            <w:tcW w:w="1984" w:type="dxa"/>
            <w:tcBorders>
              <w:top w:val="single" w:sz="4" w:space="0" w:color="FFFFFF"/>
            </w:tcBorders>
            <w:shd w:val="clear" w:color="auto" w:fill="auto"/>
          </w:tcPr>
          <w:p w14:paraId="71D420B6" w14:textId="77777777" w:rsidR="00E10018" w:rsidRPr="008D73A7" w:rsidRDefault="00E10018" w:rsidP="00DE7D17">
            <w:pPr>
              <w:pStyle w:val="ECCTabletext"/>
              <w:jc w:val="left"/>
            </w:pPr>
            <w:r w:rsidRPr="008D73A7">
              <w:t>28.6 dBm</w:t>
            </w:r>
          </w:p>
        </w:tc>
        <w:tc>
          <w:tcPr>
            <w:tcW w:w="2103" w:type="dxa"/>
            <w:tcBorders>
              <w:top w:val="single" w:sz="4" w:space="0" w:color="FFFFFF"/>
            </w:tcBorders>
          </w:tcPr>
          <w:p w14:paraId="71F7E7BE" w14:textId="77777777" w:rsidR="00E10018" w:rsidRPr="008D73A7" w:rsidRDefault="00E10018" w:rsidP="00DE7D17">
            <w:pPr>
              <w:pStyle w:val="ECCTabletext"/>
              <w:jc w:val="left"/>
            </w:pPr>
            <w:r w:rsidRPr="008D73A7">
              <w:t>20 dB</w:t>
            </w:r>
          </w:p>
        </w:tc>
      </w:tr>
      <w:tr w:rsidR="00E10018" w:rsidRPr="008D73A7" w14:paraId="55B15908" w14:textId="77777777" w:rsidTr="00A14969">
        <w:tc>
          <w:tcPr>
            <w:tcW w:w="1653" w:type="dxa"/>
          </w:tcPr>
          <w:p w14:paraId="76F088FE" w14:textId="08C49272" w:rsidR="00E10018" w:rsidRPr="008D73A7" w:rsidRDefault="00E10018" w:rsidP="00DE7D17">
            <w:pPr>
              <w:pStyle w:val="ECCTabletext"/>
              <w:jc w:val="left"/>
            </w:pPr>
            <w:r w:rsidRPr="008D73A7">
              <w:t>167</w:t>
            </w:r>
            <w:r w:rsidR="00666B9A" w:rsidRPr="008D73A7">
              <w:t>-</w:t>
            </w:r>
            <w:r w:rsidRPr="008D73A7">
              <w:t>182</w:t>
            </w:r>
            <w:r w:rsidR="008547B2" w:rsidRPr="008D73A7">
              <w:t> GHz</w:t>
            </w:r>
          </w:p>
        </w:tc>
        <w:tc>
          <w:tcPr>
            <w:tcW w:w="1319" w:type="dxa"/>
          </w:tcPr>
          <w:p w14:paraId="04C472B6" w14:textId="77777777" w:rsidR="00E10018" w:rsidRPr="008D73A7" w:rsidRDefault="00E10018" w:rsidP="00DE7D17">
            <w:pPr>
              <w:pStyle w:val="ECCTabletext"/>
              <w:jc w:val="left"/>
            </w:pPr>
            <w:r w:rsidRPr="008D73A7">
              <w:t>10%</w:t>
            </w:r>
          </w:p>
        </w:tc>
        <w:tc>
          <w:tcPr>
            <w:tcW w:w="1985" w:type="dxa"/>
            <w:shd w:val="clear" w:color="auto" w:fill="auto"/>
          </w:tcPr>
          <w:p w14:paraId="7F715C19" w14:textId="77777777" w:rsidR="00E10018" w:rsidRPr="008D73A7" w:rsidRDefault="00E10018" w:rsidP="00DE7D17">
            <w:pPr>
              <w:rPr>
                <w:lang w:val="en-GB"/>
              </w:rPr>
            </w:pPr>
            <w:r w:rsidRPr="008D73A7">
              <w:rPr>
                <w:lang w:val="en-GB"/>
              </w:rPr>
              <w:t>-9.0 dBm/MHz</w:t>
            </w:r>
          </w:p>
        </w:tc>
        <w:tc>
          <w:tcPr>
            <w:tcW w:w="1984" w:type="dxa"/>
            <w:shd w:val="clear" w:color="auto" w:fill="auto"/>
          </w:tcPr>
          <w:p w14:paraId="3AE71CD3" w14:textId="77777777" w:rsidR="00E10018" w:rsidRPr="008D73A7" w:rsidRDefault="00E10018" w:rsidP="00DE7D17">
            <w:pPr>
              <w:pStyle w:val="ECCTabletext"/>
              <w:jc w:val="left"/>
            </w:pPr>
            <w:r w:rsidRPr="008D73A7">
              <w:t>34.6 dBm</w:t>
            </w:r>
          </w:p>
        </w:tc>
        <w:tc>
          <w:tcPr>
            <w:tcW w:w="2103" w:type="dxa"/>
          </w:tcPr>
          <w:p w14:paraId="4F499A4D" w14:textId="77777777" w:rsidR="00E10018" w:rsidRPr="008D73A7" w:rsidRDefault="00E10018" w:rsidP="00DE7D17">
            <w:pPr>
              <w:pStyle w:val="ECCTabletext"/>
              <w:jc w:val="left"/>
            </w:pPr>
            <w:r w:rsidRPr="008D73A7">
              <w:t>20 dB</w:t>
            </w:r>
          </w:p>
        </w:tc>
      </w:tr>
      <w:tr w:rsidR="00E10018" w:rsidRPr="008D73A7" w14:paraId="2169B034" w14:textId="77777777" w:rsidTr="00A14969">
        <w:tc>
          <w:tcPr>
            <w:tcW w:w="1653" w:type="dxa"/>
          </w:tcPr>
          <w:p w14:paraId="0FB178AD" w14:textId="26D8AC82" w:rsidR="00E10018" w:rsidRPr="008D73A7" w:rsidRDefault="00E10018" w:rsidP="00DE7D17">
            <w:pPr>
              <w:pStyle w:val="ECCTabletext"/>
              <w:jc w:val="left"/>
            </w:pPr>
            <w:r w:rsidRPr="008D73A7">
              <w:t>231.5</w:t>
            </w:r>
            <w:r w:rsidR="00666B9A" w:rsidRPr="008D73A7">
              <w:t>-</w:t>
            </w:r>
            <w:r w:rsidRPr="008D73A7">
              <w:t>250</w:t>
            </w:r>
            <w:r w:rsidR="008547B2" w:rsidRPr="008D73A7">
              <w:t> GHz</w:t>
            </w:r>
          </w:p>
        </w:tc>
        <w:tc>
          <w:tcPr>
            <w:tcW w:w="1319" w:type="dxa"/>
          </w:tcPr>
          <w:p w14:paraId="266F467D" w14:textId="77777777" w:rsidR="00E10018" w:rsidRPr="008D73A7" w:rsidRDefault="00E10018" w:rsidP="00DE7D17">
            <w:pPr>
              <w:pStyle w:val="ECCTabletext"/>
              <w:jc w:val="left"/>
            </w:pPr>
            <w:r w:rsidRPr="008D73A7">
              <w:t>10%</w:t>
            </w:r>
          </w:p>
        </w:tc>
        <w:tc>
          <w:tcPr>
            <w:tcW w:w="1985" w:type="dxa"/>
            <w:shd w:val="clear" w:color="auto" w:fill="auto"/>
          </w:tcPr>
          <w:p w14:paraId="15EFE162" w14:textId="77777777" w:rsidR="00E10018" w:rsidRPr="008D73A7" w:rsidRDefault="00E10018" w:rsidP="00DE7D17">
            <w:pPr>
              <w:rPr>
                <w:lang w:val="en-GB"/>
              </w:rPr>
            </w:pPr>
            <w:r w:rsidRPr="008D73A7">
              <w:rPr>
                <w:lang w:val="en-GB"/>
              </w:rPr>
              <w:t>-6.0 dBm/MHz</w:t>
            </w:r>
          </w:p>
        </w:tc>
        <w:tc>
          <w:tcPr>
            <w:tcW w:w="1984" w:type="dxa"/>
            <w:shd w:val="clear" w:color="auto" w:fill="auto"/>
          </w:tcPr>
          <w:p w14:paraId="2EA63A61" w14:textId="77777777" w:rsidR="00E10018" w:rsidRPr="008D73A7" w:rsidRDefault="00E10018" w:rsidP="00DE7D17">
            <w:pPr>
              <w:pStyle w:val="ECCTabletext"/>
              <w:jc w:val="left"/>
            </w:pPr>
            <w:r w:rsidRPr="008D73A7">
              <w:t>37 dBm</w:t>
            </w:r>
          </w:p>
        </w:tc>
        <w:tc>
          <w:tcPr>
            <w:tcW w:w="2103" w:type="dxa"/>
          </w:tcPr>
          <w:p w14:paraId="3A1A638B" w14:textId="77777777" w:rsidR="00E10018" w:rsidRPr="008D73A7" w:rsidRDefault="00E10018" w:rsidP="00DE7D17">
            <w:pPr>
              <w:pStyle w:val="ECCTabletext"/>
              <w:jc w:val="left"/>
            </w:pPr>
            <w:r w:rsidRPr="008D73A7">
              <w:t>20 dB</w:t>
            </w:r>
          </w:p>
        </w:tc>
      </w:tr>
      <w:tr w:rsidR="00E10018" w:rsidRPr="008D73A7" w14:paraId="0FF9A028" w14:textId="77777777" w:rsidTr="00DE7D17">
        <w:tc>
          <w:tcPr>
            <w:tcW w:w="9051" w:type="dxa"/>
            <w:gridSpan w:val="5"/>
          </w:tcPr>
          <w:p w14:paraId="6E997329" w14:textId="026E8FEC" w:rsidR="00E10018" w:rsidRPr="008D73A7" w:rsidRDefault="00E10018" w:rsidP="005F721D">
            <w:pPr>
              <w:pStyle w:val="ECCTablenote"/>
            </w:pPr>
            <w:r w:rsidRPr="008D73A7">
              <w:t>Note 1: The operating frequency range (OFR) is defined over the 20 dB reduction of the intentional transmission (</w:t>
            </w:r>
            <w:r w:rsidR="00251764" w:rsidRPr="008D73A7">
              <w:t>“</w:t>
            </w:r>
            <w:r w:rsidRPr="008D73A7">
              <w:t>20 dB bandwidth</w:t>
            </w:r>
            <w:r w:rsidR="00251764" w:rsidRPr="008D73A7">
              <w:t>”</w:t>
            </w:r>
            <w:r w:rsidRPr="008D73A7">
              <w:t>) radiated by the equipment into the air. The unwanted emissions attenuation applies to the frequencies outside the OFR and shall be applied to the maximum mean e.i.r.p. spectral density and the maximum peak e.i.r.p. The measurement bandwidth for the unwanted emissions domain is 1 MHz.</w:t>
            </w:r>
          </w:p>
          <w:p w14:paraId="0FE3D58C" w14:textId="77777777" w:rsidR="00E10018" w:rsidRPr="008D73A7" w:rsidRDefault="00E10018" w:rsidP="005F721D">
            <w:pPr>
              <w:pStyle w:val="ECCTablenote"/>
            </w:pPr>
            <w:r w:rsidRPr="008D73A7">
              <w:t>Note 2: The duty cycle of 10% is already included in this mean e.i.r.p. value. Consequently, the given maximum mean e.i.r.p. spectral density is valid for averaging over the whole measurement cycle T</w:t>
            </w:r>
            <w:r w:rsidRPr="008D73A7">
              <w:rPr>
                <w:rStyle w:val="ECCHLsubscript"/>
              </w:rPr>
              <w:t xml:space="preserve">meas_cycle </w:t>
            </w:r>
            <w:r w:rsidRPr="008D73A7">
              <w:t>of the device including any T</w:t>
            </w:r>
            <w:r w:rsidRPr="008D73A7">
              <w:rPr>
                <w:rStyle w:val="ECCHLsubscript"/>
              </w:rPr>
              <w:t>off</w:t>
            </w:r>
            <w:r w:rsidRPr="008D73A7">
              <w:t xml:space="preserve"> times in 1 MHz resolution bandwidth of the measuring receiver.</w:t>
            </w:r>
          </w:p>
          <w:p w14:paraId="328413D5" w14:textId="77777777" w:rsidR="00E10018" w:rsidRPr="008D73A7" w:rsidRDefault="00E10018" w:rsidP="005F721D">
            <w:pPr>
              <w:pStyle w:val="ECCTablenote"/>
            </w:pPr>
            <w:r w:rsidRPr="008D73A7">
              <w:t>Note 3: The maximum peak e.i.r.p. shall be measured/evaluated in 1 GHz bandwidth.</w:t>
            </w:r>
          </w:p>
        </w:tc>
      </w:tr>
    </w:tbl>
    <w:p w14:paraId="7681E6D6" w14:textId="77777777" w:rsidR="00E10018" w:rsidRPr="008D73A7" w:rsidRDefault="00E10018" w:rsidP="00E10018">
      <w:pPr>
        <w:keepNext/>
        <w:spacing w:before="360" w:after="120"/>
        <w:jc w:val="both"/>
        <w:rPr>
          <w:lang w:val="en-GB"/>
        </w:rPr>
      </w:pPr>
      <w:r w:rsidRPr="008D73A7">
        <w:rPr>
          <w:lang w:val="en-GB"/>
        </w:rPr>
        <w:lastRenderedPageBreak/>
        <w:t>Additional requirements for contour determination and acquisition radars (CDR) to allow licence-exempt use:</w:t>
      </w:r>
    </w:p>
    <w:p w14:paraId="70818471" w14:textId="77777777" w:rsidR="00E10018" w:rsidRPr="008D73A7" w:rsidRDefault="00E10018" w:rsidP="00F5346F">
      <w:pPr>
        <w:pStyle w:val="NumberedList"/>
        <w:keepNext/>
        <w:numPr>
          <w:ilvl w:val="0"/>
          <w:numId w:val="22"/>
        </w:numPr>
        <w:spacing w:before="60"/>
      </w:pPr>
      <w:r w:rsidRPr="008D73A7">
        <w:t>The operation of CDR sensors is envisaged for industrial purposes only;</w:t>
      </w:r>
    </w:p>
    <w:p w14:paraId="33C2E80D" w14:textId="77777777" w:rsidR="00E10018" w:rsidRPr="008D73A7" w:rsidRDefault="00E10018" w:rsidP="00F5346F">
      <w:pPr>
        <w:pStyle w:val="NumberedList"/>
        <w:keepNext/>
        <w:numPr>
          <w:ilvl w:val="0"/>
          <w:numId w:val="22"/>
        </w:numPr>
        <w:spacing w:before="60"/>
      </w:pPr>
      <w:r w:rsidRPr="008D73A7">
        <w:t>Installation and maintenance of CDR equipment shall be performed by professionally trained individuals only;</w:t>
      </w:r>
    </w:p>
    <w:p w14:paraId="574CFE15" w14:textId="77777777" w:rsidR="00E10018" w:rsidRPr="008D73A7" w:rsidRDefault="00E10018" w:rsidP="00F5346F">
      <w:pPr>
        <w:pStyle w:val="NumberedList"/>
        <w:keepNext/>
        <w:numPr>
          <w:ilvl w:val="0"/>
          <w:numId w:val="22"/>
        </w:numPr>
        <w:spacing w:before="60"/>
      </w:pPr>
      <w:r w:rsidRPr="008D73A7">
        <w:t>CDR equipment shall not be marketed to private end customers;</w:t>
      </w:r>
    </w:p>
    <w:p w14:paraId="3FBC50C8" w14:textId="77777777" w:rsidR="00E10018" w:rsidRPr="008D73A7" w:rsidRDefault="00E10018" w:rsidP="00F5346F">
      <w:pPr>
        <w:pStyle w:val="NumberedList"/>
        <w:keepNext/>
        <w:numPr>
          <w:ilvl w:val="0"/>
          <w:numId w:val="22"/>
        </w:numPr>
        <w:spacing w:before="60"/>
      </w:pPr>
      <w:r w:rsidRPr="008D73A7">
        <w:t>CDR equipment is required to be installed at a permanent fixed position. The equipment shall not operate while being moved;</w:t>
      </w:r>
    </w:p>
    <w:p w14:paraId="3673EABD" w14:textId="77777777" w:rsidR="00E10018" w:rsidRPr="008D73A7" w:rsidRDefault="00E10018" w:rsidP="00F5346F">
      <w:pPr>
        <w:pStyle w:val="NumberedList"/>
        <w:keepNext/>
        <w:numPr>
          <w:ilvl w:val="0"/>
          <w:numId w:val="22"/>
        </w:numPr>
        <w:spacing w:before="60"/>
      </w:pPr>
      <w:r w:rsidRPr="008D73A7">
        <w:t>Installers have to ensure that there are no unwanted obstacles in the main beam of the antenna in order to minimise unintentional reflections and scattering;</w:t>
      </w:r>
    </w:p>
    <w:p w14:paraId="18012596" w14:textId="77777777" w:rsidR="00E10018" w:rsidRPr="008D73A7" w:rsidRDefault="00E10018" w:rsidP="00F5346F">
      <w:pPr>
        <w:pStyle w:val="NumberedList"/>
        <w:keepNext/>
        <w:numPr>
          <w:ilvl w:val="0"/>
          <w:numId w:val="22"/>
        </w:numPr>
        <w:spacing w:before="60"/>
      </w:pPr>
      <w:r w:rsidRPr="008D73A7">
        <w:t>The provider is required to inform the users and installers of CDR equipment about the installation requirements and additional special mounting instructions;</w:t>
      </w:r>
    </w:p>
    <w:p w14:paraId="7F0BA58F" w14:textId="233AA984" w:rsidR="00E10018" w:rsidRPr="008D73A7" w:rsidRDefault="00E10018" w:rsidP="00F5346F">
      <w:pPr>
        <w:pStyle w:val="NumberedList"/>
        <w:keepNext/>
        <w:numPr>
          <w:ilvl w:val="0"/>
          <w:numId w:val="22"/>
        </w:numPr>
        <w:spacing w:before="60"/>
      </w:pPr>
      <w:r w:rsidRPr="008D73A7">
        <w:t>For CDR devices using an antenna gain smaller than 20 dBi, the maximum conducted peak output power shall be limited to 15 dBm</w:t>
      </w:r>
      <w:r w:rsidR="007F1E34" w:rsidRPr="008D73A7">
        <w:t>.</w:t>
      </w:r>
    </w:p>
    <w:p w14:paraId="7CDB5662" w14:textId="77777777" w:rsidR="00E10018" w:rsidRPr="008D73A7" w:rsidRDefault="00E10018" w:rsidP="00474492">
      <w:pPr>
        <w:rPr>
          <w:lang w:val="en-GB"/>
        </w:rPr>
      </w:pPr>
      <w:r w:rsidRPr="008D73A7">
        <w:rPr>
          <w:lang w:val="en-GB"/>
        </w:rPr>
        <w:t>For digital beamforming contour determination and acquisition radar (DBF-CDR) applications the following additional requirement shall apply:</w:t>
      </w:r>
    </w:p>
    <w:p w14:paraId="058DDC20" w14:textId="77777777" w:rsidR="00E10018" w:rsidRPr="008D73A7" w:rsidRDefault="00E10018" w:rsidP="00231CB5">
      <w:pPr>
        <w:pStyle w:val="NumberedList"/>
        <w:numPr>
          <w:ilvl w:val="0"/>
          <w:numId w:val="23"/>
        </w:numPr>
      </w:pPr>
      <w:r w:rsidRPr="008D73A7">
        <w:t>DBF-CDRs are required to be pointing vertically downwards towards the ground.</w:t>
      </w:r>
    </w:p>
    <w:p w14:paraId="2E42681B" w14:textId="77777777" w:rsidR="00E10018" w:rsidRPr="008D73A7" w:rsidRDefault="00E10018" w:rsidP="00E10018">
      <w:pPr>
        <w:spacing w:after="120"/>
        <w:rPr>
          <w:lang w:val="en-GB"/>
        </w:rPr>
      </w:pPr>
      <w:r w:rsidRPr="008D73A7">
        <w:rPr>
          <w:lang w:val="en-GB"/>
        </w:rPr>
        <w:t>For mechanical- and phased-array contour determination and acquisition radar (M-CDR and PA-CDR) applications the following additional requirements shall apply:</w:t>
      </w:r>
    </w:p>
    <w:p w14:paraId="44A09B4A" w14:textId="6E75E9EE" w:rsidR="00E10018" w:rsidRPr="008D73A7" w:rsidRDefault="00E10018" w:rsidP="00F5346F">
      <w:pPr>
        <w:pStyle w:val="NumberedList"/>
        <w:numPr>
          <w:ilvl w:val="0"/>
          <w:numId w:val="24"/>
        </w:numPr>
        <w:spacing w:before="60"/>
      </w:pPr>
      <w:r w:rsidRPr="008D73A7">
        <w:t>M-</w:t>
      </w:r>
      <w:r w:rsidR="00CE1430" w:rsidRPr="008D73A7">
        <w:t>CDRs</w:t>
      </w:r>
      <w:r w:rsidRPr="008D73A7">
        <w:t xml:space="preserve"> and PA-CDRs shall have a permanent spatially scanning behaviour of the antenna main beam direction at any time during operation;</w:t>
      </w:r>
    </w:p>
    <w:p w14:paraId="60724AA9" w14:textId="77777777" w:rsidR="00E10018" w:rsidRPr="008D73A7" w:rsidRDefault="00E10018" w:rsidP="00F5346F">
      <w:pPr>
        <w:pStyle w:val="NumberedList"/>
        <w:numPr>
          <w:ilvl w:val="0"/>
          <w:numId w:val="24"/>
        </w:numPr>
        <w:spacing w:before="60"/>
      </w:pPr>
      <w:r w:rsidRPr="008D73A7">
        <w:t>The maximum tilting angle of the antenna main beam direction in relation to the vertical axis towards the ground shall never exceed 60°;</w:t>
      </w:r>
    </w:p>
    <w:p w14:paraId="1BA71B00" w14:textId="77777777" w:rsidR="00E10018" w:rsidRPr="008D73A7" w:rsidRDefault="00E10018" w:rsidP="00F5346F">
      <w:pPr>
        <w:pStyle w:val="NumberedList"/>
        <w:numPr>
          <w:ilvl w:val="0"/>
          <w:numId w:val="24"/>
        </w:numPr>
        <w:spacing w:before="60"/>
      </w:pPr>
      <w:r w:rsidRPr="008D73A7">
        <w:t>The peak e.i.r.p. for elevations above 0° shall be limited to 0 dBm.</w:t>
      </w:r>
    </w:p>
    <w:p w14:paraId="74C38E29" w14:textId="77777777" w:rsidR="00E10018" w:rsidRPr="008D73A7" w:rsidRDefault="00E10018" w:rsidP="00D64498">
      <w:pPr>
        <w:pStyle w:val="ECCAnnexheading2"/>
        <w:ind w:left="576"/>
        <w:rPr>
          <w:lang w:val="en-GB" w:eastAsia="ar-SA"/>
        </w:rPr>
      </w:pPr>
      <w:r w:rsidRPr="008D73A7">
        <w:rPr>
          <w:lang w:val="en-GB" w:eastAsia="ar-SA"/>
        </w:rPr>
        <w:t>TECHNICAL REQUIREMENTS FOR TANK LEVEL PROBING RADAR (TLPR)</w:t>
      </w:r>
    </w:p>
    <w:p w14:paraId="0D31BFD2" w14:textId="794A38FF" w:rsidR="00E10018" w:rsidRPr="008D73A7" w:rsidRDefault="00E10018" w:rsidP="00666B9A">
      <w:pPr>
        <w:pStyle w:val="Caption"/>
        <w:spacing w:before="360"/>
        <w:rPr>
          <w:lang w:val="en-GB"/>
        </w:rPr>
      </w:pPr>
      <w:bookmarkStart w:id="359" w:name="_Ref106107092"/>
      <w:r w:rsidRPr="008D73A7">
        <w:rPr>
          <w:lang w:val="en-GB"/>
        </w:rPr>
        <w:t>Table </w:t>
      </w:r>
      <w:r w:rsidRPr="008D73A7">
        <w:rPr>
          <w:lang w:val="en-GB"/>
        </w:rPr>
        <w:fldChar w:fldCharType="begin"/>
      </w:r>
      <w:r w:rsidRPr="008D73A7">
        <w:rPr>
          <w:lang w:val="en-GB"/>
        </w:rPr>
        <w:instrText xml:space="preserve"> SEQ Table \* ARABIC </w:instrText>
      </w:r>
      <w:r w:rsidRPr="008D73A7">
        <w:rPr>
          <w:lang w:val="en-GB"/>
        </w:rPr>
        <w:fldChar w:fldCharType="separate"/>
      </w:r>
      <w:r w:rsidR="00BD0B7C" w:rsidRPr="008D73A7">
        <w:rPr>
          <w:lang w:val="en-GB"/>
        </w:rPr>
        <w:t>20</w:t>
      </w:r>
      <w:r w:rsidRPr="008D73A7">
        <w:rPr>
          <w:lang w:val="en-GB"/>
        </w:rPr>
        <w:fldChar w:fldCharType="end"/>
      </w:r>
      <w:bookmarkEnd w:id="359"/>
      <w:r w:rsidRPr="008D73A7">
        <w:rPr>
          <w:lang w:val="en-GB"/>
        </w:rPr>
        <w:t>: Technical requirements for TLPR devices in the designated bands</w:t>
      </w:r>
    </w:p>
    <w:tbl>
      <w:tblPr>
        <w:tblStyle w:val="ECCTable-redheader"/>
        <w:tblW w:w="5000" w:type="pct"/>
        <w:tblInd w:w="0" w:type="dxa"/>
        <w:tblLook w:val="04A0" w:firstRow="1" w:lastRow="0" w:firstColumn="1" w:lastColumn="0" w:noHBand="0" w:noVBand="1"/>
      </w:tblPr>
      <w:tblGrid>
        <w:gridCol w:w="1835"/>
        <w:gridCol w:w="1454"/>
        <w:gridCol w:w="2009"/>
        <w:gridCol w:w="1799"/>
        <w:gridCol w:w="2532"/>
      </w:tblGrid>
      <w:tr w:rsidR="00E10018" w:rsidRPr="008D73A7" w14:paraId="58977B9E" w14:textId="77777777" w:rsidTr="00A14969">
        <w:trPr>
          <w:cnfStyle w:val="100000000000" w:firstRow="1" w:lastRow="0" w:firstColumn="0" w:lastColumn="0" w:oddVBand="0" w:evenVBand="0" w:oddHBand="0" w:evenHBand="0" w:firstRowFirstColumn="0" w:firstRowLastColumn="0" w:lastRowFirstColumn="0" w:lastRowLastColumn="0"/>
        </w:trPr>
        <w:tc>
          <w:tcPr>
            <w:tcW w:w="0" w:type="pct"/>
            <w:tcBorders>
              <w:top w:val="single" w:sz="4" w:space="0" w:color="FFFFFF" w:themeColor="background1"/>
              <w:left w:val="single" w:sz="4" w:space="0" w:color="FFFFFF" w:themeColor="background1"/>
              <w:bottom w:val="nil"/>
            </w:tcBorders>
          </w:tcPr>
          <w:p w14:paraId="489897C2" w14:textId="59CE0222" w:rsidR="00E10018" w:rsidRPr="008D73A7" w:rsidRDefault="00E10018" w:rsidP="00DE7D17">
            <w:pPr>
              <w:pStyle w:val="ECCTableHeaderwhitefont"/>
              <w:rPr>
                <w:lang w:val="en-GB"/>
              </w:rPr>
            </w:pPr>
            <w:r w:rsidRPr="008D73A7">
              <w:rPr>
                <w:lang w:val="en-GB"/>
              </w:rPr>
              <w:t>Designated frequency band</w:t>
            </w:r>
          </w:p>
        </w:tc>
        <w:tc>
          <w:tcPr>
            <w:tcW w:w="0" w:type="pct"/>
            <w:tcBorders>
              <w:bottom w:val="single" w:sz="4" w:space="0" w:color="FFFFFF"/>
            </w:tcBorders>
          </w:tcPr>
          <w:p w14:paraId="2102B75C" w14:textId="77777777" w:rsidR="00E10018" w:rsidRPr="008D73A7" w:rsidRDefault="00E10018" w:rsidP="00DE7D17">
            <w:pPr>
              <w:pStyle w:val="ECCTableHeaderwhitefont"/>
              <w:rPr>
                <w:lang w:val="en-GB"/>
              </w:rPr>
            </w:pPr>
            <w:r w:rsidRPr="008D73A7">
              <w:rPr>
                <w:lang w:val="en-GB"/>
              </w:rPr>
              <w:t>Maximum duty cycle</w:t>
            </w:r>
          </w:p>
        </w:tc>
        <w:tc>
          <w:tcPr>
            <w:tcW w:w="0" w:type="pct"/>
            <w:tcBorders>
              <w:bottom w:val="single" w:sz="4" w:space="0" w:color="FFFFFF"/>
            </w:tcBorders>
          </w:tcPr>
          <w:p w14:paraId="0040FBA6" w14:textId="77777777" w:rsidR="00E10018" w:rsidRPr="008D73A7" w:rsidRDefault="00E10018" w:rsidP="00DE7D17">
            <w:pPr>
              <w:pStyle w:val="ECCTableHeaderwhitefont"/>
              <w:rPr>
                <w:lang w:val="en-GB"/>
              </w:rPr>
            </w:pPr>
            <w:r w:rsidRPr="008D73A7">
              <w:rPr>
                <w:lang w:val="en-GB"/>
              </w:rPr>
              <w:t>Maximum mean e.i.r.p. spectral density (Note 2)</w:t>
            </w:r>
          </w:p>
        </w:tc>
        <w:tc>
          <w:tcPr>
            <w:tcW w:w="0" w:type="pct"/>
            <w:tcBorders>
              <w:bottom w:val="single" w:sz="4" w:space="0" w:color="FFFFFF"/>
            </w:tcBorders>
          </w:tcPr>
          <w:p w14:paraId="5802BDC2" w14:textId="77777777" w:rsidR="00E10018" w:rsidRPr="008D73A7" w:rsidRDefault="00E10018" w:rsidP="00DE7D17">
            <w:pPr>
              <w:pStyle w:val="ECCTableHeaderwhitefont"/>
              <w:rPr>
                <w:lang w:val="en-GB"/>
              </w:rPr>
            </w:pPr>
            <w:r w:rsidRPr="008D73A7">
              <w:rPr>
                <w:lang w:val="en-GB"/>
              </w:rPr>
              <w:t>Maximum peak e.i.r.p. (Note 3)</w:t>
            </w:r>
          </w:p>
        </w:tc>
        <w:tc>
          <w:tcPr>
            <w:tcW w:w="0" w:type="pct"/>
            <w:tcBorders>
              <w:bottom w:val="single" w:sz="4" w:space="0" w:color="FFFFFF"/>
            </w:tcBorders>
          </w:tcPr>
          <w:p w14:paraId="7C36ACFE" w14:textId="77777777" w:rsidR="00E10018" w:rsidRPr="008D73A7" w:rsidRDefault="00E10018" w:rsidP="00DE7D17">
            <w:pPr>
              <w:pStyle w:val="ECCTableHeaderwhitefont"/>
              <w:rPr>
                <w:lang w:val="en-GB"/>
              </w:rPr>
            </w:pPr>
            <w:r w:rsidRPr="008D73A7">
              <w:rPr>
                <w:lang w:val="en-GB"/>
              </w:rPr>
              <w:t>Minimum unwanted emissions attenuation (Note 1)</w:t>
            </w:r>
          </w:p>
        </w:tc>
      </w:tr>
      <w:tr w:rsidR="00E10018" w:rsidRPr="008D73A7" w14:paraId="0BB48339" w14:textId="77777777" w:rsidTr="00A14969">
        <w:tc>
          <w:tcPr>
            <w:tcW w:w="0" w:type="pct"/>
            <w:tcBorders>
              <w:top w:val="nil"/>
              <w:left w:val="single" w:sz="4" w:space="0" w:color="FFFFFF" w:themeColor="background1"/>
              <w:bottom w:val="single" w:sz="4" w:space="0" w:color="FFFFFF" w:themeColor="background1"/>
              <w:right w:val="single" w:sz="4" w:space="0" w:color="FFFFFF" w:themeColor="background1"/>
            </w:tcBorders>
            <w:shd w:val="clear" w:color="auto" w:fill="D2232A"/>
          </w:tcPr>
          <w:p w14:paraId="466E333E" w14:textId="77777777" w:rsidR="00E10018" w:rsidRPr="008D73A7" w:rsidRDefault="00E10018" w:rsidP="00DE7D17">
            <w:pPr>
              <w:pStyle w:val="ECCTableHeaderwhitefont"/>
              <w:rPr>
                <w:lang w:val="en-GB"/>
              </w:rPr>
            </w:pPr>
          </w:p>
        </w:tc>
        <w:tc>
          <w:tcPr>
            <w:tcW w:w="0" w:type="pct"/>
            <w:tcBorders>
              <w:top w:val="single" w:sz="4" w:space="0" w:color="FFFFFF"/>
              <w:left w:val="single" w:sz="4" w:space="0" w:color="FFFFFF" w:themeColor="background1"/>
              <w:bottom w:val="single" w:sz="4" w:space="0" w:color="FFFFFF"/>
              <w:right w:val="single" w:sz="4" w:space="0" w:color="FFFFFF"/>
            </w:tcBorders>
            <w:shd w:val="clear" w:color="auto" w:fill="D2232A"/>
          </w:tcPr>
          <w:p w14:paraId="0CB09902" w14:textId="77777777" w:rsidR="00E10018" w:rsidRPr="008D73A7" w:rsidRDefault="00E10018" w:rsidP="00DE7D17">
            <w:pPr>
              <w:pStyle w:val="ECCTabletext"/>
              <w:jc w:val="center"/>
              <w:rPr>
                <w:b/>
                <w:color w:val="FFFFFF" w:themeColor="background1"/>
              </w:rPr>
            </w:pPr>
            <w:r w:rsidRPr="008D73A7">
              <w:rPr>
                <w:b/>
                <w:color w:val="FFFFFF" w:themeColor="background1"/>
              </w:rPr>
              <w:t>A</w:t>
            </w:r>
          </w:p>
        </w:tc>
        <w:tc>
          <w:tcPr>
            <w:tcW w:w="0" w:type="pct"/>
            <w:tcBorders>
              <w:top w:val="single" w:sz="4" w:space="0" w:color="FFFFFF"/>
              <w:left w:val="single" w:sz="4" w:space="0" w:color="FFFFFF"/>
              <w:bottom w:val="single" w:sz="4" w:space="0" w:color="FFFFFF"/>
              <w:right w:val="single" w:sz="4" w:space="0" w:color="FFFFFF"/>
            </w:tcBorders>
            <w:shd w:val="clear" w:color="auto" w:fill="D2232A"/>
          </w:tcPr>
          <w:p w14:paraId="6DEAA024" w14:textId="77777777" w:rsidR="00E10018" w:rsidRPr="008D73A7" w:rsidRDefault="00E10018" w:rsidP="00DE7D17">
            <w:pPr>
              <w:pStyle w:val="ECCTabletext"/>
              <w:jc w:val="center"/>
              <w:rPr>
                <w:b/>
                <w:color w:val="FFFFFF" w:themeColor="background1"/>
              </w:rPr>
            </w:pPr>
            <w:r w:rsidRPr="008D73A7">
              <w:rPr>
                <w:b/>
                <w:color w:val="FFFFFF" w:themeColor="background1"/>
              </w:rPr>
              <w:t>B</w:t>
            </w:r>
          </w:p>
        </w:tc>
        <w:tc>
          <w:tcPr>
            <w:tcW w:w="0" w:type="pct"/>
            <w:tcBorders>
              <w:top w:val="single" w:sz="4" w:space="0" w:color="FFFFFF"/>
              <w:left w:val="single" w:sz="4" w:space="0" w:color="FFFFFF"/>
              <w:bottom w:val="single" w:sz="4" w:space="0" w:color="FFFFFF"/>
              <w:right w:val="single" w:sz="4" w:space="0" w:color="FFFFFF"/>
            </w:tcBorders>
            <w:shd w:val="clear" w:color="auto" w:fill="D2232A"/>
          </w:tcPr>
          <w:p w14:paraId="5D0E6AAE" w14:textId="77777777" w:rsidR="00E10018" w:rsidRPr="008D73A7" w:rsidRDefault="00E10018" w:rsidP="00DE7D17">
            <w:pPr>
              <w:pStyle w:val="ECCTabletext"/>
              <w:jc w:val="center"/>
              <w:rPr>
                <w:b/>
                <w:color w:val="FFFFFF" w:themeColor="background1"/>
              </w:rPr>
            </w:pPr>
            <w:r w:rsidRPr="008D73A7">
              <w:rPr>
                <w:b/>
                <w:color w:val="FFFFFF" w:themeColor="background1"/>
              </w:rPr>
              <w:t>C</w:t>
            </w:r>
          </w:p>
        </w:tc>
        <w:tc>
          <w:tcPr>
            <w:tcW w:w="0" w:type="pct"/>
            <w:tcBorders>
              <w:top w:val="single" w:sz="4" w:space="0" w:color="FFFFFF"/>
              <w:left w:val="single" w:sz="4" w:space="0" w:color="FFFFFF"/>
              <w:bottom w:val="single" w:sz="4" w:space="0" w:color="FFFFFF"/>
              <w:right w:val="single" w:sz="4" w:space="0" w:color="FFFFFF"/>
            </w:tcBorders>
            <w:shd w:val="clear" w:color="auto" w:fill="D2232A"/>
          </w:tcPr>
          <w:p w14:paraId="0D1F7ABE" w14:textId="77777777" w:rsidR="00E10018" w:rsidRPr="008D73A7" w:rsidRDefault="00E10018" w:rsidP="00DE7D17">
            <w:pPr>
              <w:pStyle w:val="ECCTabletext"/>
              <w:jc w:val="center"/>
              <w:rPr>
                <w:b/>
                <w:color w:val="FFFFFF" w:themeColor="background1"/>
              </w:rPr>
            </w:pPr>
            <w:r w:rsidRPr="008D73A7">
              <w:rPr>
                <w:b/>
                <w:color w:val="FFFFFF" w:themeColor="background1"/>
              </w:rPr>
              <w:t>D</w:t>
            </w:r>
          </w:p>
        </w:tc>
      </w:tr>
      <w:tr w:rsidR="00E10018" w:rsidRPr="008D73A7" w14:paraId="79D6AC8C" w14:textId="77777777" w:rsidTr="00A14969">
        <w:tc>
          <w:tcPr>
            <w:tcW w:w="0" w:type="pct"/>
            <w:tcBorders>
              <w:top w:val="single" w:sz="4" w:space="0" w:color="FFFFFF" w:themeColor="background1"/>
            </w:tcBorders>
          </w:tcPr>
          <w:p w14:paraId="271ADE07" w14:textId="397165BD" w:rsidR="00E10018" w:rsidRPr="008D73A7" w:rsidRDefault="00E10018" w:rsidP="00DE7D17">
            <w:pPr>
              <w:pStyle w:val="ECCTabletext"/>
              <w:jc w:val="left"/>
            </w:pPr>
            <w:r w:rsidRPr="008D73A7">
              <w:t>116</w:t>
            </w:r>
            <w:r w:rsidR="00666B9A" w:rsidRPr="008D73A7">
              <w:t>-</w:t>
            </w:r>
            <w:r w:rsidRPr="008D73A7">
              <w:t>148.5</w:t>
            </w:r>
            <w:r w:rsidR="00251764" w:rsidRPr="008D73A7">
              <w:t> GHz</w:t>
            </w:r>
          </w:p>
        </w:tc>
        <w:tc>
          <w:tcPr>
            <w:tcW w:w="0" w:type="pct"/>
            <w:tcBorders>
              <w:top w:val="single" w:sz="4" w:space="0" w:color="FFFFFF"/>
            </w:tcBorders>
          </w:tcPr>
          <w:p w14:paraId="4CC46E7C" w14:textId="77777777" w:rsidR="00E10018" w:rsidRPr="008D73A7" w:rsidRDefault="00E10018" w:rsidP="00DE7D17">
            <w:pPr>
              <w:pStyle w:val="ECCTabletext"/>
              <w:jc w:val="left"/>
            </w:pPr>
            <w:r w:rsidRPr="008D73A7">
              <w:t>100%</w:t>
            </w:r>
          </w:p>
        </w:tc>
        <w:tc>
          <w:tcPr>
            <w:tcW w:w="0" w:type="pct"/>
            <w:tcBorders>
              <w:top w:val="single" w:sz="4" w:space="0" w:color="FFFFFF"/>
            </w:tcBorders>
          </w:tcPr>
          <w:p w14:paraId="26CF70E0" w14:textId="77777777" w:rsidR="00E10018" w:rsidRPr="008D73A7" w:rsidRDefault="00E10018" w:rsidP="00DE7D17">
            <w:pPr>
              <w:pStyle w:val="ECCTabletext"/>
              <w:jc w:val="left"/>
            </w:pPr>
            <w:r w:rsidRPr="008D73A7">
              <w:t>12 dBm/MHz</w:t>
            </w:r>
          </w:p>
        </w:tc>
        <w:tc>
          <w:tcPr>
            <w:tcW w:w="0" w:type="pct"/>
            <w:tcBorders>
              <w:top w:val="single" w:sz="4" w:space="0" w:color="FFFFFF"/>
            </w:tcBorders>
            <w:shd w:val="clear" w:color="auto" w:fill="auto"/>
          </w:tcPr>
          <w:p w14:paraId="7F2A1571" w14:textId="77777777" w:rsidR="00E10018" w:rsidRPr="008D73A7" w:rsidRDefault="00E10018" w:rsidP="00DE7D17">
            <w:pPr>
              <w:pStyle w:val="ECCTabletext"/>
              <w:jc w:val="left"/>
            </w:pPr>
            <w:r w:rsidRPr="008D73A7">
              <w:t>42 dBm</w:t>
            </w:r>
          </w:p>
        </w:tc>
        <w:tc>
          <w:tcPr>
            <w:tcW w:w="0" w:type="pct"/>
            <w:tcBorders>
              <w:top w:val="single" w:sz="4" w:space="0" w:color="FFFFFF"/>
            </w:tcBorders>
          </w:tcPr>
          <w:p w14:paraId="0C85889D" w14:textId="77777777" w:rsidR="00E10018" w:rsidRPr="008D73A7" w:rsidRDefault="00E10018" w:rsidP="00DE7D17">
            <w:pPr>
              <w:pStyle w:val="ECCTabletext"/>
              <w:jc w:val="left"/>
            </w:pPr>
            <w:r w:rsidRPr="008D73A7">
              <w:t>20 dB</w:t>
            </w:r>
          </w:p>
        </w:tc>
      </w:tr>
      <w:tr w:rsidR="00E10018" w:rsidRPr="008D73A7" w14:paraId="114BBF85" w14:textId="77777777" w:rsidTr="00DE7D17">
        <w:tc>
          <w:tcPr>
            <w:tcW w:w="953" w:type="pct"/>
          </w:tcPr>
          <w:p w14:paraId="3BA67BEF" w14:textId="297445A6" w:rsidR="00E10018" w:rsidRPr="008D73A7" w:rsidRDefault="00E10018" w:rsidP="00DE7D17">
            <w:pPr>
              <w:pStyle w:val="ECCTabletext"/>
              <w:jc w:val="left"/>
            </w:pPr>
            <w:r w:rsidRPr="008D73A7">
              <w:t>167</w:t>
            </w:r>
            <w:r w:rsidR="00666B9A" w:rsidRPr="008D73A7">
              <w:t>-</w:t>
            </w:r>
            <w:r w:rsidRPr="008D73A7">
              <w:t>182</w:t>
            </w:r>
            <w:r w:rsidR="00251764" w:rsidRPr="008D73A7">
              <w:t> GHz</w:t>
            </w:r>
          </w:p>
        </w:tc>
        <w:tc>
          <w:tcPr>
            <w:tcW w:w="755" w:type="pct"/>
          </w:tcPr>
          <w:p w14:paraId="7CED4A13" w14:textId="77777777" w:rsidR="00E10018" w:rsidRPr="008D73A7" w:rsidRDefault="00E10018" w:rsidP="00DE7D17">
            <w:pPr>
              <w:pStyle w:val="ECCTabletext"/>
              <w:jc w:val="left"/>
            </w:pPr>
            <w:r w:rsidRPr="008D73A7">
              <w:t>100%</w:t>
            </w:r>
          </w:p>
        </w:tc>
        <w:tc>
          <w:tcPr>
            <w:tcW w:w="1043" w:type="pct"/>
          </w:tcPr>
          <w:p w14:paraId="363FBB55" w14:textId="77777777" w:rsidR="00E10018" w:rsidRPr="008D73A7" w:rsidRDefault="00E10018" w:rsidP="00DE7D17">
            <w:pPr>
              <w:pStyle w:val="ECCTabletext"/>
              <w:jc w:val="left"/>
            </w:pPr>
            <w:r w:rsidRPr="008D73A7">
              <w:t>12 dBm/MHz</w:t>
            </w:r>
          </w:p>
        </w:tc>
        <w:tc>
          <w:tcPr>
            <w:tcW w:w="934" w:type="pct"/>
            <w:shd w:val="clear" w:color="auto" w:fill="auto"/>
          </w:tcPr>
          <w:p w14:paraId="46026C3E" w14:textId="77777777" w:rsidR="00E10018" w:rsidRPr="008D73A7" w:rsidRDefault="00E10018" w:rsidP="00DE7D17">
            <w:pPr>
              <w:pStyle w:val="ECCTabletext"/>
              <w:jc w:val="left"/>
            </w:pPr>
            <w:r w:rsidRPr="008D73A7">
              <w:t>42 dBm</w:t>
            </w:r>
          </w:p>
        </w:tc>
        <w:tc>
          <w:tcPr>
            <w:tcW w:w="1314" w:type="pct"/>
          </w:tcPr>
          <w:p w14:paraId="65FF617C" w14:textId="77777777" w:rsidR="00E10018" w:rsidRPr="008D73A7" w:rsidRDefault="00E10018" w:rsidP="00DE7D17">
            <w:pPr>
              <w:pStyle w:val="ECCTabletext"/>
              <w:jc w:val="left"/>
            </w:pPr>
            <w:r w:rsidRPr="008D73A7">
              <w:t>20 dB</w:t>
            </w:r>
          </w:p>
        </w:tc>
      </w:tr>
      <w:tr w:rsidR="00E10018" w:rsidRPr="008D73A7" w14:paraId="000DC9C2" w14:textId="77777777" w:rsidTr="00DE7D17">
        <w:tc>
          <w:tcPr>
            <w:tcW w:w="953" w:type="pct"/>
          </w:tcPr>
          <w:p w14:paraId="21FF1341" w14:textId="67DA8344" w:rsidR="00E10018" w:rsidRPr="008D73A7" w:rsidRDefault="00E10018" w:rsidP="00DE7D17">
            <w:pPr>
              <w:pStyle w:val="ECCTabletext"/>
              <w:jc w:val="left"/>
            </w:pPr>
            <w:r w:rsidRPr="008D73A7">
              <w:t>231.5</w:t>
            </w:r>
            <w:r w:rsidR="00666B9A" w:rsidRPr="008D73A7">
              <w:t>-</w:t>
            </w:r>
            <w:r w:rsidRPr="008D73A7">
              <w:t>250</w:t>
            </w:r>
            <w:r w:rsidR="00251764" w:rsidRPr="008D73A7">
              <w:t> GHz</w:t>
            </w:r>
          </w:p>
        </w:tc>
        <w:tc>
          <w:tcPr>
            <w:tcW w:w="755" w:type="pct"/>
          </w:tcPr>
          <w:p w14:paraId="51927875" w14:textId="77777777" w:rsidR="00E10018" w:rsidRPr="008D73A7" w:rsidRDefault="00E10018" w:rsidP="00DE7D17">
            <w:pPr>
              <w:pStyle w:val="ECCTabletext"/>
              <w:jc w:val="left"/>
            </w:pPr>
            <w:r w:rsidRPr="008D73A7">
              <w:t>100%</w:t>
            </w:r>
          </w:p>
        </w:tc>
        <w:tc>
          <w:tcPr>
            <w:tcW w:w="1043" w:type="pct"/>
          </w:tcPr>
          <w:p w14:paraId="7B240428" w14:textId="77777777" w:rsidR="00E10018" w:rsidRPr="008D73A7" w:rsidRDefault="00E10018" w:rsidP="00DE7D17">
            <w:pPr>
              <w:pStyle w:val="ECCTabletext"/>
              <w:jc w:val="left"/>
            </w:pPr>
            <w:r w:rsidRPr="008D73A7">
              <w:t>12 dBm/MHz</w:t>
            </w:r>
          </w:p>
        </w:tc>
        <w:tc>
          <w:tcPr>
            <w:tcW w:w="934" w:type="pct"/>
            <w:shd w:val="clear" w:color="auto" w:fill="auto"/>
          </w:tcPr>
          <w:p w14:paraId="2FC062B3" w14:textId="77777777" w:rsidR="00E10018" w:rsidRPr="008D73A7" w:rsidRDefault="00E10018" w:rsidP="00DE7D17">
            <w:pPr>
              <w:pStyle w:val="ECCTabletext"/>
              <w:jc w:val="left"/>
            </w:pPr>
            <w:r w:rsidRPr="008D73A7">
              <w:t>42 dBm</w:t>
            </w:r>
          </w:p>
        </w:tc>
        <w:tc>
          <w:tcPr>
            <w:tcW w:w="1314" w:type="pct"/>
          </w:tcPr>
          <w:p w14:paraId="029743B9" w14:textId="77777777" w:rsidR="00E10018" w:rsidRPr="008D73A7" w:rsidRDefault="00E10018" w:rsidP="00DE7D17">
            <w:pPr>
              <w:pStyle w:val="ECCTabletext"/>
              <w:jc w:val="left"/>
            </w:pPr>
            <w:r w:rsidRPr="008D73A7">
              <w:t>20 dB</w:t>
            </w:r>
          </w:p>
        </w:tc>
      </w:tr>
      <w:tr w:rsidR="00E10018" w:rsidRPr="008D73A7" w14:paraId="39B6CA5D" w14:textId="77777777" w:rsidTr="00DE7D17">
        <w:tc>
          <w:tcPr>
            <w:tcW w:w="5000" w:type="pct"/>
            <w:gridSpan w:val="5"/>
          </w:tcPr>
          <w:p w14:paraId="2C01B7C6" w14:textId="20F77544" w:rsidR="00E10018" w:rsidRPr="008D73A7" w:rsidRDefault="00E10018" w:rsidP="005F721D">
            <w:pPr>
              <w:pStyle w:val="ECCTablenote"/>
            </w:pPr>
            <w:bookmarkStart w:id="360" w:name="_Ref65590576"/>
            <w:r w:rsidRPr="008D73A7">
              <w:t>Note 1: The operating frequency range (OFR) is defined over the 20 dB reduction of the intentional transmission (</w:t>
            </w:r>
            <w:r w:rsidR="00251764" w:rsidRPr="008D73A7">
              <w:t>“</w:t>
            </w:r>
            <w:r w:rsidRPr="008D73A7">
              <w:t>20 dB bandwidth</w:t>
            </w:r>
            <w:r w:rsidR="00251764" w:rsidRPr="008D73A7">
              <w:t>”</w:t>
            </w:r>
            <w:r w:rsidRPr="008D73A7">
              <w:t>) radiated by the equipment into the air. The unwanted emissions attenuation applies to the frequencies outside the OFR and shall be applied to the maximum mean e.i.r.p. spectral density and the maximum peak e.i.r.p. The measurement bandwidth for the unwanted emissions domain is 1 MHz.</w:t>
            </w:r>
          </w:p>
          <w:p w14:paraId="58F3FC6B" w14:textId="024493A8" w:rsidR="00E10018" w:rsidRPr="008D73A7" w:rsidRDefault="00E10018" w:rsidP="005F721D">
            <w:pPr>
              <w:pStyle w:val="ECCTablenote"/>
            </w:pPr>
            <w:r w:rsidRPr="008D73A7">
              <w:t>Note 2: The given maximum mean e.i.r.p. spectral density is valid for averaging over the whole measurement cycle T</w:t>
            </w:r>
            <w:r w:rsidRPr="008D73A7">
              <w:rPr>
                <w:rStyle w:val="ECCHLsubscript"/>
              </w:rPr>
              <w:t xml:space="preserve">meas_cycle </w:t>
            </w:r>
            <w:r w:rsidRPr="008D73A7">
              <w:t>of the device including any T</w:t>
            </w:r>
            <w:r w:rsidRPr="008D73A7">
              <w:rPr>
                <w:rStyle w:val="ECCHLsubscript"/>
              </w:rPr>
              <w:t>off</w:t>
            </w:r>
            <w:r w:rsidRPr="008D73A7">
              <w:t xml:space="preserve"> times in 1 MHz resolution bandwidth of the measuring receiver.</w:t>
            </w:r>
            <w:bookmarkEnd w:id="360"/>
          </w:p>
          <w:p w14:paraId="23276768" w14:textId="77777777" w:rsidR="00E10018" w:rsidRPr="008D73A7" w:rsidRDefault="00E10018" w:rsidP="005F721D">
            <w:pPr>
              <w:pStyle w:val="ECCTablenote"/>
            </w:pPr>
            <w:r w:rsidRPr="008D73A7">
              <w:t>Note 3: The maximum peak e.i.r.p. shall be measured/evaluated in 1 GHz bandwidth.</w:t>
            </w:r>
          </w:p>
        </w:tc>
      </w:tr>
    </w:tbl>
    <w:p w14:paraId="347E1380" w14:textId="77777777" w:rsidR="00E10018" w:rsidRPr="008D73A7" w:rsidRDefault="00E10018" w:rsidP="00800FE2">
      <w:pPr>
        <w:keepNext/>
        <w:spacing w:before="360" w:after="120"/>
        <w:jc w:val="both"/>
        <w:rPr>
          <w:lang w:val="en-GB"/>
        </w:rPr>
      </w:pPr>
      <w:r w:rsidRPr="008D73A7">
        <w:rPr>
          <w:lang w:val="en-GB"/>
        </w:rPr>
        <w:lastRenderedPageBreak/>
        <w:t>Additional requirements for tank level probing radars (TLPR) to allow licence-exempt use:</w:t>
      </w:r>
    </w:p>
    <w:p w14:paraId="63BED470" w14:textId="77777777" w:rsidR="00E10018" w:rsidRPr="008D73A7" w:rsidRDefault="00E10018" w:rsidP="00800FE2">
      <w:pPr>
        <w:pStyle w:val="NumberedList"/>
        <w:keepNext/>
        <w:numPr>
          <w:ilvl w:val="0"/>
          <w:numId w:val="25"/>
        </w:numPr>
        <w:spacing w:before="60"/>
      </w:pPr>
      <w:r w:rsidRPr="008D73A7">
        <w:t>The operation of TLPR sensors is envisaged for industrial purposes only;</w:t>
      </w:r>
    </w:p>
    <w:p w14:paraId="2AE8BCB5" w14:textId="77777777" w:rsidR="00E10018" w:rsidRPr="008D73A7" w:rsidRDefault="00E10018" w:rsidP="00800FE2">
      <w:pPr>
        <w:pStyle w:val="NumberedList"/>
        <w:keepNext/>
        <w:numPr>
          <w:ilvl w:val="0"/>
          <w:numId w:val="25"/>
        </w:numPr>
        <w:spacing w:before="60"/>
      </w:pPr>
      <w:r w:rsidRPr="008D73A7">
        <w:t>Installation and maintenance of TLPR equipment shall be performed by professionally trained individuals only;</w:t>
      </w:r>
    </w:p>
    <w:p w14:paraId="3D9C346F" w14:textId="77777777" w:rsidR="00E10018" w:rsidRPr="008D73A7" w:rsidRDefault="00E10018" w:rsidP="00800FE2">
      <w:pPr>
        <w:pStyle w:val="NumberedList"/>
        <w:keepNext/>
        <w:numPr>
          <w:ilvl w:val="0"/>
          <w:numId w:val="25"/>
        </w:numPr>
        <w:spacing w:before="60"/>
      </w:pPr>
      <w:r w:rsidRPr="008D73A7">
        <w:t>TLPR equipment shall not be marketed to private end customers;</w:t>
      </w:r>
    </w:p>
    <w:p w14:paraId="2C946782" w14:textId="77777777" w:rsidR="00E10018" w:rsidRPr="008D73A7" w:rsidRDefault="00E10018" w:rsidP="00800FE2">
      <w:pPr>
        <w:pStyle w:val="NumberedList"/>
        <w:keepNext/>
        <w:numPr>
          <w:ilvl w:val="0"/>
          <w:numId w:val="25"/>
        </w:numPr>
        <w:spacing w:before="60"/>
      </w:pPr>
      <w:r w:rsidRPr="008D73A7">
        <w:t>TLPRs shall be installed at a permanent fixed position at a closed metallic tank or concrete tank, or a similar enclosure structure made of comparable attenuating material;</w:t>
      </w:r>
    </w:p>
    <w:p w14:paraId="5453B041" w14:textId="77777777" w:rsidR="00E10018" w:rsidRPr="008D73A7" w:rsidRDefault="00E10018" w:rsidP="00800FE2">
      <w:pPr>
        <w:pStyle w:val="NumberedList"/>
        <w:keepNext/>
        <w:numPr>
          <w:ilvl w:val="0"/>
          <w:numId w:val="25"/>
        </w:numPr>
        <w:spacing w:before="60"/>
      </w:pPr>
      <w:r w:rsidRPr="008D73A7">
        <w:t>Flanges and attachments of the TLPR equipment shall provide the necessary microwave sealing by design;</w:t>
      </w:r>
    </w:p>
    <w:p w14:paraId="299D9923" w14:textId="77777777" w:rsidR="00E10018" w:rsidRPr="008D73A7" w:rsidRDefault="00E10018" w:rsidP="00800FE2">
      <w:pPr>
        <w:pStyle w:val="NumberedList"/>
        <w:keepNext/>
        <w:numPr>
          <w:ilvl w:val="0"/>
          <w:numId w:val="25"/>
        </w:numPr>
        <w:spacing w:before="60"/>
      </w:pPr>
      <w:r w:rsidRPr="008D73A7">
        <w:t>Sight glasses shall be coated with a microwave-proof coating when necessary (i.e. electrically conductive or microwave absorbing coating);</w:t>
      </w:r>
    </w:p>
    <w:p w14:paraId="1E08A04B" w14:textId="77777777" w:rsidR="00E10018" w:rsidRPr="008D73A7" w:rsidRDefault="00E10018" w:rsidP="00800FE2">
      <w:pPr>
        <w:pStyle w:val="NumberedList"/>
        <w:keepNext/>
        <w:numPr>
          <w:ilvl w:val="0"/>
          <w:numId w:val="25"/>
        </w:numPr>
        <w:spacing w:before="60"/>
      </w:pPr>
      <w:r w:rsidRPr="008D73A7">
        <w:t>Manholes or connection flanges attached to the tank shall be closed while the TLPR equipment is in operation to ensure a low-level leakage of the signal into the free space outside the tank;</w:t>
      </w:r>
    </w:p>
    <w:p w14:paraId="4BFA2926" w14:textId="77777777" w:rsidR="00E10018" w:rsidRPr="008D73A7" w:rsidRDefault="00E10018" w:rsidP="00800FE2">
      <w:pPr>
        <w:pStyle w:val="NumberedList"/>
        <w:keepNext/>
        <w:numPr>
          <w:ilvl w:val="0"/>
          <w:numId w:val="25"/>
        </w:numPr>
        <w:spacing w:before="60"/>
      </w:pPr>
      <w:r w:rsidRPr="008D73A7">
        <w:t>The provider is required to inform the users and installers of TLPR equipment about the installation requirements and additional special mounting instructions;</w:t>
      </w:r>
    </w:p>
    <w:p w14:paraId="570970B8" w14:textId="77777777" w:rsidR="00E10018" w:rsidRPr="008D73A7" w:rsidRDefault="00E10018" w:rsidP="00800FE2">
      <w:pPr>
        <w:pStyle w:val="NumberedList"/>
        <w:keepNext/>
        <w:numPr>
          <w:ilvl w:val="0"/>
          <w:numId w:val="25"/>
        </w:numPr>
        <w:spacing w:before="60"/>
      </w:pPr>
      <w:r w:rsidRPr="008D73A7">
        <w:t>For TLPR devices using an antenna gain smaller than 20 dBi, the maximum conducted peak output power shall be limited to 15 dBm.</w:t>
      </w:r>
    </w:p>
    <w:p w14:paraId="20361B7C" w14:textId="77777777" w:rsidR="00E10018" w:rsidRPr="008D73A7" w:rsidRDefault="00E10018" w:rsidP="00D64498">
      <w:pPr>
        <w:pStyle w:val="ECCAnnexheading2"/>
        <w:ind w:left="576"/>
        <w:rPr>
          <w:lang w:val="en-GB" w:eastAsia="ar-SA"/>
        </w:rPr>
      </w:pPr>
      <w:bookmarkStart w:id="361" w:name="_Ref114576007"/>
      <w:r w:rsidRPr="008D73A7">
        <w:rPr>
          <w:lang w:val="en-GB" w:eastAsia="ar-SA"/>
        </w:rPr>
        <w:t>TECHNICAL REQUIREMENTS FOR RADIODETERMINATION SYSTEMS FOR INDUSTRY AUTOMATION IN SHIELDED ENVIRONMENTS (RDI-S)</w:t>
      </w:r>
      <w:bookmarkEnd w:id="361"/>
    </w:p>
    <w:p w14:paraId="56C93950" w14:textId="20F7B5E0" w:rsidR="00E10018" w:rsidRPr="008D73A7" w:rsidRDefault="00E10018">
      <w:pPr>
        <w:pStyle w:val="Caption"/>
        <w:rPr>
          <w:lang w:val="en-GB"/>
        </w:rPr>
      </w:pPr>
      <w:bookmarkStart w:id="362" w:name="_Ref111453018"/>
      <w:r w:rsidRPr="008D73A7">
        <w:rPr>
          <w:lang w:val="en-GB"/>
        </w:rPr>
        <w:t>Table </w:t>
      </w:r>
      <w:r w:rsidRPr="008D73A7">
        <w:rPr>
          <w:lang w:val="en-GB"/>
        </w:rPr>
        <w:fldChar w:fldCharType="begin"/>
      </w:r>
      <w:r w:rsidRPr="008D73A7">
        <w:rPr>
          <w:lang w:val="en-GB"/>
        </w:rPr>
        <w:instrText xml:space="preserve"> SEQ Table \* ARABIC </w:instrText>
      </w:r>
      <w:r w:rsidRPr="008D73A7">
        <w:rPr>
          <w:lang w:val="en-GB"/>
        </w:rPr>
        <w:fldChar w:fldCharType="separate"/>
      </w:r>
      <w:r w:rsidR="00BD0B7C" w:rsidRPr="008D73A7">
        <w:rPr>
          <w:lang w:val="en-GB"/>
        </w:rPr>
        <w:t>21</w:t>
      </w:r>
      <w:r w:rsidRPr="008D73A7">
        <w:rPr>
          <w:lang w:val="en-GB"/>
        </w:rPr>
        <w:fldChar w:fldCharType="end"/>
      </w:r>
      <w:bookmarkEnd w:id="362"/>
      <w:r w:rsidRPr="008D73A7">
        <w:rPr>
          <w:lang w:val="en-GB"/>
        </w:rPr>
        <w:t xml:space="preserve">: Technical requirements for RDI-S devices in the </w:t>
      </w:r>
      <w:r w:rsidR="004D652A" w:rsidRPr="008D73A7">
        <w:rPr>
          <w:lang w:val="en-GB"/>
        </w:rPr>
        <w:t>frequency range</w:t>
      </w:r>
      <w:r w:rsidRPr="008D73A7">
        <w:rPr>
          <w:lang w:val="en-GB"/>
        </w:rPr>
        <w:t xml:space="preserve"> 116-260 GHz</w:t>
      </w:r>
    </w:p>
    <w:tbl>
      <w:tblPr>
        <w:tblStyle w:val="ECCTable-redheader"/>
        <w:tblW w:w="5299" w:type="pct"/>
        <w:tblInd w:w="0" w:type="dxa"/>
        <w:tblLook w:val="04A0" w:firstRow="1" w:lastRow="0" w:firstColumn="1" w:lastColumn="0" w:noHBand="0" w:noVBand="1"/>
      </w:tblPr>
      <w:tblGrid>
        <w:gridCol w:w="2547"/>
        <w:gridCol w:w="1276"/>
        <w:gridCol w:w="2112"/>
        <w:gridCol w:w="2568"/>
        <w:gridCol w:w="1702"/>
      </w:tblGrid>
      <w:tr w:rsidR="00E10018" w:rsidRPr="008D73A7" w14:paraId="74EB08D0" w14:textId="77777777" w:rsidTr="00A14969">
        <w:trPr>
          <w:cnfStyle w:val="100000000000" w:firstRow="1" w:lastRow="0" w:firstColumn="0" w:lastColumn="0" w:oddVBand="0" w:evenVBand="0" w:oddHBand="0" w:evenHBand="0" w:firstRowFirstColumn="0" w:firstRowLastColumn="0" w:lastRowFirstColumn="0" w:lastRowLastColumn="0"/>
        </w:trPr>
        <w:tc>
          <w:tcPr>
            <w:tcW w:w="0" w:type="pct"/>
            <w:tcBorders>
              <w:top w:val="single" w:sz="4" w:space="0" w:color="FFFFFF" w:themeColor="background1"/>
              <w:left w:val="single" w:sz="4" w:space="0" w:color="FFFFFF" w:themeColor="background1"/>
              <w:bottom w:val="nil"/>
            </w:tcBorders>
          </w:tcPr>
          <w:p w14:paraId="611C7FC6" w14:textId="47453841" w:rsidR="00E10018" w:rsidRPr="008D73A7" w:rsidRDefault="00E10018" w:rsidP="00990C1A">
            <w:pPr>
              <w:pStyle w:val="ECCTableHeaderwhitefont"/>
              <w:spacing w:before="0"/>
              <w:rPr>
                <w:lang w:val="en-GB"/>
              </w:rPr>
            </w:pPr>
            <w:bookmarkStart w:id="363" w:name="_Hlk66287045"/>
            <w:r w:rsidRPr="008D73A7">
              <w:rPr>
                <w:lang w:val="en-GB"/>
              </w:rPr>
              <w:t>Frequency range</w:t>
            </w:r>
          </w:p>
        </w:tc>
        <w:tc>
          <w:tcPr>
            <w:tcW w:w="0" w:type="pct"/>
            <w:tcBorders>
              <w:bottom w:val="single" w:sz="4" w:space="0" w:color="FFFFFF"/>
            </w:tcBorders>
          </w:tcPr>
          <w:p w14:paraId="1D5EACAB" w14:textId="77777777" w:rsidR="00E10018" w:rsidRPr="008D73A7" w:rsidRDefault="00E10018" w:rsidP="00990C1A">
            <w:pPr>
              <w:pStyle w:val="ECCTabletext"/>
              <w:jc w:val="center"/>
            </w:pPr>
            <w:r w:rsidRPr="008D73A7">
              <w:t>Maximum duty cycle</w:t>
            </w:r>
          </w:p>
        </w:tc>
        <w:tc>
          <w:tcPr>
            <w:tcW w:w="0" w:type="pct"/>
            <w:tcBorders>
              <w:bottom w:val="single" w:sz="4" w:space="0" w:color="FFFFFF"/>
            </w:tcBorders>
          </w:tcPr>
          <w:p w14:paraId="5412E3FA" w14:textId="77777777" w:rsidR="00E10018" w:rsidRPr="008D73A7" w:rsidRDefault="00E10018" w:rsidP="00990C1A">
            <w:pPr>
              <w:pStyle w:val="ECCTabletext"/>
              <w:jc w:val="center"/>
            </w:pPr>
            <w:r w:rsidRPr="008D73A7">
              <w:t>Maximum mean e.i.r.p. spectral density (Note 2)</w:t>
            </w:r>
          </w:p>
        </w:tc>
        <w:tc>
          <w:tcPr>
            <w:tcW w:w="0" w:type="pct"/>
            <w:tcBorders>
              <w:bottom w:val="single" w:sz="4" w:space="0" w:color="FFFFFF"/>
            </w:tcBorders>
          </w:tcPr>
          <w:p w14:paraId="73C0CF13" w14:textId="77777777" w:rsidR="00E10018" w:rsidRPr="008D73A7" w:rsidRDefault="00E10018" w:rsidP="00990C1A">
            <w:pPr>
              <w:pStyle w:val="ECCTabletext"/>
              <w:jc w:val="center"/>
            </w:pPr>
            <w:r w:rsidRPr="008D73A7">
              <w:t>Maximum peak e.i.r.p. (Note 4)</w:t>
            </w:r>
          </w:p>
        </w:tc>
        <w:tc>
          <w:tcPr>
            <w:tcW w:w="0" w:type="pct"/>
            <w:tcBorders>
              <w:bottom w:val="single" w:sz="4" w:space="0" w:color="FFFFFF"/>
            </w:tcBorders>
          </w:tcPr>
          <w:p w14:paraId="46D50343" w14:textId="37323493" w:rsidR="00E10018" w:rsidRPr="008D73A7" w:rsidRDefault="00E10018" w:rsidP="00990C1A">
            <w:pPr>
              <w:pStyle w:val="ECCTabletext"/>
              <w:jc w:val="center"/>
            </w:pPr>
            <w:r w:rsidRPr="008D73A7">
              <w:t>Unwanted emission limits (Note</w:t>
            </w:r>
            <w:r w:rsidR="003D28FB">
              <w:t>s</w:t>
            </w:r>
            <w:r w:rsidRPr="008D73A7">
              <w:t> 1</w:t>
            </w:r>
            <w:r w:rsidR="003D28FB">
              <w:t xml:space="preserve"> &amp; 3</w:t>
            </w:r>
            <w:r w:rsidRPr="008D73A7">
              <w:t>)</w:t>
            </w:r>
          </w:p>
        </w:tc>
      </w:tr>
      <w:tr w:rsidR="00E10018" w:rsidRPr="008D73A7" w14:paraId="2DCDDC0E" w14:textId="77777777" w:rsidTr="00A14969">
        <w:tc>
          <w:tcPr>
            <w:tcW w:w="0" w:type="pct"/>
            <w:tcBorders>
              <w:top w:val="nil"/>
              <w:left w:val="single" w:sz="4" w:space="0" w:color="FFFFFF" w:themeColor="background1"/>
              <w:bottom w:val="single" w:sz="4" w:space="0" w:color="FFFFFF" w:themeColor="background1"/>
              <w:right w:val="single" w:sz="4" w:space="0" w:color="FFFFFF" w:themeColor="background1"/>
            </w:tcBorders>
            <w:shd w:val="clear" w:color="auto" w:fill="D2232A"/>
          </w:tcPr>
          <w:p w14:paraId="77BE0DD8" w14:textId="77777777" w:rsidR="00E10018" w:rsidRPr="008D73A7" w:rsidRDefault="00E10018" w:rsidP="00DE7D17">
            <w:pPr>
              <w:pStyle w:val="ECCTableHeaderwhitefont"/>
              <w:rPr>
                <w:lang w:val="en-GB"/>
              </w:rPr>
            </w:pPr>
          </w:p>
        </w:tc>
        <w:tc>
          <w:tcPr>
            <w:tcW w:w="0" w:type="pct"/>
            <w:tcBorders>
              <w:top w:val="single" w:sz="4" w:space="0" w:color="FFFFFF"/>
              <w:left w:val="single" w:sz="4" w:space="0" w:color="FFFFFF" w:themeColor="background1"/>
              <w:bottom w:val="single" w:sz="4" w:space="0" w:color="FFFFFF"/>
              <w:right w:val="single" w:sz="4" w:space="0" w:color="FFFFFF"/>
            </w:tcBorders>
            <w:shd w:val="clear" w:color="auto" w:fill="D2232A"/>
          </w:tcPr>
          <w:p w14:paraId="51260217" w14:textId="77777777" w:rsidR="00E10018" w:rsidRPr="008D73A7" w:rsidRDefault="00E10018" w:rsidP="00DE7D17">
            <w:pPr>
              <w:pStyle w:val="ECCTabletext"/>
              <w:jc w:val="center"/>
              <w:rPr>
                <w:color w:val="FFFFFF" w:themeColor="background1"/>
              </w:rPr>
            </w:pPr>
            <w:r w:rsidRPr="008D73A7">
              <w:rPr>
                <w:b/>
                <w:color w:val="FFFFFF" w:themeColor="background1"/>
              </w:rPr>
              <w:t>A</w:t>
            </w:r>
          </w:p>
        </w:tc>
        <w:tc>
          <w:tcPr>
            <w:tcW w:w="0" w:type="pct"/>
            <w:tcBorders>
              <w:top w:val="single" w:sz="4" w:space="0" w:color="FFFFFF"/>
              <w:left w:val="single" w:sz="4" w:space="0" w:color="FFFFFF"/>
              <w:bottom w:val="single" w:sz="4" w:space="0" w:color="FFFFFF"/>
              <w:right w:val="single" w:sz="4" w:space="0" w:color="FFFFFF"/>
            </w:tcBorders>
            <w:shd w:val="clear" w:color="auto" w:fill="D2232A"/>
          </w:tcPr>
          <w:p w14:paraId="3A2B187A" w14:textId="77777777" w:rsidR="00E10018" w:rsidRPr="008D73A7" w:rsidRDefault="00E10018" w:rsidP="00DE7D17">
            <w:pPr>
              <w:pStyle w:val="ECCTabletext"/>
              <w:jc w:val="center"/>
              <w:rPr>
                <w:color w:val="FFFFFF" w:themeColor="background1"/>
              </w:rPr>
            </w:pPr>
            <w:r w:rsidRPr="008D73A7">
              <w:rPr>
                <w:b/>
                <w:color w:val="FFFFFF" w:themeColor="background1"/>
              </w:rPr>
              <w:t>B</w:t>
            </w:r>
          </w:p>
        </w:tc>
        <w:tc>
          <w:tcPr>
            <w:tcW w:w="0" w:type="pct"/>
            <w:tcBorders>
              <w:top w:val="single" w:sz="4" w:space="0" w:color="FFFFFF"/>
              <w:left w:val="single" w:sz="4" w:space="0" w:color="FFFFFF"/>
              <w:bottom w:val="single" w:sz="4" w:space="0" w:color="FFFFFF"/>
              <w:right w:val="single" w:sz="4" w:space="0" w:color="FFFFFF"/>
            </w:tcBorders>
            <w:shd w:val="clear" w:color="auto" w:fill="D2232A"/>
          </w:tcPr>
          <w:p w14:paraId="2256DE48" w14:textId="77777777" w:rsidR="00E10018" w:rsidRPr="008D73A7" w:rsidRDefault="00E10018" w:rsidP="00DE7D17">
            <w:pPr>
              <w:pStyle w:val="ECCTabletext"/>
              <w:jc w:val="center"/>
              <w:rPr>
                <w:color w:val="FFFFFF" w:themeColor="background1"/>
              </w:rPr>
            </w:pPr>
            <w:r w:rsidRPr="008D73A7">
              <w:rPr>
                <w:b/>
                <w:color w:val="FFFFFF" w:themeColor="background1"/>
              </w:rPr>
              <w:t>C</w:t>
            </w:r>
          </w:p>
        </w:tc>
        <w:tc>
          <w:tcPr>
            <w:tcW w:w="0" w:type="pct"/>
            <w:tcBorders>
              <w:top w:val="single" w:sz="4" w:space="0" w:color="FFFFFF"/>
              <w:left w:val="single" w:sz="4" w:space="0" w:color="FFFFFF"/>
              <w:bottom w:val="single" w:sz="4" w:space="0" w:color="FFFFFF"/>
              <w:right w:val="single" w:sz="4" w:space="0" w:color="FFFFFF"/>
            </w:tcBorders>
            <w:shd w:val="clear" w:color="auto" w:fill="D2232A"/>
          </w:tcPr>
          <w:p w14:paraId="799A4173" w14:textId="77777777" w:rsidR="00E10018" w:rsidRPr="008D73A7" w:rsidRDefault="00E10018" w:rsidP="00DE7D17">
            <w:pPr>
              <w:pStyle w:val="ECCTabletext"/>
              <w:jc w:val="center"/>
              <w:rPr>
                <w:color w:val="FFFFFF" w:themeColor="background1"/>
              </w:rPr>
            </w:pPr>
            <w:r w:rsidRPr="008D73A7">
              <w:rPr>
                <w:b/>
                <w:color w:val="FFFFFF" w:themeColor="background1"/>
              </w:rPr>
              <w:t>D</w:t>
            </w:r>
          </w:p>
        </w:tc>
      </w:tr>
      <w:tr w:rsidR="00E10018" w:rsidRPr="008D73A7" w14:paraId="1448CC0A" w14:textId="77777777" w:rsidTr="00A14969">
        <w:tc>
          <w:tcPr>
            <w:tcW w:w="0" w:type="pct"/>
            <w:tcBorders>
              <w:top w:val="single" w:sz="4" w:space="0" w:color="FFFFFF" w:themeColor="background1"/>
            </w:tcBorders>
            <w:shd w:val="clear" w:color="auto" w:fill="auto"/>
          </w:tcPr>
          <w:p w14:paraId="4D7FC18D" w14:textId="5FE39924" w:rsidR="00E10018" w:rsidRPr="008D73A7" w:rsidRDefault="00E10018" w:rsidP="00DE7D17">
            <w:pPr>
              <w:pStyle w:val="ECCTabletext"/>
              <w:jc w:val="left"/>
            </w:pPr>
            <w:r w:rsidRPr="008D73A7">
              <w:t>116</w:t>
            </w:r>
            <w:r w:rsidR="00666B9A" w:rsidRPr="008D73A7">
              <w:t>-</w:t>
            </w:r>
            <w:r w:rsidRPr="008D73A7">
              <w:t>122.5 </w:t>
            </w:r>
            <w:r w:rsidR="00AB5401" w:rsidRPr="008D73A7">
              <w:t>GHz</w:t>
            </w:r>
          </w:p>
        </w:tc>
        <w:tc>
          <w:tcPr>
            <w:tcW w:w="0" w:type="pct"/>
            <w:shd w:val="clear" w:color="auto" w:fill="auto"/>
          </w:tcPr>
          <w:p w14:paraId="39312E77" w14:textId="77777777" w:rsidR="00E10018" w:rsidRPr="008D73A7" w:rsidRDefault="00E10018" w:rsidP="00DE7D17">
            <w:pPr>
              <w:pStyle w:val="ECCTabletext"/>
              <w:jc w:val="left"/>
            </w:pPr>
            <w:r w:rsidRPr="008D73A7">
              <w:t>100%</w:t>
            </w:r>
          </w:p>
        </w:tc>
        <w:tc>
          <w:tcPr>
            <w:tcW w:w="0" w:type="pct"/>
            <w:shd w:val="clear" w:color="auto" w:fill="auto"/>
          </w:tcPr>
          <w:p w14:paraId="2ED068D1" w14:textId="77777777" w:rsidR="00E10018" w:rsidRPr="008D73A7" w:rsidRDefault="00E10018" w:rsidP="00DE7D17">
            <w:pPr>
              <w:pStyle w:val="ECCTabletext"/>
              <w:jc w:val="left"/>
            </w:pPr>
            <w:r w:rsidRPr="008D73A7">
              <w:t>-5 dBm/MHz</w:t>
            </w:r>
          </w:p>
        </w:tc>
        <w:tc>
          <w:tcPr>
            <w:tcW w:w="0" w:type="pct"/>
            <w:shd w:val="clear" w:color="auto" w:fill="auto"/>
          </w:tcPr>
          <w:p w14:paraId="0C51EEC0" w14:textId="77777777" w:rsidR="00E10018" w:rsidRPr="008D73A7" w:rsidRDefault="00E10018" w:rsidP="00DE7D17">
            <w:pPr>
              <w:pStyle w:val="ECCTabletext"/>
              <w:jc w:val="left"/>
            </w:pPr>
            <w:r w:rsidRPr="008D73A7">
              <w:t>45 dBm</w:t>
            </w:r>
          </w:p>
        </w:tc>
        <w:tc>
          <w:tcPr>
            <w:tcW w:w="0" w:type="pct"/>
            <w:vMerge w:val="restart"/>
            <w:shd w:val="clear" w:color="auto" w:fill="auto"/>
          </w:tcPr>
          <w:p w14:paraId="3E40E08A" w14:textId="77777777" w:rsidR="00E10018" w:rsidRPr="008D73A7" w:rsidRDefault="00E10018" w:rsidP="00AA3138">
            <w:pPr>
              <w:pStyle w:val="ECCTabletext"/>
              <w:jc w:val="left"/>
            </w:pPr>
            <w:r w:rsidRPr="008D73A7">
              <w:t>-15 dBm/MHz max. mean e.i.r.p. spectral density (Note 2)</w:t>
            </w:r>
          </w:p>
          <w:p w14:paraId="59F2EF17" w14:textId="77777777" w:rsidR="00E10018" w:rsidRPr="008D73A7" w:rsidRDefault="00E10018" w:rsidP="00AA3138">
            <w:pPr>
              <w:pStyle w:val="ECCTabletext"/>
              <w:jc w:val="left"/>
            </w:pPr>
          </w:p>
          <w:p w14:paraId="57CB20D7" w14:textId="77777777" w:rsidR="00E10018" w:rsidRPr="008D73A7" w:rsidRDefault="00E10018" w:rsidP="00AA3138">
            <w:pPr>
              <w:pStyle w:val="ECCTabletext"/>
              <w:jc w:val="left"/>
            </w:pPr>
            <w:r w:rsidRPr="008D73A7">
              <w:t>and</w:t>
            </w:r>
          </w:p>
          <w:p w14:paraId="26B7CFFE" w14:textId="77777777" w:rsidR="00E10018" w:rsidRPr="008D73A7" w:rsidRDefault="00E10018" w:rsidP="00AA3138">
            <w:pPr>
              <w:pStyle w:val="ECCTabletext"/>
              <w:jc w:val="left"/>
            </w:pPr>
          </w:p>
          <w:p w14:paraId="74B30EB9" w14:textId="77777777" w:rsidR="00E10018" w:rsidRPr="008D73A7" w:rsidRDefault="00E10018" w:rsidP="00AA3138">
            <w:pPr>
              <w:pStyle w:val="ECCTabletext"/>
              <w:jc w:val="left"/>
            </w:pPr>
            <w:r w:rsidRPr="008D73A7">
              <w:t>35 dBm max. peak e.i.r.p. (Note 4)</w:t>
            </w:r>
          </w:p>
        </w:tc>
      </w:tr>
      <w:tr w:rsidR="00E10018" w:rsidRPr="008D73A7" w14:paraId="196EC241" w14:textId="77777777" w:rsidTr="00AB5401">
        <w:tc>
          <w:tcPr>
            <w:tcW w:w="1248" w:type="pct"/>
            <w:shd w:val="clear" w:color="auto" w:fill="auto"/>
          </w:tcPr>
          <w:p w14:paraId="47C866C9" w14:textId="1CFDA4FE" w:rsidR="00E10018" w:rsidRPr="008D73A7" w:rsidRDefault="00E10018" w:rsidP="00DE7D17">
            <w:pPr>
              <w:pStyle w:val="ECCTabletext"/>
              <w:jc w:val="left"/>
            </w:pPr>
            <w:r w:rsidRPr="008D73A7">
              <w:t>122.5-123 </w:t>
            </w:r>
            <w:r w:rsidR="00AB5401" w:rsidRPr="008D73A7">
              <w:t>GHz</w:t>
            </w:r>
          </w:p>
        </w:tc>
        <w:tc>
          <w:tcPr>
            <w:tcW w:w="625" w:type="pct"/>
            <w:shd w:val="clear" w:color="auto" w:fill="auto"/>
          </w:tcPr>
          <w:p w14:paraId="6E1C0DF9" w14:textId="77777777" w:rsidR="00E10018" w:rsidRPr="008D73A7" w:rsidRDefault="00E10018" w:rsidP="00DE7D17">
            <w:pPr>
              <w:pStyle w:val="ECCTabletext"/>
              <w:jc w:val="left"/>
            </w:pPr>
            <w:r w:rsidRPr="008D73A7">
              <w:t>100%</w:t>
            </w:r>
          </w:p>
        </w:tc>
        <w:tc>
          <w:tcPr>
            <w:tcW w:w="1035" w:type="pct"/>
            <w:shd w:val="clear" w:color="auto" w:fill="auto"/>
          </w:tcPr>
          <w:p w14:paraId="45510B4F" w14:textId="77777777" w:rsidR="00E10018" w:rsidRPr="008D73A7" w:rsidRDefault="00E10018" w:rsidP="00DE7D17">
            <w:pPr>
              <w:pStyle w:val="ECCTabletext"/>
              <w:jc w:val="left"/>
            </w:pPr>
            <w:r w:rsidRPr="008D73A7">
              <w:t>-5 dBm/MHz</w:t>
            </w:r>
          </w:p>
        </w:tc>
        <w:tc>
          <w:tcPr>
            <w:tcW w:w="1258" w:type="pct"/>
            <w:shd w:val="clear" w:color="auto" w:fill="auto"/>
          </w:tcPr>
          <w:p w14:paraId="512BA74C" w14:textId="77777777" w:rsidR="00E10018" w:rsidRPr="008D73A7" w:rsidRDefault="00E10018" w:rsidP="00DE7D17">
            <w:pPr>
              <w:pStyle w:val="ECCTabletext"/>
              <w:jc w:val="left"/>
            </w:pPr>
            <w:r w:rsidRPr="008D73A7">
              <w:t>45 dBm</w:t>
            </w:r>
          </w:p>
        </w:tc>
        <w:tc>
          <w:tcPr>
            <w:tcW w:w="834" w:type="pct"/>
            <w:vMerge/>
            <w:shd w:val="clear" w:color="auto" w:fill="auto"/>
          </w:tcPr>
          <w:p w14:paraId="12BDE109" w14:textId="77777777" w:rsidR="00E10018" w:rsidRPr="008D73A7" w:rsidRDefault="00E10018" w:rsidP="00DE7D17">
            <w:pPr>
              <w:pStyle w:val="ECCTabletext"/>
            </w:pPr>
          </w:p>
        </w:tc>
      </w:tr>
      <w:tr w:rsidR="00E10018" w:rsidRPr="008D73A7" w14:paraId="1BAFDC74" w14:textId="77777777" w:rsidTr="00AB5401">
        <w:tc>
          <w:tcPr>
            <w:tcW w:w="1248" w:type="pct"/>
            <w:shd w:val="clear" w:color="auto" w:fill="auto"/>
          </w:tcPr>
          <w:p w14:paraId="491F02FE" w14:textId="11D51210" w:rsidR="00E10018" w:rsidRPr="008D73A7" w:rsidRDefault="00E10018" w:rsidP="00DE7D17">
            <w:pPr>
              <w:pStyle w:val="ECCTabletext"/>
              <w:jc w:val="left"/>
            </w:pPr>
            <w:r w:rsidRPr="008D73A7">
              <w:t>123-130 </w:t>
            </w:r>
            <w:r w:rsidR="00AB5401" w:rsidRPr="008D73A7">
              <w:t>GHz</w:t>
            </w:r>
          </w:p>
        </w:tc>
        <w:tc>
          <w:tcPr>
            <w:tcW w:w="625" w:type="pct"/>
            <w:shd w:val="clear" w:color="auto" w:fill="auto"/>
          </w:tcPr>
          <w:p w14:paraId="45C299C6" w14:textId="77777777" w:rsidR="00E10018" w:rsidRPr="008D73A7" w:rsidRDefault="00E10018" w:rsidP="00DE7D17">
            <w:pPr>
              <w:pStyle w:val="ECCTabletext"/>
              <w:jc w:val="left"/>
            </w:pPr>
            <w:r w:rsidRPr="008D73A7">
              <w:t>100%</w:t>
            </w:r>
          </w:p>
        </w:tc>
        <w:tc>
          <w:tcPr>
            <w:tcW w:w="1035" w:type="pct"/>
            <w:shd w:val="clear" w:color="auto" w:fill="auto"/>
          </w:tcPr>
          <w:p w14:paraId="5592100E" w14:textId="77777777" w:rsidR="00E10018" w:rsidRPr="008D73A7" w:rsidRDefault="00E10018" w:rsidP="00DE7D17">
            <w:pPr>
              <w:pStyle w:val="ECCTabletext"/>
              <w:jc w:val="left"/>
            </w:pPr>
            <w:r w:rsidRPr="008D73A7">
              <w:t>+10 dBm/MHz</w:t>
            </w:r>
          </w:p>
        </w:tc>
        <w:tc>
          <w:tcPr>
            <w:tcW w:w="1258" w:type="pct"/>
            <w:shd w:val="clear" w:color="auto" w:fill="auto"/>
          </w:tcPr>
          <w:p w14:paraId="5F7EBBBB" w14:textId="77777777" w:rsidR="00E10018" w:rsidRPr="008D73A7" w:rsidRDefault="00E10018" w:rsidP="00DE7D17">
            <w:pPr>
              <w:pStyle w:val="ECCTabletext"/>
              <w:jc w:val="left"/>
            </w:pPr>
            <w:r w:rsidRPr="008D73A7">
              <w:t>60 dBm</w:t>
            </w:r>
          </w:p>
        </w:tc>
        <w:tc>
          <w:tcPr>
            <w:tcW w:w="834" w:type="pct"/>
            <w:vMerge/>
            <w:shd w:val="clear" w:color="auto" w:fill="auto"/>
          </w:tcPr>
          <w:p w14:paraId="1BF4DC30" w14:textId="77777777" w:rsidR="00E10018" w:rsidRPr="008D73A7" w:rsidRDefault="00E10018" w:rsidP="00DE7D17">
            <w:pPr>
              <w:pStyle w:val="ECCTabletext"/>
            </w:pPr>
          </w:p>
        </w:tc>
      </w:tr>
      <w:tr w:rsidR="00E10018" w:rsidRPr="008D73A7" w14:paraId="45CA26E2" w14:textId="77777777" w:rsidTr="00AB5401">
        <w:tc>
          <w:tcPr>
            <w:tcW w:w="1248" w:type="pct"/>
            <w:shd w:val="clear" w:color="auto" w:fill="auto"/>
          </w:tcPr>
          <w:p w14:paraId="44A91EC3" w14:textId="02776C1F" w:rsidR="00E10018" w:rsidRPr="008D73A7" w:rsidRDefault="00E10018" w:rsidP="00DE7D17">
            <w:pPr>
              <w:pStyle w:val="ECCTabletext"/>
              <w:jc w:val="left"/>
            </w:pPr>
            <w:r w:rsidRPr="008D73A7">
              <w:t>130-134 </w:t>
            </w:r>
            <w:r w:rsidR="00AB5401" w:rsidRPr="008D73A7">
              <w:t>GHz</w:t>
            </w:r>
          </w:p>
        </w:tc>
        <w:tc>
          <w:tcPr>
            <w:tcW w:w="625" w:type="pct"/>
            <w:shd w:val="clear" w:color="auto" w:fill="auto"/>
          </w:tcPr>
          <w:p w14:paraId="270E09C4" w14:textId="77777777" w:rsidR="00E10018" w:rsidRPr="008D73A7" w:rsidRDefault="00E10018" w:rsidP="00DE7D17">
            <w:pPr>
              <w:pStyle w:val="ECCTabletext"/>
              <w:jc w:val="left"/>
            </w:pPr>
            <w:r w:rsidRPr="008D73A7">
              <w:t>100%</w:t>
            </w:r>
          </w:p>
        </w:tc>
        <w:tc>
          <w:tcPr>
            <w:tcW w:w="1035" w:type="pct"/>
            <w:shd w:val="clear" w:color="auto" w:fill="auto"/>
          </w:tcPr>
          <w:p w14:paraId="60995F65" w14:textId="77777777" w:rsidR="00E10018" w:rsidRPr="008D73A7" w:rsidRDefault="00E10018" w:rsidP="00DE7D17">
            <w:pPr>
              <w:pStyle w:val="ECCTabletext"/>
              <w:jc w:val="left"/>
            </w:pPr>
            <w:r w:rsidRPr="008D73A7">
              <w:t>-5 dBm/MHz</w:t>
            </w:r>
          </w:p>
        </w:tc>
        <w:tc>
          <w:tcPr>
            <w:tcW w:w="1258" w:type="pct"/>
            <w:shd w:val="clear" w:color="auto" w:fill="auto"/>
          </w:tcPr>
          <w:p w14:paraId="76ED928F" w14:textId="77777777" w:rsidR="00E10018" w:rsidRPr="008D73A7" w:rsidRDefault="00E10018" w:rsidP="00DE7D17">
            <w:pPr>
              <w:pStyle w:val="ECCTabletext"/>
              <w:jc w:val="left"/>
            </w:pPr>
            <w:r w:rsidRPr="008D73A7">
              <w:t>45 dBm</w:t>
            </w:r>
          </w:p>
        </w:tc>
        <w:tc>
          <w:tcPr>
            <w:tcW w:w="834" w:type="pct"/>
            <w:vMerge/>
            <w:shd w:val="clear" w:color="auto" w:fill="auto"/>
          </w:tcPr>
          <w:p w14:paraId="131C753B" w14:textId="77777777" w:rsidR="00E10018" w:rsidRPr="008D73A7" w:rsidRDefault="00E10018" w:rsidP="00DE7D17">
            <w:pPr>
              <w:pStyle w:val="ECCTabletext"/>
            </w:pPr>
          </w:p>
        </w:tc>
      </w:tr>
      <w:tr w:rsidR="00E10018" w:rsidRPr="008D73A7" w14:paraId="1AC309D0" w14:textId="77777777" w:rsidTr="00AB5401">
        <w:tc>
          <w:tcPr>
            <w:tcW w:w="1248" w:type="pct"/>
            <w:shd w:val="clear" w:color="auto" w:fill="auto"/>
          </w:tcPr>
          <w:p w14:paraId="77428CC2" w14:textId="006E00EE" w:rsidR="00E10018" w:rsidRPr="008D73A7" w:rsidRDefault="00E10018" w:rsidP="00DE7D17">
            <w:pPr>
              <w:pStyle w:val="ECCTabletext"/>
              <w:jc w:val="left"/>
            </w:pPr>
            <w:r w:rsidRPr="008D73A7">
              <w:t>134-141 </w:t>
            </w:r>
            <w:r w:rsidR="00AB5401" w:rsidRPr="008D73A7">
              <w:t>GHz</w:t>
            </w:r>
          </w:p>
        </w:tc>
        <w:tc>
          <w:tcPr>
            <w:tcW w:w="625" w:type="pct"/>
            <w:shd w:val="clear" w:color="auto" w:fill="auto"/>
          </w:tcPr>
          <w:p w14:paraId="4F1ED474" w14:textId="77777777" w:rsidR="00E10018" w:rsidRPr="008D73A7" w:rsidRDefault="00E10018" w:rsidP="00DE7D17">
            <w:pPr>
              <w:pStyle w:val="ECCTabletext"/>
              <w:jc w:val="left"/>
            </w:pPr>
            <w:r w:rsidRPr="008D73A7">
              <w:t>100%</w:t>
            </w:r>
          </w:p>
        </w:tc>
        <w:tc>
          <w:tcPr>
            <w:tcW w:w="1035" w:type="pct"/>
            <w:shd w:val="clear" w:color="auto" w:fill="auto"/>
          </w:tcPr>
          <w:p w14:paraId="6CC94838" w14:textId="77777777" w:rsidR="00E10018" w:rsidRPr="008D73A7" w:rsidRDefault="00E10018" w:rsidP="00DE7D17">
            <w:pPr>
              <w:pStyle w:val="ECCTabletext"/>
              <w:jc w:val="left"/>
            </w:pPr>
            <w:r w:rsidRPr="008D73A7">
              <w:t>+10 dBm/MHz</w:t>
            </w:r>
          </w:p>
        </w:tc>
        <w:tc>
          <w:tcPr>
            <w:tcW w:w="1258" w:type="pct"/>
            <w:shd w:val="clear" w:color="auto" w:fill="auto"/>
          </w:tcPr>
          <w:p w14:paraId="00E483A2" w14:textId="77777777" w:rsidR="00E10018" w:rsidRPr="008D73A7" w:rsidRDefault="00E10018" w:rsidP="00DE7D17">
            <w:pPr>
              <w:pStyle w:val="ECCTabletext"/>
              <w:jc w:val="left"/>
            </w:pPr>
            <w:r w:rsidRPr="008D73A7">
              <w:t>60 dBm</w:t>
            </w:r>
          </w:p>
        </w:tc>
        <w:tc>
          <w:tcPr>
            <w:tcW w:w="834" w:type="pct"/>
            <w:vMerge/>
            <w:shd w:val="clear" w:color="auto" w:fill="auto"/>
          </w:tcPr>
          <w:p w14:paraId="599A97EB" w14:textId="77777777" w:rsidR="00E10018" w:rsidRPr="008D73A7" w:rsidRDefault="00E10018" w:rsidP="00DE7D17">
            <w:pPr>
              <w:pStyle w:val="ECCTabletext"/>
            </w:pPr>
          </w:p>
        </w:tc>
      </w:tr>
      <w:tr w:rsidR="00E10018" w:rsidRPr="008D73A7" w14:paraId="16F87338" w14:textId="77777777" w:rsidTr="00AB5401">
        <w:tc>
          <w:tcPr>
            <w:tcW w:w="1248" w:type="pct"/>
            <w:shd w:val="clear" w:color="auto" w:fill="auto"/>
          </w:tcPr>
          <w:p w14:paraId="475C1DAB" w14:textId="01036248" w:rsidR="00E10018" w:rsidRPr="008D73A7" w:rsidRDefault="00E10018" w:rsidP="00DE7D17">
            <w:pPr>
              <w:pStyle w:val="ECCTabletext"/>
              <w:jc w:val="left"/>
            </w:pPr>
            <w:r w:rsidRPr="008D73A7">
              <w:t>141-148.5 </w:t>
            </w:r>
            <w:r w:rsidR="00AB5401" w:rsidRPr="008D73A7">
              <w:t>GHz</w:t>
            </w:r>
          </w:p>
        </w:tc>
        <w:tc>
          <w:tcPr>
            <w:tcW w:w="625" w:type="pct"/>
            <w:shd w:val="clear" w:color="auto" w:fill="auto"/>
          </w:tcPr>
          <w:p w14:paraId="33EB104C" w14:textId="77777777" w:rsidR="00E10018" w:rsidRPr="008D73A7" w:rsidRDefault="00E10018" w:rsidP="00DE7D17">
            <w:pPr>
              <w:pStyle w:val="ECCTabletext"/>
              <w:jc w:val="left"/>
            </w:pPr>
            <w:r w:rsidRPr="008D73A7">
              <w:t>100%</w:t>
            </w:r>
          </w:p>
        </w:tc>
        <w:tc>
          <w:tcPr>
            <w:tcW w:w="1035" w:type="pct"/>
            <w:shd w:val="clear" w:color="auto" w:fill="auto"/>
          </w:tcPr>
          <w:p w14:paraId="5BDD1205" w14:textId="77777777" w:rsidR="00E10018" w:rsidRPr="008D73A7" w:rsidRDefault="00E10018" w:rsidP="00DE7D17">
            <w:pPr>
              <w:pStyle w:val="ECCTabletext"/>
              <w:jc w:val="left"/>
            </w:pPr>
            <w:r w:rsidRPr="008D73A7">
              <w:t>-5 dBm/MHz</w:t>
            </w:r>
          </w:p>
        </w:tc>
        <w:tc>
          <w:tcPr>
            <w:tcW w:w="1258" w:type="pct"/>
            <w:shd w:val="clear" w:color="auto" w:fill="auto"/>
          </w:tcPr>
          <w:p w14:paraId="4B091E8F" w14:textId="77777777" w:rsidR="00E10018" w:rsidRPr="008D73A7" w:rsidRDefault="00E10018" w:rsidP="00DE7D17">
            <w:pPr>
              <w:pStyle w:val="ECCTabletext"/>
              <w:jc w:val="left"/>
            </w:pPr>
            <w:r w:rsidRPr="008D73A7">
              <w:t>45 dBm</w:t>
            </w:r>
          </w:p>
        </w:tc>
        <w:tc>
          <w:tcPr>
            <w:tcW w:w="834" w:type="pct"/>
            <w:vMerge/>
            <w:shd w:val="clear" w:color="auto" w:fill="auto"/>
          </w:tcPr>
          <w:p w14:paraId="37E63E80" w14:textId="77777777" w:rsidR="00E10018" w:rsidRPr="008D73A7" w:rsidRDefault="00E10018" w:rsidP="00DE7D17">
            <w:pPr>
              <w:pStyle w:val="ECCTabletext"/>
            </w:pPr>
          </w:p>
        </w:tc>
      </w:tr>
      <w:tr w:rsidR="00E10018" w:rsidRPr="008D73A7" w14:paraId="31FA3B2D" w14:textId="77777777" w:rsidTr="00AB5401">
        <w:tc>
          <w:tcPr>
            <w:tcW w:w="1248" w:type="pct"/>
            <w:shd w:val="clear" w:color="auto" w:fill="auto"/>
          </w:tcPr>
          <w:p w14:paraId="66962D61" w14:textId="24272459" w:rsidR="00E10018" w:rsidRPr="008D73A7" w:rsidRDefault="00E10018" w:rsidP="00DE7D17">
            <w:pPr>
              <w:pStyle w:val="ECCTabletext"/>
              <w:jc w:val="left"/>
            </w:pPr>
            <w:r w:rsidRPr="008D73A7">
              <w:t>151.5-158.5 </w:t>
            </w:r>
            <w:r w:rsidR="00AB5401" w:rsidRPr="008D73A7">
              <w:t>GHz</w:t>
            </w:r>
          </w:p>
        </w:tc>
        <w:tc>
          <w:tcPr>
            <w:tcW w:w="625" w:type="pct"/>
            <w:shd w:val="clear" w:color="auto" w:fill="auto"/>
          </w:tcPr>
          <w:p w14:paraId="2A57BE54" w14:textId="77777777" w:rsidR="00E10018" w:rsidRPr="008D73A7" w:rsidRDefault="00E10018" w:rsidP="00DE7D17">
            <w:pPr>
              <w:pStyle w:val="ECCTabletext"/>
              <w:jc w:val="left"/>
            </w:pPr>
            <w:r w:rsidRPr="008D73A7">
              <w:t>100%</w:t>
            </w:r>
          </w:p>
        </w:tc>
        <w:tc>
          <w:tcPr>
            <w:tcW w:w="1035" w:type="pct"/>
            <w:shd w:val="clear" w:color="auto" w:fill="auto"/>
          </w:tcPr>
          <w:p w14:paraId="032D5910" w14:textId="77777777" w:rsidR="00E10018" w:rsidRPr="008D73A7" w:rsidRDefault="00E10018" w:rsidP="00DE7D17">
            <w:pPr>
              <w:pStyle w:val="ECCTabletext"/>
              <w:jc w:val="left"/>
            </w:pPr>
            <w:r w:rsidRPr="008D73A7">
              <w:t>-5 dBm/MHz</w:t>
            </w:r>
          </w:p>
        </w:tc>
        <w:tc>
          <w:tcPr>
            <w:tcW w:w="1258" w:type="pct"/>
            <w:shd w:val="clear" w:color="auto" w:fill="auto"/>
          </w:tcPr>
          <w:p w14:paraId="7DBE654B" w14:textId="77777777" w:rsidR="00E10018" w:rsidRPr="008D73A7" w:rsidRDefault="00E10018" w:rsidP="00DE7D17">
            <w:pPr>
              <w:pStyle w:val="ECCTabletext"/>
              <w:jc w:val="left"/>
            </w:pPr>
            <w:r w:rsidRPr="008D73A7">
              <w:t>45 dBm</w:t>
            </w:r>
          </w:p>
        </w:tc>
        <w:tc>
          <w:tcPr>
            <w:tcW w:w="834" w:type="pct"/>
            <w:vMerge/>
            <w:shd w:val="clear" w:color="auto" w:fill="auto"/>
          </w:tcPr>
          <w:p w14:paraId="0C40EE14" w14:textId="77777777" w:rsidR="00E10018" w:rsidRPr="008D73A7" w:rsidRDefault="00E10018" w:rsidP="00DE7D17">
            <w:pPr>
              <w:pStyle w:val="ECCTabletext"/>
            </w:pPr>
          </w:p>
        </w:tc>
      </w:tr>
      <w:tr w:rsidR="00E10018" w:rsidRPr="008D73A7" w14:paraId="270208CC" w14:textId="77777777" w:rsidTr="00AB5401">
        <w:tc>
          <w:tcPr>
            <w:tcW w:w="1248" w:type="pct"/>
            <w:shd w:val="clear" w:color="auto" w:fill="auto"/>
          </w:tcPr>
          <w:p w14:paraId="67BCF2E1" w14:textId="56018C3A" w:rsidR="00E10018" w:rsidRPr="008D73A7" w:rsidRDefault="00E10018" w:rsidP="00DE7D17">
            <w:pPr>
              <w:pStyle w:val="ECCTabletext"/>
              <w:jc w:val="left"/>
            </w:pPr>
            <w:r w:rsidRPr="008D73A7">
              <w:t>158.5-164 </w:t>
            </w:r>
            <w:r w:rsidR="00AB5401" w:rsidRPr="008D73A7">
              <w:t>GHz</w:t>
            </w:r>
          </w:p>
        </w:tc>
        <w:tc>
          <w:tcPr>
            <w:tcW w:w="625" w:type="pct"/>
            <w:shd w:val="clear" w:color="auto" w:fill="auto"/>
          </w:tcPr>
          <w:p w14:paraId="56BE9128" w14:textId="77777777" w:rsidR="00E10018" w:rsidRPr="008D73A7" w:rsidRDefault="00E10018" w:rsidP="00DE7D17">
            <w:pPr>
              <w:pStyle w:val="ECCTabletext"/>
              <w:jc w:val="left"/>
            </w:pPr>
            <w:r w:rsidRPr="008D73A7">
              <w:t>100%</w:t>
            </w:r>
          </w:p>
        </w:tc>
        <w:tc>
          <w:tcPr>
            <w:tcW w:w="1035" w:type="pct"/>
            <w:shd w:val="clear" w:color="auto" w:fill="auto"/>
          </w:tcPr>
          <w:p w14:paraId="67D38931" w14:textId="77777777" w:rsidR="00E10018" w:rsidRPr="008D73A7" w:rsidRDefault="00E10018" w:rsidP="00DE7D17">
            <w:pPr>
              <w:pStyle w:val="ECCTabletext"/>
              <w:jc w:val="left"/>
            </w:pPr>
            <w:r w:rsidRPr="008D73A7">
              <w:t>-5 dBm/MHz</w:t>
            </w:r>
          </w:p>
        </w:tc>
        <w:tc>
          <w:tcPr>
            <w:tcW w:w="1258" w:type="pct"/>
            <w:shd w:val="clear" w:color="auto" w:fill="auto"/>
          </w:tcPr>
          <w:p w14:paraId="3942F897" w14:textId="77777777" w:rsidR="00E10018" w:rsidRPr="008D73A7" w:rsidRDefault="00E10018" w:rsidP="00DE7D17">
            <w:pPr>
              <w:pStyle w:val="ECCTabletext"/>
              <w:jc w:val="left"/>
            </w:pPr>
            <w:r w:rsidRPr="008D73A7">
              <w:t>45 dBm</w:t>
            </w:r>
          </w:p>
        </w:tc>
        <w:tc>
          <w:tcPr>
            <w:tcW w:w="834" w:type="pct"/>
            <w:vMerge/>
            <w:shd w:val="clear" w:color="auto" w:fill="auto"/>
          </w:tcPr>
          <w:p w14:paraId="59477FE3" w14:textId="77777777" w:rsidR="00E10018" w:rsidRPr="008D73A7" w:rsidRDefault="00E10018" w:rsidP="00DE7D17">
            <w:pPr>
              <w:pStyle w:val="ECCTabletext"/>
            </w:pPr>
          </w:p>
        </w:tc>
      </w:tr>
      <w:tr w:rsidR="00E10018" w:rsidRPr="008D73A7" w14:paraId="7C23CAA5" w14:textId="77777777" w:rsidTr="00AB5401">
        <w:tc>
          <w:tcPr>
            <w:tcW w:w="1248" w:type="pct"/>
            <w:shd w:val="clear" w:color="auto" w:fill="auto"/>
          </w:tcPr>
          <w:p w14:paraId="22A6A6EF" w14:textId="116BBEA6" w:rsidR="00E10018" w:rsidRPr="008D73A7" w:rsidRDefault="00E10018" w:rsidP="00DE7D17">
            <w:pPr>
              <w:pStyle w:val="ECCTabletext"/>
              <w:jc w:val="left"/>
            </w:pPr>
            <w:r w:rsidRPr="008D73A7">
              <w:t>167-174.5 </w:t>
            </w:r>
            <w:r w:rsidR="00AB5401" w:rsidRPr="008D73A7">
              <w:t>GHz</w:t>
            </w:r>
          </w:p>
        </w:tc>
        <w:tc>
          <w:tcPr>
            <w:tcW w:w="625" w:type="pct"/>
            <w:shd w:val="clear" w:color="auto" w:fill="auto"/>
          </w:tcPr>
          <w:p w14:paraId="6E5EDDE9" w14:textId="77777777" w:rsidR="00E10018" w:rsidRPr="008D73A7" w:rsidRDefault="00E10018" w:rsidP="00DE7D17">
            <w:pPr>
              <w:pStyle w:val="ECCTabletext"/>
              <w:jc w:val="left"/>
            </w:pPr>
            <w:r w:rsidRPr="008D73A7">
              <w:t>100%</w:t>
            </w:r>
          </w:p>
        </w:tc>
        <w:tc>
          <w:tcPr>
            <w:tcW w:w="1035" w:type="pct"/>
            <w:shd w:val="clear" w:color="auto" w:fill="auto"/>
          </w:tcPr>
          <w:p w14:paraId="48743199" w14:textId="77777777" w:rsidR="00E10018" w:rsidRPr="008D73A7" w:rsidRDefault="00E10018" w:rsidP="00DE7D17">
            <w:pPr>
              <w:pStyle w:val="ECCTabletext"/>
              <w:jc w:val="left"/>
            </w:pPr>
            <w:r w:rsidRPr="008D73A7">
              <w:t>-5 dBm/MHz</w:t>
            </w:r>
          </w:p>
        </w:tc>
        <w:tc>
          <w:tcPr>
            <w:tcW w:w="1258" w:type="pct"/>
            <w:shd w:val="clear" w:color="auto" w:fill="auto"/>
          </w:tcPr>
          <w:p w14:paraId="2C9FA176" w14:textId="77777777" w:rsidR="00E10018" w:rsidRPr="008D73A7" w:rsidRDefault="00E10018" w:rsidP="00DE7D17">
            <w:pPr>
              <w:pStyle w:val="ECCTabletext"/>
              <w:jc w:val="left"/>
            </w:pPr>
            <w:r w:rsidRPr="008D73A7">
              <w:t>45 dBm</w:t>
            </w:r>
          </w:p>
        </w:tc>
        <w:tc>
          <w:tcPr>
            <w:tcW w:w="834" w:type="pct"/>
            <w:vMerge/>
            <w:shd w:val="clear" w:color="auto" w:fill="auto"/>
          </w:tcPr>
          <w:p w14:paraId="0301EE68" w14:textId="77777777" w:rsidR="00E10018" w:rsidRPr="008D73A7" w:rsidRDefault="00E10018" w:rsidP="00DE7D17">
            <w:pPr>
              <w:pStyle w:val="ECCTabletext"/>
            </w:pPr>
          </w:p>
        </w:tc>
      </w:tr>
      <w:tr w:rsidR="00E10018" w:rsidRPr="008D73A7" w14:paraId="59D58AD1" w14:textId="77777777" w:rsidTr="00AB5401">
        <w:tc>
          <w:tcPr>
            <w:tcW w:w="1248" w:type="pct"/>
            <w:shd w:val="clear" w:color="auto" w:fill="auto"/>
          </w:tcPr>
          <w:p w14:paraId="042204FF" w14:textId="208B604F" w:rsidR="00E10018" w:rsidRPr="008D73A7" w:rsidRDefault="00E10018" w:rsidP="00DE7D17">
            <w:pPr>
              <w:pStyle w:val="ECCTabletext"/>
              <w:jc w:val="left"/>
            </w:pPr>
            <w:r w:rsidRPr="008D73A7">
              <w:t>174.5-174.8 </w:t>
            </w:r>
            <w:r w:rsidR="00AB5401" w:rsidRPr="008D73A7">
              <w:t>GHz</w:t>
            </w:r>
          </w:p>
        </w:tc>
        <w:tc>
          <w:tcPr>
            <w:tcW w:w="625" w:type="pct"/>
            <w:shd w:val="clear" w:color="auto" w:fill="auto"/>
          </w:tcPr>
          <w:p w14:paraId="28266828" w14:textId="77777777" w:rsidR="00E10018" w:rsidRPr="008D73A7" w:rsidRDefault="00E10018" w:rsidP="00DE7D17">
            <w:pPr>
              <w:pStyle w:val="ECCTabletext"/>
              <w:jc w:val="left"/>
            </w:pPr>
            <w:r w:rsidRPr="008D73A7">
              <w:t>100%</w:t>
            </w:r>
          </w:p>
        </w:tc>
        <w:tc>
          <w:tcPr>
            <w:tcW w:w="1035" w:type="pct"/>
            <w:shd w:val="clear" w:color="auto" w:fill="auto"/>
          </w:tcPr>
          <w:p w14:paraId="64767EE0" w14:textId="77777777" w:rsidR="00E10018" w:rsidRPr="008D73A7" w:rsidRDefault="00E10018" w:rsidP="00DE7D17">
            <w:pPr>
              <w:pStyle w:val="ECCTabletext"/>
              <w:jc w:val="left"/>
            </w:pPr>
            <w:r w:rsidRPr="008D73A7">
              <w:t>-5 dBm/MHz</w:t>
            </w:r>
          </w:p>
        </w:tc>
        <w:tc>
          <w:tcPr>
            <w:tcW w:w="1258" w:type="pct"/>
            <w:shd w:val="clear" w:color="auto" w:fill="auto"/>
          </w:tcPr>
          <w:p w14:paraId="30EE47FE" w14:textId="77777777" w:rsidR="00E10018" w:rsidRPr="008D73A7" w:rsidRDefault="00E10018" w:rsidP="00DE7D17">
            <w:pPr>
              <w:pStyle w:val="ECCTabletext"/>
              <w:jc w:val="left"/>
            </w:pPr>
            <w:r w:rsidRPr="008D73A7">
              <w:t>45 dBm</w:t>
            </w:r>
          </w:p>
        </w:tc>
        <w:tc>
          <w:tcPr>
            <w:tcW w:w="834" w:type="pct"/>
            <w:vMerge/>
            <w:shd w:val="clear" w:color="auto" w:fill="auto"/>
          </w:tcPr>
          <w:p w14:paraId="404CB556" w14:textId="77777777" w:rsidR="00E10018" w:rsidRPr="008D73A7" w:rsidRDefault="00E10018" w:rsidP="00DE7D17">
            <w:pPr>
              <w:pStyle w:val="ECCTabletext"/>
            </w:pPr>
          </w:p>
        </w:tc>
      </w:tr>
      <w:tr w:rsidR="00E10018" w:rsidRPr="008D73A7" w14:paraId="6420127F" w14:textId="77777777" w:rsidTr="00AB5401">
        <w:tc>
          <w:tcPr>
            <w:tcW w:w="1248" w:type="pct"/>
            <w:shd w:val="clear" w:color="auto" w:fill="auto"/>
          </w:tcPr>
          <w:p w14:paraId="703B6750" w14:textId="7327B934" w:rsidR="00E10018" w:rsidRPr="008D73A7" w:rsidRDefault="00E10018" w:rsidP="00DE7D17">
            <w:pPr>
              <w:pStyle w:val="ECCTabletext"/>
              <w:jc w:val="left"/>
            </w:pPr>
            <w:r w:rsidRPr="008D73A7">
              <w:t>174.8-182 </w:t>
            </w:r>
            <w:r w:rsidR="00AB5401" w:rsidRPr="008D73A7">
              <w:t>GHz</w:t>
            </w:r>
          </w:p>
        </w:tc>
        <w:tc>
          <w:tcPr>
            <w:tcW w:w="625" w:type="pct"/>
            <w:shd w:val="clear" w:color="auto" w:fill="auto"/>
          </w:tcPr>
          <w:p w14:paraId="31F75DC7" w14:textId="77777777" w:rsidR="00E10018" w:rsidRPr="008D73A7" w:rsidRDefault="00E10018" w:rsidP="00DE7D17">
            <w:pPr>
              <w:pStyle w:val="ECCTabletext"/>
              <w:jc w:val="left"/>
            </w:pPr>
            <w:r w:rsidRPr="008D73A7">
              <w:t>100%</w:t>
            </w:r>
          </w:p>
        </w:tc>
        <w:tc>
          <w:tcPr>
            <w:tcW w:w="1035" w:type="pct"/>
            <w:shd w:val="clear" w:color="auto" w:fill="auto"/>
          </w:tcPr>
          <w:p w14:paraId="79D55C8D" w14:textId="77777777" w:rsidR="00E10018" w:rsidRPr="008D73A7" w:rsidRDefault="00E10018" w:rsidP="00DE7D17">
            <w:pPr>
              <w:pStyle w:val="ECCTabletext"/>
              <w:jc w:val="left"/>
            </w:pPr>
            <w:r w:rsidRPr="008D73A7">
              <w:t>+10 dBm/MHz</w:t>
            </w:r>
          </w:p>
        </w:tc>
        <w:tc>
          <w:tcPr>
            <w:tcW w:w="1258" w:type="pct"/>
            <w:shd w:val="clear" w:color="auto" w:fill="auto"/>
          </w:tcPr>
          <w:p w14:paraId="094C9572" w14:textId="77777777" w:rsidR="00E10018" w:rsidRPr="008D73A7" w:rsidRDefault="00E10018" w:rsidP="00DE7D17">
            <w:pPr>
              <w:pStyle w:val="ECCTabletext"/>
              <w:jc w:val="left"/>
            </w:pPr>
            <w:r w:rsidRPr="008D73A7">
              <w:t>60 dBm</w:t>
            </w:r>
          </w:p>
        </w:tc>
        <w:tc>
          <w:tcPr>
            <w:tcW w:w="834" w:type="pct"/>
            <w:vMerge/>
            <w:shd w:val="clear" w:color="auto" w:fill="auto"/>
          </w:tcPr>
          <w:p w14:paraId="5A0DF295" w14:textId="77777777" w:rsidR="00E10018" w:rsidRPr="008D73A7" w:rsidRDefault="00E10018" w:rsidP="00DE7D17">
            <w:pPr>
              <w:pStyle w:val="ECCTabletext"/>
            </w:pPr>
          </w:p>
        </w:tc>
      </w:tr>
      <w:tr w:rsidR="00E10018" w:rsidRPr="008D73A7" w14:paraId="4EB559B9" w14:textId="77777777" w:rsidTr="00AB5401">
        <w:tc>
          <w:tcPr>
            <w:tcW w:w="1248" w:type="pct"/>
            <w:shd w:val="clear" w:color="auto" w:fill="auto"/>
          </w:tcPr>
          <w:p w14:paraId="47CBAD91" w14:textId="3CB16B57" w:rsidR="00E10018" w:rsidRPr="008D73A7" w:rsidRDefault="00E10018" w:rsidP="00DE7D17">
            <w:pPr>
              <w:pStyle w:val="ECCTabletext"/>
              <w:jc w:val="left"/>
            </w:pPr>
            <w:r w:rsidRPr="008D73A7">
              <w:t>185-190 </w:t>
            </w:r>
            <w:r w:rsidR="00AB5401" w:rsidRPr="008D73A7">
              <w:t>GHz</w:t>
            </w:r>
          </w:p>
        </w:tc>
        <w:tc>
          <w:tcPr>
            <w:tcW w:w="625" w:type="pct"/>
            <w:shd w:val="clear" w:color="auto" w:fill="auto"/>
          </w:tcPr>
          <w:p w14:paraId="6BCE6785" w14:textId="77777777" w:rsidR="00E10018" w:rsidRPr="008D73A7" w:rsidRDefault="00E10018" w:rsidP="00DE7D17">
            <w:pPr>
              <w:pStyle w:val="ECCTabletext"/>
              <w:jc w:val="left"/>
            </w:pPr>
            <w:r w:rsidRPr="008D73A7">
              <w:t>100%</w:t>
            </w:r>
          </w:p>
        </w:tc>
        <w:tc>
          <w:tcPr>
            <w:tcW w:w="1035" w:type="pct"/>
            <w:shd w:val="clear" w:color="auto" w:fill="auto"/>
          </w:tcPr>
          <w:p w14:paraId="68663CF8" w14:textId="77777777" w:rsidR="00E10018" w:rsidRPr="008D73A7" w:rsidRDefault="00E10018" w:rsidP="00DE7D17">
            <w:pPr>
              <w:pStyle w:val="ECCTabletext"/>
              <w:jc w:val="left"/>
            </w:pPr>
            <w:r w:rsidRPr="008D73A7">
              <w:t>-5 dBm/MHz</w:t>
            </w:r>
          </w:p>
        </w:tc>
        <w:tc>
          <w:tcPr>
            <w:tcW w:w="1258" w:type="pct"/>
            <w:shd w:val="clear" w:color="auto" w:fill="auto"/>
          </w:tcPr>
          <w:p w14:paraId="353DE66A" w14:textId="77777777" w:rsidR="00E10018" w:rsidRPr="008D73A7" w:rsidRDefault="00E10018" w:rsidP="00DE7D17">
            <w:pPr>
              <w:pStyle w:val="ECCTabletext"/>
              <w:jc w:val="left"/>
            </w:pPr>
            <w:r w:rsidRPr="008D73A7">
              <w:t>45 dBm</w:t>
            </w:r>
          </w:p>
        </w:tc>
        <w:tc>
          <w:tcPr>
            <w:tcW w:w="834" w:type="pct"/>
            <w:vMerge/>
            <w:shd w:val="clear" w:color="auto" w:fill="auto"/>
          </w:tcPr>
          <w:p w14:paraId="22BD2EB3" w14:textId="77777777" w:rsidR="00E10018" w:rsidRPr="008D73A7" w:rsidRDefault="00E10018" w:rsidP="00DE7D17">
            <w:pPr>
              <w:pStyle w:val="ECCTabletext"/>
            </w:pPr>
          </w:p>
        </w:tc>
      </w:tr>
      <w:tr w:rsidR="00E10018" w:rsidRPr="008D73A7" w14:paraId="6A40255C" w14:textId="77777777" w:rsidTr="00AB5401">
        <w:tc>
          <w:tcPr>
            <w:tcW w:w="1248" w:type="pct"/>
            <w:shd w:val="clear" w:color="auto" w:fill="auto"/>
          </w:tcPr>
          <w:p w14:paraId="7FDB62FF" w14:textId="3BBB3D7E" w:rsidR="00E10018" w:rsidRPr="008D73A7" w:rsidRDefault="00E10018" w:rsidP="00DE7D17">
            <w:pPr>
              <w:pStyle w:val="ECCTabletext"/>
              <w:jc w:val="left"/>
            </w:pPr>
            <w:r w:rsidRPr="008D73A7">
              <w:t>191.8-200 </w:t>
            </w:r>
            <w:r w:rsidR="00AB5401" w:rsidRPr="008D73A7">
              <w:t>GHz</w:t>
            </w:r>
          </w:p>
        </w:tc>
        <w:tc>
          <w:tcPr>
            <w:tcW w:w="625" w:type="pct"/>
            <w:shd w:val="clear" w:color="auto" w:fill="auto"/>
          </w:tcPr>
          <w:p w14:paraId="1E71CC59" w14:textId="77777777" w:rsidR="00E10018" w:rsidRPr="008D73A7" w:rsidRDefault="00E10018" w:rsidP="00DE7D17">
            <w:pPr>
              <w:pStyle w:val="ECCTabletext"/>
              <w:jc w:val="left"/>
            </w:pPr>
            <w:r w:rsidRPr="008D73A7">
              <w:t>100%</w:t>
            </w:r>
          </w:p>
        </w:tc>
        <w:tc>
          <w:tcPr>
            <w:tcW w:w="1035" w:type="pct"/>
            <w:shd w:val="clear" w:color="auto" w:fill="auto"/>
          </w:tcPr>
          <w:p w14:paraId="0EB9219D" w14:textId="77777777" w:rsidR="00E10018" w:rsidRPr="008D73A7" w:rsidRDefault="00E10018" w:rsidP="00DE7D17">
            <w:pPr>
              <w:pStyle w:val="ECCTabletext"/>
              <w:jc w:val="left"/>
            </w:pPr>
            <w:r w:rsidRPr="008D73A7">
              <w:t>-5 dBm/MHz</w:t>
            </w:r>
          </w:p>
        </w:tc>
        <w:tc>
          <w:tcPr>
            <w:tcW w:w="1258" w:type="pct"/>
            <w:shd w:val="clear" w:color="auto" w:fill="auto"/>
          </w:tcPr>
          <w:p w14:paraId="6F4B4F1C" w14:textId="77777777" w:rsidR="00E10018" w:rsidRPr="008D73A7" w:rsidRDefault="00E10018" w:rsidP="00DE7D17">
            <w:pPr>
              <w:pStyle w:val="ECCTabletext"/>
              <w:jc w:val="left"/>
            </w:pPr>
            <w:r w:rsidRPr="008D73A7">
              <w:t>45 dBm</w:t>
            </w:r>
          </w:p>
        </w:tc>
        <w:tc>
          <w:tcPr>
            <w:tcW w:w="834" w:type="pct"/>
            <w:vMerge/>
            <w:shd w:val="clear" w:color="auto" w:fill="auto"/>
          </w:tcPr>
          <w:p w14:paraId="3726E586" w14:textId="77777777" w:rsidR="00E10018" w:rsidRPr="008D73A7" w:rsidRDefault="00E10018" w:rsidP="00DE7D17">
            <w:pPr>
              <w:pStyle w:val="ECCTabletext"/>
            </w:pPr>
          </w:p>
        </w:tc>
      </w:tr>
      <w:tr w:rsidR="00E10018" w:rsidRPr="008D73A7" w14:paraId="304D4C6E" w14:textId="77777777" w:rsidTr="00AB5401">
        <w:tc>
          <w:tcPr>
            <w:tcW w:w="1248" w:type="pct"/>
            <w:shd w:val="clear" w:color="auto" w:fill="auto"/>
          </w:tcPr>
          <w:p w14:paraId="49337E51" w14:textId="38702C9C" w:rsidR="00E10018" w:rsidRPr="008D73A7" w:rsidRDefault="00E10018" w:rsidP="00DE7D17">
            <w:pPr>
              <w:pStyle w:val="ECCTabletext"/>
              <w:jc w:val="left"/>
            </w:pPr>
            <w:r w:rsidRPr="008D73A7">
              <w:t>209-226 </w:t>
            </w:r>
            <w:r w:rsidR="00AB5401" w:rsidRPr="008D73A7">
              <w:t>GHz</w:t>
            </w:r>
          </w:p>
        </w:tc>
        <w:tc>
          <w:tcPr>
            <w:tcW w:w="625" w:type="pct"/>
            <w:shd w:val="clear" w:color="auto" w:fill="auto"/>
          </w:tcPr>
          <w:p w14:paraId="5781D34D" w14:textId="77777777" w:rsidR="00E10018" w:rsidRPr="008D73A7" w:rsidRDefault="00E10018" w:rsidP="00DE7D17">
            <w:pPr>
              <w:pStyle w:val="ECCTabletext"/>
              <w:jc w:val="left"/>
            </w:pPr>
            <w:r w:rsidRPr="008D73A7">
              <w:t>100%</w:t>
            </w:r>
          </w:p>
        </w:tc>
        <w:tc>
          <w:tcPr>
            <w:tcW w:w="1035" w:type="pct"/>
            <w:shd w:val="clear" w:color="auto" w:fill="auto"/>
          </w:tcPr>
          <w:p w14:paraId="2A9414B4" w14:textId="77777777" w:rsidR="00E10018" w:rsidRPr="008D73A7" w:rsidRDefault="00E10018" w:rsidP="00DE7D17">
            <w:pPr>
              <w:pStyle w:val="ECCTabletext"/>
              <w:jc w:val="left"/>
            </w:pPr>
            <w:r w:rsidRPr="008D73A7">
              <w:t>-5 dBm/MHz</w:t>
            </w:r>
          </w:p>
        </w:tc>
        <w:tc>
          <w:tcPr>
            <w:tcW w:w="1258" w:type="pct"/>
            <w:shd w:val="clear" w:color="auto" w:fill="auto"/>
          </w:tcPr>
          <w:p w14:paraId="0DEB0E2B" w14:textId="77777777" w:rsidR="00E10018" w:rsidRPr="008D73A7" w:rsidRDefault="00E10018" w:rsidP="00DE7D17">
            <w:pPr>
              <w:pStyle w:val="ECCTabletext"/>
              <w:jc w:val="left"/>
            </w:pPr>
            <w:r w:rsidRPr="008D73A7">
              <w:t>45 dBm</w:t>
            </w:r>
          </w:p>
        </w:tc>
        <w:tc>
          <w:tcPr>
            <w:tcW w:w="834" w:type="pct"/>
            <w:vMerge/>
            <w:shd w:val="clear" w:color="auto" w:fill="auto"/>
          </w:tcPr>
          <w:p w14:paraId="0D8B33C2" w14:textId="77777777" w:rsidR="00E10018" w:rsidRPr="008D73A7" w:rsidRDefault="00E10018" w:rsidP="00DE7D17">
            <w:pPr>
              <w:pStyle w:val="ECCTabletext"/>
            </w:pPr>
          </w:p>
        </w:tc>
      </w:tr>
      <w:tr w:rsidR="00E10018" w:rsidRPr="008D73A7" w14:paraId="5556B92C" w14:textId="77777777" w:rsidTr="00AB5401">
        <w:tc>
          <w:tcPr>
            <w:tcW w:w="1248" w:type="pct"/>
            <w:shd w:val="clear" w:color="auto" w:fill="auto"/>
          </w:tcPr>
          <w:p w14:paraId="1D2EA8ED" w14:textId="548A6C8C" w:rsidR="00E10018" w:rsidRPr="008D73A7" w:rsidRDefault="00E10018" w:rsidP="00DE7D17">
            <w:pPr>
              <w:pStyle w:val="ECCTabletext"/>
              <w:jc w:val="left"/>
            </w:pPr>
            <w:r w:rsidRPr="008D73A7">
              <w:t>231.5-235 </w:t>
            </w:r>
            <w:r w:rsidR="00AB5401" w:rsidRPr="008D73A7">
              <w:t>GHz</w:t>
            </w:r>
          </w:p>
        </w:tc>
        <w:tc>
          <w:tcPr>
            <w:tcW w:w="625" w:type="pct"/>
            <w:shd w:val="clear" w:color="auto" w:fill="auto"/>
          </w:tcPr>
          <w:p w14:paraId="221352C2" w14:textId="77777777" w:rsidR="00E10018" w:rsidRPr="008D73A7" w:rsidRDefault="00E10018" w:rsidP="00DE7D17">
            <w:pPr>
              <w:pStyle w:val="ECCTabletext"/>
              <w:jc w:val="left"/>
            </w:pPr>
            <w:r w:rsidRPr="008D73A7">
              <w:t>100%</w:t>
            </w:r>
          </w:p>
        </w:tc>
        <w:tc>
          <w:tcPr>
            <w:tcW w:w="1035" w:type="pct"/>
            <w:shd w:val="clear" w:color="auto" w:fill="auto"/>
          </w:tcPr>
          <w:p w14:paraId="5A5A9AF7" w14:textId="77777777" w:rsidR="00E10018" w:rsidRPr="008D73A7" w:rsidRDefault="00E10018" w:rsidP="00DE7D17">
            <w:pPr>
              <w:pStyle w:val="ECCTabletext"/>
              <w:jc w:val="left"/>
            </w:pPr>
            <w:r w:rsidRPr="008D73A7">
              <w:t>-5 dBm/MHz</w:t>
            </w:r>
          </w:p>
        </w:tc>
        <w:tc>
          <w:tcPr>
            <w:tcW w:w="1258" w:type="pct"/>
            <w:shd w:val="clear" w:color="auto" w:fill="auto"/>
          </w:tcPr>
          <w:p w14:paraId="60F7E24D" w14:textId="77777777" w:rsidR="00E10018" w:rsidRPr="008D73A7" w:rsidRDefault="00E10018" w:rsidP="00DE7D17">
            <w:pPr>
              <w:pStyle w:val="ECCTabletext"/>
              <w:jc w:val="left"/>
            </w:pPr>
            <w:r w:rsidRPr="008D73A7">
              <w:t>45 dBm</w:t>
            </w:r>
          </w:p>
        </w:tc>
        <w:tc>
          <w:tcPr>
            <w:tcW w:w="834" w:type="pct"/>
            <w:vMerge/>
            <w:shd w:val="clear" w:color="auto" w:fill="auto"/>
          </w:tcPr>
          <w:p w14:paraId="20B18562" w14:textId="77777777" w:rsidR="00E10018" w:rsidRPr="008D73A7" w:rsidRDefault="00E10018" w:rsidP="00DE7D17">
            <w:pPr>
              <w:pStyle w:val="ECCTabletext"/>
            </w:pPr>
          </w:p>
        </w:tc>
      </w:tr>
      <w:tr w:rsidR="00E10018" w:rsidRPr="008D73A7" w14:paraId="26CE38E8" w14:textId="77777777" w:rsidTr="00AB5401">
        <w:tc>
          <w:tcPr>
            <w:tcW w:w="1248" w:type="pct"/>
            <w:shd w:val="clear" w:color="auto" w:fill="auto"/>
          </w:tcPr>
          <w:p w14:paraId="7B0AAC24" w14:textId="2C44F0EE" w:rsidR="00E10018" w:rsidRPr="008D73A7" w:rsidRDefault="00E10018" w:rsidP="00DE7D17">
            <w:pPr>
              <w:pStyle w:val="ECCTabletext"/>
              <w:jc w:val="left"/>
            </w:pPr>
            <w:r w:rsidRPr="008D73A7">
              <w:lastRenderedPageBreak/>
              <w:t>235-238 </w:t>
            </w:r>
            <w:r w:rsidR="00AB5401" w:rsidRPr="008D73A7">
              <w:t>GHz</w:t>
            </w:r>
          </w:p>
        </w:tc>
        <w:tc>
          <w:tcPr>
            <w:tcW w:w="625" w:type="pct"/>
            <w:shd w:val="clear" w:color="auto" w:fill="auto"/>
          </w:tcPr>
          <w:p w14:paraId="637AD524" w14:textId="77777777" w:rsidR="00E10018" w:rsidRPr="008D73A7" w:rsidRDefault="00E10018" w:rsidP="00DE7D17">
            <w:pPr>
              <w:pStyle w:val="ECCTabletext"/>
              <w:jc w:val="left"/>
            </w:pPr>
            <w:r w:rsidRPr="008D73A7">
              <w:t>100%</w:t>
            </w:r>
          </w:p>
        </w:tc>
        <w:tc>
          <w:tcPr>
            <w:tcW w:w="1035" w:type="pct"/>
            <w:shd w:val="clear" w:color="auto" w:fill="auto"/>
          </w:tcPr>
          <w:p w14:paraId="7A4FADDA" w14:textId="77777777" w:rsidR="00E10018" w:rsidRPr="008D73A7" w:rsidRDefault="00E10018" w:rsidP="00DE7D17">
            <w:pPr>
              <w:pStyle w:val="ECCTabletext"/>
              <w:jc w:val="left"/>
            </w:pPr>
            <w:r w:rsidRPr="008D73A7">
              <w:t>-5 dBm/MHz</w:t>
            </w:r>
          </w:p>
        </w:tc>
        <w:tc>
          <w:tcPr>
            <w:tcW w:w="1258" w:type="pct"/>
            <w:shd w:val="clear" w:color="auto" w:fill="auto"/>
          </w:tcPr>
          <w:p w14:paraId="5DCD73FD" w14:textId="77777777" w:rsidR="00E10018" w:rsidRPr="008D73A7" w:rsidRDefault="00E10018" w:rsidP="00DE7D17">
            <w:pPr>
              <w:pStyle w:val="ECCTabletext"/>
              <w:jc w:val="left"/>
            </w:pPr>
            <w:r w:rsidRPr="008D73A7">
              <w:t>45 dBm</w:t>
            </w:r>
          </w:p>
        </w:tc>
        <w:tc>
          <w:tcPr>
            <w:tcW w:w="834" w:type="pct"/>
            <w:vMerge/>
            <w:shd w:val="clear" w:color="auto" w:fill="auto"/>
          </w:tcPr>
          <w:p w14:paraId="2DE78B0D" w14:textId="77777777" w:rsidR="00E10018" w:rsidRPr="008D73A7" w:rsidRDefault="00E10018" w:rsidP="00DE7D17">
            <w:pPr>
              <w:pStyle w:val="ECCTabletext"/>
            </w:pPr>
          </w:p>
        </w:tc>
      </w:tr>
      <w:tr w:rsidR="00E10018" w:rsidRPr="008D73A7" w14:paraId="5DFE82D9" w14:textId="77777777" w:rsidTr="00AB5401">
        <w:tc>
          <w:tcPr>
            <w:tcW w:w="1248" w:type="pct"/>
            <w:shd w:val="clear" w:color="auto" w:fill="auto"/>
          </w:tcPr>
          <w:p w14:paraId="5069E530" w14:textId="20DB23DA" w:rsidR="00E10018" w:rsidRPr="008D73A7" w:rsidRDefault="00E10018" w:rsidP="00DE7D17">
            <w:pPr>
              <w:pStyle w:val="ECCTabletext"/>
              <w:jc w:val="left"/>
            </w:pPr>
            <w:r w:rsidRPr="008D73A7">
              <w:t>238-241 </w:t>
            </w:r>
            <w:r w:rsidR="00AB5401" w:rsidRPr="008D73A7">
              <w:t>GHz</w:t>
            </w:r>
          </w:p>
        </w:tc>
        <w:tc>
          <w:tcPr>
            <w:tcW w:w="625" w:type="pct"/>
            <w:shd w:val="clear" w:color="auto" w:fill="auto"/>
          </w:tcPr>
          <w:p w14:paraId="098A322A" w14:textId="77777777" w:rsidR="00E10018" w:rsidRPr="008D73A7" w:rsidRDefault="00E10018" w:rsidP="00DE7D17">
            <w:pPr>
              <w:pStyle w:val="ECCTabletext"/>
              <w:jc w:val="left"/>
            </w:pPr>
            <w:r w:rsidRPr="008D73A7">
              <w:t>100%</w:t>
            </w:r>
          </w:p>
        </w:tc>
        <w:tc>
          <w:tcPr>
            <w:tcW w:w="1035" w:type="pct"/>
            <w:shd w:val="clear" w:color="auto" w:fill="auto"/>
          </w:tcPr>
          <w:p w14:paraId="15B332ED" w14:textId="77777777" w:rsidR="00E10018" w:rsidRPr="008D73A7" w:rsidRDefault="00E10018" w:rsidP="00DE7D17">
            <w:pPr>
              <w:pStyle w:val="ECCTabletext"/>
              <w:jc w:val="left"/>
            </w:pPr>
            <w:r w:rsidRPr="008D73A7">
              <w:t>-5 dBm/MHz</w:t>
            </w:r>
          </w:p>
        </w:tc>
        <w:tc>
          <w:tcPr>
            <w:tcW w:w="1258" w:type="pct"/>
            <w:shd w:val="clear" w:color="auto" w:fill="auto"/>
          </w:tcPr>
          <w:p w14:paraId="16B57462" w14:textId="77777777" w:rsidR="00E10018" w:rsidRPr="008D73A7" w:rsidRDefault="00E10018" w:rsidP="00DE7D17">
            <w:pPr>
              <w:pStyle w:val="ECCTabletext"/>
              <w:jc w:val="left"/>
            </w:pPr>
            <w:r w:rsidRPr="008D73A7">
              <w:t>45 dBm</w:t>
            </w:r>
          </w:p>
        </w:tc>
        <w:tc>
          <w:tcPr>
            <w:tcW w:w="834" w:type="pct"/>
            <w:vMerge/>
            <w:shd w:val="clear" w:color="auto" w:fill="auto"/>
          </w:tcPr>
          <w:p w14:paraId="4A3E959D" w14:textId="77777777" w:rsidR="00E10018" w:rsidRPr="008D73A7" w:rsidRDefault="00E10018" w:rsidP="00DE7D17">
            <w:pPr>
              <w:pStyle w:val="ECCTabletext"/>
            </w:pPr>
          </w:p>
        </w:tc>
      </w:tr>
      <w:tr w:rsidR="00E10018" w:rsidRPr="008D73A7" w14:paraId="5CA17921" w14:textId="77777777" w:rsidTr="00AB5401">
        <w:tc>
          <w:tcPr>
            <w:tcW w:w="1248" w:type="pct"/>
            <w:shd w:val="clear" w:color="auto" w:fill="auto"/>
          </w:tcPr>
          <w:p w14:paraId="07EE9E5F" w14:textId="308922FA" w:rsidR="00E10018" w:rsidRPr="008D73A7" w:rsidRDefault="00E10018" w:rsidP="00DE7D17">
            <w:pPr>
              <w:pStyle w:val="ECCTabletext"/>
              <w:jc w:val="left"/>
            </w:pPr>
            <w:r w:rsidRPr="008D73A7">
              <w:t>241-244 </w:t>
            </w:r>
            <w:r w:rsidR="00AB5401" w:rsidRPr="008D73A7">
              <w:t>GHz</w:t>
            </w:r>
          </w:p>
        </w:tc>
        <w:tc>
          <w:tcPr>
            <w:tcW w:w="625" w:type="pct"/>
            <w:shd w:val="clear" w:color="auto" w:fill="auto"/>
          </w:tcPr>
          <w:p w14:paraId="683E4653" w14:textId="77777777" w:rsidR="00E10018" w:rsidRPr="008D73A7" w:rsidRDefault="00E10018" w:rsidP="00DE7D17">
            <w:pPr>
              <w:pStyle w:val="ECCTabletext"/>
              <w:jc w:val="left"/>
            </w:pPr>
            <w:r w:rsidRPr="008D73A7">
              <w:t>100%</w:t>
            </w:r>
          </w:p>
        </w:tc>
        <w:tc>
          <w:tcPr>
            <w:tcW w:w="1035" w:type="pct"/>
            <w:shd w:val="clear" w:color="auto" w:fill="auto"/>
          </w:tcPr>
          <w:p w14:paraId="381CD79D" w14:textId="77777777" w:rsidR="00E10018" w:rsidRPr="008D73A7" w:rsidRDefault="00E10018" w:rsidP="00DE7D17">
            <w:pPr>
              <w:pStyle w:val="ECCTabletext"/>
              <w:jc w:val="left"/>
            </w:pPr>
            <w:r w:rsidRPr="008D73A7">
              <w:t>-5 dBm/MHz</w:t>
            </w:r>
          </w:p>
        </w:tc>
        <w:tc>
          <w:tcPr>
            <w:tcW w:w="1258" w:type="pct"/>
            <w:shd w:val="clear" w:color="auto" w:fill="auto"/>
          </w:tcPr>
          <w:p w14:paraId="4588665F" w14:textId="77777777" w:rsidR="00E10018" w:rsidRPr="008D73A7" w:rsidRDefault="00E10018" w:rsidP="00DE7D17">
            <w:pPr>
              <w:pStyle w:val="ECCTabletext"/>
              <w:jc w:val="left"/>
            </w:pPr>
            <w:r w:rsidRPr="008D73A7">
              <w:t>45 dBm</w:t>
            </w:r>
          </w:p>
        </w:tc>
        <w:tc>
          <w:tcPr>
            <w:tcW w:w="834" w:type="pct"/>
            <w:vMerge/>
            <w:shd w:val="clear" w:color="auto" w:fill="auto"/>
          </w:tcPr>
          <w:p w14:paraId="1CCC172A" w14:textId="77777777" w:rsidR="00E10018" w:rsidRPr="008D73A7" w:rsidRDefault="00E10018" w:rsidP="00DE7D17">
            <w:pPr>
              <w:pStyle w:val="ECCTabletext"/>
            </w:pPr>
          </w:p>
        </w:tc>
      </w:tr>
      <w:tr w:rsidR="00E10018" w:rsidRPr="008D73A7" w14:paraId="32200C53" w14:textId="77777777" w:rsidTr="00AB5401">
        <w:tc>
          <w:tcPr>
            <w:tcW w:w="1248" w:type="pct"/>
            <w:shd w:val="clear" w:color="auto" w:fill="auto"/>
          </w:tcPr>
          <w:p w14:paraId="39B0BCC8" w14:textId="3D1C91C0" w:rsidR="00E10018" w:rsidRPr="008D73A7" w:rsidRDefault="00E10018" w:rsidP="00DE7D17">
            <w:pPr>
              <w:pStyle w:val="ECCTabletext"/>
              <w:jc w:val="left"/>
            </w:pPr>
            <w:r w:rsidRPr="008D73A7">
              <w:t>244-246 </w:t>
            </w:r>
            <w:r w:rsidR="00AB5401" w:rsidRPr="008D73A7">
              <w:t>GHz</w:t>
            </w:r>
          </w:p>
        </w:tc>
        <w:tc>
          <w:tcPr>
            <w:tcW w:w="625" w:type="pct"/>
            <w:shd w:val="clear" w:color="auto" w:fill="auto"/>
          </w:tcPr>
          <w:p w14:paraId="4C471DAC" w14:textId="77777777" w:rsidR="00E10018" w:rsidRPr="008D73A7" w:rsidRDefault="00E10018" w:rsidP="00DE7D17">
            <w:pPr>
              <w:pStyle w:val="ECCTabletext"/>
              <w:jc w:val="left"/>
            </w:pPr>
            <w:r w:rsidRPr="008D73A7">
              <w:t>100%</w:t>
            </w:r>
          </w:p>
        </w:tc>
        <w:tc>
          <w:tcPr>
            <w:tcW w:w="1035" w:type="pct"/>
            <w:shd w:val="clear" w:color="auto" w:fill="auto"/>
          </w:tcPr>
          <w:p w14:paraId="5F4A213B" w14:textId="77777777" w:rsidR="00E10018" w:rsidRPr="008D73A7" w:rsidRDefault="00E10018" w:rsidP="00DE7D17">
            <w:pPr>
              <w:pStyle w:val="ECCTabletext"/>
              <w:jc w:val="left"/>
            </w:pPr>
            <w:r w:rsidRPr="008D73A7">
              <w:t>-5 dBm/MHz</w:t>
            </w:r>
          </w:p>
        </w:tc>
        <w:tc>
          <w:tcPr>
            <w:tcW w:w="1258" w:type="pct"/>
            <w:shd w:val="clear" w:color="auto" w:fill="auto"/>
          </w:tcPr>
          <w:p w14:paraId="39E9B4CB" w14:textId="77777777" w:rsidR="00E10018" w:rsidRPr="008D73A7" w:rsidRDefault="00E10018" w:rsidP="00DE7D17">
            <w:pPr>
              <w:pStyle w:val="ECCTabletext"/>
              <w:jc w:val="left"/>
            </w:pPr>
            <w:r w:rsidRPr="008D73A7">
              <w:t>45 dBm</w:t>
            </w:r>
          </w:p>
        </w:tc>
        <w:tc>
          <w:tcPr>
            <w:tcW w:w="834" w:type="pct"/>
            <w:vMerge/>
            <w:shd w:val="clear" w:color="auto" w:fill="auto"/>
          </w:tcPr>
          <w:p w14:paraId="55C999D9" w14:textId="77777777" w:rsidR="00E10018" w:rsidRPr="008D73A7" w:rsidRDefault="00E10018" w:rsidP="00DE7D17">
            <w:pPr>
              <w:pStyle w:val="ECCTabletext"/>
            </w:pPr>
          </w:p>
        </w:tc>
      </w:tr>
      <w:tr w:rsidR="00E10018" w:rsidRPr="008D73A7" w14:paraId="5CF486DB" w14:textId="77777777" w:rsidTr="00AB5401">
        <w:tc>
          <w:tcPr>
            <w:tcW w:w="1248" w:type="pct"/>
            <w:shd w:val="clear" w:color="auto" w:fill="auto"/>
          </w:tcPr>
          <w:p w14:paraId="1285949C" w14:textId="4B811B52" w:rsidR="00E10018" w:rsidRPr="008D73A7" w:rsidRDefault="00E10018" w:rsidP="00DE7D17">
            <w:pPr>
              <w:pStyle w:val="ECCTabletext"/>
              <w:jc w:val="left"/>
            </w:pPr>
            <w:r w:rsidRPr="008D73A7">
              <w:t>246-250 </w:t>
            </w:r>
            <w:r w:rsidR="00AB5401" w:rsidRPr="008D73A7">
              <w:t>GHz</w:t>
            </w:r>
          </w:p>
        </w:tc>
        <w:tc>
          <w:tcPr>
            <w:tcW w:w="625" w:type="pct"/>
            <w:shd w:val="clear" w:color="auto" w:fill="auto"/>
          </w:tcPr>
          <w:p w14:paraId="29A2F0F3" w14:textId="77777777" w:rsidR="00E10018" w:rsidRPr="008D73A7" w:rsidRDefault="00E10018" w:rsidP="00DE7D17">
            <w:pPr>
              <w:pStyle w:val="ECCTabletext"/>
              <w:jc w:val="left"/>
            </w:pPr>
            <w:r w:rsidRPr="008D73A7">
              <w:t>100%</w:t>
            </w:r>
          </w:p>
        </w:tc>
        <w:tc>
          <w:tcPr>
            <w:tcW w:w="1035" w:type="pct"/>
            <w:shd w:val="clear" w:color="auto" w:fill="auto"/>
          </w:tcPr>
          <w:p w14:paraId="6B0270AB" w14:textId="77777777" w:rsidR="00E10018" w:rsidRPr="008D73A7" w:rsidRDefault="00E10018" w:rsidP="00DE7D17">
            <w:pPr>
              <w:pStyle w:val="ECCTabletext"/>
              <w:jc w:val="left"/>
            </w:pPr>
            <w:r w:rsidRPr="008D73A7">
              <w:t>-5 dBm/MHz</w:t>
            </w:r>
          </w:p>
        </w:tc>
        <w:tc>
          <w:tcPr>
            <w:tcW w:w="1258" w:type="pct"/>
            <w:shd w:val="clear" w:color="auto" w:fill="auto"/>
          </w:tcPr>
          <w:p w14:paraId="57A93A85" w14:textId="77777777" w:rsidR="00E10018" w:rsidRPr="008D73A7" w:rsidRDefault="00E10018" w:rsidP="00DE7D17">
            <w:pPr>
              <w:pStyle w:val="ECCTabletext"/>
              <w:jc w:val="left"/>
            </w:pPr>
            <w:r w:rsidRPr="008D73A7">
              <w:t>45 dBm</w:t>
            </w:r>
          </w:p>
        </w:tc>
        <w:tc>
          <w:tcPr>
            <w:tcW w:w="834" w:type="pct"/>
            <w:vMerge/>
            <w:shd w:val="clear" w:color="auto" w:fill="auto"/>
          </w:tcPr>
          <w:p w14:paraId="1236D776" w14:textId="77777777" w:rsidR="00E10018" w:rsidRPr="008D73A7" w:rsidRDefault="00E10018" w:rsidP="00DE7D17">
            <w:pPr>
              <w:pStyle w:val="ECCTabletext"/>
            </w:pPr>
          </w:p>
        </w:tc>
      </w:tr>
      <w:tr w:rsidR="00E10018" w:rsidRPr="008D73A7" w14:paraId="2FB3B35B" w14:textId="77777777" w:rsidTr="00AB5401">
        <w:tc>
          <w:tcPr>
            <w:tcW w:w="1248" w:type="pct"/>
            <w:tcBorders>
              <w:bottom w:val="single" w:sz="4" w:space="0" w:color="D22A23"/>
            </w:tcBorders>
            <w:shd w:val="clear" w:color="auto" w:fill="auto"/>
          </w:tcPr>
          <w:p w14:paraId="6D7366DB" w14:textId="1DD3342B" w:rsidR="00E10018" w:rsidRPr="008D73A7" w:rsidRDefault="00E10018" w:rsidP="00DE7D17">
            <w:pPr>
              <w:pStyle w:val="ECCTabletext"/>
              <w:jc w:val="left"/>
            </w:pPr>
            <w:r w:rsidRPr="008D73A7">
              <w:t>252-260 </w:t>
            </w:r>
            <w:r w:rsidR="00AB5401" w:rsidRPr="008D73A7">
              <w:t>GHz</w:t>
            </w:r>
          </w:p>
        </w:tc>
        <w:tc>
          <w:tcPr>
            <w:tcW w:w="625" w:type="pct"/>
            <w:tcBorders>
              <w:bottom w:val="single" w:sz="4" w:space="0" w:color="D22A23"/>
            </w:tcBorders>
            <w:shd w:val="clear" w:color="auto" w:fill="auto"/>
          </w:tcPr>
          <w:p w14:paraId="7F3DD917" w14:textId="77777777" w:rsidR="00E10018" w:rsidRPr="008D73A7" w:rsidRDefault="00E10018" w:rsidP="00DE7D17">
            <w:pPr>
              <w:pStyle w:val="ECCTabletext"/>
              <w:jc w:val="left"/>
            </w:pPr>
            <w:r w:rsidRPr="008D73A7">
              <w:t>100%</w:t>
            </w:r>
          </w:p>
        </w:tc>
        <w:tc>
          <w:tcPr>
            <w:tcW w:w="1035" w:type="pct"/>
            <w:tcBorders>
              <w:bottom w:val="single" w:sz="4" w:space="0" w:color="D22A23"/>
            </w:tcBorders>
            <w:shd w:val="clear" w:color="auto" w:fill="auto"/>
          </w:tcPr>
          <w:p w14:paraId="02BE392D" w14:textId="77777777" w:rsidR="00E10018" w:rsidRPr="008D73A7" w:rsidRDefault="00E10018" w:rsidP="00DE7D17">
            <w:pPr>
              <w:pStyle w:val="ECCTabletext"/>
              <w:jc w:val="left"/>
            </w:pPr>
            <w:r w:rsidRPr="008D73A7">
              <w:t>-5 dBm/MHz</w:t>
            </w:r>
          </w:p>
        </w:tc>
        <w:tc>
          <w:tcPr>
            <w:tcW w:w="1258" w:type="pct"/>
            <w:tcBorders>
              <w:bottom w:val="single" w:sz="4" w:space="0" w:color="D22A23"/>
            </w:tcBorders>
            <w:shd w:val="clear" w:color="auto" w:fill="auto"/>
          </w:tcPr>
          <w:p w14:paraId="56A42387" w14:textId="77777777" w:rsidR="00E10018" w:rsidRPr="008D73A7" w:rsidRDefault="00E10018" w:rsidP="00DE7D17">
            <w:pPr>
              <w:pStyle w:val="ECCTabletext"/>
              <w:jc w:val="left"/>
            </w:pPr>
            <w:r w:rsidRPr="008D73A7">
              <w:t>45 dBm</w:t>
            </w:r>
          </w:p>
        </w:tc>
        <w:tc>
          <w:tcPr>
            <w:tcW w:w="834" w:type="pct"/>
            <w:vMerge/>
            <w:shd w:val="clear" w:color="auto" w:fill="auto"/>
          </w:tcPr>
          <w:p w14:paraId="71F3C404" w14:textId="77777777" w:rsidR="00E10018" w:rsidRPr="008D73A7" w:rsidRDefault="00E10018" w:rsidP="00DE7D17">
            <w:pPr>
              <w:pStyle w:val="ECCTabletext"/>
            </w:pPr>
          </w:p>
        </w:tc>
      </w:tr>
      <w:tr w:rsidR="00E10018" w:rsidRPr="008D73A7" w14:paraId="3DD2FD60" w14:textId="77777777" w:rsidTr="00DE7D17">
        <w:tc>
          <w:tcPr>
            <w:tcW w:w="5000" w:type="pct"/>
            <w:gridSpan w:val="5"/>
            <w:shd w:val="clear" w:color="auto" w:fill="auto"/>
          </w:tcPr>
          <w:p w14:paraId="1BF48519" w14:textId="3E409911" w:rsidR="00E10018" w:rsidRPr="008D73A7" w:rsidRDefault="00E10018" w:rsidP="005F721D">
            <w:pPr>
              <w:pStyle w:val="ECCTablenote"/>
            </w:pPr>
            <w:r w:rsidRPr="008D73A7">
              <w:t>Note 1: The operating frequency range (OFR) is defined over the 10 dB reduction of the intentional transmission (</w:t>
            </w:r>
            <w:r w:rsidR="00AB5401" w:rsidRPr="008D73A7">
              <w:t>“</w:t>
            </w:r>
            <w:r w:rsidRPr="008D73A7">
              <w:t>10 dB bandwidth</w:t>
            </w:r>
            <w:r w:rsidR="00AB5401" w:rsidRPr="008D73A7">
              <w:t>”</w:t>
            </w:r>
            <w:r w:rsidRPr="008D73A7">
              <w:t xml:space="preserve">) radiated by the equipment into the air. The unwanted emission limits apply </w:t>
            </w:r>
            <w:r w:rsidR="00CA15CD" w:rsidRPr="008D73A7">
              <w:t>to</w:t>
            </w:r>
            <w:r w:rsidRPr="008D73A7">
              <w:t xml:space="preserve"> the frequencies outside the OFR The measurement bandwidth for the unwanted emissions domain is 1 MHz.</w:t>
            </w:r>
          </w:p>
          <w:p w14:paraId="0EA2DE29" w14:textId="77777777" w:rsidR="00E10018" w:rsidRPr="008D73A7" w:rsidRDefault="00E10018" w:rsidP="005F721D">
            <w:pPr>
              <w:pStyle w:val="ECCTablenote"/>
            </w:pPr>
            <w:r w:rsidRPr="008D73A7">
              <w:t>Note 2: The given maximum mean e.i.r.p. spectral density is valid for averaging over the whole measurement cycle T</w:t>
            </w:r>
            <w:r w:rsidRPr="008D73A7">
              <w:rPr>
                <w:rStyle w:val="ECCHLsubscript"/>
              </w:rPr>
              <w:t xml:space="preserve">meas_cycle </w:t>
            </w:r>
            <w:r w:rsidRPr="008D73A7">
              <w:t>of the device including any T</w:t>
            </w:r>
            <w:r w:rsidRPr="008D73A7">
              <w:rPr>
                <w:rStyle w:val="ECCHLsubscript"/>
              </w:rPr>
              <w:t>off</w:t>
            </w:r>
            <w:r w:rsidRPr="008D73A7">
              <w:t xml:space="preserve"> times in 1 MHz resolution bandwidth of the measuring receiver.</w:t>
            </w:r>
          </w:p>
          <w:p w14:paraId="56B4902B" w14:textId="451E56BA" w:rsidR="003D28FB" w:rsidRDefault="003D28FB" w:rsidP="005F721D">
            <w:pPr>
              <w:pStyle w:val="ECCTablenote"/>
            </w:pPr>
            <w:r>
              <w:t xml:space="preserve">Note 3: These limits also apply to emissions in </w:t>
            </w:r>
            <w:r w:rsidRPr="008D2167">
              <w:t>passive bands subject to RR No. 5.340</w:t>
            </w:r>
            <w:r w:rsidR="00CD1D0E">
              <w:t xml:space="preserve"> within the frequency range 116-260 GHz</w:t>
            </w:r>
            <w:r>
              <w:t>.</w:t>
            </w:r>
          </w:p>
          <w:p w14:paraId="1C568257" w14:textId="1C17C385" w:rsidR="00E10018" w:rsidRPr="008D73A7" w:rsidRDefault="00E10018" w:rsidP="005F721D">
            <w:pPr>
              <w:pStyle w:val="ECCTablenote"/>
            </w:pPr>
            <w:r w:rsidRPr="008D73A7">
              <w:t>Note 4: The maximum peak e.i.r.p. shall be measured/evaluated in 1 GHz bandwidth.</w:t>
            </w:r>
          </w:p>
        </w:tc>
      </w:tr>
    </w:tbl>
    <w:bookmarkEnd w:id="363"/>
    <w:p w14:paraId="624F2770" w14:textId="77777777" w:rsidR="00E10018" w:rsidRPr="008D73A7" w:rsidRDefault="00E10018" w:rsidP="00E10018">
      <w:pPr>
        <w:spacing w:before="360" w:after="120"/>
        <w:jc w:val="both"/>
        <w:rPr>
          <w:lang w:val="en-GB"/>
        </w:rPr>
      </w:pPr>
      <w:r w:rsidRPr="008D73A7">
        <w:rPr>
          <w:lang w:val="en-GB"/>
        </w:rPr>
        <w:t>Additional requirements for radiodetermination systems for industry automation in shielded environments (RDI-S) to allow licence-exempt use:</w:t>
      </w:r>
    </w:p>
    <w:p w14:paraId="11A8CC2E" w14:textId="27917C92" w:rsidR="00E10018" w:rsidRPr="008D73A7" w:rsidRDefault="000E744D" w:rsidP="00F5346F">
      <w:pPr>
        <w:pStyle w:val="NumberedList"/>
        <w:numPr>
          <w:ilvl w:val="0"/>
          <w:numId w:val="26"/>
        </w:numPr>
        <w:spacing w:before="60"/>
      </w:pPr>
      <w:r w:rsidRPr="008D73A7">
        <w:t xml:space="preserve"> </w:t>
      </w:r>
      <w:r w:rsidR="00870CC9" w:rsidRPr="008D73A7">
        <w:t xml:space="preserve">For RDI-S, the operating frequency range (OFR) shall be </w:t>
      </w:r>
      <w:r w:rsidR="003D28FB">
        <w:t xml:space="preserve">equal to or </w:t>
      </w:r>
      <w:r w:rsidR="00870CC9" w:rsidRPr="008D73A7">
        <w:t>higher than 35 GHz, including discontinuities for the passive bands;</w:t>
      </w:r>
    </w:p>
    <w:p w14:paraId="13ADC80C" w14:textId="77777777" w:rsidR="00E10018" w:rsidRPr="008D73A7" w:rsidRDefault="00E10018" w:rsidP="00F5346F">
      <w:pPr>
        <w:pStyle w:val="NumberedList"/>
        <w:numPr>
          <w:ilvl w:val="0"/>
          <w:numId w:val="26"/>
        </w:numPr>
        <w:spacing w:before="60"/>
      </w:pPr>
      <w:r w:rsidRPr="008D73A7">
        <w:t>The operation of RDI-S sensors is envisaged for industrial purposes only;</w:t>
      </w:r>
    </w:p>
    <w:p w14:paraId="0CE024D7" w14:textId="77777777" w:rsidR="00E10018" w:rsidRPr="008D73A7" w:rsidRDefault="00E10018" w:rsidP="00F5346F">
      <w:pPr>
        <w:pStyle w:val="NumberedList"/>
        <w:numPr>
          <w:ilvl w:val="0"/>
          <w:numId w:val="26"/>
        </w:numPr>
        <w:spacing w:before="60"/>
      </w:pPr>
      <w:r w:rsidRPr="008D73A7">
        <w:t>Installation and maintenance of RDI-S equipment shall be performed by professionally trained individuals only;</w:t>
      </w:r>
    </w:p>
    <w:p w14:paraId="0DF21397" w14:textId="77777777" w:rsidR="00E10018" w:rsidRPr="008D73A7" w:rsidRDefault="00E10018" w:rsidP="00F5346F">
      <w:pPr>
        <w:pStyle w:val="NumberedList"/>
        <w:numPr>
          <w:ilvl w:val="0"/>
          <w:numId w:val="26"/>
        </w:numPr>
        <w:spacing w:before="60"/>
      </w:pPr>
      <w:r w:rsidRPr="008D73A7">
        <w:t>RDI-S equipment shall not be marketed to private end customers;</w:t>
      </w:r>
    </w:p>
    <w:p w14:paraId="1AE64646" w14:textId="77777777" w:rsidR="00E10018" w:rsidRPr="008D73A7" w:rsidRDefault="00E10018" w:rsidP="00F5346F">
      <w:pPr>
        <w:pStyle w:val="NumberedList"/>
        <w:numPr>
          <w:ilvl w:val="0"/>
          <w:numId w:val="26"/>
        </w:numPr>
        <w:spacing w:before="60"/>
      </w:pPr>
      <w:r w:rsidRPr="008D73A7">
        <w:t>RDI-S equipment shall only be operated indoors (i.e. inside a building) or inside similarly shielded environments;</w:t>
      </w:r>
    </w:p>
    <w:p w14:paraId="0F22AAAC" w14:textId="333C0950" w:rsidR="00E10018" w:rsidRPr="008D73A7" w:rsidRDefault="00E10018" w:rsidP="00F5346F">
      <w:pPr>
        <w:pStyle w:val="NumberedList"/>
        <w:numPr>
          <w:ilvl w:val="0"/>
          <w:numId w:val="26"/>
        </w:numPr>
        <w:spacing w:before="60"/>
      </w:pPr>
      <w:r w:rsidRPr="008D73A7">
        <w:t xml:space="preserve">Installers have to ensure that the device main beam is not pointing towards windows or other weak shielded parts of the shielded environment. The direction of main radiation shall be indicated on the </w:t>
      </w:r>
      <w:r w:rsidR="00B96B4F" w:rsidRPr="008D73A7">
        <w:t xml:space="preserve">specific radiodetermination </w:t>
      </w:r>
      <w:r w:rsidRPr="008D73A7">
        <w:t>device;</w:t>
      </w:r>
    </w:p>
    <w:p w14:paraId="3FFA47A6" w14:textId="77777777" w:rsidR="00E10018" w:rsidRPr="008D73A7" w:rsidRDefault="00E10018" w:rsidP="00F5346F">
      <w:pPr>
        <w:pStyle w:val="NumberedList"/>
        <w:numPr>
          <w:ilvl w:val="0"/>
          <w:numId w:val="26"/>
        </w:numPr>
        <w:spacing w:before="60"/>
      </w:pPr>
      <w:r w:rsidRPr="008D73A7">
        <w:t>Installers have to ensure that there are no unwanted obstacles in the main beam of the antenna in order to minimise unintentional reflections and scattering;</w:t>
      </w:r>
    </w:p>
    <w:p w14:paraId="0D04C5F8" w14:textId="77777777" w:rsidR="00E10018" w:rsidRPr="008D73A7" w:rsidRDefault="00E10018" w:rsidP="00F5346F">
      <w:pPr>
        <w:pStyle w:val="NumberedList"/>
        <w:numPr>
          <w:ilvl w:val="0"/>
          <w:numId w:val="26"/>
        </w:numPr>
        <w:spacing w:before="60"/>
        <w:rPr>
          <w:shd w:val="solid" w:color="FFFF00" w:fill="auto"/>
        </w:rPr>
      </w:pPr>
      <w:r w:rsidRPr="008D73A7">
        <w:t>The provider is required to inform the users and installers of RDI-S equipment about the installation requirements and additional special mounting instructions;</w:t>
      </w:r>
    </w:p>
    <w:p w14:paraId="7FCBDA4C" w14:textId="71272013" w:rsidR="002C6194" w:rsidRPr="008D73A7" w:rsidRDefault="00E10018" w:rsidP="0024005D">
      <w:pPr>
        <w:pStyle w:val="NumberedList"/>
        <w:numPr>
          <w:ilvl w:val="0"/>
          <w:numId w:val="0"/>
        </w:numPr>
      </w:pPr>
      <w:r w:rsidRPr="008D73A7">
        <w:t>For RDI-S devices using an antenna gain smaller than 20 dBi, the maximum conducted peak output power shall be limited to 15 dBm.</w:t>
      </w:r>
    </w:p>
    <w:p w14:paraId="4F792632" w14:textId="5DACDDA2" w:rsidR="00976E35" w:rsidRPr="008D73A7" w:rsidRDefault="00976E35" w:rsidP="00976E35">
      <w:pPr>
        <w:pStyle w:val="ECCParagraph"/>
        <w:spacing w:before="240" w:after="60"/>
      </w:pPr>
      <w:r w:rsidRPr="008D73A7">
        <w:t>Administrations wishing to implement RDI-S in the full range of 116-260 GHz, including the bands protected by RR No. 5.340 to satisfy the needs of the industry, should follow the regulations given in ECC Decision (22)03.</w:t>
      </w:r>
    </w:p>
    <w:p w14:paraId="00361F07" w14:textId="77777777" w:rsidR="00C345FB" w:rsidRPr="008D73A7" w:rsidRDefault="00C345FB">
      <w:pPr>
        <w:spacing w:before="0" w:after="0"/>
        <w:rPr>
          <w:b/>
          <w:caps/>
          <w:lang w:val="en-GB" w:eastAsia="ar-SA"/>
        </w:rPr>
      </w:pPr>
      <w:bookmarkStart w:id="364" w:name="_Hlk133234919"/>
      <w:r w:rsidRPr="008D73A7">
        <w:rPr>
          <w:lang w:val="en-GB" w:eastAsia="ar-SA"/>
        </w:rPr>
        <w:br w:type="page"/>
      </w:r>
    </w:p>
    <w:p w14:paraId="0ED3BA73" w14:textId="603C3124" w:rsidR="001148BA" w:rsidRPr="008D73A7" w:rsidRDefault="001148BA" w:rsidP="000E12B4">
      <w:pPr>
        <w:pStyle w:val="ECCAnnexheading2"/>
        <w:ind w:left="576"/>
        <w:rPr>
          <w:lang w:val="en-GB" w:eastAsia="ar-SA"/>
        </w:rPr>
      </w:pPr>
      <w:r w:rsidRPr="008D73A7">
        <w:rPr>
          <w:lang w:val="en-GB" w:eastAsia="ar-SA"/>
        </w:rPr>
        <w:lastRenderedPageBreak/>
        <w:t>TECHNICAL REQUIREMENTS FOR</w:t>
      </w:r>
      <w:r w:rsidR="00652186" w:rsidRPr="008D73A7">
        <w:rPr>
          <w:lang w:val="en-GB" w:eastAsia="ar-SA"/>
        </w:rPr>
        <w:t xml:space="preserve"> EXTER</w:t>
      </w:r>
      <w:r w:rsidR="00943B06" w:rsidRPr="008D73A7">
        <w:rPr>
          <w:lang w:val="en-GB" w:eastAsia="ar-SA"/>
        </w:rPr>
        <w:t>IOR</w:t>
      </w:r>
      <w:r w:rsidR="00652186" w:rsidRPr="008D73A7">
        <w:rPr>
          <w:lang w:val="en-GB" w:eastAsia="ar-SA"/>
        </w:rPr>
        <w:t xml:space="preserve"> VEHICULAR RADAR</w:t>
      </w:r>
      <w:r w:rsidR="008621E1" w:rsidRPr="008D73A7">
        <w:rPr>
          <w:lang w:val="en-GB" w:eastAsia="ar-SA"/>
        </w:rPr>
        <w:t xml:space="preserve"> (EVR)</w:t>
      </w:r>
    </w:p>
    <w:p w14:paraId="792D9138" w14:textId="22BA7D5D" w:rsidR="00C24AD8" w:rsidRPr="008D73A7" w:rsidRDefault="00C24AD8" w:rsidP="00C24AD8">
      <w:pPr>
        <w:pStyle w:val="Caption"/>
        <w:keepNext/>
        <w:rPr>
          <w:lang w:val="en-GB"/>
        </w:rPr>
      </w:pPr>
      <w:bookmarkStart w:id="365" w:name="_Hlk133409635"/>
      <w:r w:rsidRPr="008D73A7">
        <w:rPr>
          <w:lang w:val="en-GB"/>
        </w:rPr>
        <w:t xml:space="preserve">Table </w:t>
      </w:r>
      <w:r w:rsidRPr="008D73A7">
        <w:rPr>
          <w:lang w:val="en-GB"/>
        </w:rPr>
        <w:fldChar w:fldCharType="begin"/>
      </w:r>
      <w:r w:rsidRPr="008D73A7">
        <w:rPr>
          <w:lang w:val="en-GB"/>
        </w:rPr>
        <w:instrText xml:space="preserve"> SEQ Table \* ARABIC </w:instrText>
      </w:r>
      <w:r w:rsidRPr="008D73A7">
        <w:rPr>
          <w:lang w:val="en-GB"/>
        </w:rPr>
        <w:fldChar w:fldCharType="separate"/>
      </w:r>
      <w:r w:rsidR="00BD0B7C" w:rsidRPr="008D73A7">
        <w:rPr>
          <w:lang w:val="en-GB"/>
        </w:rPr>
        <w:t>22</w:t>
      </w:r>
      <w:r w:rsidRPr="008D73A7">
        <w:rPr>
          <w:lang w:val="en-GB"/>
        </w:rPr>
        <w:fldChar w:fldCharType="end"/>
      </w:r>
      <w:r w:rsidRPr="008D73A7">
        <w:rPr>
          <w:lang w:val="en-GB"/>
        </w:rPr>
        <w:t xml:space="preserve">: </w:t>
      </w:r>
      <w:r w:rsidR="007532B8" w:rsidRPr="008D73A7">
        <w:rPr>
          <w:lang w:val="en-GB"/>
        </w:rPr>
        <w:t>Technical requirements</w:t>
      </w:r>
      <w:r w:rsidRPr="008D73A7">
        <w:rPr>
          <w:lang w:val="en-GB"/>
        </w:rPr>
        <w:t xml:space="preserve"> for exterior vehicular radars</w:t>
      </w:r>
      <w:r w:rsidR="008621E1" w:rsidRPr="008D73A7">
        <w:rPr>
          <w:lang w:val="en-GB"/>
        </w:rPr>
        <w:t xml:space="preserve"> (EVR)</w:t>
      </w:r>
    </w:p>
    <w:tbl>
      <w:tblPr>
        <w:tblStyle w:val="ECCTable-redheader"/>
        <w:tblW w:w="9634" w:type="dxa"/>
        <w:tblInd w:w="0" w:type="dxa"/>
        <w:tblLook w:val="04A0" w:firstRow="1" w:lastRow="0" w:firstColumn="1" w:lastColumn="0" w:noHBand="0" w:noVBand="1"/>
      </w:tblPr>
      <w:tblGrid>
        <w:gridCol w:w="1980"/>
        <w:gridCol w:w="1843"/>
        <w:gridCol w:w="1984"/>
        <w:gridCol w:w="1843"/>
        <w:gridCol w:w="1984"/>
      </w:tblGrid>
      <w:tr w:rsidR="00C24AD8" w:rsidRPr="008D73A7" w14:paraId="43275D27" w14:textId="77777777" w:rsidTr="00AE3659">
        <w:trPr>
          <w:cnfStyle w:val="100000000000" w:firstRow="1" w:lastRow="0" w:firstColumn="0" w:lastColumn="0" w:oddVBand="0" w:evenVBand="0" w:oddHBand="0" w:evenHBand="0" w:firstRowFirstColumn="0" w:firstRowLastColumn="0" w:lastRowFirstColumn="0" w:lastRowLastColumn="0"/>
        </w:trPr>
        <w:tc>
          <w:tcPr>
            <w:tcW w:w="0" w:type="dxa"/>
            <w:tcBorders>
              <w:top w:val="single" w:sz="4" w:space="0" w:color="FFFFFF" w:themeColor="background1"/>
              <w:left w:val="single" w:sz="4" w:space="0" w:color="FFFFFF" w:themeColor="background1"/>
              <w:bottom w:val="nil"/>
            </w:tcBorders>
          </w:tcPr>
          <w:p w14:paraId="6428F9DE" w14:textId="77777777" w:rsidR="00C24AD8" w:rsidRPr="008D73A7" w:rsidRDefault="00C24AD8" w:rsidP="0049741A">
            <w:pPr>
              <w:spacing w:before="120" w:after="120"/>
              <w:rPr>
                <w:bCs/>
                <w:szCs w:val="20"/>
                <w:lang w:val="en-GB"/>
              </w:rPr>
            </w:pPr>
            <w:r w:rsidRPr="008D73A7">
              <w:rPr>
                <w:bCs/>
                <w:szCs w:val="20"/>
                <w:lang w:val="en-GB"/>
              </w:rPr>
              <w:t>Designated frequency band</w:t>
            </w:r>
          </w:p>
        </w:tc>
        <w:tc>
          <w:tcPr>
            <w:tcW w:w="0" w:type="dxa"/>
            <w:gridSpan w:val="2"/>
            <w:tcBorders>
              <w:bottom w:val="single" w:sz="4" w:space="0" w:color="FFFFFF" w:themeColor="background1"/>
            </w:tcBorders>
          </w:tcPr>
          <w:p w14:paraId="1306A27A" w14:textId="77777777" w:rsidR="00C24AD8" w:rsidRPr="008D73A7" w:rsidRDefault="00C24AD8" w:rsidP="0049741A">
            <w:pPr>
              <w:spacing w:before="120" w:after="120"/>
              <w:rPr>
                <w:bCs/>
                <w:szCs w:val="20"/>
                <w:lang w:val="en-GB"/>
              </w:rPr>
            </w:pPr>
            <w:r w:rsidRPr="008D73A7">
              <w:rPr>
                <w:bCs/>
                <w:szCs w:val="20"/>
                <w:lang w:val="en-GB"/>
              </w:rPr>
              <w:t>Front radars</w:t>
            </w:r>
          </w:p>
        </w:tc>
        <w:tc>
          <w:tcPr>
            <w:tcW w:w="0" w:type="dxa"/>
            <w:gridSpan w:val="2"/>
            <w:tcBorders>
              <w:bottom w:val="single" w:sz="4" w:space="0" w:color="FFFFFF" w:themeColor="background1"/>
            </w:tcBorders>
          </w:tcPr>
          <w:p w14:paraId="0093DA39" w14:textId="77777777" w:rsidR="00C24AD8" w:rsidRPr="008D73A7" w:rsidRDefault="00C24AD8" w:rsidP="0049741A">
            <w:pPr>
              <w:spacing w:before="120" w:after="120"/>
              <w:rPr>
                <w:bCs/>
                <w:szCs w:val="20"/>
                <w:lang w:val="en-GB"/>
              </w:rPr>
            </w:pPr>
            <w:r w:rsidRPr="008D73A7">
              <w:rPr>
                <w:bCs/>
                <w:szCs w:val="20"/>
                <w:lang w:val="en-GB"/>
              </w:rPr>
              <w:t>Corner and short/ultra-</w:t>
            </w:r>
            <w:proofErr w:type="gramStart"/>
            <w:r w:rsidRPr="008D73A7">
              <w:rPr>
                <w:bCs/>
                <w:szCs w:val="20"/>
                <w:lang w:val="en-GB"/>
              </w:rPr>
              <w:t>short range</w:t>
            </w:r>
            <w:proofErr w:type="gramEnd"/>
            <w:r w:rsidRPr="008D73A7">
              <w:rPr>
                <w:bCs/>
                <w:szCs w:val="20"/>
                <w:lang w:val="en-GB"/>
              </w:rPr>
              <w:t xml:space="preserve"> radars</w:t>
            </w:r>
          </w:p>
        </w:tc>
      </w:tr>
      <w:tr w:rsidR="007D1F66" w:rsidRPr="008D73A7" w14:paraId="59C83D0F" w14:textId="77777777" w:rsidTr="0049741A">
        <w:tc>
          <w:tcPr>
            <w:tcW w:w="0" w:type="dxa"/>
            <w:tcBorders>
              <w:top w:val="nil"/>
              <w:left w:val="single" w:sz="4" w:space="0" w:color="FFFFFF" w:themeColor="background1"/>
              <w:bottom w:val="single" w:sz="4" w:space="0" w:color="FFFFFF" w:themeColor="background1"/>
              <w:right w:val="single" w:sz="4" w:space="0" w:color="FFFFFF" w:themeColor="background1"/>
            </w:tcBorders>
            <w:shd w:val="clear" w:color="auto" w:fill="D2232A"/>
          </w:tcPr>
          <w:p w14:paraId="582D6D98" w14:textId="77777777" w:rsidR="00C24AD8" w:rsidRPr="008D73A7" w:rsidRDefault="00C24AD8" w:rsidP="0049741A">
            <w:pPr>
              <w:spacing w:before="120" w:after="120"/>
              <w:jc w:val="center"/>
              <w:rPr>
                <w:color w:val="FFFFFF" w:themeColor="background1"/>
                <w:lang w:val="en-GB"/>
              </w:rPr>
            </w:pP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61D25003" w14:textId="107B00B0" w:rsidR="00C24AD8" w:rsidRPr="008D73A7" w:rsidRDefault="00C24AD8" w:rsidP="0049741A">
            <w:pPr>
              <w:spacing w:before="120" w:after="120"/>
              <w:jc w:val="center"/>
              <w:rPr>
                <w:b/>
                <w:bCs/>
                <w:color w:val="FFFFFF" w:themeColor="background1"/>
                <w:vertAlign w:val="superscript"/>
                <w:lang w:val="en-GB"/>
              </w:rPr>
            </w:pPr>
            <w:r w:rsidRPr="008D73A7">
              <w:rPr>
                <w:b/>
                <w:bCs/>
                <w:color w:val="FFFFFF" w:themeColor="background1"/>
                <w:lang w:val="en-GB"/>
              </w:rPr>
              <w:t>Maximum mean e.i.r.p</w:t>
            </w:r>
            <w:r w:rsidR="00511DFB" w:rsidRPr="008D73A7">
              <w:rPr>
                <w:b/>
                <w:bCs/>
                <w:color w:val="FFFFFF" w:themeColor="background1"/>
                <w:lang w:val="en-GB"/>
              </w:rPr>
              <w:t>. (</w:t>
            </w:r>
            <w:r w:rsidRPr="008D73A7">
              <w:rPr>
                <w:b/>
                <w:bCs/>
                <w:color w:val="FFFFFF" w:themeColor="background1"/>
                <w:lang w:val="en-GB"/>
              </w:rPr>
              <w:t>Note</w:t>
            </w:r>
            <w:r w:rsidR="00511DFB" w:rsidRPr="008D73A7">
              <w:rPr>
                <w:b/>
                <w:bCs/>
                <w:color w:val="FFFFFF" w:themeColor="background1"/>
                <w:lang w:val="en-GB"/>
              </w:rPr>
              <w:t>)</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C545D3A" w14:textId="08EC1387" w:rsidR="00C24AD8" w:rsidRPr="008D73A7" w:rsidRDefault="00C24AD8" w:rsidP="0049741A">
            <w:pPr>
              <w:spacing w:before="120" w:after="120"/>
              <w:jc w:val="center"/>
              <w:rPr>
                <w:b/>
                <w:bCs/>
                <w:color w:val="FFFFFF" w:themeColor="background1"/>
                <w:lang w:val="en-GB"/>
              </w:rPr>
            </w:pPr>
            <w:r w:rsidRPr="008D73A7">
              <w:rPr>
                <w:b/>
                <w:bCs/>
                <w:color w:val="FFFFFF" w:themeColor="background1"/>
                <w:lang w:val="en-GB"/>
              </w:rPr>
              <w:t>Maximum peak e.i.r.p</w:t>
            </w:r>
            <w:r w:rsidR="00511DFB" w:rsidRPr="008D73A7">
              <w:rPr>
                <w:b/>
                <w:bCs/>
                <w:color w:val="FFFFFF" w:themeColor="background1"/>
                <w:lang w:val="en-GB"/>
              </w:rPr>
              <w:t>.</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B89679E" w14:textId="6B58DFA8" w:rsidR="00C24AD8" w:rsidRPr="008D73A7" w:rsidRDefault="00C24AD8" w:rsidP="0049741A">
            <w:pPr>
              <w:spacing w:before="120" w:after="120"/>
              <w:jc w:val="center"/>
              <w:rPr>
                <w:b/>
                <w:bCs/>
                <w:color w:val="FFFFFF" w:themeColor="background1"/>
                <w:vertAlign w:val="superscript"/>
                <w:lang w:val="en-GB"/>
              </w:rPr>
            </w:pPr>
            <w:r w:rsidRPr="008D73A7">
              <w:rPr>
                <w:b/>
                <w:bCs/>
                <w:color w:val="FFFFFF" w:themeColor="background1"/>
                <w:lang w:val="en-GB"/>
              </w:rPr>
              <w:t>Maximum mean e.i.r.p</w:t>
            </w:r>
            <w:r w:rsidR="00D200D6" w:rsidRPr="008D73A7">
              <w:rPr>
                <w:b/>
                <w:bCs/>
                <w:color w:val="FFFFFF" w:themeColor="background1"/>
                <w:lang w:val="en-GB"/>
              </w:rPr>
              <w:t>. (Note)</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5158E14E" w14:textId="1F5A6620" w:rsidR="00C24AD8" w:rsidRPr="008D73A7" w:rsidRDefault="00C24AD8" w:rsidP="0049741A">
            <w:pPr>
              <w:spacing w:before="120" w:after="120"/>
              <w:jc w:val="center"/>
              <w:rPr>
                <w:b/>
                <w:bCs/>
                <w:color w:val="FFFFFF" w:themeColor="background1"/>
                <w:lang w:val="en-GB"/>
              </w:rPr>
            </w:pPr>
            <w:r w:rsidRPr="008D73A7">
              <w:rPr>
                <w:b/>
                <w:bCs/>
                <w:color w:val="FFFFFF" w:themeColor="background1"/>
                <w:lang w:val="en-GB"/>
              </w:rPr>
              <w:t>Maximum peak e.i.r.p</w:t>
            </w:r>
            <w:r w:rsidR="00D200D6" w:rsidRPr="008D73A7">
              <w:rPr>
                <w:b/>
                <w:bCs/>
                <w:color w:val="FFFFFF" w:themeColor="background1"/>
                <w:lang w:val="en-GB"/>
              </w:rPr>
              <w:t>.</w:t>
            </w:r>
          </w:p>
        </w:tc>
      </w:tr>
      <w:tr w:rsidR="00C24AD8" w:rsidRPr="008D73A7" w14:paraId="1F3ED732" w14:textId="77777777" w:rsidTr="00E25082">
        <w:tc>
          <w:tcPr>
            <w:tcW w:w="0" w:type="dxa"/>
            <w:tcBorders>
              <w:top w:val="single" w:sz="4" w:space="0" w:color="FFFFFF" w:themeColor="background1"/>
            </w:tcBorders>
          </w:tcPr>
          <w:p w14:paraId="71DB4C7A" w14:textId="59CA3804" w:rsidR="00C24AD8" w:rsidRPr="008D73A7" w:rsidRDefault="00C24AD8" w:rsidP="00E25082">
            <w:pPr>
              <w:spacing w:before="60"/>
              <w:rPr>
                <w:lang w:val="en-GB"/>
              </w:rPr>
            </w:pPr>
            <w:r w:rsidRPr="008D73A7">
              <w:rPr>
                <w:lang w:val="en-GB"/>
              </w:rPr>
              <w:t>122.25</w:t>
            </w:r>
            <w:r w:rsidR="00A04380">
              <w:rPr>
                <w:lang w:val="en-GB"/>
              </w:rPr>
              <w:t>-</w:t>
            </w:r>
            <w:r w:rsidRPr="008D73A7">
              <w:rPr>
                <w:lang w:val="en-GB"/>
              </w:rPr>
              <w:t>130 GHz</w:t>
            </w:r>
          </w:p>
        </w:tc>
        <w:tc>
          <w:tcPr>
            <w:tcW w:w="0" w:type="dxa"/>
            <w:tcBorders>
              <w:top w:val="single" w:sz="4" w:space="0" w:color="FFFFFF" w:themeColor="background1"/>
            </w:tcBorders>
          </w:tcPr>
          <w:p w14:paraId="0511D0F8" w14:textId="77777777" w:rsidR="00C24AD8" w:rsidRPr="008D73A7" w:rsidRDefault="00C24AD8" w:rsidP="002135D3">
            <w:pPr>
              <w:spacing w:before="60"/>
              <w:rPr>
                <w:lang w:val="en-GB"/>
              </w:rPr>
            </w:pPr>
            <w:r w:rsidRPr="008D73A7">
              <w:rPr>
                <w:lang w:val="en-GB"/>
              </w:rPr>
              <w:t xml:space="preserve">32 dBm </w:t>
            </w:r>
          </w:p>
        </w:tc>
        <w:tc>
          <w:tcPr>
            <w:tcW w:w="0" w:type="dxa"/>
            <w:tcBorders>
              <w:top w:val="single" w:sz="4" w:space="0" w:color="FFFFFF" w:themeColor="background1"/>
            </w:tcBorders>
          </w:tcPr>
          <w:p w14:paraId="178A7C42" w14:textId="77777777" w:rsidR="00C24AD8" w:rsidRPr="008D73A7" w:rsidRDefault="00C24AD8" w:rsidP="002135D3">
            <w:pPr>
              <w:spacing w:before="60"/>
              <w:rPr>
                <w:lang w:val="en-GB"/>
              </w:rPr>
            </w:pPr>
          </w:p>
        </w:tc>
        <w:tc>
          <w:tcPr>
            <w:tcW w:w="0" w:type="dxa"/>
            <w:tcBorders>
              <w:top w:val="single" w:sz="4" w:space="0" w:color="FFFFFF" w:themeColor="background1"/>
            </w:tcBorders>
          </w:tcPr>
          <w:p w14:paraId="36CDB25D" w14:textId="77777777" w:rsidR="00C24AD8" w:rsidRPr="008D73A7" w:rsidRDefault="00C24AD8" w:rsidP="002135D3">
            <w:pPr>
              <w:spacing w:before="60"/>
              <w:rPr>
                <w:lang w:val="en-GB"/>
              </w:rPr>
            </w:pPr>
            <w:r w:rsidRPr="008D73A7">
              <w:rPr>
                <w:lang w:val="en-GB"/>
              </w:rPr>
              <w:t xml:space="preserve">9 dBm </w:t>
            </w:r>
          </w:p>
        </w:tc>
        <w:tc>
          <w:tcPr>
            <w:tcW w:w="0" w:type="dxa"/>
            <w:tcBorders>
              <w:top w:val="single" w:sz="4" w:space="0" w:color="FFFFFF" w:themeColor="background1"/>
            </w:tcBorders>
          </w:tcPr>
          <w:p w14:paraId="0C407115" w14:textId="77777777" w:rsidR="00C24AD8" w:rsidRPr="008D73A7" w:rsidRDefault="00C24AD8" w:rsidP="002135D3">
            <w:pPr>
              <w:spacing w:before="60"/>
              <w:rPr>
                <w:lang w:val="en-GB"/>
              </w:rPr>
            </w:pPr>
          </w:p>
        </w:tc>
      </w:tr>
      <w:tr w:rsidR="00C24AD8" w:rsidRPr="008D73A7" w14:paraId="36D31225" w14:textId="77777777">
        <w:tc>
          <w:tcPr>
            <w:tcW w:w="1980" w:type="dxa"/>
          </w:tcPr>
          <w:p w14:paraId="48D26537" w14:textId="3DD3D063" w:rsidR="00C24AD8" w:rsidRPr="008D73A7" w:rsidRDefault="00C24AD8" w:rsidP="00E25082">
            <w:pPr>
              <w:spacing w:before="60"/>
              <w:rPr>
                <w:lang w:val="en-GB"/>
              </w:rPr>
            </w:pPr>
            <w:r w:rsidRPr="008D73A7">
              <w:rPr>
                <w:lang w:val="en-GB"/>
              </w:rPr>
              <w:t>134</w:t>
            </w:r>
            <w:r w:rsidR="00A04380">
              <w:rPr>
                <w:lang w:val="en-GB"/>
              </w:rPr>
              <w:t>-</w:t>
            </w:r>
            <w:r w:rsidRPr="008D73A7">
              <w:rPr>
                <w:lang w:val="en-GB"/>
              </w:rPr>
              <w:t>141 GHz</w:t>
            </w:r>
          </w:p>
        </w:tc>
        <w:tc>
          <w:tcPr>
            <w:tcW w:w="1843" w:type="dxa"/>
          </w:tcPr>
          <w:p w14:paraId="4A81D6D5" w14:textId="77777777" w:rsidR="00C24AD8" w:rsidRPr="008D73A7" w:rsidRDefault="00C24AD8" w:rsidP="0049741A">
            <w:pPr>
              <w:spacing w:before="60"/>
              <w:rPr>
                <w:lang w:val="en-GB"/>
              </w:rPr>
            </w:pPr>
            <w:r w:rsidRPr="008D73A7">
              <w:rPr>
                <w:lang w:val="en-GB"/>
              </w:rPr>
              <w:t xml:space="preserve">32 dBm </w:t>
            </w:r>
          </w:p>
        </w:tc>
        <w:tc>
          <w:tcPr>
            <w:tcW w:w="1984" w:type="dxa"/>
          </w:tcPr>
          <w:p w14:paraId="721B79C6" w14:textId="77777777" w:rsidR="00C24AD8" w:rsidRPr="008D73A7" w:rsidRDefault="00C24AD8" w:rsidP="0049741A">
            <w:pPr>
              <w:spacing w:before="60"/>
              <w:rPr>
                <w:lang w:val="en-GB"/>
              </w:rPr>
            </w:pPr>
          </w:p>
        </w:tc>
        <w:tc>
          <w:tcPr>
            <w:tcW w:w="1843" w:type="dxa"/>
          </w:tcPr>
          <w:p w14:paraId="231B9D50" w14:textId="77777777" w:rsidR="00C24AD8" w:rsidRPr="008D73A7" w:rsidRDefault="00C24AD8" w:rsidP="0049741A">
            <w:pPr>
              <w:spacing w:before="60"/>
              <w:rPr>
                <w:lang w:val="en-GB"/>
              </w:rPr>
            </w:pPr>
            <w:r w:rsidRPr="008D73A7">
              <w:rPr>
                <w:lang w:val="en-GB"/>
              </w:rPr>
              <w:t xml:space="preserve">9 dBm </w:t>
            </w:r>
          </w:p>
        </w:tc>
        <w:tc>
          <w:tcPr>
            <w:tcW w:w="1984" w:type="dxa"/>
          </w:tcPr>
          <w:p w14:paraId="756ECD9E" w14:textId="77777777" w:rsidR="00C24AD8" w:rsidRPr="008D73A7" w:rsidRDefault="00C24AD8" w:rsidP="0049741A">
            <w:pPr>
              <w:spacing w:before="60"/>
              <w:rPr>
                <w:lang w:val="en-GB"/>
              </w:rPr>
            </w:pPr>
          </w:p>
        </w:tc>
      </w:tr>
      <w:tr w:rsidR="00C24AD8" w:rsidRPr="008D73A7" w14:paraId="19C2F2D3" w14:textId="77777777">
        <w:tc>
          <w:tcPr>
            <w:tcW w:w="1980" w:type="dxa"/>
          </w:tcPr>
          <w:p w14:paraId="5A6BF712" w14:textId="01EE4521" w:rsidR="00C24AD8" w:rsidRPr="008D73A7" w:rsidRDefault="00C24AD8" w:rsidP="00E25082">
            <w:pPr>
              <w:spacing w:before="60"/>
              <w:jc w:val="left"/>
              <w:rPr>
                <w:lang w:val="en-GB"/>
              </w:rPr>
            </w:pPr>
            <w:r w:rsidRPr="008D73A7">
              <w:rPr>
                <w:lang w:val="en-GB"/>
              </w:rPr>
              <w:t>141</w:t>
            </w:r>
            <w:r w:rsidR="00A04380">
              <w:rPr>
                <w:lang w:val="en-GB"/>
              </w:rPr>
              <w:t>-</w:t>
            </w:r>
            <w:r w:rsidRPr="008D73A7">
              <w:rPr>
                <w:lang w:val="en-GB"/>
              </w:rPr>
              <w:t>148.5 GHz</w:t>
            </w:r>
          </w:p>
        </w:tc>
        <w:tc>
          <w:tcPr>
            <w:tcW w:w="1843" w:type="dxa"/>
          </w:tcPr>
          <w:p w14:paraId="7AF26160" w14:textId="77777777" w:rsidR="00C24AD8" w:rsidRPr="008D73A7" w:rsidRDefault="00C24AD8" w:rsidP="0049741A">
            <w:pPr>
              <w:spacing w:before="60"/>
              <w:jc w:val="left"/>
              <w:rPr>
                <w:lang w:val="en-GB"/>
              </w:rPr>
            </w:pPr>
            <w:r w:rsidRPr="008D73A7">
              <w:rPr>
                <w:lang w:val="en-GB"/>
              </w:rPr>
              <w:t>-6 dBm within 1 GHz</w:t>
            </w:r>
          </w:p>
        </w:tc>
        <w:tc>
          <w:tcPr>
            <w:tcW w:w="1984" w:type="dxa"/>
          </w:tcPr>
          <w:p w14:paraId="3F8E9909" w14:textId="77777777" w:rsidR="00C24AD8" w:rsidRPr="008D73A7" w:rsidRDefault="00C24AD8" w:rsidP="0049741A">
            <w:pPr>
              <w:spacing w:before="60"/>
              <w:jc w:val="left"/>
              <w:rPr>
                <w:lang w:val="en-GB"/>
              </w:rPr>
            </w:pPr>
            <w:r w:rsidRPr="008D73A7">
              <w:rPr>
                <w:lang w:val="en-GB"/>
              </w:rPr>
              <w:t>-1 dBm within 1 GHz</w:t>
            </w:r>
          </w:p>
        </w:tc>
        <w:tc>
          <w:tcPr>
            <w:tcW w:w="1843" w:type="dxa"/>
          </w:tcPr>
          <w:p w14:paraId="5C91BD2B" w14:textId="77777777" w:rsidR="00C24AD8" w:rsidRPr="008D73A7" w:rsidRDefault="00C24AD8" w:rsidP="0049741A">
            <w:pPr>
              <w:spacing w:before="60"/>
              <w:jc w:val="left"/>
              <w:rPr>
                <w:lang w:val="en-GB"/>
              </w:rPr>
            </w:pPr>
            <w:r w:rsidRPr="008D73A7">
              <w:rPr>
                <w:lang w:val="en-GB"/>
              </w:rPr>
              <w:t>-6 dBm within 1 GHz</w:t>
            </w:r>
          </w:p>
        </w:tc>
        <w:tc>
          <w:tcPr>
            <w:tcW w:w="1984" w:type="dxa"/>
          </w:tcPr>
          <w:p w14:paraId="5E12FEB9" w14:textId="77777777" w:rsidR="00C24AD8" w:rsidRPr="008D73A7" w:rsidRDefault="00C24AD8" w:rsidP="0049741A">
            <w:pPr>
              <w:spacing w:before="60"/>
              <w:jc w:val="left"/>
              <w:rPr>
                <w:lang w:val="en-GB"/>
              </w:rPr>
            </w:pPr>
            <w:r w:rsidRPr="008D73A7">
              <w:rPr>
                <w:lang w:val="en-GB"/>
              </w:rPr>
              <w:t>-1 dBm within 1 GHz</w:t>
            </w:r>
          </w:p>
        </w:tc>
      </w:tr>
      <w:tr w:rsidR="00C24AD8" w:rsidRPr="008D73A7" w14:paraId="44A11DAF" w14:textId="77777777">
        <w:tc>
          <w:tcPr>
            <w:tcW w:w="9634" w:type="dxa"/>
            <w:gridSpan w:val="5"/>
          </w:tcPr>
          <w:p w14:paraId="66EA468B" w14:textId="4B8915B5" w:rsidR="00C24AD8" w:rsidRPr="008D73A7" w:rsidRDefault="00C24AD8" w:rsidP="005F721D">
            <w:pPr>
              <w:pStyle w:val="ECCTablenote"/>
            </w:pPr>
            <w:r w:rsidRPr="008D73A7">
              <w:t xml:space="preserve">Note: Maximum mean e.i.r.p. is the radiated mean power during transmitter signal repetition time as defined in ETSI EN 303 883-1, section 5.3.1 </w:t>
            </w:r>
            <w:r w:rsidR="0036721E" w:rsidRPr="008D73A7">
              <w:fldChar w:fldCharType="begin"/>
            </w:r>
            <w:r w:rsidR="0036721E" w:rsidRPr="008D73A7">
              <w:instrText xml:space="preserve"> REF _Ref135724710 \r \h </w:instrText>
            </w:r>
            <w:r w:rsidR="0036721E" w:rsidRPr="008D73A7">
              <w:fldChar w:fldCharType="separate"/>
            </w:r>
            <w:r w:rsidR="0036721E" w:rsidRPr="008D73A7">
              <w:t>[7]</w:t>
            </w:r>
            <w:r w:rsidR="0036721E" w:rsidRPr="008D73A7">
              <w:fldChar w:fldCharType="end"/>
            </w:r>
            <w:r w:rsidRPr="008D73A7">
              <w:t>, with the effect of duty cycle included.</w:t>
            </w:r>
          </w:p>
        </w:tc>
      </w:tr>
    </w:tbl>
    <w:p w14:paraId="73FC9E95" w14:textId="77777777" w:rsidR="00C24AD8" w:rsidRPr="008D73A7" w:rsidRDefault="00C24AD8" w:rsidP="00C24AD8">
      <w:pPr>
        <w:rPr>
          <w:lang w:val="en-GB"/>
        </w:rPr>
      </w:pPr>
      <w:r w:rsidRPr="008D73A7">
        <w:rPr>
          <w:lang w:val="en-GB"/>
        </w:rPr>
        <w:t>Additional requirements:</w:t>
      </w:r>
    </w:p>
    <w:p w14:paraId="598E8D73" w14:textId="7529485D" w:rsidR="00271B04" w:rsidRPr="008D73A7" w:rsidRDefault="00C24AD8" w:rsidP="00947710">
      <w:pPr>
        <w:pStyle w:val="NumberedList"/>
        <w:numPr>
          <w:ilvl w:val="0"/>
          <w:numId w:val="50"/>
        </w:numPr>
        <w:spacing w:before="60"/>
      </w:pPr>
      <w:r w:rsidRPr="008D73A7">
        <w:t>Unwanted emission limits in the band 116-122.25 GHz for any type of radar depend on the maximum duty cycle and elevation.</w:t>
      </w:r>
    </w:p>
    <w:p w14:paraId="3D5CBC6E" w14:textId="4BCA063B" w:rsidR="00C24AD8" w:rsidRPr="008D73A7" w:rsidRDefault="00C24AD8" w:rsidP="00947710">
      <w:pPr>
        <w:pStyle w:val="NumberedList"/>
        <w:numPr>
          <w:ilvl w:val="0"/>
          <w:numId w:val="50"/>
        </w:numPr>
        <w:spacing w:before="60"/>
      </w:pPr>
      <w:r w:rsidRPr="008D73A7">
        <w:t>For radars with a maximum duty cycle up to 50% during signal repetition time of the radar, for elevations up to 35 degrees, the maximum mean e.i.r.p. density shall stay below -50 dBm/MHz, and for elevations above 35 degrees, below -76 dBm/MHz.</w:t>
      </w:r>
      <w:r w:rsidRPr="008D73A7">
        <w:tab/>
        <w:t xml:space="preserve"> </w:t>
      </w:r>
      <w:r w:rsidRPr="008D73A7">
        <w:br/>
        <w:t>For radars with a maximum duty cycle higher than 50% during signal repetition time of the radar, for elevations up to 35 degrees, the maximum mean e.i.r.p. density shall stay below -53 dBm/MHz, and for elevations above 35 degrees, below -79 dBm/MHz.</w:t>
      </w:r>
    </w:p>
    <w:p w14:paraId="29B59D02" w14:textId="205DD562" w:rsidR="00C24AD8" w:rsidRPr="008D73A7" w:rsidRDefault="00C24AD8" w:rsidP="00947710">
      <w:pPr>
        <w:pStyle w:val="NumberedList"/>
        <w:numPr>
          <w:ilvl w:val="0"/>
          <w:numId w:val="50"/>
        </w:numPr>
        <w:spacing w:before="60"/>
      </w:pPr>
      <w:r w:rsidRPr="008D73A7">
        <w:t>Unwanted emissions in the band 130-134 GHz shall stay below a maximum mean power spectral density of -33 dBm/MHz e.i.r.p. for front radars and of -36 dBm/MHz e.i.r.p. for corner and short/ultra-</w:t>
      </w:r>
      <w:proofErr w:type="gramStart"/>
      <w:r w:rsidRPr="008D73A7">
        <w:t>short range</w:t>
      </w:r>
      <w:proofErr w:type="gramEnd"/>
      <w:r w:rsidRPr="008D73A7">
        <w:t xml:space="preserve"> radars. Additionally, the maximum peak e.i.r.p. within 1 GHz should be below 2 dBm for the front radars and below -1 dBm for the corner and short/ultra-</w:t>
      </w:r>
      <w:proofErr w:type="gramStart"/>
      <w:r w:rsidRPr="008D73A7">
        <w:t>short range</w:t>
      </w:r>
      <w:proofErr w:type="gramEnd"/>
      <w:r w:rsidRPr="008D73A7">
        <w:t xml:space="preserve"> radars.</w:t>
      </w:r>
    </w:p>
    <w:p w14:paraId="37550F6C" w14:textId="77777777" w:rsidR="00C24AD8" w:rsidRPr="008D73A7" w:rsidRDefault="00C24AD8" w:rsidP="00947710">
      <w:pPr>
        <w:pStyle w:val="NumberedList"/>
        <w:numPr>
          <w:ilvl w:val="0"/>
          <w:numId w:val="50"/>
        </w:numPr>
        <w:spacing w:before="60"/>
      </w:pPr>
      <w:r w:rsidRPr="008D73A7">
        <w:t xml:space="preserve">Unwanted emission limits in the band 148.5-151 GHz for any type of radar depend on the maximum duty cycle and elevation. </w:t>
      </w:r>
      <w:r w:rsidRPr="008D73A7">
        <w:tab/>
      </w:r>
      <w:r w:rsidRPr="008D73A7">
        <w:br/>
        <w:t>For radars with a maximum duty cycle up to 50% during signal repetition time of the radar, for elevations up to 35 degrees, the maximum mean e.i.r.p. density shall stay below -44 dBm/MHz, and for elevations above 35 degrees, below -70 dBm/MHz.</w:t>
      </w:r>
      <w:r w:rsidRPr="008D73A7">
        <w:tab/>
        <w:t xml:space="preserve"> </w:t>
      </w:r>
      <w:r w:rsidRPr="008D73A7">
        <w:br/>
        <w:t>For radars with a maximum duty cycle higher than 50% during signal repetition time of the radar, for elevations up to 35 degrees, the maximum mean e.i.r.p. density shall stay below -47 dBm/MHz, and for elevations above 35 degrees, below -73 dBm/MHz.</w:t>
      </w:r>
    </w:p>
    <w:bookmarkEnd w:id="365"/>
    <w:p w14:paraId="7EDBD509" w14:textId="5149EFE2" w:rsidR="00A56583" w:rsidRPr="008D73A7" w:rsidRDefault="00B04CE3" w:rsidP="00271B04">
      <w:pPr>
        <w:pStyle w:val="ECCAnnexheading2"/>
        <w:ind w:left="576"/>
        <w:rPr>
          <w:lang w:val="en-GB" w:eastAsia="ar-SA"/>
        </w:rPr>
      </w:pPr>
      <w:r w:rsidRPr="008D73A7">
        <w:rPr>
          <w:lang w:val="en-GB" w:eastAsia="ar-SA"/>
        </w:rPr>
        <w:t xml:space="preserve">TECHNICAL REQUIREMENTS FOR </w:t>
      </w:r>
      <w:r w:rsidR="00E2159F" w:rsidRPr="008D73A7">
        <w:rPr>
          <w:lang w:val="en-GB" w:eastAsia="ar-SA"/>
        </w:rPr>
        <w:t>IN-CABIN</w:t>
      </w:r>
      <w:r w:rsidRPr="008D73A7">
        <w:rPr>
          <w:lang w:val="en-GB" w:eastAsia="ar-SA"/>
        </w:rPr>
        <w:t xml:space="preserve"> VEHICULAR RADAR</w:t>
      </w:r>
      <w:r w:rsidR="008621E1" w:rsidRPr="008D73A7">
        <w:rPr>
          <w:lang w:val="en-GB" w:eastAsia="ar-SA"/>
        </w:rPr>
        <w:t xml:space="preserve"> (IVR)</w:t>
      </w:r>
    </w:p>
    <w:p w14:paraId="05D291A9" w14:textId="2D8DE81A" w:rsidR="002B7123" w:rsidRPr="008D73A7" w:rsidRDefault="002B7123" w:rsidP="002B7123">
      <w:pPr>
        <w:pStyle w:val="Caption"/>
        <w:keepNext/>
        <w:rPr>
          <w:lang w:val="en-GB"/>
        </w:rPr>
      </w:pPr>
      <w:bookmarkStart w:id="366" w:name="_Ref142314147"/>
      <w:r w:rsidRPr="008D73A7">
        <w:rPr>
          <w:lang w:val="en-GB"/>
        </w:rPr>
        <w:t xml:space="preserve">Table </w:t>
      </w:r>
      <w:r w:rsidRPr="008D73A7">
        <w:rPr>
          <w:lang w:val="en-GB"/>
        </w:rPr>
        <w:fldChar w:fldCharType="begin"/>
      </w:r>
      <w:r w:rsidRPr="008D73A7">
        <w:rPr>
          <w:lang w:val="en-GB"/>
        </w:rPr>
        <w:instrText xml:space="preserve"> SEQ Table \* ARABIC </w:instrText>
      </w:r>
      <w:r w:rsidRPr="008D73A7">
        <w:rPr>
          <w:lang w:val="en-GB"/>
        </w:rPr>
        <w:fldChar w:fldCharType="separate"/>
      </w:r>
      <w:r w:rsidR="00BD0B7C" w:rsidRPr="008D73A7">
        <w:rPr>
          <w:lang w:val="en-GB"/>
        </w:rPr>
        <w:t>23</w:t>
      </w:r>
      <w:r w:rsidRPr="008D73A7">
        <w:rPr>
          <w:lang w:val="en-GB"/>
        </w:rPr>
        <w:fldChar w:fldCharType="end"/>
      </w:r>
      <w:bookmarkEnd w:id="366"/>
      <w:r w:rsidRPr="008D73A7">
        <w:rPr>
          <w:lang w:val="en-GB"/>
        </w:rPr>
        <w:t xml:space="preserve">: </w:t>
      </w:r>
      <w:r w:rsidR="007532B8" w:rsidRPr="008D73A7">
        <w:rPr>
          <w:lang w:val="en-GB"/>
        </w:rPr>
        <w:t>Technical requirements</w:t>
      </w:r>
      <w:r w:rsidRPr="008D73A7">
        <w:rPr>
          <w:lang w:val="en-GB"/>
        </w:rPr>
        <w:t xml:space="preserve"> for in-cabin vehicular radars</w:t>
      </w:r>
      <w:r w:rsidR="008621E1" w:rsidRPr="008D73A7">
        <w:rPr>
          <w:lang w:val="en-GB"/>
        </w:rPr>
        <w:t xml:space="preserve"> (IVR)</w:t>
      </w:r>
    </w:p>
    <w:tbl>
      <w:tblPr>
        <w:tblStyle w:val="ECCTable-redheader"/>
        <w:tblW w:w="0" w:type="auto"/>
        <w:tblInd w:w="0" w:type="dxa"/>
        <w:tblLook w:val="04A0" w:firstRow="1" w:lastRow="0" w:firstColumn="1" w:lastColumn="0" w:noHBand="0" w:noVBand="1"/>
      </w:tblPr>
      <w:tblGrid>
        <w:gridCol w:w="2686"/>
        <w:gridCol w:w="2871"/>
        <w:gridCol w:w="2036"/>
        <w:gridCol w:w="2036"/>
      </w:tblGrid>
      <w:tr w:rsidR="002B7123" w:rsidRPr="008D73A7" w14:paraId="5E4021F8" w14:textId="77777777">
        <w:trPr>
          <w:cnfStyle w:val="100000000000" w:firstRow="1" w:lastRow="0" w:firstColumn="0" w:lastColumn="0" w:oddVBand="0" w:evenVBand="0" w:oddHBand="0" w:evenHBand="0" w:firstRowFirstColumn="0" w:firstRowLastColumn="0" w:lastRowFirstColumn="0" w:lastRowLastColumn="0"/>
        </w:trPr>
        <w:tc>
          <w:tcPr>
            <w:tcW w:w="2686" w:type="dxa"/>
          </w:tcPr>
          <w:p w14:paraId="7A2AAE79" w14:textId="77777777" w:rsidR="002B7123" w:rsidRPr="008D73A7" w:rsidRDefault="002B7123" w:rsidP="002135D3">
            <w:pPr>
              <w:spacing w:before="120" w:after="120"/>
              <w:rPr>
                <w:bCs/>
                <w:szCs w:val="20"/>
                <w:lang w:val="en-GB"/>
              </w:rPr>
            </w:pPr>
            <w:r w:rsidRPr="008D73A7">
              <w:rPr>
                <w:bCs/>
                <w:szCs w:val="20"/>
                <w:lang w:val="en-GB"/>
              </w:rPr>
              <w:t>Designated frequency band</w:t>
            </w:r>
          </w:p>
        </w:tc>
        <w:tc>
          <w:tcPr>
            <w:tcW w:w="2871" w:type="dxa"/>
          </w:tcPr>
          <w:p w14:paraId="52744CFF" w14:textId="26CCC615" w:rsidR="002B7123" w:rsidRPr="008D73A7" w:rsidRDefault="002B7123" w:rsidP="002135D3">
            <w:pPr>
              <w:spacing w:before="120" w:after="120"/>
              <w:rPr>
                <w:bCs/>
                <w:szCs w:val="20"/>
                <w:lang w:val="en-GB"/>
              </w:rPr>
            </w:pPr>
            <w:r w:rsidRPr="008D73A7">
              <w:rPr>
                <w:bCs/>
                <w:szCs w:val="20"/>
                <w:lang w:val="en-GB"/>
              </w:rPr>
              <w:t>Maximum mean e.i.r.p</w:t>
            </w:r>
            <w:r w:rsidR="008F5159" w:rsidRPr="008D73A7">
              <w:rPr>
                <w:bCs/>
                <w:szCs w:val="20"/>
                <w:lang w:val="en-GB"/>
              </w:rPr>
              <w:t>.</w:t>
            </w:r>
            <w:r w:rsidRPr="008D73A7">
              <w:rPr>
                <w:bCs/>
                <w:szCs w:val="20"/>
                <w:lang w:val="en-GB"/>
              </w:rPr>
              <w:t xml:space="preserve"> density</w:t>
            </w:r>
          </w:p>
        </w:tc>
        <w:tc>
          <w:tcPr>
            <w:tcW w:w="2036" w:type="dxa"/>
          </w:tcPr>
          <w:p w14:paraId="52BAA1FC" w14:textId="1F1342E8" w:rsidR="002B7123" w:rsidRPr="008D73A7" w:rsidRDefault="002B7123" w:rsidP="002135D3">
            <w:pPr>
              <w:spacing w:before="120" w:after="120"/>
              <w:rPr>
                <w:bCs/>
                <w:szCs w:val="20"/>
                <w:lang w:val="en-GB"/>
              </w:rPr>
            </w:pPr>
            <w:r w:rsidRPr="008D73A7">
              <w:rPr>
                <w:bCs/>
                <w:szCs w:val="20"/>
                <w:lang w:val="en-GB"/>
              </w:rPr>
              <w:t>Maximum mean e.i.r.p</w:t>
            </w:r>
            <w:r w:rsidR="008F5159" w:rsidRPr="008D73A7">
              <w:rPr>
                <w:bCs/>
                <w:szCs w:val="20"/>
                <w:lang w:val="en-GB"/>
              </w:rPr>
              <w:t>.</w:t>
            </w:r>
            <w:r w:rsidRPr="008D73A7">
              <w:rPr>
                <w:bCs/>
                <w:szCs w:val="20"/>
                <w:lang w:val="en-GB"/>
              </w:rPr>
              <w:t xml:space="preserve"> over the bandwidth</w:t>
            </w:r>
          </w:p>
        </w:tc>
        <w:tc>
          <w:tcPr>
            <w:tcW w:w="2036" w:type="dxa"/>
          </w:tcPr>
          <w:p w14:paraId="5CE52819" w14:textId="355D481F" w:rsidR="002B7123" w:rsidRPr="008D73A7" w:rsidRDefault="002B7123" w:rsidP="002135D3">
            <w:pPr>
              <w:spacing w:before="120" w:after="120"/>
              <w:rPr>
                <w:bCs/>
                <w:szCs w:val="20"/>
                <w:lang w:val="en-GB"/>
              </w:rPr>
            </w:pPr>
            <w:r w:rsidRPr="008D73A7">
              <w:rPr>
                <w:bCs/>
                <w:szCs w:val="20"/>
                <w:lang w:val="en-GB"/>
              </w:rPr>
              <w:t>Maximum peak e.i.r.p</w:t>
            </w:r>
            <w:r w:rsidR="008F5159" w:rsidRPr="008D73A7">
              <w:rPr>
                <w:bCs/>
                <w:szCs w:val="20"/>
                <w:lang w:val="en-GB"/>
              </w:rPr>
              <w:t>.</w:t>
            </w:r>
            <w:r w:rsidRPr="008D73A7">
              <w:rPr>
                <w:bCs/>
                <w:szCs w:val="20"/>
                <w:lang w:val="en-GB"/>
              </w:rPr>
              <w:t xml:space="preserve"> over the bandwidth</w:t>
            </w:r>
          </w:p>
        </w:tc>
      </w:tr>
      <w:tr w:rsidR="002B7123" w:rsidRPr="008D73A7" w14:paraId="78E7682D" w14:textId="77777777">
        <w:tc>
          <w:tcPr>
            <w:tcW w:w="2686" w:type="dxa"/>
          </w:tcPr>
          <w:p w14:paraId="5D640D98" w14:textId="2FB8DDEB" w:rsidR="002B7123" w:rsidRPr="008D73A7" w:rsidRDefault="002B7123" w:rsidP="00A04380">
            <w:pPr>
              <w:spacing w:before="60"/>
              <w:rPr>
                <w:lang w:val="en-GB"/>
              </w:rPr>
            </w:pPr>
            <w:r w:rsidRPr="008D73A7">
              <w:rPr>
                <w:lang w:val="en-GB"/>
              </w:rPr>
              <w:t>122.25</w:t>
            </w:r>
            <w:r w:rsidR="00A04380">
              <w:rPr>
                <w:lang w:val="en-GB"/>
              </w:rPr>
              <w:t>-</w:t>
            </w:r>
            <w:r w:rsidRPr="008D73A7">
              <w:rPr>
                <w:lang w:val="en-GB"/>
              </w:rPr>
              <w:t>130 GHz</w:t>
            </w:r>
          </w:p>
        </w:tc>
        <w:tc>
          <w:tcPr>
            <w:tcW w:w="2871" w:type="dxa"/>
          </w:tcPr>
          <w:p w14:paraId="626A6CA3" w14:textId="77777777" w:rsidR="002B7123" w:rsidRPr="008D73A7" w:rsidRDefault="002B7123" w:rsidP="00F91BAA">
            <w:pPr>
              <w:pStyle w:val="ECCBulletsLv1"/>
              <w:numPr>
                <w:ilvl w:val="0"/>
                <w:numId w:val="0"/>
              </w:numPr>
            </w:pPr>
            <w:r w:rsidRPr="008D73A7">
              <w:t>-30 dBm/MHz</w:t>
            </w:r>
          </w:p>
        </w:tc>
        <w:tc>
          <w:tcPr>
            <w:tcW w:w="2036" w:type="dxa"/>
          </w:tcPr>
          <w:p w14:paraId="27D6A30D" w14:textId="77777777" w:rsidR="002B7123" w:rsidRPr="008D73A7" w:rsidRDefault="002B7123" w:rsidP="00F91BAA">
            <w:pPr>
              <w:pStyle w:val="ECCBulletsLv1"/>
              <w:numPr>
                <w:ilvl w:val="0"/>
                <w:numId w:val="0"/>
              </w:numPr>
              <w:rPr>
                <w:lang w:eastAsia="en-US"/>
              </w:rPr>
            </w:pPr>
            <w:r w:rsidRPr="008D73A7">
              <w:t>3 dBm</w:t>
            </w:r>
          </w:p>
        </w:tc>
        <w:tc>
          <w:tcPr>
            <w:tcW w:w="2036" w:type="dxa"/>
          </w:tcPr>
          <w:p w14:paraId="7039EA88" w14:textId="77777777" w:rsidR="002B7123" w:rsidRPr="008D73A7" w:rsidRDefault="002B7123" w:rsidP="00F91BAA">
            <w:pPr>
              <w:pStyle w:val="ECCBulletsLv1"/>
              <w:numPr>
                <w:ilvl w:val="0"/>
                <w:numId w:val="0"/>
              </w:numPr>
              <w:rPr>
                <w:lang w:eastAsia="en-US"/>
              </w:rPr>
            </w:pPr>
            <w:r w:rsidRPr="008D73A7">
              <w:t>16 dBm</w:t>
            </w:r>
          </w:p>
        </w:tc>
      </w:tr>
      <w:tr w:rsidR="002B7123" w:rsidRPr="008D73A7" w14:paraId="4C6BFDEC" w14:textId="77777777">
        <w:tc>
          <w:tcPr>
            <w:tcW w:w="2686" w:type="dxa"/>
          </w:tcPr>
          <w:p w14:paraId="60948174" w14:textId="62265C9B" w:rsidR="002B7123" w:rsidRPr="008D73A7" w:rsidRDefault="002B7123" w:rsidP="00A04380">
            <w:pPr>
              <w:spacing w:before="60"/>
              <w:rPr>
                <w:lang w:val="en-GB"/>
              </w:rPr>
            </w:pPr>
            <w:r w:rsidRPr="008D73A7">
              <w:rPr>
                <w:lang w:val="en-GB"/>
              </w:rPr>
              <w:t>134</w:t>
            </w:r>
            <w:r w:rsidR="00A04380">
              <w:rPr>
                <w:lang w:val="en-GB"/>
              </w:rPr>
              <w:t>-</w:t>
            </w:r>
            <w:r w:rsidRPr="008D73A7">
              <w:rPr>
                <w:lang w:val="en-GB"/>
              </w:rPr>
              <w:t>148.5 GHz</w:t>
            </w:r>
          </w:p>
        </w:tc>
        <w:tc>
          <w:tcPr>
            <w:tcW w:w="2871" w:type="dxa"/>
          </w:tcPr>
          <w:p w14:paraId="3C3729C4" w14:textId="77777777" w:rsidR="002B7123" w:rsidRPr="008D73A7" w:rsidRDefault="002B7123" w:rsidP="00F91BAA">
            <w:pPr>
              <w:pStyle w:val="ECCBulletsLv1"/>
              <w:numPr>
                <w:ilvl w:val="0"/>
                <w:numId w:val="0"/>
              </w:numPr>
            </w:pPr>
            <w:r w:rsidRPr="008D73A7">
              <w:t>-30 dBm/MHz</w:t>
            </w:r>
          </w:p>
        </w:tc>
        <w:tc>
          <w:tcPr>
            <w:tcW w:w="2036" w:type="dxa"/>
          </w:tcPr>
          <w:p w14:paraId="2B4A09E3" w14:textId="77777777" w:rsidR="002B7123" w:rsidRPr="008D73A7" w:rsidRDefault="002B7123" w:rsidP="00F91BAA">
            <w:pPr>
              <w:pStyle w:val="ECCBulletsLv1"/>
              <w:numPr>
                <w:ilvl w:val="0"/>
                <w:numId w:val="0"/>
              </w:numPr>
              <w:rPr>
                <w:lang w:eastAsia="en-US"/>
              </w:rPr>
            </w:pPr>
            <w:r w:rsidRPr="008D73A7">
              <w:t>3 dBm</w:t>
            </w:r>
          </w:p>
        </w:tc>
        <w:tc>
          <w:tcPr>
            <w:tcW w:w="2036" w:type="dxa"/>
          </w:tcPr>
          <w:p w14:paraId="526A2075" w14:textId="77777777" w:rsidR="002B7123" w:rsidRPr="008D73A7" w:rsidRDefault="002B7123" w:rsidP="00F91BAA">
            <w:pPr>
              <w:pStyle w:val="ECCBulletsLv1"/>
              <w:numPr>
                <w:ilvl w:val="0"/>
                <w:numId w:val="0"/>
              </w:numPr>
              <w:rPr>
                <w:lang w:eastAsia="en-US"/>
              </w:rPr>
            </w:pPr>
            <w:r w:rsidRPr="008D73A7">
              <w:t>16 dBm</w:t>
            </w:r>
          </w:p>
        </w:tc>
      </w:tr>
      <w:tr w:rsidR="002B7123" w:rsidRPr="008D73A7" w14:paraId="21CAF46C" w14:textId="77777777">
        <w:tc>
          <w:tcPr>
            <w:tcW w:w="9629" w:type="dxa"/>
            <w:gridSpan w:val="4"/>
          </w:tcPr>
          <w:p w14:paraId="65F92345" w14:textId="1043BC3D" w:rsidR="002B7123" w:rsidRPr="008D73A7" w:rsidRDefault="002B7123" w:rsidP="005F721D">
            <w:pPr>
              <w:pStyle w:val="ECCTablenote"/>
              <w:rPr>
                <w:lang w:eastAsia="en-US"/>
              </w:rPr>
            </w:pPr>
            <w:r w:rsidRPr="008D73A7">
              <w:t xml:space="preserve">Note: Maximum mean e.i.r.p. is the radiated mean power during transmitter signal repetition time as defined in ETSI EN 303 883-1, section 5.3.1 </w:t>
            </w:r>
            <w:r w:rsidR="006A6A49" w:rsidRPr="008D73A7">
              <w:fldChar w:fldCharType="begin"/>
            </w:r>
            <w:r w:rsidR="006A6A49" w:rsidRPr="008D73A7">
              <w:instrText xml:space="preserve"> REF _Ref135724710 \r \h </w:instrText>
            </w:r>
            <w:r w:rsidR="006A6A49" w:rsidRPr="008D73A7">
              <w:fldChar w:fldCharType="separate"/>
            </w:r>
            <w:r w:rsidR="006A6A49" w:rsidRPr="008D73A7">
              <w:t>[7]</w:t>
            </w:r>
            <w:r w:rsidR="006A6A49" w:rsidRPr="008D73A7">
              <w:fldChar w:fldCharType="end"/>
            </w:r>
            <w:r w:rsidR="006A6A49" w:rsidRPr="008D73A7">
              <w:t xml:space="preserve"> </w:t>
            </w:r>
            <w:r w:rsidRPr="008D73A7">
              <w:t>, with the effect of duty cycle included.</w:t>
            </w:r>
          </w:p>
        </w:tc>
      </w:tr>
    </w:tbl>
    <w:p w14:paraId="020F8B5C" w14:textId="77777777" w:rsidR="002B7123" w:rsidRPr="008D73A7" w:rsidRDefault="002B7123" w:rsidP="007E6561">
      <w:pPr>
        <w:keepNext/>
        <w:rPr>
          <w:lang w:val="en-GB"/>
        </w:rPr>
      </w:pPr>
      <w:r w:rsidRPr="008D73A7">
        <w:rPr>
          <w:lang w:val="en-GB"/>
        </w:rPr>
        <w:lastRenderedPageBreak/>
        <w:t>Additional requirements:</w:t>
      </w:r>
    </w:p>
    <w:p w14:paraId="2961FDC6" w14:textId="695685E4" w:rsidR="002B7123" w:rsidRPr="008D73A7" w:rsidRDefault="002B7123" w:rsidP="007E6561">
      <w:pPr>
        <w:pStyle w:val="NumberedList"/>
        <w:keepNext/>
        <w:numPr>
          <w:ilvl w:val="0"/>
          <w:numId w:val="52"/>
        </w:numPr>
        <w:spacing w:before="60"/>
      </w:pPr>
      <w:r w:rsidRPr="008D73A7">
        <w:t>Unwanted emissions in the band 116-122.25 GHz shall stay below a maximum mean e.i.r.p</w:t>
      </w:r>
      <w:r w:rsidR="009566F2" w:rsidRPr="008D73A7">
        <w:t>.</w:t>
      </w:r>
      <w:r w:rsidRPr="008D73A7">
        <w:t xml:space="preserve"> density of </w:t>
      </w:r>
      <w:r w:rsidR="0032717C">
        <w:br/>
      </w:r>
      <w:r w:rsidRPr="008D73A7">
        <w:t>-45 dBm/MHz</w:t>
      </w:r>
      <w:r w:rsidR="0023452B">
        <w:t>;</w:t>
      </w:r>
    </w:p>
    <w:p w14:paraId="2F5154FF" w14:textId="03AD1657" w:rsidR="002B7123" w:rsidRPr="008D73A7" w:rsidRDefault="002B7123" w:rsidP="007E6561">
      <w:pPr>
        <w:pStyle w:val="NumberedList"/>
        <w:keepNext/>
        <w:numPr>
          <w:ilvl w:val="0"/>
          <w:numId w:val="52"/>
        </w:numPr>
        <w:spacing w:before="60"/>
      </w:pPr>
      <w:r w:rsidRPr="008D73A7">
        <w:t>Unwanted emissions in the 130-134 GHz band shall stay below a maximum mean e.i.r.p</w:t>
      </w:r>
      <w:r w:rsidR="009566F2" w:rsidRPr="008D73A7">
        <w:t>.</w:t>
      </w:r>
      <w:r w:rsidRPr="008D73A7">
        <w:t xml:space="preserve"> density</w:t>
      </w:r>
      <w:r w:rsidRPr="008D73A7" w:rsidDel="00D45516">
        <w:t xml:space="preserve"> </w:t>
      </w:r>
      <w:r w:rsidRPr="008D73A7">
        <w:t xml:space="preserve">of </w:t>
      </w:r>
      <w:r w:rsidR="0032717C">
        <w:br/>
        <w:t>-</w:t>
      </w:r>
      <w:r w:rsidRPr="008D73A7">
        <w:t>17 dBm/GHz and -4 dBm/GHz peak e.i.r.p.</w:t>
      </w:r>
      <w:r w:rsidR="0023452B">
        <w:t>;</w:t>
      </w:r>
    </w:p>
    <w:p w14:paraId="5E3690BA" w14:textId="375B6E52" w:rsidR="002B7123" w:rsidRPr="008D73A7" w:rsidRDefault="002B7123" w:rsidP="007E6561">
      <w:pPr>
        <w:pStyle w:val="NumberedList"/>
        <w:keepNext/>
        <w:numPr>
          <w:ilvl w:val="0"/>
          <w:numId w:val="52"/>
        </w:numPr>
        <w:spacing w:before="60"/>
      </w:pPr>
      <w:r w:rsidRPr="008D73A7">
        <w:t>Unwanted emissions in the band 148.5-151 GHz shall stay below a maximum mean e.i.r.p</w:t>
      </w:r>
      <w:r w:rsidR="009566F2" w:rsidRPr="008D73A7">
        <w:t>.</w:t>
      </w:r>
      <w:r w:rsidRPr="008D73A7">
        <w:t xml:space="preserve"> density of</w:t>
      </w:r>
      <w:r w:rsidRPr="008D73A7" w:rsidDel="00D45516">
        <w:t xml:space="preserve"> </w:t>
      </w:r>
      <w:r w:rsidR="0032717C">
        <w:br/>
      </w:r>
      <w:r w:rsidRPr="008D73A7">
        <w:t>-39</w:t>
      </w:r>
      <w:r w:rsidR="009566F2" w:rsidRPr="008D73A7">
        <w:t> </w:t>
      </w:r>
      <w:r w:rsidRPr="008D73A7">
        <w:t>dBm/MHz</w:t>
      </w:r>
      <w:r w:rsidR="0023452B">
        <w:t>;</w:t>
      </w:r>
    </w:p>
    <w:p w14:paraId="6E5B2475" w14:textId="49A4083F" w:rsidR="002B7123" w:rsidRPr="008D73A7" w:rsidRDefault="002B7123" w:rsidP="007E6561">
      <w:pPr>
        <w:pStyle w:val="NumberedList"/>
        <w:keepNext/>
        <w:numPr>
          <w:ilvl w:val="0"/>
          <w:numId w:val="52"/>
        </w:numPr>
        <w:spacing w:before="60"/>
      </w:pPr>
      <w:r w:rsidRPr="008D73A7">
        <w:t>Downwards antenna orientation</w:t>
      </w:r>
      <w:r w:rsidR="0023452B">
        <w:t>;</w:t>
      </w:r>
    </w:p>
    <w:p w14:paraId="39928421" w14:textId="22E792A7" w:rsidR="002B7123" w:rsidRPr="008D73A7" w:rsidRDefault="002B7123" w:rsidP="007E6561">
      <w:pPr>
        <w:pStyle w:val="NumberedList"/>
        <w:keepNext/>
        <w:numPr>
          <w:ilvl w:val="0"/>
          <w:numId w:val="52"/>
        </w:numPr>
        <w:spacing w:before="60"/>
      </w:pPr>
      <w:r w:rsidRPr="008D73A7">
        <w:t xml:space="preserve">For convertible cars, emissions above 0-degree elevation outside the car shall be 15 dB lower than the power levels given in </w:t>
      </w:r>
      <w:r w:rsidR="00F14093">
        <w:fldChar w:fldCharType="begin"/>
      </w:r>
      <w:r w:rsidR="00F14093">
        <w:instrText xml:space="preserve"> REF _Ref142314147 \h </w:instrText>
      </w:r>
      <w:r w:rsidR="00F14093">
        <w:fldChar w:fldCharType="separate"/>
      </w:r>
      <w:r w:rsidR="00F14093" w:rsidRPr="008D73A7">
        <w:t>Table 23</w:t>
      </w:r>
      <w:r w:rsidR="00F14093">
        <w:fldChar w:fldCharType="end"/>
      </w:r>
      <w:r w:rsidR="00F14093">
        <w:t>;</w:t>
      </w:r>
    </w:p>
    <w:p w14:paraId="44E3C7EB" w14:textId="77777777" w:rsidR="002B7123" w:rsidRPr="008D73A7" w:rsidRDefault="002B7123" w:rsidP="007E6561">
      <w:pPr>
        <w:pStyle w:val="NumberedList"/>
        <w:keepNext/>
        <w:numPr>
          <w:ilvl w:val="0"/>
          <w:numId w:val="52"/>
        </w:numPr>
        <w:spacing w:before="60"/>
      </w:pPr>
      <w:r w:rsidRPr="008D73A7">
        <w:t>Minimum 1 GHz bandwidth.</w:t>
      </w:r>
    </w:p>
    <w:p w14:paraId="3CB89148" w14:textId="28F1D4B4" w:rsidR="007F1034" w:rsidRDefault="007F1034" w:rsidP="00415C19">
      <w:pPr>
        <w:pStyle w:val="ECCAnnexheading1"/>
      </w:pPr>
      <w:bookmarkStart w:id="367" w:name="_Toc123634736"/>
      <w:bookmarkStart w:id="368" w:name="_Toc123634826"/>
      <w:bookmarkStart w:id="369" w:name="_Toc135806342"/>
      <w:bookmarkStart w:id="370" w:name="_Toc153443786"/>
      <w:bookmarkStart w:id="371" w:name="_Ref120633805"/>
      <w:bookmarkEnd w:id="364"/>
      <w:r w:rsidRPr="008D73A7">
        <w:lastRenderedPageBreak/>
        <w:t xml:space="preserve">Guidance to CEPT on the </w:t>
      </w:r>
      <w:r w:rsidR="003453D4" w:rsidRPr="008D73A7">
        <w:t>next</w:t>
      </w:r>
      <w:r w:rsidRPr="008D73A7">
        <w:t xml:space="preserve"> Update of the SRD Decision</w:t>
      </w:r>
      <w:r w:rsidR="003453D4" w:rsidRPr="008D73A7">
        <w:t>s</w:t>
      </w:r>
      <w:r w:rsidRPr="008D73A7">
        <w:t xml:space="preserve"> (as per </w:t>
      </w:r>
      <w:r w:rsidR="006116FD">
        <w:t>ECC(21)065</w:t>
      </w:r>
      <w:r w:rsidRPr="008D73A7">
        <w:t>)</w:t>
      </w:r>
      <w:bookmarkEnd w:id="367"/>
      <w:bookmarkEnd w:id="368"/>
      <w:bookmarkEnd w:id="369"/>
      <w:bookmarkEnd w:id="370"/>
    </w:p>
    <w:p w14:paraId="40336C05" w14:textId="4533F3EE" w:rsidR="00A144AF" w:rsidRPr="00A144AF" w:rsidRDefault="00A144AF" w:rsidP="0024005D">
      <w:pPr>
        <w:pStyle w:val="ECCParagraph"/>
        <w:ind w:right="567"/>
      </w:pPr>
      <w:r>
        <w:rPr>
          <w:noProof/>
        </w:rPr>
        <mc:AlternateContent>
          <mc:Choice Requires="wps">
            <w:drawing>
              <wp:inline distT="0" distB="0" distL="0" distR="0" wp14:anchorId="4276F8D6" wp14:editId="5B672653">
                <wp:extent cx="6048953" cy="563271"/>
                <wp:effectExtent l="0" t="0" r="28575" b="27305"/>
                <wp:docPr id="189847761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953" cy="563271"/>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C086B8" w14:textId="77777777" w:rsidR="00104E5C" w:rsidRDefault="00104E5C" w:rsidP="002F586F">
                            <w:pPr>
                              <w:spacing w:before="0" w:line="275" w:lineRule="exact"/>
                              <w:ind w:left="2147" w:right="2150"/>
                              <w:jc w:val="center"/>
                              <w:rPr>
                                <w:b/>
                                <w:sz w:val="24"/>
                              </w:rPr>
                            </w:pPr>
                            <w:r>
                              <w:rPr>
                                <w:b/>
                                <w:smallCaps/>
                                <w:sz w:val="24"/>
                              </w:rPr>
                              <w:t>Guidance</w:t>
                            </w:r>
                            <w:r>
                              <w:rPr>
                                <w:b/>
                                <w:smallCaps/>
                                <w:spacing w:val="-7"/>
                                <w:sz w:val="24"/>
                              </w:rPr>
                              <w:t xml:space="preserve"> </w:t>
                            </w:r>
                            <w:r>
                              <w:rPr>
                                <w:b/>
                                <w:smallCaps/>
                                <w:sz w:val="24"/>
                              </w:rPr>
                              <w:t>to</w:t>
                            </w:r>
                            <w:r>
                              <w:rPr>
                                <w:b/>
                                <w:smallCaps/>
                                <w:spacing w:val="-9"/>
                                <w:sz w:val="24"/>
                              </w:rPr>
                              <w:t xml:space="preserve"> </w:t>
                            </w:r>
                            <w:r>
                              <w:rPr>
                                <w:b/>
                                <w:smallCaps/>
                                <w:spacing w:val="-4"/>
                                <w:sz w:val="24"/>
                              </w:rPr>
                              <w:t>CEPT</w:t>
                            </w:r>
                          </w:p>
                          <w:p w14:paraId="18FD2434" w14:textId="77777777" w:rsidR="00104E5C" w:rsidRDefault="00104E5C" w:rsidP="002F586F">
                            <w:pPr>
                              <w:pStyle w:val="BodyText"/>
                              <w:spacing w:before="10" w:after="10"/>
                              <w:ind w:left="108"/>
                              <w:rPr>
                                <w:b/>
                                <w:sz w:val="20"/>
                              </w:rPr>
                            </w:pPr>
                          </w:p>
                          <w:p w14:paraId="42628CF9" w14:textId="77777777" w:rsidR="00104E5C" w:rsidRDefault="00104E5C" w:rsidP="002F586F">
                            <w:pPr>
                              <w:spacing w:before="0"/>
                              <w:ind w:left="2150" w:right="2150"/>
                              <w:jc w:val="center"/>
                              <w:rPr>
                                <w:b/>
                                <w:sz w:val="24"/>
                              </w:rPr>
                            </w:pPr>
                            <w:r>
                              <w:rPr>
                                <w:b/>
                                <w:smallCaps/>
                                <w:sz w:val="24"/>
                              </w:rPr>
                              <w:t>on</w:t>
                            </w:r>
                            <w:r>
                              <w:rPr>
                                <w:b/>
                                <w:smallCaps/>
                                <w:spacing w:val="-9"/>
                                <w:sz w:val="24"/>
                              </w:rPr>
                              <w:t xml:space="preserve"> </w:t>
                            </w:r>
                            <w:r>
                              <w:rPr>
                                <w:b/>
                                <w:smallCaps/>
                                <w:sz w:val="24"/>
                              </w:rPr>
                              <w:t>the</w:t>
                            </w:r>
                            <w:r>
                              <w:rPr>
                                <w:b/>
                                <w:smallCaps/>
                                <w:spacing w:val="-4"/>
                                <w:sz w:val="24"/>
                              </w:rPr>
                              <w:t xml:space="preserve"> </w:t>
                            </w:r>
                            <w:r>
                              <w:rPr>
                                <w:b/>
                                <w:smallCaps/>
                                <w:sz w:val="24"/>
                              </w:rPr>
                              <w:t>next</w:t>
                            </w:r>
                            <w:r>
                              <w:rPr>
                                <w:b/>
                                <w:smallCaps/>
                                <w:spacing w:val="-5"/>
                                <w:sz w:val="24"/>
                              </w:rPr>
                              <w:t xml:space="preserve"> </w:t>
                            </w:r>
                            <w:r>
                              <w:rPr>
                                <w:b/>
                                <w:smallCaps/>
                                <w:sz w:val="24"/>
                              </w:rPr>
                              <w:t>update</w:t>
                            </w:r>
                            <w:r>
                              <w:rPr>
                                <w:b/>
                                <w:smallCaps/>
                                <w:spacing w:val="-4"/>
                                <w:sz w:val="24"/>
                              </w:rPr>
                              <w:t xml:space="preserve"> </w:t>
                            </w:r>
                            <w:r>
                              <w:rPr>
                                <w:b/>
                                <w:smallCaps/>
                                <w:sz w:val="24"/>
                              </w:rPr>
                              <w:t>of</w:t>
                            </w:r>
                            <w:r>
                              <w:rPr>
                                <w:b/>
                                <w:smallCaps/>
                                <w:spacing w:val="-3"/>
                                <w:sz w:val="24"/>
                              </w:rPr>
                              <w:t xml:space="preserve"> </w:t>
                            </w:r>
                            <w:r>
                              <w:rPr>
                                <w:b/>
                                <w:smallCaps/>
                                <w:sz w:val="24"/>
                              </w:rPr>
                              <w:t>the</w:t>
                            </w:r>
                            <w:r>
                              <w:rPr>
                                <w:b/>
                                <w:smallCaps/>
                                <w:spacing w:val="-5"/>
                                <w:sz w:val="24"/>
                              </w:rPr>
                              <w:t xml:space="preserve"> </w:t>
                            </w:r>
                            <w:r>
                              <w:rPr>
                                <w:b/>
                                <w:smallCaps/>
                                <w:sz w:val="24"/>
                              </w:rPr>
                              <w:t>SRD</w:t>
                            </w:r>
                            <w:r>
                              <w:rPr>
                                <w:b/>
                                <w:smallCaps/>
                                <w:spacing w:val="-13"/>
                                <w:sz w:val="24"/>
                              </w:rPr>
                              <w:t xml:space="preserve"> </w:t>
                            </w:r>
                            <w:r>
                              <w:rPr>
                                <w:b/>
                                <w:smallCaps/>
                                <w:spacing w:val="-2"/>
                                <w:sz w:val="24"/>
                              </w:rPr>
                              <w:t>Decisions</w:t>
                            </w:r>
                          </w:p>
                        </w:txbxContent>
                      </wps:txbx>
                      <wps:bodyPr rot="0" vert="horz" wrap="square" lIns="0" tIns="0" rIns="0" bIns="0" anchor="t" anchorCtr="0" upright="1">
                        <a:noAutofit/>
                      </wps:bodyPr>
                    </wps:wsp>
                  </a:graphicData>
                </a:graphic>
              </wp:inline>
            </w:drawing>
          </mc:Choice>
          <mc:Fallback>
            <w:pict>
              <v:shape w14:anchorId="4276F8D6" id="docshape6" o:spid="_x0000_s1035" type="#_x0000_t202" style="width:476.3pt;height:4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" filled="f" strokeweight=".16936mm">
                <v:textbox inset="0,0,0,0">
                  <w:txbxContent>
                    <w:p w14:paraId="74C086B8" w14:textId="77777777" w:rsidR="00104E5C" w:rsidRDefault="00104E5C" w:rsidP="002F586F">
                      <w:pPr>
                        <w:spacing w:before="0" w:line="275" w:lineRule="exact"/>
                        <w:ind w:left="2147" w:right="2150"/>
                        <w:jc w:val="center"/>
                        <w:rPr>
                          <w:b/>
                          <w:sz w:val="24"/>
                        </w:rPr>
                      </w:pPr>
                      <w:r>
                        <w:rPr>
                          <w:b/>
                          <w:smallCaps/>
                          <w:sz w:val="24"/>
                        </w:rPr>
                        <w:t>Guidance</w:t>
                      </w:r>
                      <w:r>
                        <w:rPr>
                          <w:b/>
                          <w:smallCaps/>
                          <w:spacing w:val="-7"/>
                          <w:sz w:val="24"/>
                        </w:rPr>
                        <w:t xml:space="preserve"> </w:t>
                      </w:r>
                      <w:r>
                        <w:rPr>
                          <w:b/>
                          <w:smallCaps/>
                          <w:sz w:val="24"/>
                        </w:rPr>
                        <w:t>to</w:t>
                      </w:r>
                      <w:r>
                        <w:rPr>
                          <w:b/>
                          <w:smallCaps/>
                          <w:spacing w:val="-9"/>
                          <w:sz w:val="24"/>
                        </w:rPr>
                        <w:t xml:space="preserve"> </w:t>
                      </w:r>
                      <w:r>
                        <w:rPr>
                          <w:b/>
                          <w:smallCaps/>
                          <w:spacing w:val="-4"/>
                          <w:sz w:val="24"/>
                        </w:rPr>
                        <w:t>CEPT</w:t>
                      </w:r>
                    </w:p>
                    <w:p w14:paraId="18FD2434" w14:textId="77777777" w:rsidR="00104E5C" w:rsidRDefault="00104E5C" w:rsidP="002F586F">
                      <w:pPr>
                        <w:pStyle w:val="BodyText"/>
                        <w:spacing w:before="10" w:after="10"/>
                        <w:ind w:left="108"/>
                        <w:rPr>
                          <w:b/>
                          <w:sz w:val="20"/>
                        </w:rPr>
                      </w:pPr>
                    </w:p>
                    <w:p w14:paraId="42628CF9" w14:textId="77777777" w:rsidR="00104E5C" w:rsidRDefault="00104E5C" w:rsidP="002F586F">
                      <w:pPr>
                        <w:spacing w:before="0"/>
                        <w:ind w:left="2150" w:right="2150"/>
                        <w:jc w:val="center"/>
                        <w:rPr>
                          <w:b/>
                          <w:sz w:val="24"/>
                        </w:rPr>
                      </w:pPr>
                      <w:r>
                        <w:rPr>
                          <w:b/>
                          <w:smallCaps/>
                          <w:sz w:val="24"/>
                        </w:rPr>
                        <w:t>on</w:t>
                      </w:r>
                      <w:r>
                        <w:rPr>
                          <w:b/>
                          <w:smallCaps/>
                          <w:spacing w:val="-9"/>
                          <w:sz w:val="24"/>
                        </w:rPr>
                        <w:t xml:space="preserve"> </w:t>
                      </w:r>
                      <w:r>
                        <w:rPr>
                          <w:b/>
                          <w:smallCaps/>
                          <w:sz w:val="24"/>
                        </w:rPr>
                        <w:t>the</w:t>
                      </w:r>
                      <w:r>
                        <w:rPr>
                          <w:b/>
                          <w:smallCaps/>
                          <w:spacing w:val="-4"/>
                          <w:sz w:val="24"/>
                        </w:rPr>
                        <w:t xml:space="preserve"> </w:t>
                      </w:r>
                      <w:r>
                        <w:rPr>
                          <w:b/>
                          <w:smallCaps/>
                          <w:sz w:val="24"/>
                        </w:rPr>
                        <w:t>next</w:t>
                      </w:r>
                      <w:r>
                        <w:rPr>
                          <w:b/>
                          <w:smallCaps/>
                          <w:spacing w:val="-5"/>
                          <w:sz w:val="24"/>
                        </w:rPr>
                        <w:t xml:space="preserve"> </w:t>
                      </w:r>
                      <w:r>
                        <w:rPr>
                          <w:b/>
                          <w:smallCaps/>
                          <w:sz w:val="24"/>
                        </w:rPr>
                        <w:t>update</w:t>
                      </w:r>
                      <w:r>
                        <w:rPr>
                          <w:b/>
                          <w:smallCaps/>
                          <w:spacing w:val="-4"/>
                          <w:sz w:val="24"/>
                        </w:rPr>
                        <w:t xml:space="preserve"> </w:t>
                      </w:r>
                      <w:r>
                        <w:rPr>
                          <w:b/>
                          <w:smallCaps/>
                          <w:sz w:val="24"/>
                        </w:rPr>
                        <w:t>of</w:t>
                      </w:r>
                      <w:r>
                        <w:rPr>
                          <w:b/>
                          <w:smallCaps/>
                          <w:spacing w:val="-3"/>
                          <w:sz w:val="24"/>
                        </w:rPr>
                        <w:t xml:space="preserve"> </w:t>
                      </w:r>
                      <w:r>
                        <w:rPr>
                          <w:b/>
                          <w:smallCaps/>
                          <w:sz w:val="24"/>
                        </w:rPr>
                        <w:t>the</w:t>
                      </w:r>
                      <w:r>
                        <w:rPr>
                          <w:b/>
                          <w:smallCaps/>
                          <w:spacing w:val="-5"/>
                          <w:sz w:val="24"/>
                        </w:rPr>
                        <w:t xml:space="preserve"> </w:t>
                      </w:r>
                      <w:r>
                        <w:rPr>
                          <w:b/>
                          <w:smallCaps/>
                          <w:sz w:val="24"/>
                        </w:rPr>
                        <w:t>SRD</w:t>
                      </w:r>
                      <w:r>
                        <w:rPr>
                          <w:b/>
                          <w:smallCaps/>
                          <w:spacing w:val="-13"/>
                          <w:sz w:val="24"/>
                        </w:rPr>
                        <w:t xml:space="preserve"> </w:t>
                      </w:r>
                      <w:r>
                        <w:rPr>
                          <w:b/>
                          <w:smallCaps/>
                          <w:spacing w:val="-2"/>
                          <w:sz w:val="24"/>
                        </w:rPr>
                        <w:t>Decisions</w:t>
                      </w:r>
                    </w:p>
                  </w:txbxContent>
                </v:textbox>
                <w10:anchorlock/>
              </v:shape>
            </w:pict>
          </mc:Fallback>
        </mc:AlternateContent>
      </w:r>
    </w:p>
    <w:p w14:paraId="5D6BD3A2" w14:textId="4F6E0904" w:rsidR="00C45C3F" w:rsidRPr="002F586F" w:rsidRDefault="00C45C3F" w:rsidP="002F586F">
      <w:pPr>
        <w:pStyle w:val="ECCParagraph"/>
        <w:numPr>
          <w:ilvl w:val="0"/>
          <w:numId w:val="57"/>
        </w:numPr>
        <w:ind w:left="284" w:hanging="284"/>
        <w:rPr>
          <w:rFonts w:ascii="Times New Roman" w:hAnsi="Times New Roman"/>
          <w:b/>
          <w:bCs/>
          <w:sz w:val="24"/>
        </w:rPr>
      </w:pPr>
      <w:r w:rsidRPr="002F586F">
        <w:rPr>
          <w:rFonts w:ascii="Times New Roman" w:hAnsi="Times New Roman"/>
          <w:b/>
          <w:bCs/>
          <w:sz w:val="24"/>
        </w:rPr>
        <w:t>PERMANENT MANDATE ON UPDATING THE TECHNICAL ANNEX TO</w:t>
      </w:r>
      <w:r w:rsidR="009F4409">
        <w:rPr>
          <w:rFonts w:ascii="Times New Roman" w:hAnsi="Times New Roman"/>
          <w:b/>
          <w:bCs/>
          <w:sz w:val="24"/>
        </w:rPr>
        <w:t xml:space="preserve"> </w:t>
      </w:r>
      <w:r w:rsidRPr="002F586F">
        <w:rPr>
          <w:rFonts w:ascii="Times New Roman" w:hAnsi="Times New Roman"/>
          <w:b/>
          <w:bCs/>
          <w:sz w:val="24"/>
        </w:rPr>
        <w:t>SRD DECISIONS (DECISION 2006/771/EC, DECISION (EU) 2018/1538)</w:t>
      </w:r>
    </w:p>
    <w:p w14:paraId="5CFE9585" w14:textId="1278A182" w:rsidR="00C45C3F" w:rsidRPr="002F586F" w:rsidRDefault="00C45C3F" w:rsidP="002F586F">
      <w:pPr>
        <w:pStyle w:val="ECCParagraph"/>
        <w:ind w:right="141"/>
        <w:rPr>
          <w:rFonts w:ascii="Times New Roman" w:hAnsi="Times New Roman"/>
          <w:sz w:val="24"/>
        </w:rPr>
      </w:pPr>
      <w:r w:rsidRPr="002F586F">
        <w:rPr>
          <w:rFonts w:ascii="Times New Roman" w:hAnsi="Times New Roman"/>
          <w:sz w:val="24"/>
        </w:rPr>
        <w:t xml:space="preserve">This document provides the Commission services’ guidance to CEPT for the next update of the technical annex to the </w:t>
      </w:r>
      <w:proofErr w:type="gramStart"/>
      <w:r w:rsidRPr="002F586F">
        <w:rPr>
          <w:rFonts w:ascii="Times New Roman" w:hAnsi="Times New Roman"/>
          <w:sz w:val="24"/>
        </w:rPr>
        <w:t>Short Range</w:t>
      </w:r>
      <w:proofErr w:type="gramEnd"/>
      <w:r w:rsidRPr="002F586F">
        <w:rPr>
          <w:rFonts w:ascii="Times New Roman" w:hAnsi="Times New Roman"/>
          <w:sz w:val="24"/>
        </w:rPr>
        <w:t xml:space="preserve"> Devices (SRD) Decisions – Decision 2006/771/EC and Decision 2018/1538/EU. Both Decisions are jointly referred to as the SRD Decisions. Such guidance is foreseen in the permanent Mandate to CEPT regarding the annual update of the technical annex of the Commission Decision 2006/771/EC on harmonisation of radio spectrum for use by short range devices</w:t>
      </w:r>
      <w:r w:rsidR="00C7379D" w:rsidRPr="002F586F">
        <w:rPr>
          <w:rStyle w:val="FootnoteReference"/>
          <w:rFonts w:ascii="Times New Roman" w:hAnsi="Times New Roman"/>
          <w:sz w:val="24"/>
        </w:rPr>
        <w:footnoteReference w:id="2"/>
      </w:r>
      <w:r w:rsidRPr="002F586F">
        <w:rPr>
          <w:rFonts w:ascii="Times New Roman" w:hAnsi="Times New Roman"/>
          <w:sz w:val="24"/>
        </w:rPr>
        <w:t>. As guiding principles, the proposed evolution of the European regulatory framework for short-range devices should take into due consideration backward compatibility with current SRD systems in harmonised bands and relevant incumbent non-SRD usage, as well as efficient use of spectrum and spectrum sharing. The current guidance takes into account recommendations for further work under the next update which were formulated in the CEPT</w:t>
      </w:r>
      <w:r w:rsidR="00C7379D" w:rsidRPr="002F586F">
        <w:rPr>
          <w:rStyle w:val="FootnoteReference"/>
          <w:rFonts w:ascii="Times New Roman" w:hAnsi="Times New Roman"/>
          <w:sz w:val="24"/>
        </w:rPr>
        <w:footnoteReference w:id="3"/>
      </w:r>
      <w:r w:rsidRPr="002F586F">
        <w:rPr>
          <w:rFonts w:ascii="Times New Roman" w:hAnsi="Times New Roman"/>
          <w:sz w:val="24"/>
        </w:rPr>
        <w:t xml:space="preserve"> Report 77.</w:t>
      </w:r>
    </w:p>
    <w:p w14:paraId="7B40FF24" w14:textId="77777777" w:rsidR="00C45C3F" w:rsidRPr="002F586F" w:rsidRDefault="00C45C3F" w:rsidP="002F586F">
      <w:pPr>
        <w:pStyle w:val="ECCParagraph"/>
        <w:spacing w:before="180" w:after="0"/>
        <w:rPr>
          <w:rFonts w:ascii="Times New Roman" w:hAnsi="Times New Roman"/>
          <w:b/>
          <w:bCs/>
          <w:sz w:val="24"/>
        </w:rPr>
      </w:pPr>
      <w:r w:rsidRPr="002F586F">
        <w:rPr>
          <w:rFonts w:ascii="Times New Roman" w:hAnsi="Times New Roman"/>
          <w:b/>
          <w:bCs/>
          <w:sz w:val="24"/>
        </w:rPr>
        <w:t>2.</w:t>
      </w:r>
      <w:r w:rsidRPr="002F586F">
        <w:rPr>
          <w:rFonts w:ascii="Times New Roman" w:hAnsi="Times New Roman"/>
          <w:sz w:val="24"/>
        </w:rPr>
        <w:tab/>
      </w:r>
      <w:r w:rsidRPr="002F586F">
        <w:rPr>
          <w:rFonts w:ascii="Times New Roman" w:hAnsi="Times New Roman"/>
          <w:b/>
          <w:bCs/>
          <w:sz w:val="24"/>
        </w:rPr>
        <w:t>RECOMMENDED FOCUS FOR THE NEXT UPDATE</w:t>
      </w:r>
    </w:p>
    <w:p w14:paraId="07890B95" w14:textId="77777777" w:rsidR="00C45C3F" w:rsidRPr="002F586F" w:rsidRDefault="00C45C3F" w:rsidP="002F586F">
      <w:pPr>
        <w:pStyle w:val="ECCParagraph"/>
        <w:spacing w:before="216"/>
        <w:rPr>
          <w:rFonts w:ascii="Times New Roman" w:hAnsi="Times New Roman"/>
          <w:sz w:val="24"/>
        </w:rPr>
      </w:pPr>
      <w:r w:rsidRPr="002F586F">
        <w:rPr>
          <w:rFonts w:ascii="Times New Roman" w:hAnsi="Times New Roman"/>
          <w:sz w:val="24"/>
        </w:rPr>
        <w:t>The CEPT regularly adds new entries to the ERC Recommendation 70-03 based on new spectrum demands expressed in the ETSI System Reference documents (SRdocs) and assessed in compatibility studies. The non-mandatory, flexible harmonisation at CEPT level within ERC Recommendation 70-03 is a beneficial source for potential future EU harmonisation. When CEPT identifies potential elements for EU harmonisation and is making proposals accordingly in response to this permanent SRD mandate, relevant entries from ERC 70-03 may be included, as appropriate, into the CEPT report which will the basis for updating the SRD Decisions. This should lead to legally binding implementations across the EU in view of allowing manufacturers and users of SRDs reaping the benefits of the Digital Single Market.</w:t>
      </w:r>
    </w:p>
    <w:p w14:paraId="755E4876" w14:textId="77777777" w:rsidR="00C45C3F" w:rsidRPr="002F586F" w:rsidRDefault="00C45C3F" w:rsidP="00F014FB">
      <w:pPr>
        <w:pStyle w:val="ECCParagraph"/>
        <w:rPr>
          <w:rFonts w:ascii="Times New Roman" w:hAnsi="Times New Roman"/>
          <w:sz w:val="24"/>
        </w:rPr>
      </w:pPr>
      <w:r w:rsidRPr="002F586F">
        <w:rPr>
          <w:rFonts w:ascii="Times New Roman" w:hAnsi="Times New Roman"/>
          <w:sz w:val="24"/>
        </w:rPr>
        <w:t>The Commission invites CEPT to:</w:t>
      </w:r>
    </w:p>
    <w:p w14:paraId="7D7A5DFD" w14:textId="197AC246" w:rsidR="00C45C3F" w:rsidRPr="002F586F" w:rsidRDefault="00C45C3F" w:rsidP="002F586F">
      <w:pPr>
        <w:pStyle w:val="ECCParagraph"/>
        <w:numPr>
          <w:ilvl w:val="0"/>
          <w:numId w:val="58"/>
        </w:numPr>
        <w:rPr>
          <w:rFonts w:ascii="Times New Roman" w:hAnsi="Times New Roman"/>
          <w:i/>
          <w:iCs/>
          <w:sz w:val="24"/>
        </w:rPr>
      </w:pPr>
      <w:r w:rsidRPr="002F586F">
        <w:rPr>
          <w:rFonts w:ascii="Times New Roman" w:hAnsi="Times New Roman"/>
          <w:i/>
          <w:iCs/>
          <w:sz w:val="24"/>
        </w:rPr>
        <w:t>Consider the bands recently added or currently under discussion for addition to ERC Recommendation 70-03 with a potential for EU harmonisation and for potential inclusion in the next update of the SRD Decision 2006/771/EC;</w:t>
      </w:r>
    </w:p>
    <w:p w14:paraId="7D842521" w14:textId="596618E9" w:rsidR="00C45C3F" w:rsidRPr="002F586F" w:rsidRDefault="00C45C3F" w:rsidP="00C45C3F">
      <w:pPr>
        <w:pStyle w:val="ECCParagraph"/>
        <w:rPr>
          <w:rFonts w:ascii="Times New Roman" w:hAnsi="Times New Roman"/>
          <w:sz w:val="24"/>
        </w:rPr>
      </w:pPr>
      <w:r w:rsidRPr="002F586F">
        <w:rPr>
          <w:rFonts w:ascii="Times New Roman" w:hAnsi="Times New Roman"/>
          <w:sz w:val="24"/>
        </w:rPr>
        <w:t>A comprehensive review of terminology and definitions should be undertaken with the aim to improve their clarity. As suggested by CEPT Report 77, this work item should be considered as a broader and more general follow-up on task b) from the 8th update. The above task is focussing on re-assessing the technical parameters, in particular related to</w:t>
      </w:r>
      <w:r w:rsidR="002023C4" w:rsidRPr="002F586F">
        <w:rPr>
          <w:rFonts w:ascii="Times New Roman" w:hAnsi="Times New Roman"/>
          <w:sz w:val="24"/>
        </w:rPr>
        <w:t xml:space="preserve"> </w:t>
      </w:r>
      <w:r w:rsidRPr="002F586F">
        <w:rPr>
          <w:rFonts w:ascii="Times New Roman" w:hAnsi="Times New Roman"/>
          <w:sz w:val="24"/>
        </w:rPr>
        <w:t xml:space="preserve">'other usage restrictions' of the relevant </w:t>
      </w:r>
      <w:r w:rsidRPr="002F586F">
        <w:rPr>
          <w:rFonts w:ascii="Times New Roman" w:hAnsi="Times New Roman"/>
          <w:sz w:val="24"/>
        </w:rPr>
        <w:lastRenderedPageBreak/>
        <w:t>SRD categories in both SRD Decisions 2006/771/EC (as amended) and (EU) 2018/1538 (as amended).</w:t>
      </w:r>
    </w:p>
    <w:p w14:paraId="4F04DE3D" w14:textId="77777777" w:rsidR="00C45C3F" w:rsidRPr="002F586F" w:rsidRDefault="00C45C3F" w:rsidP="002F586F">
      <w:pPr>
        <w:pStyle w:val="ECCParagraph"/>
        <w:spacing w:after="200"/>
        <w:rPr>
          <w:rFonts w:ascii="Times New Roman" w:hAnsi="Times New Roman"/>
          <w:sz w:val="24"/>
        </w:rPr>
      </w:pPr>
      <w:r w:rsidRPr="002F586F">
        <w:rPr>
          <w:rFonts w:ascii="Times New Roman" w:hAnsi="Times New Roman"/>
          <w:sz w:val="24"/>
        </w:rPr>
        <w:t>The Commission invites CEPT to:</w:t>
      </w:r>
    </w:p>
    <w:p w14:paraId="7A2E88E7" w14:textId="77777777" w:rsidR="00C45C3F" w:rsidRPr="002F586F" w:rsidRDefault="00C45C3F" w:rsidP="002F586F">
      <w:pPr>
        <w:pStyle w:val="ECCParagraph"/>
        <w:spacing w:after="200"/>
        <w:ind w:left="1134" w:hanging="425"/>
        <w:rPr>
          <w:rFonts w:ascii="Times New Roman" w:hAnsi="Times New Roman"/>
          <w:i/>
          <w:iCs/>
          <w:sz w:val="24"/>
        </w:rPr>
      </w:pPr>
      <w:r w:rsidRPr="002F586F">
        <w:rPr>
          <w:rFonts w:ascii="Times New Roman" w:hAnsi="Times New Roman"/>
          <w:i/>
          <w:iCs/>
          <w:sz w:val="24"/>
        </w:rPr>
        <w:t>b.</w:t>
      </w:r>
      <w:r w:rsidRPr="002F586F">
        <w:rPr>
          <w:rFonts w:ascii="Times New Roman" w:hAnsi="Times New Roman"/>
          <w:i/>
          <w:iCs/>
          <w:sz w:val="24"/>
        </w:rPr>
        <w:tab/>
        <w:t>Review terminology and definitions contained in both SRD Decisions 2006/771/EC and (EU) 2018/1538 (as amended) with the aim to closely align, as appropriate, with the terminology used in ERC Recommendation 70-03 and to provide more clarity, as appropriate, with respect to the use of the relevant technical terms used in the SRD legislative framework;</w:t>
      </w:r>
    </w:p>
    <w:p w14:paraId="4BE29A88" w14:textId="77777777" w:rsidR="00C45C3F" w:rsidRPr="002F586F" w:rsidRDefault="00C45C3F" w:rsidP="00C45C3F">
      <w:pPr>
        <w:pStyle w:val="ECCParagraph"/>
        <w:rPr>
          <w:rFonts w:ascii="Times New Roman" w:hAnsi="Times New Roman"/>
          <w:sz w:val="24"/>
        </w:rPr>
      </w:pPr>
      <w:r w:rsidRPr="002F586F">
        <w:rPr>
          <w:rFonts w:ascii="Times New Roman" w:hAnsi="Times New Roman"/>
          <w:sz w:val="24"/>
        </w:rPr>
        <w:t>Radio spectrum resources are scarce and need to be used efficiently. Spectrum sharing is important in achieving this goal. Spectrum usage rules, i.e. radio interface specifications including spectrum sharing rules, fall under the competence of the spectrum managers. In the interest of promoting regulatory certainty, the technical conditions for spectrum sharing, resulting from CEPT studies should provide a clear framework for the development of harmonised standards by ETSI in order to implement the essential requirements of the equipment regulation, notably Article 3.2 of the Radio Equipment Directive.</w:t>
      </w:r>
    </w:p>
    <w:p w14:paraId="2B1D4058" w14:textId="77777777" w:rsidR="00C45C3F" w:rsidRPr="002F586F" w:rsidRDefault="00C45C3F" w:rsidP="002F586F">
      <w:pPr>
        <w:pStyle w:val="ECCParagraph"/>
        <w:spacing w:after="200"/>
        <w:rPr>
          <w:rFonts w:ascii="Times New Roman" w:hAnsi="Times New Roman"/>
          <w:sz w:val="24"/>
        </w:rPr>
      </w:pPr>
      <w:r w:rsidRPr="002F586F">
        <w:rPr>
          <w:rFonts w:ascii="Times New Roman" w:hAnsi="Times New Roman"/>
          <w:sz w:val="24"/>
        </w:rPr>
        <w:t>The Commission invites CEPT to:</w:t>
      </w:r>
    </w:p>
    <w:p w14:paraId="02F7BE55" w14:textId="77777777" w:rsidR="00C45C3F" w:rsidRPr="002F586F" w:rsidRDefault="00C45C3F" w:rsidP="002F586F">
      <w:pPr>
        <w:pStyle w:val="ECCParagraph"/>
        <w:spacing w:after="200"/>
        <w:ind w:left="1276" w:hanging="425"/>
        <w:rPr>
          <w:rFonts w:ascii="Times New Roman" w:hAnsi="Times New Roman"/>
          <w:i/>
          <w:iCs/>
          <w:sz w:val="24"/>
        </w:rPr>
      </w:pPr>
      <w:r w:rsidRPr="002F586F">
        <w:rPr>
          <w:rFonts w:ascii="Times New Roman" w:hAnsi="Times New Roman"/>
          <w:i/>
          <w:iCs/>
          <w:sz w:val="24"/>
        </w:rPr>
        <w:t>c.</w:t>
      </w:r>
      <w:r w:rsidRPr="002F586F">
        <w:rPr>
          <w:rFonts w:ascii="Times New Roman" w:hAnsi="Times New Roman"/>
          <w:i/>
          <w:iCs/>
          <w:sz w:val="24"/>
        </w:rPr>
        <w:tab/>
        <w:t>Investigate, as appropriate, the development of basic solutions for spectrum sharing and relevant mitigation techniques (e.g. duty cycle mechanisms, channelling and/or channel access and occupational rules), in a technology neutral way, in order to address relevant requirements of both SRD Decisions 2006/771/EC and (EU) 2018/1538 (as amended);</w:t>
      </w:r>
    </w:p>
    <w:p w14:paraId="37ED70CB" w14:textId="44C5011C" w:rsidR="00C45C3F" w:rsidRPr="002F586F" w:rsidRDefault="00C45C3F" w:rsidP="00C45C3F">
      <w:pPr>
        <w:pStyle w:val="ECCParagraph"/>
        <w:rPr>
          <w:rFonts w:ascii="Times New Roman" w:hAnsi="Times New Roman"/>
          <w:sz w:val="24"/>
        </w:rPr>
      </w:pPr>
      <w:r w:rsidRPr="002F586F">
        <w:rPr>
          <w:rFonts w:ascii="Times New Roman" w:hAnsi="Times New Roman"/>
          <w:sz w:val="24"/>
        </w:rPr>
        <w:t>Radio spectrum resources can be shared in frequency, time and space. Cognitive techniques</w:t>
      </w:r>
      <w:r w:rsidR="004D2EB3" w:rsidRPr="002F586F">
        <w:rPr>
          <w:rStyle w:val="FootnoteReference"/>
          <w:rFonts w:ascii="Times New Roman" w:hAnsi="Times New Roman"/>
          <w:sz w:val="24"/>
        </w:rPr>
        <w:footnoteReference w:id="4"/>
      </w:r>
      <w:r w:rsidRPr="002F586F">
        <w:rPr>
          <w:rFonts w:ascii="Times New Roman" w:hAnsi="Times New Roman"/>
          <w:sz w:val="24"/>
        </w:rPr>
        <w:t>3, can be considered as a separate and specific category of sharing solutions, allowing for more efficient use of spectrum by sharing along all three above dimensions. In this context, cognitive-radio enabled SRDs could open new frequency bands for SRDs in the future. CEPT Report 59 contains an initial analysis of cognitive techniques for SRDs and concludes that such an approach to spectrum usage could be further encouraged by rewarding principles (e.g., increased duty cycle allowances when certain cognitive techniques are applied).</w:t>
      </w:r>
    </w:p>
    <w:p w14:paraId="2B13CEB8" w14:textId="77777777" w:rsidR="00C45C3F" w:rsidRPr="002F586F" w:rsidRDefault="00C45C3F" w:rsidP="002F586F">
      <w:pPr>
        <w:pStyle w:val="ECCParagraph"/>
        <w:spacing w:after="200"/>
        <w:rPr>
          <w:rFonts w:ascii="Times New Roman" w:hAnsi="Times New Roman"/>
          <w:sz w:val="24"/>
        </w:rPr>
      </w:pPr>
      <w:r w:rsidRPr="002F586F">
        <w:rPr>
          <w:rFonts w:ascii="Times New Roman" w:hAnsi="Times New Roman"/>
          <w:sz w:val="24"/>
        </w:rPr>
        <w:t>The Commission invites CEPT to:</w:t>
      </w:r>
    </w:p>
    <w:p w14:paraId="18597519" w14:textId="77777777" w:rsidR="00C45C3F" w:rsidRPr="002F586F" w:rsidRDefault="00C45C3F" w:rsidP="002F586F">
      <w:pPr>
        <w:pStyle w:val="ECCParagraph"/>
        <w:spacing w:after="200"/>
        <w:ind w:left="1134" w:hanging="425"/>
        <w:rPr>
          <w:rFonts w:ascii="Times New Roman" w:hAnsi="Times New Roman"/>
          <w:i/>
          <w:iCs/>
          <w:sz w:val="24"/>
        </w:rPr>
      </w:pPr>
      <w:r w:rsidRPr="002F586F">
        <w:rPr>
          <w:rFonts w:ascii="Times New Roman" w:hAnsi="Times New Roman"/>
          <w:i/>
          <w:iCs/>
          <w:sz w:val="24"/>
        </w:rPr>
        <w:t>d.</w:t>
      </w:r>
      <w:r w:rsidRPr="002F586F">
        <w:rPr>
          <w:rFonts w:ascii="Times New Roman" w:hAnsi="Times New Roman"/>
          <w:i/>
          <w:iCs/>
          <w:sz w:val="24"/>
        </w:rPr>
        <w:tab/>
        <w:t>Investigate opportunities for cognitive-radio enabled SRDs where rewarding principles could be introduced taking, as appropriate, into account relevant requests from stakeholders;</w:t>
      </w:r>
    </w:p>
    <w:p w14:paraId="5AE7B936" w14:textId="3A52456B" w:rsidR="00C45C3F" w:rsidRPr="002F586F" w:rsidRDefault="00C45C3F" w:rsidP="00C45C3F">
      <w:pPr>
        <w:pStyle w:val="ECCParagraph"/>
        <w:rPr>
          <w:rFonts w:ascii="Times New Roman" w:hAnsi="Times New Roman"/>
          <w:sz w:val="24"/>
        </w:rPr>
      </w:pPr>
      <w:r w:rsidRPr="002F586F">
        <w:rPr>
          <w:rFonts w:ascii="Times New Roman" w:hAnsi="Times New Roman"/>
          <w:sz w:val="24"/>
        </w:rPr>
        <w:t>Concerning the various above tasks relating to Implementing Decision (EU) 2018/1538 (as amended), CEPT should take due consideration of the harmonised use of Railway Mobile Radio (RMR) in the paired frequency bands 874.4-880.0 MHz and 919.4-925.0 MHz subject to Commission Implementing Decision (EU) 2021/1730. When addressing these tasks, the coexistence and regulatory status, where relevant, between SRDs in the 874-874,4 MHz and 917,4-919,4 MHz frequency bands and RMR in the adjacent</w:t>
      </w:r>
      <w:r w:rsidR="00223C09">
        <w:rPr>
          <w:rFonts w:ascii="Times New Roman" w:hAnsi="Times New Roman"/>
          <w:sz w:val="24"/>
        </w:rPr>
        <w:t xml:space="preserve"> </w:t>
      </w:r>
      <w:r w:rsidRPr="002F586F">
        <w:rPr>
          <w:rFonts w:ascii="Times New Roman" w:hAnsi="Times New Roman"/>
          <w:sz w:val="24"/>
        </w:rPr>
        <w:t xml:space="preserve">frequency bands 874.4-880.0 MHz and 919.4-925.0 MHz as well as the </w:t>
      </w:r>
      <w:r w:rsidRPr="002F586F">
        <w:rPr>
          <w:rFonts w:ascii="Times New Roman" w:hAnsi="Times New Roman"/>
          <w:sz w:val="24"/>
        </w:rPr>
        <w:lastRenderedPageBreak/>
        <w:t>incumbent use in the bands covered by Implementing Decision (EU) 2018/1538 (as amended) shall be considered.</w:t>
      </w:r>
    </w:p>
    <w:p w14:paraId="0B24443A" w14:textId="77777777" w:rsidR="00C45C3F" w:rsidRPr="002F586F" w:rsidRDefault="00C45C3F" w:rsidP="00FE6331">
      <w:pPr>
        <w:pStyle w:val="ECCParagraph"/>
        <w:rPr>
          <w:rFonts w:ascii="Times New Roman" w:hAnsi="Times New Roman"/>
          <w:b/>
          <w:bCs/>
          <w:sz w:val="24"/>
        </w:rPr>
      </w:pPr>
      <w:r w:rsidRPr="002F586F">
        <w:rPr>
          <w:rFonts w:ascii="Times New Roman" w:hAnsi="Times New Roman"/>
          <w:b/>
          <w:bCs/>
          <w:sz w:val="24"/>
        </w:rPr>
        <w:t>3.</w:t>
      </w:r>
      <w:r w:rsidRPr="002F586F">
        <w:rPr>
          <w:rFonts w:ascii="Times New Roman" w:hAnsi="Times New Roman"/>
          <w:b/>
          <w:bCs/>
          <w:sz w:val="24"/>
        </w:rPr>
        <w:tab/>
        <w:t>ROADMAP FOR THE NEXT UPDATE CYCLE</w:t>
      </w:r>
    </w:p>
    <w:p w14:paraId="095A1D58" w14:textId="77777777" w:rsidR="00C45C3F" w:rsidRPr="002F586F" w:rsidRDefault="00C45C3F" w:rsidP="002F586F">
      <w:pPr>
        <w:pStyle w:val="ECCParagraph"/>
        <w:ind w:left="1440" w:hanging="720"/>
        <w:rPr>
          <w:rFonts w:ascii="Times New Roman" w:hAnsi="Times New Roman"/>
          <w:sz w:val="24"/>
        </w:rPr>
      </w:pPr>
      <w:r w:rsidRPr="002F586F">
        <w:rPr>
          <w:rFonts w:ascii="Times New Roman" w:hAnsi="Times New Roman"/>
          <w:sz w:val="24"/>
        </w:rPr>
        <w:t>1.</w:t>
      </w:r>
      <w:r w:rsidRPr="002F586F">
        <w:rPr>
          <w:rFonts w:ascii="Times New Roman" w:hAnsi="Times New Roman"/>
          <w:sz w:val="24"/>
        </w:rPr>
        <w:tab/>
        <w:t>ECC (November 2021): launch of the next update cycle. CEPT to start work on the update proposal pursuant to the permanent Mandate and the current guidance document.</w:t>
      </w:r>
    </w:p>
    <w:p w14:paraId="61247C41" w14:textId="77777777" w:rsidR="00C45C3F" w:rsidRPr="002F586F" w:rsidRDefault="00C45C3F" w:rsidP="002F586F">
      <w:pPr>
        <w:pStyle w:val="ECCParagraph"/>
        <w:ind w:left="720"/>
        <w:rPr>
          <w:rFonts w:ascii="Times New Roman" w:hAnsi="Times New Roman"/>
          <w:sz w:val="24"/>
        </w:rPr>
      </w:pPr>
      <w:r w:rsidRPr="002F586F">
        <w:rPr>
          <w:rFonts w:ascii="Times New Roman" w:hAnsi="Times New Roman"/>
          <w:sz w:val="24"/>
        </w:rPr>
        <w:t>2.</w:t>
      </w:r>
      <w:r w:rsidRPr="002F586F">
        <w:rPr>
          <w:rFonts w:ascii="Times New Roman" w:hAnsi="Times New Roman"/>
          <w:sz w:val="24"/>
        </w:rPr>
        <w:tab/>
        <w:t>ECC (June 2023): Approval for public consultation of the draft CEPT report.</w:t>
      </w:r>
    </w:p>
    <w:p w14:paraId="4FBFA7CC" w14:textId="77777777" w:rsidR="00C45C3F" w:rsidRPr="002F586F" w:rsidRDefault="00C45C3F" w:rsidP="002F586F">
      <w:pPr>
        <w:pStyle w:val="ECCParagraph"/>
        <w:ind w:left="1440" w:hanging="720"/>
        <w:rPr>
          <w:rFonts w:ascii="Times New Roman" w:hAnsi="Times New Roman"/>
          <w:sz w:val="24"/>
        </w:rPr>
      </w:pPr>
      <w:r w:rsidRPr="002F586F">
        <w:rPr>
          <w:rFonts w:ascii="Times New Roman" w:hAnsi="Times New Roman"/>
          <w:sz w:val="24"/>
        </w:rPr>
        <w:t>3.</w:t>
      </w:r>
      <w:r w:rsidRPr="002F586F">
        <w:rPr>
          <w:rFonts w:ascii="Times New Roman" w:hAnsi="Times New Roman"/>
          <w:sz w:val="24"/>
        </w:rPr>
        <w:tab/>
        <w:t>RSC (July 2023): CEPT to submit its draft report (subject to public consultation) pursuant to the permanent Mandate. Commission services to examine the CEPT proposal for the amendment of the technical annex to the SRD Decisions.</w:t>
      </w:r>
    </w:p>
    <w:p w14:paraId="06952351" w14:textId="77777777" w:rsidR="00C45C3F" w:rsidRPr="002F586F" w:rsidRDefault="00C45C3F" w:rsidP="002F586F">
      <w:pPr>
        <w:pStyle w:val="ECCParagraph"/>
        <w:ind w:left="1440" w:hanging="720"/>
        <w:rPr>
          <w:rFonts w:ascii="Times New Roman" w:hAnsi="Times New Roman"/>
          <w:sz w:val="24"/>
        </w:rPr>
      </w:pPr>
      <w:r w:rsidRPr="002F586F">
        <w:rPr>
          <w:rFonts w:ascii="Times New Roman" w:hAnsi="Times New Roman"/>
          <w:sz w:val="24"/>
        </w:rPr>
        <w:t>4.</w:t>
      </w:r>
      <w:r w:rsidRPr="002F586F">
        <w:rPr>
          <w:rFonts w:ascii="Times New Roman" w:hAnsi="Times New Roman"/>
          <w:sz w:val="24"/>
        </w:rPr>
        <w:tab/>
        <w:t>RSC (March 2024): CEPT to submit its final report to function as basis of any subsequent draft Commission Implementing Decision updating the technical annex to Decision 2006/771/EC and draft Commission Implementing Decision updating the technical annex to Decision (EU) 2018/1538.</w:t>
      </w:r>
    </w:p>
    <w:p w14:paraId="2278849D" w14:textId="77777777" w:rsidR="00C45C3F" w:rsidRPr="002F586F" w:rsidRDefault="00C45C3F" w:rsidP="00C45C3F">
      <w:pPr>
        <w:pStyle w:val="ECCParagraph"/>
        <w:rPr>
          <w:rFonts w:ascii="Times New Roman" w:hAnsi="Times New Roman"/>
          <w:sz w:val="24"/>
        </w:rPr>
      </w:pPr>
    </w:p>
    <w:p w14:paraId="048438A1" w14:textId="77777777" w:rsidR="00C45C3F" w:rsidRPr="002F586F" w:rsidRDefault="00C45C3F" w:rsidP="002F586F">
      <w:pPr>
        <w:pStyle w:val="ECCParagraph"/>
        <w:jc w:val="center"/>
        <w:rPr>
          <w:rFonts w:ascii="Times New Roman" w:hAnsi="Times New Roman"/>
          <w:sz w:val="24"/>
        </w:rPr>
      </w:pPr>
      <w:r w:rsidRPr="002F586F">
        <w:rPr>
          <w:rFonts w:ascii="Times New Roman" w:hAnsi="Times New Roman"/>
          <w:sz w:val="24"/>
        </w:rPr>
        <w:t>***</w:t>
      </w:r>
    </w:p>
    <w:p w14:paraId="1585F7F2" w14:textId="77777777" w:rsidR="00C45C3F" w:rsidRDefault="00C45C3F" w:rsidP="00C45C3F">
      <w:pPr>
        <w:pStyle w:val="ECCParagraph"/>
      </w:pPr>
    </w:p>
    <w:p w14:paraId="32DF4BB1" w14:textId="099659B6" w:rsidR="00BC45DB" w:rsidRDefault="00C45C3F" w:rsidP="002F586F">
      <w:pPr>
        <w:pStyle w:val="ECCParagraph"/>
        <w:numPr>
          <w:ilvl w:val="0"/>
          <w:numId w:val="56"/>
        </w:numPr>
      </w:pPr>
      <w:r>
        <w:t>Electronically signed on 21/10/2021 12:34 (UTC+02) in accordance with article 11 of Commission Decision C(2020) 4482</w:t>
      </w:r>
    </w:p>
    <w:p w14:paraId="3EFC1927" w14:textId="2384F55F" w:rsidR="006C2C39" w:rsidRPr="008D73A7" w:rsidRDefault="006C5CEB" w:rsidP="00415C19">
      <w:pPr>
        <w:pStyle w:val="ECCAnnexheading1"/>
      </w:pPr>
      <w:bookmarkStart w:id="372" w:name="_Ref122350611"/>
      <w:bookmarkStart w:id="373" w:name="_Toc123634737"/>
      <w:bookmarkStart w:id="374" w:name="_Toc123634827"/>
      <w:bookmarkStart w:id="375" w:name="_Toc135806343"/>
      <w:bookmarkStart w:id="376" w:name="_Toc153443787"/>
      <w:bookmarkEnd w:id="371"/>
      <w:r w:rsidRPr="008D73A7">
        <w:lastRenderedPageBreak/>
        <w:t>CEPT Mandate</w:t>
      </w:r>
      <w:bookmarkEnd w:id="372"/>
      <w:bookmarkEnd w:id="373"/>
      <w:bookmarkEnd w:id="374"/>
      <w:bookmarkEnd w:id="375"/>
      <w:bookmarkEnd w:id="376"/>
    </w:p>
    <w:p w14:paraId="442931A1" w14:textId="77777777" w:rsidR="006C5CEB" w:rsidRPr="008D73A7" w:rsidRDefault="006C5CEB" w:rsidP="006C5CEB">
      <w:pPr>
        <w:rPr>
          <w:lang w:val="en-GB"/>
        </w:rPr>
      </w:pPr>
    </w:p>
    <w:p w14:paraId="3787208A" w14:textId="77777777" w:rsidR="004F7BFF" w:rsidRPr="008D73A7" w:rsidRDefault="004F7BFF" w:rsidP="004F7BFF">
      <w:pPr>
        <w:widowControl w:val="0"/>
        <w:autoSpaceDE w:val="0"/>
        <w:autoSpaceDN w:val="0"/>
        <w:adjustRightInd w:val="0"/>
        <w:ind w:left="1820"/>
        <w:rPr>
          <w:rFonts w:cs="Arial"/>
          <w:sz w:val="24"/>
          <w:lang w:val="en-GB"/>
        </w:rPr>
      </w:pPr>
      <w:r w:rsidRPr="008D73A7">
        <w:rPr>
          <w:rFonts w:cs="Arial"/>
          <w:noProof/>
          <w:sz w:val="24"/>
          <w:lang w:val="en-GB" w:eastAsia="fr-FR"/>
        </w:rPr>
        <w:drawing>
          <wp:anchor distT="0" distB="0" distL="114300" distR="114300" simplePos="0" relativeHeight="251658243" behindDoc="1" locked="0" layoutInCell="0" allowOverlap="1" wp14:anchorId="48BC415A" wp14:editId="7923FFF8">
            <wp:simplePos x="0" y="0"/>
            <wp:positionH relativeFrom="column">
              <wp:posOffset>28575</wp:posOffset>
            </wp:positionH>
            <wp:positionV relativeFrom="paragraph">
              <wp:posOffset>10316</wp:posOffset>
            </wp:positionV>
            <wp:extent cx="1009015" cy="673100"/>
            <wp:effectExtent l="0" t="0" r="635"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009015" cy="673100"/>
                    </a:xfrm>
                    <a:prstGeom prst="rect">
                      <a:avLst/>
                    </a:prstGeom>
                    <a:noFill/>
                  </pic:spPr>
                </pic:pic>
              </a:graphicData>
            </a:graphic>
          </wp:anchor>
        </w:drawing>
      </w:r>
      <w:r w:rsidRPr="008D73A7">
        <w:rPr>
          <w:rFonts w:cs="Arial"/>
          <w:sz w:val="24"/>
          <w:lang w:val="en-GB"/>
        </w:rPr>
        <w:t>EUROPEAN COMMISSION</w:t>
      </w:r>
    </w:p>
    <w:p w14:paraId="55F813D1" w14:textId="77777777" w:rsidR="004F7BFF" w:rsidRPr="008D73A7" w:rsidRDefault="004F7BFF" w:rsidP="004F7BFF">
      <w:pPr>
        <w:widowControl w:val="0"/>
        <w:autoSpaceDE w:val="0"/>
        <w:autoSpaceDN w:val="0"/>
        <w:adjustRightInd w:val="0"/>
        <w:spacing w:after="120"/>
        <w:ind w:left="1820"/>
        <w:rPr>
          <w:rFonts w:cs="Arial"/>
          <w:sz w:val="18"/>
          <w:szCs w:val="18"/>
          <w:lang w:val="en-GB"/>
        </w:rPr>
      </w:pPr>
      <w:r w:rsidRPr="008D73A7">
        <w:rPr>
          <w:rFonts w:cs="Arial"/>
          <w:sz w:val="18"/>
          <w:szCs w:val="18"/>
          <w:lang w:val="en-GB"/>
        </w:rPr>
        <w:t>Information Society and Media Directorate-General</w:t>
      </w:r>
    </w:p>
    <w:p w14:paraId="291D26EC" w14:textId="77777777" w:rsidR="004F7BFF" w:rsidRPr="008D73A7" w:rsidRDefault="004F7BFF" w:rsidP="004F7BFF">
      <w:pPr>
        <w:widowControl w:val="0"/>
        <w:autoSpaceDE w:val="0"/>
        <w:autoSpaceDN w:val="0"/>
        <w:adjustRightInd w:val="0"/>
        <w:ind w:left="1820"/>
        <w:rPr>
          <w:rFonts w:cs="Arial"/>
          <w:sz w:val="18"/>
          <w:szCs w:val="18"/>
          <w:lang w:val="en-GB"/>
        </w:rPr>
      </w:pPr>
      <w:r w:rsidRPr="008D73A7">
        <w:rPr>
          <w:rFonts w:cs="Arial"/>
          <w:sz w:val="18"/>
          <w:szCs w:val="18"/>
          <w:lang w:val="en-GB"/>
        </w:rPr>
        <w:t>Electronic Communications Policy</w:t>
      </w:r>
    </w:p>
    <w:p w14:paraId="5E6AF816" w14:textId="77777777" w:rsidR="004F7BFF" w:rsidRPr="008D73A7" w:rsidRDefault="004F7BFF" w:rsidP="004F7BFF">
      <w:pPr>
        <w:widowControl w:val="0"/>
        <w:autoSpaceDE w:val="0"/>
        <w:autoSpaceDN w:val="0"/>
        <w:adjustRightInd w:val="0"/>
        <w:ind w:left="1820"/>
        <w:rPr>
          <w:rFonts w:cs="Arial"/>
          <w:b/>
          <w:bCs/>
          <w:sz w:val="18"/>
          <w:szCs w:val="18"/>
          <w:lang w:val="en-GB"/>
        </w:rPr>
      </w:pPr>
      <w:r w:rsidRPr="008D73A7">
        <w:rPr>
          <w:rFonts w:cs="Arial"/>
          <w:b/>
          <w:bCs/>
          <w:sz w:val="18"/>
          <w:szCs w:val="18"/>
          <w:lang w:val="en-GB"/>
        </w:rPr>
        <w:t>Radio Spectrum Policy</w:t>
      </w:r>
    </w:p>
    <w:p w14:paraId="3E1BA1DF" w14:textId="77777777" w:rsidR="006C5CEB" w:rsidRPr="008D73A7" w:rsidRDefault="006C5CEB" w:rsidP="006C5CEB">
      <w:pPr>
        <w:widowControl w:val="0"/>
        <w:autoSpaceDE w:val="0"/>
        <w:autoSpaceDN w:val="0"/>
        <w:adjustRightInd w:val="0"/>
        <w:spacing w:after="240" w:line="200" w:lineRule="exact"/>
        <w:rPr>
          <w:rFonts w:ascii="Times New Roman" w:hAnsi="Times New Roman"/>
          <w:sz w:val="24"/>
          <w:lang w:val="en-GB"/>
        </w:rPr>
      </w:pPr>
    </w:p>
    <w:p w14:paraId="451DBAA8" w14:textId="77777777" w:rsidR="006C5CEB" w:rsidRPr="008D73A7" w:rsidRDefault="006C5CEB" w:rsidP="006C5CEB">
      <w:pPr>
        <w:widowControl w:val="0"/>
        <w:autoSpaceDE w:val="0"/>
        <w:autoSpaceDN w:val="0"/>
        <w:adjustRightInd w:val="0"/>
        <w:spacing w:after="240" w:line="207" w:lineRule="exact"/>
        <w:rPr>
          <w:rFonts w:ascii="Times New Roman" w:hAnsi="Times New Roman"/>
          <w:sz w:val="24"/>
          <w:lang w:val="en-GB"/>
        </w:rPr>
      </w:pPr>
    </w:p>
    <w:p w14:paraId="138B0703" w14:textId="77777777" w:rsidR="004F7BFF" w:rsidRPr="008D73A7" w:rsidRDefault="004F7BFF" w:rsidP="004F7BFF">
      <w:pPr>
        <w:widowControl w:val="0"/>
        <w:autoSpaceDE w:val="0"/>
        <w:autoSpaceDN w:val="0"/>
        <w:adjustRightInd w:val="0"/>
        <w:ind w:left="5120"/>
        <w:rPr>
          <w:rFonts w:ascii="Times New Roman" w:hAnsi="Times New Roman"/>
          <w:sz w:val="24"/>
          <w:lang w:val="en-GB"/>
        </w:rPr>
      </w:pPr>
      <w:r w:rsidRPr="008D73A7">
        <w:rPr>
          <w:rFonts w:ascii="Times New Roman" w:hAnsi="Times New Roman"/>
          <w:sz w:val="24"/>
          <w:lang w:val="en-GB"/>
        </w:rPr>
        <w:t>Brussels, 5 July 2006</w:t>
      </w:r>
    </w:p>
    <w:p w14:paraId="5798C7AB" w14:textId="77777777" w:rsidR="004F7BFF" w:rsidRPr="008D73A7" w:rsidRDefault="004F7BFF" w:rsidP="004F7BFF">
      <w:pPr>
        <w:widowControl w:val="0"/>
        <w:autoSpaceDE w:val="0"/>
        <w:autoSpaceDN w:val="0"/>
        <w:adjustRightInd w:val="0"/>
        <w:spacing w:after="240"/>
        <w:ind w:left="5120"/>
        <w:rPr>
          <w:rFonts w:ascii="Times New Roman" w:hAnsi="Times New Roman"/>
          <w:szCs w:val="20"/>
          <w:lang w:val="en-GB"/>
        </w:rPr>
      </w:pPr>
      <w:r w:rsidRPr="008D73A7">
        <w:rPr>
          <w:rFonts w:ascii="Times New Roman" w:hAnsi="Times New Roman"/>
          <w:szCs w:val="20"/>
          <w:lang w:val="en-GB"/>
        </w:rPr>
        <w:t>DG INFSO/B4</w:t>
      </w:r>
    </w:p>
    <w:p w14:paraId="2A176CCF" w14:textId="77777777" w:rsidR="006C5CEB" w:rsidRPr="008D73A7" w:rsidRDefault="006C5CEB" w:rsidP="006C5CEB">
      <w:pPr>
        <w:widowControl w:val="0"/>
        <w:autoSpaceDE w:val="0"/>
        <w:autoSpaceDN w:val="0"/>
        <w:adjustRightInd w:val="0"/>
        <w:spacing w:after="240" w:line="200" w:lineRule="exact"/>
        <w:rPr>
          <w:rFonts w:ascii="Times New Roman" w:hAnsi="Times New Roman"/>
          <w:sz w:val="24"/>
          <w:lang w:val="en-GB"/>
        </w:rPr>
      </w:pPr>
    </w:p>
    <w:p w14:paraId="655281AB" w14:textId="51F41A79" w:rsidR="006C5CEB" w:rsidRPr="008D73A7" w:rsidRDefault="006C5CEB" w:rsidP="006C5CEB">
      <w:pPr>
        <w:widowControl w:val="0"/>
        <w:autoSpaceDE w:val="0"/>
        <w:autoSpaceDN w:val="0"/>
        <w:adjustRightInd w:val="0"/>
        <w:spacing w:after="240" w:line="200" w:lineRule="exact"/>
        <w:rPr>
          <w:rFonts w:ascii="Times New Roman" w:hAnsi="Times New Roman"/>
          <w:sz w:val="24"/>
          <w:lang w:val="en-GB"/>
        </w:rPr>
      </w:pPr>
    </w:p>
    <w:p w14:paraId="294571F0" w14:textId="7B393346" w:rsidR="006C5CEB" w:rsidRPr="008D73A7" w:rsidRDefault="004F7BFF" w:rsidP="006C5CEB">
      <w:pPr>
        <w:widowControl w:val="0"/>
        <w:autoSpaceDE w:val="0"/>
        <w:autoSpaceDN w:val="0"/>
        <w:adjustRightInd w:val="0"/>
        <w:spacing w:after="240" w:line="200" w:lineRule="exact"/>
        <w:rPr>
          <w:rFonts w:ascii="Times New Roman" w:hAnsi="Times New Roman"/>
          <w:sz w:val="24"/>
          <w:lang w:val="en-GB"/>
        </w:rPr>
      </w:pPr>
      <w:r w:rsidRPr="008D73A7">
        <w:rPr>
          <w:rFonts w:ascii="Times New Roman" w:hAnsi="Times New Roman"/>
          <w:b/>
          <w:bCs/>
          <w:noProof/>
          <w:sz w:val="24"/>
          <w:lang w:val="en-GB" w:eastAsia="fr-FR"/>
        </w:rPr>
        <mc:AlternateContent>
          <mc:Choice Requires="wps">
            <w:drawing>
              <wp:anchor distT="45720" distB="45720" distL="114300" distR="114300" simplePos="0" relativeHeight="251658242" behindDoc="0" locked="0" layoutInCell="1" allowOverlap="1" wp14:anchorId="6EA22480" wp14:editId="60D9F178">
                <wp:simplePos x="0" y="0"/>
                <wp:positionH relativeFrom="column">
                  <wp:posOffset>3701161</wp:posOffset>
                </wp:positionH>
                <wp:positionV relativeFrom="paragraph">
                  <wp:posOffset>5994</wp:posOffset>
                </wp:positionV>
                <wp:extent cx="2360930" cy="1404620"/>
                <wp:effectExtent l="0" t="0" r="2286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764A421" w14:textId="7BB2B4C2" w:rsidR="00104E5C" w:rsidRPr="004F7BFF" w:rsidRDefault="00104E5C" w:rsidP="004F7BFF">
                            <w:pPr>
                              <w:spacing w:after="240"/>
                              <w:jc w:val="center"/>
                              <w:rPr>
                                <w:rFonts w:ascii="Times New Roman" w:hAnsi="Times New Roman"/>
                                <w:b/>
                                <w:bCs/>
                                <w:sz w:val="24"/>
                              </w:rPr>
                            </w:pPr>
                            <w:r w:rsidRPr="004F7BFF">
                              <w:rPr>
                                <w:rFonts w:ascii="Times New Roman" w:hAnsi="Times New Roman"/>
                                <w:b/>
                                <w:bCs/>
                                <w:sz w:val="24"/>
                              </w:rPr>
                              <w:t>FINAL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A22480" id="Text Box 1" o:spid="_x0000_s1036" type="#_x0000_t202" style="position:absolute;margin-left:291.45pt;margin-top:.45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">
                <v:textbox style="mso-fit-shape-to-text:t">
                  <w:txbxContent>
                    <w:p w14:paraId="3764A421" w14:textId="7BB2B4C2" w:rsidR="00104E5C" w:rsidRPr="004F7BFF" w:rsidRDefault="00104E5C" w:rsidP="004F7BFF">
                      <w:pPr>
                        <w:spacing w:after="240"/>
                        <w:jc w:val="center"/>
                        <w:rPr>
                          <w:rFonts w:ascii="Times New Roman" w:hAnsi="Times New Roman"/>
                          <w:b/>
                          <w:bCs/>
                          <w:sz w:val="24"/>
                        </w:rPr>
                      </w:pPr>
                      <w:r w:rsidRPr="004F7BFF">
                        <w:rPr>
                          <w:rFonts w:ascii="Times New Roman" w:hAnsi="Times New Roman"/>
                          <w:b/>
                          <w:bCs/>
                          <w:sz w:val="24"/>
                        </w:rPr>
                        <w:t>FINAL</w:t>
                      </w:r>
                    </w:p>
                  </w:txbxContent>
                </v:textbox>
                <w10:wrap type="square"/>
              </v:shape>
            </w:pict>
          </mc:Fallback>
        </mc:AlternateContent>
      </w:r>
    </w:p>
    <w:p w14:paraId="6830BE7B" w14:textId="4F3C4EAB" w:rsidR="006C5CEB" w:rsidRPr="008D73A7" w:rsidRDefault="006C5CEB" w:rsidP="006C5CEB">
      <w:pPr>
        <w:widowControl w:val="0"/>
        <w:autoSpaceDE w:val="0"/>
        <w:autoSpaceDN w:val="0"/>
        <w:adjustRightInd w:val="0"/>
        <w:spacing w:after="240" w:line="200" w:lineRule="exact"/>
        <w:rPr>
          <w:rFonts w:ascii="Times New Roman" w:hAnsi="Times New Roman"/>
          <w:sz w:val="24"/>
          <w:lang w:val="en-GB"/>
        </w:rPr>
      </w:pPr>
    </w:p>
    <w:p w14:paraId="31085AAA" w14:textId="7BFB3A5B" w:rsidR="006C5CEB" w:rsidRPr="008D73A7" w:rsidRDefault="006C5CEB" w:rsidP="006C5CEB">
      <w:pPr>
        <w:widowControl w:val="0"/>
        <w:autoSpaceDE w:val="0"/>
        <w:autoSpaceDN w:val="0"/>
        <w:adjustRightInd w:val="0"/>
        <w:spacing w:after="240" w:line="200" w:lineRule="exact"/>
        <w:rPr>
          <w:rFonts w:ascii="Times New Roman" w:hAnsi="Times New Roman"/>
          <w:sz w:val="24"/>
          <w:lang w:val="en-GB"/>
        </w:rPr>
      </w:pPr>
    </w:p>
    <w:p w14:paraId="4ACA6162" w14:textId="00B3797F" w:rsidR="00171DEC" w:rsidRPr="008D73A7" w:rsidRDefault="00171DEC" w:rsidP="006C5CEB">
      <w:pPr>
        <w:rPr>
          <w:lang w:val="en-GB"/>
        </w:rPr>
      </w:pPr>
    </w:p>
    <w:p w14:paraId="7A2CDB07" w14:textId="4415B75D" w:rsidR="006C5CEB" w:rsidRPr="008D73A7" w:rsidRDefault="00A9570A" w:rsidP="004F7BFF">
      <w:pPr>
        <w:widowControl w:val="0"/>
        <w:autoSpaceDE w:val="0"/>
        <w:autoSpaceDN w:val="0"/>
        <w:adjustRightInd w:val="0"/>
        <w:spacing w:after="240" w:line="200" w:lineRule="exact"/>
        <w:rPr>
          <w:rFonts w:ascii="Times New Roman" w:hAnsi="Times New Roman"/>
          <w:sz w:val="24"/>
          <w:lang w:val="en-GB"/>
        </w:rPr>
      </w:pPr>
      <w:r w:rsidRPr="008D73A7">
        <w:rPr>
          <w:rFonts w:ascii="Times New Roman" w:hAnsi="Times New Roman"/>
          <w:b/>
          <w:bCs/>
          <w:noProof/>
          <w:sz w:val="24"/>
          <w:lang w:val="en-GB" w:eastAsia="fr-FR"/>
        </w:rPr>
        <mc:AlternateContent>
          <mc:Choice Requires="wps">
            <w:drawing>
              <wp:anchor distT="45720" distB="45720" distL="114300" distR="114300" simplePos="0" relativeHeight="251658244" behindDoc="0" locked="0" layoutInCell="1" allowOverlap="1" wp14:anchorId="09A2008B" wp14:editId="102837AA">
                <wp:simplePos x="0" y="0"/>
                <wp:positionH relativeFrom="margin">
                  <wp:align>left</wp:align>
                </wp:positionH>
                <wp:positionV relativeFrom="paragraph">
                  <wp:posOffset>793115</wp:posOffset>
                </wp:positionV>
                <wp:extent cx="6102985" cy="1404620"/>
                <wp:effectExtent l="0" t="0" r="1206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404620"/>
                        </a:xfrm>
                        <a:prstGeom prst="rect">
                          <a:avLst/>
                        </a:prstGeom>
                        <a:solidFill>
                          <a:srgbClr val="FFFFFF"/>
                        </a:solidFill>
                        <a:ln w="9525">
                          <a:solidFill>
                            <a:srgbClr val="000000"/>
                          </a:solidFill>
                          <a:miter lim="800000"/>
                          <a:headEnd/>
                          <a:tailEnd/>
                        </a:ln>
                      </wps:spPr>
                      <wps:txbx>
                        <w:txbxContent>
                          <w:p w14:paraId="5C4F4B74" w14:textId="77777777" w:rsidR="00104E5C" w:rsidRDefault="00104E5C" w:rsidP="004F7BFF">
                            <w:pPr>
                              <w:widowControl w:val="0"/>
                              <w:overflowPunct w:val="0"/>
                              <w:autoSpaceDE w:val="0"/>
                              <w:autoSpaceDN w:val="0"/>
                              <w:adjustRightInd w:val="0"/>
                              <w:spacing w:line="252" w:lineRule="auto"/>
                              <w:jc w:val="both"/>
                              <w:rPr>
                                <w:rFonts w:ascii="Times New Roman" w:hAnsi="Times New Roman"/>
                                <w:b/>
                                <w:bCs/>
                                <w:sz w:val="24"/>
                                <w:lang w:val="en-GB"/>
                              </w:rPr>
                            </w:pPr>
                            <w:r w:rsidRPr="008960A3">
                              <w:rPr>
                                <w:rFonts w:ascii="Times New Roman" w:hAnsi="Times New Roman"/>
                                <w:b/>
                                <w:bCs/>
                                <w:sz w:val="24"/>
                                <w:lang w:val="en-GB"/>
                              </w:rPr>
                              <w:t>This mandate is issued to the CEPT without prejudice to the one-month right of scrutiny by the European Parliament, pursuant to Council Decision 1999/468/EC of 28 June 1999 (OJ L 184, 17.7.1999, p. 23) on Comitology procedure.</w:t>
                            </w:r>
                          </w:p>
                          <w:p w14:paraId="7F8C96C0" w14:textId="6CC45304" w:rsidR="00104E5C" w:rsidRPr="008960A3" w:rsidRDefault="00104E5C" w:rsidP="004F7BFF">
                            <w:pPr>
                              <w:widowControl w:val="0"/>
                              <w:autoSpaceDE w:val="0"/>
                              <w:autoSpaceDN w:val="0"/>
                              <w:adjustRightInd w:val="0"/>
                              <w:spacing w:after="240"/>
                              <w:rPr>
                                <w:rFonts w:ascii="Times New Roman" w:hAnsi="Times New Roman"/>
                                <w:sz w:val="24"/>
                                <w:lang w:val="en-GB"/>
                              </w:rPr>
                            </w:pPr>
                            <w:r w:rsidRPr="008960A3">
                              <w:rPr>
                                <w:rFonts w:ascii="Times New Roman" w:hAnsi="Times New Roman"/>
                                <w:b/>
                                <w:bCs/>
                                <w:sz w:val="24"/>
                                <w:lang w:val="en-GB"/>
                              </w:rPr>
                              <w:t>This one-month period is extended until 28 September 2006.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A2008B" id="Text Box 2" o:spid="_x0000_s1037" type="#_x0000_t202" style="position:absolute;margin-left:0;margin-top:62.45pt;width:480.55pt;height:110.6pt;z-index:2516582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">
                <v:textbox style="mso-fit-shape-to-text:t">
                  <w:txbxContent>
                    <w:p w14:paraId="5C4F4B74" w14:textId="77777777" w:rsidR="00104E5C" w:rsidRDefault="00104E5C" w:rsidP="004F7BFF">
                      <w:pPr>
                        <w:widowControl w:val="0"/>
                        <w:overflowPunct w:val="0"/>
                        <w:autoSpaceDE w:val="0"/>
                        <w:autoSpaceDN w:val="0"/>
                        <w:adjustRightInd w:val="0"/>
                        <w:spacing w:line="252" w:lineRule="auto"/>
                        <w:jc w:val="both"/>
                        <w:rPr>
                          <w:rFonts w:ascii="Times New Roman" w:hAnsi="Times New Roman"/>
                          <w:b/>
                          <w:bCs/>
                          <w:sz w:val="24"/>
                          <w:lang w:val="en-GB"/>
                        </w:rPr>
                      </w:pPr>
                      <w:r w:rsidRPr="008960A3">
                        <w:rPr>
                          <w:rFonts w:ascii="Times New Roman" w:hAnsi="Times New Roman"/>
                          <w:b/>
                          <w:bCs/>
                          <w:sz w:val="24"/>
                          <w:lang w:val="en-GB"/>
                        </w:rPr>
                        <w:t>This mandate is issued to the CEPT without prejudice to the one-month right of scrutiny by the European Parliament, pursuant to Council Decision 1999/468/EC of 28 June 1999 (OJ L 184, 17.7.1999, p. 23) on Comitology procedure.</w:t>
                      </w:r>
                    </w:p>
                    <w:p w14:paraId="7F8C96C0" w14:textId="6CC45304" w:rsidR="00104E5C" w:rsidRPr="008960A3" w:rsidRDefault="00104E5C" w:rsidP="004F7BFF">
                      <w:pPr>
                        <w:widowControl w:val="0"/>
                        <w:autoSpaceDE w:val="0"/>
                        <w:autoSpaceDN w:val="0"/>
                        <w:adjustRightInd w:val="0"/>
                        <w:spacing w:after="240"/>
                        <w:rPr>
                          <w:rFonts w:ascii="Times New Roman" w:hAnsi="Times New Roman"/>
                          <w:sz w:val="24"/>
                          <w:lang w:val="en-GB"/>
                        </w:rPr>
                      </w:pPr>
                      <w:r w:rsidRPr="008960A3">
                        <w:rPr>
                          <w:rFonts w:ascii="Times New Roman" w:hAnsi="Times New Roman"/>
                          <w:b/>
                          <w:bCs/>
                          <w:sz w:val="24"/>
                          <w:lang w:val="en-GB"/>
                        </w:rPr>
                        <w:t>This one-month period is extended until 28 September 2006.</w:t>
                      </w:r>
                    </w:p>
                  </w:txbxContent>
                </v:textbox>
                <w10:wrap type="square" anchorx="margin"/>
              </v:shape>
            </w:pict>
          </mc:Fallback>
        </mc:AlternateContent>
      </w:r>
      <w:r w:rsidR="004F7BFF" w:rsidRPr="008D73A7">
        <w:rPr>
          <w:rFonts w:ascii="Times New Roman" w:hAnsi="Times New Roman"/>
          <w:b/>
          <w:bCs/>
          <w:sz w:val="24"/>
          <w:lang w:val="en-GB"/>
        </w:rPr>
        <w:t>PERMANENT MANDATE TO CEPT REGARDING THE ANNUAL UPDATE OF THETECHNICAL ANNEX OF THE COMMISSION DECISION ON THE TECHNICAL HARMONISATION OF RADIO SPECTRUM FOR USE BY SHORT RANGE DEVICES</w:t>
      </w:r>
    </w:p>
    <w:p w14:paraId="42BA7A52" w14:textId="46CBD87E" w:rsidR="006C5CEB" w:rsidRPr="008D73A7" w:rsidRDefault="006C5CEB" w:rsidP="006C5CEB">
      <w:pPr>
        <w:widowControl w:val="0"/>
        <w:autoSpaceDE w:val="0"/>
        <w:autoSpaceDN w:val="0"/>
        <w:adjustRightInd w:val="0"/>
        <w:spacing w:after="240" w:line="200" w:lineRule="exact"/>
        <w:rPr>
          <w:rFonts w:ascii="Times New Roman" w:hAnsi="Times New Roman"/>
          <w:sz w:val="24"/>
          <w:lang w:val="en-GB"/>
        </w:rPr>
      </w:pPr>
    </w:p>
    <w:p w14:paraId="15C2798C" w14:textId="77777777" w:rsidR="00ED589A" w:rsidRPr="008D73A7" w:rsidRDefault="00ED589A" w:rsidP="006C5CEB">
      <w:pPr>
        <w:widowControl w:val="0"/>
        <w:autoSpaceDE w:val="0"/>
        <w:autoSpaceDN w:val="0"/>
        <w:adjustRightInd w:val="0"/>
        <w:spacing w:after="240" w:line="200" w:lineRule="exact"/>
        <w:rPr>
          <w:rFonts w:ascii="Times New Roman" w:hAnsi="Times New Roman"/>
          <w:sz w:val="24"/>
          <w:lang w:val="en-GB"/>
        </w:rPr>
      </w:pPr>
    </w:p>
    <w:p w14:paraId="09214679" w14:textId="77777777" w:rsidR="00ED589A" w:rsidRPr="008D73A7" w:rsidRDefault="00ED589A" w:rsidP="006C5CEB">
      <w:pPr>
        <w:widowControl w:val="0"/>
        <w:autoSpaceDE w:val="0"/>
        <w:autoSpaceDN w:val="0"/>
        <w:adjustRightInd w:val="0"/>
        <w:spacing w:after="240" w:line="200" w:lineRule="exact"/>
        <w:rPr>
          <w:rFonts w:ascii="Times New Roman" w:hAnsi="Times New Roman"/>
          <w:sz w:val="24"/>
          <w:lang w:val="en-GB"/>
        </w:rPr>
      </w:pPr>
    </w:p>
    <w:p w14:paraId="7C5B8D2F" w14:textId="77777777" w:rsidR="0003248F" w:rsidRPr="008D73A7" w:rsidRDefault="0003248F" w:rsidP="006C5CEB">
      <w:pPr>
        <w:widowControl w:val="0"/>
        <w:autoSpaceDE w:val="0"/>
        <w:autoSpaceDN w:val="0"/>
        <w:adjustRightInd w:val="0"/>
        <w:spacing w:after="240" w:line="200" w:lineRule="exact"/>
        <w:rPr>
          <w:rFonts w:ascii="Times New Roman" w:hAnsi="Times New Roman"/>
          <w:sz w:val="24"/>
          <w:lang w:val="en-GB"/>
        </w:rPr>
      </w:pPr>
    </w:p>
    <w:p w14:paraId="7875BC53" w14:textId="2E71BFC0" w:rsidR="004F7BFF" w:rsidRPr="008D73A7" w:rsidRDefault="004F7BFF" w:rsidP="006C5CEB">
      <w:pPr>
        <w:widowControl w:val="0"/>
        <w:autoSpaceDE w:val="0"/>
        <w:autoSpaceDN w:val="0"/>
        <w:adjustRightInd w:val="0"/>
        <w:spacing w:after="240" w:line="200" w:lineRule="exact"/>
        <w:rPr>
          <w:rFonts w:ascii="Times New Roman" w:hAnsi="Times New Roman"/>
          <w:sz w:val="24"/>
          <w:lang w:val="en-GB"/>
        </w:rPr>
      </w:pPr>
      <w:r w:rsidRPr="008D73A7">
        <w:rPr>
          <w:rFonts w:ascii="Times New Roman" w:hAnsi="Times New Roman"/>
          <w:noProof/>
          <w:sz w:val="24"/>
          <w:lang w:val="en-GB" w:eastAsia="fr-FR"/>
        </w:rPr>
        <w:drawing>
          <wp:anchor distT="0" distB="0" distL="114300" distR="114300" simplePos="0" relativeHeight="251658241" behindDoc="1" locked="0" layoutInCell="0" allowOverlap="1" wp14:anchorId="3F2B489F" wp14:editId="4349C3F3">
            <wp:simplePos x="0" y="0"/>
            <wp:positionH relativeFrom="margin">
              <wp:align>left</wp:align>
            </wp:positionH>
            <wp:positionV relativeFrom="paragraph">
              <wp:posOffset>261517</wp:posOffset>
            </wp:positionV>
            <wp:extent cx="867410" cy="551815"/>
            <wp:effectExtent l="0" t="0" r="8890" b="63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867410" cy="551815"/>
                    </a:xfrm>
                    <a:prstGeom prst="rect">
                      <a:avLst/>
                    </a:prstGeom>
                    <a:noFill/>
                  </pic:spPr>
                </pic:pic>
              </a:graphicData>
            </a:graphic>
          </wp:anchor>
        </w:drawing>
      </w:r>
    </w:p>
    <w:p w14:paraId="7BADFDFA" w14:textId="77777777" w:rsidR="004F7BFF" w:rsidRPr="008D73A7" w:rsidRDefault="004F7BFF" w:rsidP="006C5CEB">
      <w:pPr>
        <w:widowControl w:val="0"/>
        <w:autoSpaceDE w:val="0"/>
        <w:autoSpaceDN w:val="0"/>
        <w:adjustRightInd w:val="0"/>
        <w:spacing w:after="240" w:line="200" w:lineRule="exact"/>
        <w:rPr>
          <w:rFonts w:ascii="Times New Roman" w:hAnsi="Times New Roman"/>
          <w:sz w:val="24"/>
          <w:lang w:val="en-GB"/>
        </w:rPr>
      </w:pPr>
    </w:p>
    <w:p w14:paraId="44893D70" w14:textId="77777777" w:rsidR="004F7BFF" w:rsidRPr="008D73A7" w:rsidRDefault="004F7BFF" w:rsidP="00B77A04">
      <w:pPr>
        <w:widowControl w:val="0"/>
        <w:overflowPunct w:val="0"/>
        <w:autoSpaceDE w:val="0"/>
        <w:autoSpaceDN w:val="0"/>
        <w:adjustRightInd w:val="0"/>
        <w:spacing w:before="0" w:after="0" w:line="250" w:lineRule="auto"/>
        <w:ind w:right="601"/>
        <w:rPr>
          <w:rFonts w:cs="Arial"/>
          <w:sz w:val="18"/>
          <w:szCs w:val="18"/>
          <w:lang w:val="en-GB"/>
        </w:rPr>
      </w:pPr>
      <w:r w:rsidRPr="008D73A7">
        <w:rPr>
          <w:rFonts w:cs="Arial"/>
          <w:sz w:val="18"/>
          <w:szCs w:val="18"/>
          <w:lang w:val="en-GB"/>
        </w:rPr>
        <w:t xml:space="preserve">Commission </w:t>
      </w:r>
      <w:proofErr w:type="spellStart"/>
      <w:r w:rsidRPr="008D73A7">
        <w:rPr>
          <w:rFonts w:cs="Arial"/>
          <w:sz w:val="18"/>
          <w:szCs w:val="18"/>
          <w:lang w:val="en-GB"/>
        </w:rPr>
        <w:t>Européenne</w:t>
      </w:r>
      <w:proofErr w:type="spellEnd"/>
      <w:r w:rsidRPr="008D73A7">
        <w:rPr>
          <w:rFonts w:cs="Arial"/>
          <w:sz w:val="18"/>
          <w:szCs w:val="18"/>
          <w:lang w:val="en-GB"/>
        </w:rPr>
        <w:t xml:space="preserve">, B-1049 </w:t>
      </w:r>
      <w:proofErr w:type="spellStart"/>
      <w:r w:rsidRPr="008D73A7">
        <w:rPr>
          <w:rFonts w:cs="Arial"/>
          <w:sz w:val="18"/>
          <w:szCs w:val="18"/>
          <w:lang w:val="en-GB"/>
        </w:rPr>
        <w:t>Bruxelles</w:t>
      </w:r>
      <w:proofErr w:type="spellEnd"/>
      <w:r w:rsidRPr="008D73A7">
        <w:rPr>
          <w:rFonts w:cs="Arial"/>
          <w:sz w:val="18"/>
          <w:szCs w:val="18"/>
          <w:lang w:val="en-GB"/>
        </w:rPr>
        <w:t>/EuropeseCommissie, B-1049 Brussel - Belgium - Office: BU33 7/09. Telephone: direct line (+32-2)296.89.55, switchboard (+32-2)299.11.11. Fax: (+32-2)296.83.95.</w:t>
      </w:r>
    </w:p>
    <w:p w14:paraId="6006BD23" w14:textId="77777777" w:rsidR="004F7BFF" w:rsidRPr="008D73A7" w:rsidRDefault="004F7BFF" w:rsidP="00B77A04">
      <w:pPr>
        <w:widowControl w:val="0"/>
        <w:overflowPunct w:val="0"/>
        <w:autoSpaceDE w:val="0"/>
        <w:autoSpaceDN w:val="0"/>
        <w:adjustRightInd w:val="0"/>
        <w:spacing w:before="0" w:after="0" w:line="249" w:lineRule="auto"/>
        <w:ind w:right="600"/>
        <w:rPr>
          <w:rFonts w:cs="Arial"/>
          <w:sz w:val="18"/>
          <w:szCs w:val="18"/>
          <w:lang w:val="en-GB"/>
        </w:rPr>
      </w:pPr>
      <w:r w:rsidRPr="008D73A7">
        <w:rPr>
          <w:rFonts w:cs="Arial"/>
          <w:sz w:val="18"/>
          <w:szCs w:val="18"/>
          <w:lang w:val="en-GB"/>
        </w:rPr>
        <w:t>E-mail : infso-rsc@ec.europa.eu</w:t>
      </w:r>
    </w:p>
    <w:p w14:paraId="6A7484DB" w14:textId="77777777" w:rsidR="004F7BFF" w:rsidRPr="008D73A7" w:rsidRDefault="004F7BFF" w:rsidP="004F7BFF">
      <w:pPr>
        <w:widowControl w:val="0"/>
        <w:autoSpaceDE w:val="0"/>
        <w:autoSpaceDN w:val="0"/>
        <w:adjustRightInd w:val="0"/>
        <w:spacing w:after="240"/>
        <w:rPr>
          <w:rFonts w:ascii="Times New Roman" w:hAnsi="Times New Roman"/>
          <w:sz w:val="24"/>
          <w:lang w:val="en-GB"/>
        </w:rPr>
      </w:pPr>
      <w:r w:rsidRPr="008D73A7">
        <w:rPr>
          <w:rFonts w:ascii="Times New Roman" w:hAnsi="Times New Roman"/>
          <w:b/>
          <w:bCs/>
          <w:sz w:val="24"/>
          <w:lang w:val="en-GB"/>
        </w:rPr>
        <w:lastRenderedPageBreak/>
        <w:t>Title</w:t>
      </w:r>
    </w:p>
    <w:p w14:paraId="1319BBE0" w14:textId="77777777" w:rsidR="004F7BFF" w:rsidRPr="008D73A7" w:rsidRDefault="004F7BFF" w:rsidP="004F7BFF">
      <w:pPr>
        <w:widowControl w:val="0"/>
        <w:overflowPunct w:val="0"/>
        <w:autoSpaceDE w:val="0"/>
        <w:autoSpaceDN w:val="0"/>
        <w:adjustRightInd w:val="0"/>
        <w:spacing w:after="240" w:line="258" w:lineRule="auto"/>
        <w:jc w:val="both"/>
        <w:rPr>
          <w:rFonts w:ascii="Times New Roman" w:hAnsi="Times New Roman"/>
          <w:sz w:val="24"/>
          <w:lang w:val="en-GB"/>
        </w:rPr>
      </w:pPr>
      <w:r w:rsidRPr="008D73A7">
        <w:rPr>
          <w:rFonts w:ascii="Times New Roman" w:hAnsi="Times New Roman"/>
          <w:sz w:val="24"/>
          <w:lang w:val="en-GB"/>
        </w:rPr>
        <w:t>Permanent Mandate to CEPT regarding the annual update of the technical annex of the Commission Decision on the technical harmonisation of radio spectrum for use by short range devices.</w:t>
      </w:r>
      <w:r w:rsidRPr="008D73A7">
        <w:rPr>
          <w:rFonts w:ascii="Times New Roman" w:hAnsi="Times New Roman"/>
          <w:sz w:val="24"/>
          <w:vertAlign w:val="superscript"/>
          <w:lang w:val="en-GB"/>
        </w:rPr>
        <w:footnoteReference w:id="5"/>
      </w:r>
    </w:p>
    <w:p w14:paraId="6F581264" w14:textId="77777777" w:rsidR="003D0B23" w:rsidRPr="008D73A7" w:rsidRDefault="003D0B23" w:rsidP="00322858">
      <w:pPr>
        <w:widowControl w:val="0"/>
        <w:autoSpaceDE w:val="0"/>
        <w:autoSpaceDN w:val="0"/>
        <w:adjustRightInd w:val="0"/>
        <w:spacing w:before="0" w:after="240"/>
        <w:rPr>
          <w:rFonts w:ascii="Times New Roman" w:hAnsi="Times New Roman"/>
          <w:b/>
          <w:bCs/>
          <w:sz w:val="24"/>
          <w:lang w:val="en-GB"/>
        </w:rPr>
      </w:pPr>
    </w:p>
    <w:p w14:paraId="5D492C95" w14:textId="2F231136" w:rsidR="004F7BFF" w:rsidRPr="008D73A7" w:rsidRDefault="004F7BFF" w:rsidP="00322858">
      <w:pPr>
        <w:widowControl w:val="0"/>
        <w:autoSpaceDE w:val="0"/>
        <w:autoSpaceDN w:val="0"/>
        <w:adjustRightInd w:val="0"/>
        <w:spacing w:before="0" w:after="240"/>
        <w:rPr>
          <w:rFonts w:ascii="Times New Roman" w:hAnsi="Times New Roman"/>
          <w:sz w:val="24"/>
          <w:lang w:val="en-GB"/>
        </w:rPr>
      </w:pPr>
      <w:r w:rsidRPr="008D73A7">
        <w:rPr>
          <w:rFonts w:ascii="Times New Roman" w:hAnsi="Times New Roman"/>
          <w:b/>
          <w:bCs/>
          <w:sz w:val="24"/>
          <w:lang w:val="en-GB"/>
        </w:rPr>
        <w:t>Purpose</w:t>
      </w:r>
    </w:p>
    <w:p w14:paraId="5B403069" w14:textId="77777777" w:rsidR="004F7BFF" w:rsidRPr="008D73A7" w:rsidRDefault="004F7BFF" w:rsidP="004F7BFF">
      <w:pPr>
        <w:widowControl w:val="0"/>
        <w:overflowPunct w:val="0"/>
        <w:autoSpaceDE w:val="0"/>
        <w:autoSpaceDN w:val="0"/>
        <w:adjustRightInd w:val="0"/>
        <w:spacing w:after="240" w:line="253" w:lineRule="auto"/>
        <w:jc w:val="both"/>
        <w:rPr>
          <w:rFonts w:ascii="Times New Roman" w:hAnsi="Times New Roman"/>
          <w:sz w:val="24"/>
          <w:lang w:val="en-GB"/>
        </w:rPr>
      </w:pPr>
      <w:r w:rsidRPr="008D73A7">
        <w:rPr>
          <w:rFonts w:ascii="Times New Roman" w:hAnsi="Times New Roman"/>
          <w:sz w:val="24"/>
          <w:lang w:val="en-GB"/>
        </w:rPr>
        <w:t>Pursuant to Article 4 of the Radio Spectrum Decision, the Commission may issue mandates to the CEPT for the development of technical implementing measures with a view to ensuring harmonised conditions for the availability and efficient use of radio spectrum; such mandates shall set the task to be performed and the timetable therefor.</w:t>
      </w:r>
    </w:p>
    <w:p w14:paraId="488E15A5" w14:textId="77777777" w:rsidR="004F7BFF" w:rsidRPr="008D73A7" w:rsidRDefault="004F7BFF" w:rsidP="004F7BFF">
      <w:pPr>
        <w:widowControl w:val="0"/>
        <w:overflowPunct w:val="0"/>
        <w:autoSpaceDE w:val="0"/>
        <w:autoSpaceDN w:val="0"/>
        <w:adjustRightInd w:val="0"/>
        <w:spacing w:after="240" w:line="258" w:lineRule="auto"/>
        <w:jc w:val="both"/>
        <w:rPr>
          <w:rFonts w:ascii="Times New Roman" w:hAnsi="Times New Roman"/>
          <w:sz w:val="24"/>
          <w:lang w:val="en-GB"/>
        </w:rPr>
      </w:pPr>
      <w:r w:rsidRPr="008D73A7">
        <w:rPr>
          <w:rFonts w:ascii="Times New Roman" w:hAnsi="Times New Roman"/>
          <w:sz w:val="24"/>
          <w:lang w:val="en-GB"/>
        </w:rPr>
        <w:t>Pursuant to this permanent Mandate, CEPT shall provide the Commission with a yearly report on needs for revising the technical annex of the Commission Decision on the technical harmonisation of radio spectrum for use by short range devices (SRDs).</w:t>
      </w:r>
    </w:p>
    <w:p w14:paraId="0DE12B31" w14:textId="77777777" w:rsidR="004F7BFF" w:rsidRPr="008D73A7" w:rsidRDefault="004F7BFF" w:rsidP="004F7BFF">
      <w:pPr>
        <w:widowControl w:val="0"/>
        <w:overflowPunct w:val="0"/>
        <w:autoSpaceDE w:val="0"/>
        <w:autoSpaceDN w:val="0"/>
        <w:adjustRightInd w:val="0"/>
        <w:spacing w:after="240" w:line="274" w:lineRule="auto"/>
        <w:rPr>
          <w:rFonts w:ascii="Times New Roman" w:hAnsi="Times New Roman"/>
          <w:sz w:val="24"/>
          <w:lang w:val="en-GB"/>
        </w:rPr>
      </w:pPr>
      <w:r w:rsidRPr="008D73A7">
        <w:rPr>
          <w:rFonts w:ascii="Times New Roman" w:hAnsi="Times New Roman"/>
          <w:sz w:val="24"/>
          <w:lang w:val="en-GB"/>
        </w:rPr>
        <w:t>The yearly proposal will serve as a basis for an amendment, when needed, of the technical annex of the Commission Decision on SRDs.</w:t>
      </w:r>
    </w:p>
    <w:p w14:paraId="5A93131E" w14:textId="77777777" w:rsidR="003D0B23" w:rsidRPr="008D73A7" w:rsidRDefault="003D0B23" w:rsidP="00322858">
      <w:pPr>
        <w:widowControl w:val="0"/>
        <w:autoSpaceDE w:val="0"/>
        <w:autoSpaceDN w:val="0"/>
        <w:adjustRightInd w:val="0"/>
        <w:spacing w:before="0" w:after="240"/>
        <w:rPr>
          <w:rFonts w:ascii="Times New Roman" w:hAnsi="Times New Roman"/>
          <w:b/>
          <w:bCs/>
          <w:sz w:val="24"/>
          <w:lang w:val="en-GB"/>
        </w:rPr>
      </w:pPr>
    </w:p>
    <w:p w14:paraId="1242BEE3" w14:textId="277BFC84" w:rsidR="004F7BFF" w:rsidRPr="008D73A7" w:rsidRDefault="004F7BFF" w:rsidP="00322858">
      <w:pPr>
        <w:widowControl w:val="0"/>
        <w:autoSpaceDE w:val="0"/>
        <w:autoSpaceDN w:val="0"/>
        <w:adjustRightInd w:val="0"/>
        <w:spacing w:before="0" w:after="240"/>
        <w:rPr>
          <w:rFonts w:ascii="Times New Roman" w:hAnsi="Times New Roman"/>
          <w:sz w:val="24"/>
          <w:lang w:val="en-GB"/>
        </w:rPr>
      </w:pPr>
      <w:r w:rsidRPr="008D73A7">
        <w:rPr>
          <w:rFonts w:ascii="Times New Roman" w:hAnsi="Times New Roman"/>
          <w:b/>
          <w:bCs/>
          <w:sz w:val="24"/>
          <w:lang w:val="en-GB"/>
        </w:rPr>
        <w:t>Justification</w:t>
      </w:r>
    </w:p>
    <w:p w14:paraId="25A1B3E7" w14:textId="77777777" w:rsidR="004F7BFF" w:rsidRPr="008D73A7" w:rsidRDefault="004F7BFF" w:rsidP="004F7BFF">
      <w:pPr>
        <w:widowControl w:val="0"/>
        <w:overflowPunct w:val="0"/>
        <w:autoSpaceDE w:val="0"/>
        <w:autoSpaceDN w:val="0"/>
        <w:adjustRightInd w:val="0"/>
        <w:spacing w:after="360" w:line="250" w:lineRule="auto"/>
        <w:jc w:val="both"/>
        <w:rPr>
          <w:rFonts w:ascii="Times New Roman" w:hAnsi="Times New Roman"/>
          <w:sz w:val="24"/>
          <w:lang w:val="en-GB"/>
        </w:rPr>
      </w:pPr>
      <w:r w:rsidRPr="008D73A7">
        <w:rPr>
          <w:rFonts w:ascii="Times New Roman" w:hAnsi="Times New Roman"/>
          <w:sz w:val="24"/>
          <w:lang w:val="en-GB"/>
        </w:rPr>
        <w:t>The Commission Decision for SRDs foresees a regular update of the list of frequencies, as well as their associated conditions of use. This update should be performed on a regular basis in order to take due account of the rapid technological and market developments prevailing in this area. This permanent Mandate to CEPT is to formalise the preparation of the yearly proposal by CEPT for updating the technical annex of Commission Decision on SRDs.</w:t>
      </w:r>
    </w:p>
    <w:p w14:paraId="4250C31D" w14:textId="77777777" w:rsidR="003D0B23" w:rsidRPr="008D73A7" w:rsidRDefault="003D0B23" w:rsidP="00322858">
      <w:pPr>
        <w:widowControl w:val="0"/>
        <w:autoSpaceDE w:val="0"/>
        <w:autoSpaceDN w:val="0"/>
        <w:adjustRightInd w:val="0"/>
        <w:spacing w:before="0" w:after="240"/>
        <w:rPr>
          <w:rFonts w:ascii="Times New Roman" w:hAnsi="Times New Roman"/>
          <w:b/>
          <w:bCs/>
          <w:sz w:val="24"/>
          <w:lang w:val="en-GB"/>
        </w:rPr>
      </w:pPr>
    </w:p>
    <w:p w14:paraId="477F698D" w14:textId="01AF6F62" w:rsidR="004F7BFF" w:rsidRPr="008D73A7" w:rsidRDefault="004F7BFF" w:rsidP="00322858">
      <w:pPr>
        <w:widowControl w:val="0"/>
        <w:autoSpaceDE w:val="0"/>
        <w:autoSpaceDN w:val="0"/>
        <w:adjustRightInd w:val="0"/>
        <w:spacing w:before="0" w:after="240"/>
        <w:rPr>
          <w:rFonts w:ascii="Times New Roman" w:hAnsi="Times New Roman"/>
          <w:sz w:val="24"/>
          <w:lang w:val="en-GB"/>
        </w:rPr>
      </w:pPr>
      <w:r w:rsidRPr="008D73A7">
        <w:rPr>
          <w:rFonts w:ascii="Times New Roman" w:hAnsi="Times New Roman"/>
          <w:b/>
          <w:bCs/>
          <w:sz w:val="24"/>
          <w:lang w:val="en-GB"/>
        </w:rPr>
        <w:t>Objectives</w:t>
      </w:r>
    </w:p>
    <w:p w14:paraId="7E012EBF" w14:textId="77777777" w:rsidR="004F7BFF" w:rsidRPr="008D73A7" w:rsidRDefault="004F7BFF" w:rsidP="004F7BFF">
      <w:pPr>
        <w:widowControl w:val="0"/>
        <w:overflowPunct w:val="0"/>
        <w:autoSpaceDE w:val="0"/>
        <w:autoSpaceDN w:val="0"/>
        <w:adjustRightInd w:val="0"/>
        <w:spacing w:after="240" w:line="274" w:lineRule="auto"/>
        <w:rPr>
          <w:rFonts w:ascii="Times New Roman" w:hAnsi="Times New Roman"/>
          <w:sz w:val="24"/>
          <w:lang w:val="en-GB"/>
        </w:rPr>
      </w:pPr>
      <w:r w:rsidRPr="008D73A7">
        <w:rPr>
          <w:rFonts w:ascii="Times New Roman" w:hAnsi="Times New Roman"/>
          <w:sz w:val="24"/>
          <w:lang w:val="en-GB"/>
        </w:rPr>
        <w:t>In addition to the core objectives of the Decision itself, the aim of this permanent mandate is to provide relevant technical information necessary to:</w:t>
      </w:r>
    </w:p>
    <w:p w14:paraId="0E6B3E24" w14:textId="77777777" w:rsidR="004F7BFF" w:rsidRPr="008D73A7" w:rsidRDefault="004F7BFF" w:rsidP="0081504D">
      <w:pPr>
        <w:widowControl w:val="0"/>
        <w:numPr>
          <w:ilvl w:val="0"/>
          <w:numId w:val="30"/>
        </w:numPr>
        <w:overflowPunct w:val="0"/>
        <w:autoSpaceDE w:val="0"/>
        <w:autoSpaceDN w:val="0"/>
        <w:adjustRightInd w:val="0"/>
        <w:spacing w:before="0" w:after="240" w:line="257" w:lineRule="auto"/>
        <w:ind w:left="714" w:hanging="357"/>
        <w:jc w:val="both"/>
        <w:rPr>
          <w:rFonts w:ascii="Times New Roman" w:hAnsi="Times New Roman"/>
          <w:sz w:val="24"/>
          <w:lang w:val="en-GB"/>
        </w:rPr>
      </w:pPr>
      <w:r w:rsidRPr="008D73A7">
        <w:rPr>
          <w:rFonts w:ascii="Times New Roman" w:hAnsi="Times New Roman"/>
          <w:sz w:val="24"/>
          <w:lang w:val="en-GB"/>
        </w:rPr>
        <w:t xml:space="preserve">Modify, whenever appropriate, the technical conditions of use of the frequency bands included in the technical annex; </w:t>
      </w:r>
    </w:p>
    <w:p w14:paraId="433B9C28" w14:textId="77777777" w:rsidR="004F7BFF" w:rsidRPr="008D73A7" w:rsidRDefault="004F7BFF" w:rsidP="0081504D">
      <w:pPr>
        <w:widowControl w:val="0"/>
        <w:numPr>
          <w:ilvl w:val="0"/>
          <w:numId w:val="30"/>
        </w:numPr>
        <w:overflowPunct w:val="0"/>
        <w:autoSpaceDE w:val="0"/>
        <w:autoSpaceDN w:val="0"/>
        <w:adjustRightInd w:val="0"/>
        <w:spacing w:before="0" w:after="240" w:line="257" w:lineRule="auto"/>
        <w:ind w:left="714" w:hanging="357"/>
        <w:jc w:val="both"/>
        <w:rPr>
          <w:rFonts w:ascii="Times New Roman" w:hAnsi="Times New Roman"/>
          <w:sz w:val="24"/>
          <w:lang w:val="en-GB"/>
        </w:rPr>
      </w:pPr>
      <w:r w:rsidRPr="008D73A7">
        <w:rPr>
          <w:rFonts w:ascii="Times New Roman" w:hAnsi="Times New Roman"/>
          <w:sz w:val="24"/>
          <w:lang w:val="en-GB"/>
        </w:rPr>
        <w:t xml:space="preserve">Identify new frequency bands and/or new applications (types of SRDs) which should be added to the list included in the technical annex of the Decision in order to further the “Class I” equipment category and providing such equipment with legal certainty on EU level, thereby consolidating the Single Market through spectrum harmonisation; </w:t>
      </w:r>
    </w:p>
    <w:p w14:paraId="60E28365" w14:textId="77777777" w:rsidR="004F7BFF" w:rsidRPr="008D73A7" w:rsidRDefault="004F7BFF" w:rsidP="0081504D">
      <w:pPr>
        <w:widowControl w:val="0"/>
        <w:numPr>
          <w:ilvl w:val="0"/>
          <w:numId w:val="30"/>
        </w:numPr>
        <w:overflowPunct w:val="0"/>
        <w:autoSpaceDE w:val="0"/>
        <w:autoSpaceDN w:val="0"/>
        <w:adjustRightInd w:val="0"/>
        <w:spacing w:before="0" w:after="240" w:line="257" w:lineRule="auto"/>
        <w:ind w:left="714" w:hanging="357"/>
        <w:jc w:val="both"/>
        <w:rPr>
          <w:rFonts w:ascii="Times New Roman" w:hAnsi="Times New Roman"/>
          <w:sz w:val="24"/>
          <w:lang w:val="en-GB"/>
        </w:rPr>
      </w:pPr>
      <w:r w:rsidRPr="008D73A7">
        <w:rPr>
          <w:rFonts w:ascii="Times New Roman" w:hAnsi="Times New Roman"/>
          <w:sz w:val="24"/>
          <w:lang w:val="en-GB"/>
        </w:rPr>
        <w:lastRenderedPageBreak/>
        <w:t xml:space="preserve">Remove frequency bands (and hence types of SRDs) from the list included in the technical annex, when required and duly justified (e.g. in case a particular use has become obsolete); </w:t>
      </w:r>
    </w:p>
    <w:p w14:paraId="6CD7A3DD" w14:textId="77777777" w:rsidR="004F7BFF" w:rsidRPr="008D73A7" w:rsidRDefault="004F7BFF" w:rsidP="0081504D">
      <w:pPr>
        <w:widowControl w:val="0"/>
        <w:numPr>
          <w:ilvl w:val="0"/>
          <w:numId w:val="30"/>
        </w:numPr>
        <w:overflowPunct w:val="0"/>
        <w:autoSpaceDE w:val="0"/>
        <w:autoSpaceDN w:val="0"/>
        <w:adjustRightInd w:val="0"/>
        <w:spacing w:before="0" w:after="240" w:line="257" w:lineRule="auto"/>
        <w:ind w:left="714" w:hanging="357"/>
        <w:jc w:val="both"/>
        <w:rPr>
          <w:rFonts w:ascii="Times New Roman" w:hAnsi="Times New Roman"/>
          <w:sz w:val="24"/>
          <w:lang w:val="en-GB"/>
        </w:rPr>
      </w:pPr>
      <w:r w:rsidRPr="008D73A7">
        <w:rPr>
          <w:rFonts w:ascii="Times New Roman" w:hAnsi="Times New Roman"/>
          <w:sz w:val="24"/>
          <w:lang w:val="en-GB"/>
        </w:rPr>
        <w:t>Continuously improve the presentation of the technical annex to reflect best practices.</w:t>
      </w:r>
    </w:p>
    <w:p w14:paraId="27B63DE3" w14:textId="77777777" w:rsidR="004F7BFF" w:rsidRPr="008D73A7" w:rsidRDefault="004F7BFF" w:rsidP="004F7BFF">
      <w:pPr>
        <w:widowControl w:val="0"/>
        <w:overflowPunct w:val="0"/>
        <w:autoSpaceDE w:val="0"/>
        <w:autoSpaceDN w:val="0"/>
        <w:adjustRightInd w:val="0"/>
        <w:spacing w:after="240" w:line="250" w:lineRule="auto"/>
        <w:jc w:val="both"/>
        <w:rPr>
          <w:rFonts w:ascii="Times New Roman" w:hAnsi="Times New Roman"/>
          <w:sz w:val="24"/>
          <w:lang w:val="en-GB"/>
        </w:rPr>
      </w:pPr>
      <w:r w:rsidRPr="008D73A7">
        <w:rPr>
          <w:rFonts w:ascii="Times New Roman" w:hAnsi="Times New Roman"/>
          <w:sz w:val="24"/>
          <w:lang w:val="en-GB"/>
        </w:rPr>
        <w:t>The European Commission may provide, on a yearly basis, input and orientation to CEPT reflecting EU policy priorities requiring special attention in the context of spectrum usage by SRDs. This input and orientation, which aims at focussing the CEPT analysis, would be delivered in time to allow to be taken into account by CEPT when preparing the annual report with proposals for revising the technical annex.</w:t>
      </w:r>
    </w:p>
    <w:p w14:paraId="1570F6D3" w14:textId="77777777" w:rsidR="004F7BFF" w:rsidRPr="008D73A7" w:rsidRDefault="004F7BFF" w:rsidP="004F7BFF">
      <w:pPr>
        <w:widowControl w:val="0"/>
        <w:overflowPunct w:val="0"/>
        <w:autoSpaceDE w:val="0"/>
        <w:autoSpaceDN w:val="0"/>
        <w:adjustRightInd w:val="0"/>
        <w:spacing w:after="360" w:line="259" w:lineRule="auto"/>
        <w:jc w:val="both"/>
        <w:rPr>
          <w:rFonts w:ascii="Times New Roman" w:hAnsi="Times New Roman"/>
          <w:sz w:val="24"/>
          <w:lang w:val="en-GB"/>
        </w:rPr>
      </w:pPr>
      <w:r w:rsidRPr="008D73A7">
        <w:rPr>
          <w:rFonts w:ascii="Times New Roman" w:hAnsi="Times New Roman"/>
          <w:sz w:val="24"/>
          <w:lang w:val="en-GB"/>
        </w:rPr>
        <w:t>The Commission, with the assistance of the Radio Spectrum Committee (RSC) pursuant to the Radio Spectrum Decision, may consider applying the results of this permanent Mandate in the European Union.</w:t>
      </w:r>
    </w:p>
    <w:p w14:paraId="29B9A976" w14:textId="77777777" w:rsidR="004F7BFF" w:rsidRPr="008D73A7" w:rsidRDefault="004F7BFF" w:rsidP="004F7BFF">
      <w:pPr>
        <w:widowControl w:val="0"/>
        <w:autoSpaceDE w:val="0"/>
        <w:autoSpaceDN w:val="0"/>
        <w:adjustRightInd w:val="0"/>
        <w:spacing w:after="240"/>
        <w:rPr>
          <w:rFonts w:ascii="Times New Roman" w:hAnsi="Times New Roman"/>
          <w:sz w:val="24"/>
          <w:lang w:val="en-GB"/>
        </w:rPr>
      </w:pPr>
      <w:r w:rsidRPr="008D73A7">
        <w:rPr>
          <w:rFonts w:ascii="Times New Roman" w:hAnsi="Times New Roman"/>
          <w:b/>
          <w:bCs/>
          <w:sz w:val="24"/>
          <w:lang w:val="en-GB"/>
        </w:rPr>
        <w:t>Duration</w:t>
      </w:r>
    </w:p>
    <w:p w14:paraId="52A6DF2B" w14:textId="77777777" w:rsidR="004F7BFF" w:rsidRPr="008D73A7" w:rsidRDefault="004F7BFF" w:rsidP="004F7BFF">
      <w:pPr>
        <w:widowControl w:val="0"/>
        <w:autoSpaceDE w:val="0"/>
        <w:autoSpaceDN w:val="0"/>
        <w:adjustRightInd w:val="0"/>
        <w:spacing w:after="240"/>
        <w:rPr>
          <w:rFonts w:ascii="Times New Roman" w:hAnsi="Times New Roman"/>
          <w:sz w:val="24"/>
          <w:lang w:val="en-GB"/>
        </w:rPr>
      </w:pPr>
      <w:r w:rsidRPr="008D73A7">
        <w:rPr>
          <w:rFonts w:ascii="Times New Roman" w:hAnsi="Times New Roman"/>
          <w:sz w:val="24"/>
          <w:lang w:val="en-GB"/>
        </w:rPr>
        <w:t>This mandate will be kept as long as the Commission Decision on SRDs is applicable.</w:t>
      </w:r>
    </w:p>
    <w:p w14:paraId="66CC6383" w14:textId="77777777" w:rsidR="004F7BFF" w:rsidRPr="008D73A7" w:rsidRDefault="004F7BFF" w:rsidP="004F7BFF">
      <w:pPr>
        <w:widowControl w:val="0"/>
        <w:overflowPunct w:val="0"/>
        <w:autoSpaceDE w:val="0"/>
        <w:autoSpaceDN w:val="0"/>
        <w:adjustRightInd w:val="0"/>
        <w:spacing w:after="360" w:line="259" w:lineRule="auto"/>
        <w:jc w:val="both"/>
        <w:rPr>
          <w:rFonts w:ascii="Times New Roman" w:hAnsi="Times New Roman"/>
          <w:sz w:val="24"/>
          <w:lang w:val="en-GB"/>
        </w:rPr>
      </w:pPr>
      <w:r w:rsidRPr="008D73A7">
        <w:rPr>
          <w:rFonts w:ascii="Times New Roman" w:hAnsi="Times New Roman"/>
          <w:sz w:val="24"/>
          <w:lang w:val="en-GB"/>
        </w:rPr>
        <w:t>However, the Commission, having received the advice of the RSC in the matter and with due consultation with CEPT, may terminate or modify this mandate at a specified point in time in case it would have become redundant, obsolete or needs to be updated.</w:t>
      </w:r>
    </w:p>
    <w:p w14:paraId="4A129233" w14:textId="77777777" w:rsidR="004F7BFF" w:rsidRPr="008D73A7" w:rsidRDefault="004F7BFF" w:rsidP="004F7BFF">
      <w:pPr>
        <w:widowControl w:val="0"/>
        <w:autoSpaceDE w:val="0"/>
        <w:autoSpaceDN w:val="0"/>
        <w:adjustRightInd w:val="0"/>
        <w:spacing w:after="240"/>
        <w:rPr>
          <w:rFonts w:ascii="Times New Roman" w:hAnsi="Times New Roman"/>
          <w:sz w:val="24"/>
          <w:lang w:val="en-GB"/>
        </w:rPr>
      </w:pPr>
      <w:r w:rsidRPr="008D73A7">
        <w:rPr>
          <w:rFonts w:ascii="Times New Roman" w:hAnsi="Times New Roman"/>
          <w:b/>
          <w:bCs/>
          <w:sz w:val="24"/>
          <w:lang w:val="en-GB"/>
        </w:rPr>
        <w:t>Order and Schedule</w:t>
      </w:r>
    </w:p>
    <w:p w14:paraId="457F80CC" w14:textId="77777777" w:rsidR="004F7BFF" w:rsidRPr="008D73A7" w:rsidRDefault="004F7BFF" w:rsidP="004F7BFF">
      <w:pPr>
        <w:widowControl w:val="0"/>
        <w:numPr>
          <w:ilvl w:val="0"/>
          <w:numId w:val="31"/>
        </w:numPr>
        <w:overflowPunct w:val="0"/>
        <w:autoSpaceDE w:val="0"/>
        <w:autoSpaceDN w:val="0"/>
        <w:adjustRightInd w:val="0"/>
        <w:spacing w:after="240" w:line="296" w:lineRule="auto"/>
        <w:jc w:val="both"/>
        <w:rPr>
          <w:rFonts w:ascii="Times New Roman" w:hAnsi="Times New Roman"/>
          <w:sz w:val="24"/>
          <w:lang w:val="en-GB"/>
        </w:rPr>
      </w:pPr>
      <w:r w:rsidRPr="008D73A7">
        <w:rPr>
          <w:rFonts w:ascii="Times New Roman" w:hAnsi="Times New Roman"/>
          <w:sz w:val="24"/>
          <w:lang w:val="en-GB"/>
        </w:rPr>
        <w:t>CEPT is hereby mandated to undertake all relevant work to meet the objectives stated above.</w:t>
      </w:r>
    </w:p>
    <w:p w14:paraId="477CFCE2" w14:textId="77777777" w:rsidR="004F7BFF" w:rsidRPr="008D73A7" w:rsidRDefault="004F7BFF" w:rsidP="004F7BFF">
      <w:pPr>
        <w:widowControl w:val="0"/>
        <w:numPr>
          <w:ilvl w:val="0"/>
          <w:numId w:val="31"/>
        </w:numPr>
        <w:overflowPunct w:val="0"/>
        <w:autoSpaceDE w:val="0"/>
        <w:autoSpaceDN w:val="0"/>
        <w:adjustRightInd w:val="0"/>
        <w:spacing w:after="240" w:line="257" w:lineRule="auto"/>
        <w:jc w:val="both"/>
        <w:rPr>
          <w:rFonts w:ascii="Times New Roman" w:hAnsi="Times New Roman"/>
          <w:sz w:val="24"/>
          <w:lang w:val="en-GB"/>
        </w:rPr>
      </w:pPr>
      <w:r w:rsidRPr="008D73A7">
        <w:rPr>
          <w:rFonts w:ascii="Times New Roman" w:hAnsi="Times New Roman"/>
          <w:sz w:val="24"/>
          <w:lang w:val="en-GB"/>
        </w:rPr>
        <w:t xml:space="preserve">The CEPT is mandated to produce a yearly report to the European Commission including the proposed revision of the technical annex of the Commission Decision on SRDs. This report shall take into account the input and orientation given by the Commission if provided. The CEPT report shall be delivered in </w:t>
      </w:r>
      <w:r w:rsidRPr="008D73A7">
        <w:rPr>
          <w:rFonts w:ascii="Times New Roman" w:hAnsi="Times New Roman"/>
          <w:b/>
          <w:bCs/>
          <w:sz w:val="24"/>
          <w:lang w:val="en-GB"/>
        </w:rPr>
        <w:t>July</w:t>
      </w:r>
      <w:r w:rsidRPr="008D73A7">
        <w:rPr>
          <w:rFonts w:ascii="Times New Roman" w:hAnsi="Times New Roman"/>
          <w:sz w:val="24"/>
          <w:lang w:val="en-GB"/>
        </w:rPr>
        <w:t xml:space="preserve"> of each year.</w:t>
      </w:r>
    </w:p>
    <w:p w14:paraId="20FE3DB9" w14:textId="77777777" w:rsidR="004F7BFF" w:rsidRPr="008D73A7" w:rsidRDefault="004F7BFF" w:rsidP="004F7BFF">
      <w:pPr>
        <w:widowControl w:val="0"/>
        <w:numPr>
          <w:ilvl w:val="0"/>
          <w:numId w:val="31"/>
        </w:numPr>
        <w:overflowPunct w:val="0"/>
        <w:autoSpaceDE w:val="0"/>
        <w:autoSpaceDN w:val="0"/>
        <w:adjustRightInd w:val="0"/>
        <w:spacing w:after="240"/>
        <w:jc w:val="both"/>
        <w:rPr>
          <w:rFonts w:ascii="Times New Roman" w:hAnsi="Times New Roman"/>
          <w:sz w:val="24"/>
          <w:lang w:val="en-GB"/>
        </w:rPr>
      </w:pPr>
      <w:r w:rsidRPr="008D73A7">
        <w:rPr>
          <w:rFonts w:ascii="Times New Roman" w:hAnsi="Times New Roman"/>
          <w:sz w:val="24"/>
          <w:lang w:val="en-GB"/>
        </w:rPr>
        <w:t>An indicative schedule of the process is given in table 1.</w:t>
      </w:r>
    </w:p>
    <w:p w14:paraId="5492B0F5" w14:textId="77777777" w:rsidR="004F7BFF" w:rsidRPr="008D73A7" w:rsidRDefault="004F7BFF" w:rsidP="004F7BFF">
      <w:pPr>
        <w:widowControl w:val="0"/>
        <w:overflowPunct w:val="0"/>
        <w:autoSpaceDE w:val="0"/>
        <w:autoSpaceDN w:val="0"/>
        <w:adjustRightInd w:val="0"/>
        <w:spacing w:after="240" w:line="261" w:lineRule="auto"/>
        <w:ind w:left="720"/>
        <w:jc w:val="both"/>
        <w:rPr>
          <w:rFonts w:ascii="Times New Roman" w:hAnsi="Times New Roman"/>
          <w:sz w:val="24"/>
          <w:lang w:val="en-GB"/>
        </w:rPr>
      </w:pPr>
      <w:r w:rsidRPr="008D73A7">
        <w:rPr>
          <w:rFonts w:ascii="Times New Roman" w:hAnsi="Times New Roman"/>
          <w:sz w:val="24"/>
          <w:lang w:val="en-GB"/>
        </w:rPr>
        <w:t>In implementing this mandate, the CEPT shall, where relevant, take the utmost account of Community law applicable, notably the RTTE Directive, 1999/5/EC, and to support the principles of technological neutrality, non-discrimination and proportionality.</w:t>
      </w:r>
    </w:p>
    <w:p w14:paraId="1A9B7D2D" w14:textId="77777777" w:rsidR="004F7BFF" w:rsidRPr="008D73A7" w:rsidRDefault="004F7BFF" w:rsidP="004F7BFF">
      <w:pPr>
        <w:rPr>
          <w:rFonts w:ascii="Times New Roman" w:hAnsi="Times New Roman"/>
          <w:sz w:val="24"/>
          <w:lang w:val="en-GB"/>
        </w:rPr>
      </w:pPr>
      <w:r w:rsidRPr="008D73A7">
        <w:rPr>
          <w:rFonts w:ascii="Times New Roman" w:hAnsi="Times New Roman"/>
          <w:sz w:val="24"/>
          <w:lang w:val="en-GB"/>
        </w:rPr>
        <w:br w:type="page"/>
      </w:r>
    </w:p>
    <w:p w14:paraId="5A1DD67A" w14:textId="77777777" w:rsidR="004F7BFF" w:rsidRPr="008D73A7" w:rsidRDefault="004F7BFF" w:rsidP="004F7BFF">
      <w:pPr>
        <w:widowControl w:val="0"/>
        <w:autoSpaceDE w:val="0"/>
        <w:autoSpaceDN w:val="0"/>
        <w:adjustRightInd w:val="0"/>
        <w:spacing w:after="240"/>
        <w:ind w:left="860"/>
        <w:rPr>
          <w:rFonts w:ascii="Times New Roman" w:hAnsi="Times New Roman"/>
          <w:sz w:val="24"/>
          <w:lang w:val="en-GB"/>
        </w:rPr>
      </w:pPr>
      <w:r w:rsidRPr="008D73A7">
        <w:rPr>
          <w:rFonts w:ascii="Times New Roman" w:hAnsi="Times New Roman"/>
          <w:sz w:val="24"/>
          <w:lang w:val="en-GB"/>
        </w:rPr>
        <w:lastRenderedPageBreak/>
        <w:t xml:space="preserve">Table 1 – </w:t>
      </w:r>
      <w:r w:rsidRPr="008D73A7">
        <w:rPr>
          <w:rFonts w:ascii="Times New Roman" w:hAnsi="Times New Roman"/>
          <w:b/>
          <w:bCs/>
          <w:sz w:val="24"/>
          <w:lang w:val="en-GB"/>
        </w:rPr>
        <w:t>Schedule for review of SRD Decision</w:t>
      </w:r>
      <w:r w:rsidRPr="008D73A7">
        <w:rPr>
          <w:rFonts w:ascii="Times New Roman" w:hAnsi="Times New Roman"/>
          <w:sz w:val="24"/>
          <w:lang w:val="en-GB"/>
        </w:rPr>
        <w:t xml:space="preserve"> (revolving cycle)</w:t>
      </w:r>
    </w:p>
    <w:p w14:paraId="45B9E9D3" w14:textId="77777777" w:rsidR="004F7BFF" w:rsidRPr="008D73A7" w:rsidRDefault="004F7BFF" w:rsidP="004F7BFF">
      <w:pPr>
        <w:widowControl w:val="0"/>
        <w:overflowPunct w:val="0"/>
        <w:autoSpaceDE w:val="0"/>
        <w:autoSpaceDN w:val="0"/>
        <w:adjustRightInd w:val="0"/>
        <w:spacing w:after="240" w:line="253" w:lineRule="auto"/>
        <w:ind w:left="140" w:right="1020"/>
        <w:jc w:val="both"/>
        <w:rPr>
          <w:rFonts w:ascii="Times New Roman" w:hAnsi="Times New Roman"/>
          <w:sz w:val="24"/>
          <w:lang w:val="en-GB"/>
        </w:rPr>
      </w:pPr>
      <w:r w:rsidRPr="008D73A7">
        <w:rPr>
          <w:rFonts w:ascii="Times New Roman" w:hAnsi="Times New Roman"/>
          <w:sz w:val="24"/>
          <w:lang w:val="en-GB"/>
        </w:rPr>
        <w:t>The reference date of the annual cycle of revision of the technical annex of the Commission Decision on SRDs is July of each year at which time CEPT is expected to deliver its annual report containing the proposal for revising the technical annex of the Commission Decision on SRDs.</w:t>
      </w:r>
    </w:p>
    <w:p w14:paraId="084C25E3" w14:textId="77777777" w:rsidR="004F7BFF" w:rsidRPr="008D73A7" w:rsidRDefault="004F7BFF" w:rsidP="004F7BFF">
      <w:pPr>
        <w:widowControl w:val="0"/>
        <w:autoSpaceDE w:val="0"/>
        <w:autoSpaceDN w:val="0"/>
        <w:adjustRightInd w:val="0"/>
        <w:spacing w:after="240"/>
        <w:ind w:left="140"/>
        <w:rPr>
          <w:rFonts w:ascii="Times New Roman" w:hAnsi="Times New Roman"/>
          <w:sz w:val="24"/>
          <w:lang w:val="en-GB"/>
        </w:rPr>
      </w:pPr>
      <w:r w:rsidRPr="008D73A7">
        <w:rPr>
          <w:rFonts w:ascii="Times New Roman" w:hAnsi="Times New Roman"/>
          <w:i/>
          <w:iCs/>
          <w:sz w:val="24"/>
          <w:lang w:val="en-GB"/>
        </w:rPr>
        <w:t>Year Y -1</w:t>
      </w:r>
    </w:p>
    <w:tbl>
      <w:tblPr>
        <w:tblStyle w:val="TableGrid"/>
        <w:tblW w:w="9918" w:type="dxa"/>
        <w:tblLook w:val="04A0" w:firstRow="1" w:lastRow="0" w:firstColumn="1" w:lastColumn="0" w:noHBand="0" w:noVBand="1"/>
      </w:tblPr>
      <w:tblGrid>
        <w:gridCol w:w="3114"/>
        <w:gridCol w:w="6804"/>
      </w:tblGrid>
      <w:tr w:rsidR="004F7BFF" w:rsidRPr="008D73A7" w14:paraId="2B772DC4" w14:textId="77777777" w:rsidTr="00DE7D17">
        <w:tc>
          <w:tcPr>
            <w:tcW w:w="3114" w:type="dxa"/>
          </w:tcPr>
          <w:p w14:paraId="6C562DF5" w14:textId="77777777" w:rsidR="004F7BFF" w:rsidRPr="008D73A7" w:rsidRDefault="004F7BFF" w:rsidP="00DE7D17">
            <w:pPr>
              <w:pStyle w:val="ECCTabletext"/>
              <w:rPr>
                <w:rFonts w:ascii="Times New Roman" w:hAnsi="Times New Roman"/>
                <w:sz w:val="24"/>
                <w:szCs w:val="24"/>
              </w:rPr>
            </w:pPr>
            <w:r w:rsidRPr="008D73A7">
              <w:rPr>
                <w:rFonts w:ascii="Times New Roman" w:hAnsi="Times New Roman"/>
                <w:sz w:val="24"/>
                <w:szCs w:val="24"/>
              </w:rPr>
              <w:t>November-December</w:t>
            </w:r>
          </w:p>
        </w:tc>
        <w:tc>
          <w:tcPr>
            <w:tcW w:w="6804" w:type="dxa"/>
          </w:tcPr>
          <w:p w14:paraId="412E0E8F" w14:textId="77777777" w:rsidR="004F7BFF" w:rsidRPr="008D73A7" w:rsidRDefault="004F7BFF" w:rsidP="00DE7D17">
            <w:pPr>
              <w:pStyle w:val="ECCTabletext"/>
              <w:rPr>
                <w:rFonts w:ascii="Times New Roman" w:hAnsi="Times New Roman"/>
                <w:sz w:val="24"/>
                <w:szCs w:val="24"/>
              </w:rPr>
            </w:pPr>
            <w:r w:rsidRPr="008D73A7">
              <w:rPr>
                <w:rFonts w:ascii="Times New Roman" w:hAnsi="Times New Roman"/>
                <w:sz w:val="24"/>
                <w:szCs w:val="24"/>
              </w:rPr>
              <w:t>Optional: input and orientation presented by the Commission to the RSC in view of formal transmission to CEPT by the end of year Y-1</w:t>
            </w:r>
          </w:p>
          <w:p w14:paraId="1EF155D9" w14:textId="77777777" w:rsidR="004F7BFF" w:rsidRPr="008D73A7" w:rsidRDefault="004F7BFF" w:rsidP="00DE7D17">
            <w:pPr>
              <w:pStyle w:val="ECCTabletext"/>
              <w:rPr>
                <w:rFonts w:ascii="Times New Roman" w:hAnsi="Times New Roman"/>
                <w:sz w:val="24"/>
                <w:szCs w:val="24"/>
              </w:rPr>
            </w:pPr>
          </w:p>
        </w:tc>
      </w:tr>
    </w:tbl>
    <w:p w14:paraId="16237A11" w14:textId="77777777" w:rsidR="004F7BFF" w:rsidRPr="008D73A7" w:rsidRDefault="004F7BFF" w:rsidP="004F7BFF">
      <w:pPr>
        <w:rPr>
          <w:lang w:val="en-GB"/>
        </w:rPr>
      </w:pPr>
    </w:p>
    <w:p w14:paraId="6A0EAB0D" w14:textId="77777777" w:rsidR="004F7BFF" w:rsidRPr="008D73A7" w:rsidRDefault="004F7BFF" w:rsidP="004F7BFF">
      <w:pPr>
        <w:widowControl w:val="0"/>
        <w:autoSpaceDE w:val="0"/>
        <w:autoSpaceDN w:val="0"/>
        <w:adjustRightInd w:val="0"/>
        <w:spacing w:after="240"/>
        <w:ind w:left="140"/>
        <w:rPr>
          <w:rFonts w:ascii="Times New Roman" w:hAnsi="Times New Roman"/>
          <w:sz w:val="24"/>
          <w:lang w:val="en-GB"/>
        </w:rPr>
      </w:pPr>
      <w:r w:rsidRPr="008D73A7">
        <w:rPr>
          <w:rFonts w:ascii="Times New Roman" w:hAnsi="Times New Roman"/>
          <w:i/>
          <w:iCs/>
          <w:sz w:val="24"/>
          <w:lang w:val="en-GB"/>
        </w:rPr>
        <w:t>Year Y</w:t>
      </w:r>
    </w:p>
    <w:tbl>
      <w:tblPr>
        <w:tblStyle w:val="TableGrid"/>
        <w:tblW w:w="9918" w:type="dxa"/>
        <w:tblLook w:val="04A0" w:firstRow="1" w:lastRow="0" w:firstColumn="1" w:lastColumn="0" w:noHBand="0" w:noVBand="1"/>
      </w:tblPr>
      <w:tblGrid>
        <w:gridCol w:w="3114"/>
        <w:gridCol w:w="6804"/>
      </w:tblGrid>
      <w:tr w:rsidR="004F7BFF" w:rsidRPr="008D73A7" w14:paraId="0A309B21" w14:textId="77777777" w:rsidTr="00DE7D17">
        <w:tc>
          <w:tcPr>
            <w:tcW w:w="3114" w:type="dxa"/>
          </w:tcPr>
          <w:p w14:paraId="4FC4F97F" w14:textId="77777777" w:rsidR="004F7BFF" w:rsidRPr="008D73A7" w:rsidRDefault="004F7BFF" w:rsidP="00DE7D17">
            <w:pPr>
              <w:pStyle w:val="ECCTabletext"/>
              <w:rPr>
                <w:rFonts w:ascii="Times New Roman" w:hAnsi="Times New Roman"/>
                <w:sz w:val="24"/>
                <w:szCs w:val="24"/>
              </w:rPr>
            </w:pPr>
            <w:r w:rsidRPr="008D73A7">
              <w:rPr>
                <w:rFonts w:ascii="Times New Roman" w:hAnsi="Times New Roman"/>
                <w:sz w:val="24"/>
                <w:szCs w:val="24"/>
              </w:rPr>
              <w:t>July</w:t>
            </w:r>
          </w:p>
        </w:tc>
        <w:tc>
          <w:tcPr>
            <w:tcW w:w="6804" w:type="dxa"/>
          </w:tcPr>
          <w:p w14:paraId="52A46CEE" w14:textId="77777777" w:rsidR="004F7BFF" w:rsidRPr="008D73A7" w:rsidRDefault="004F7BFF" w:rsidP="00DE7D17">
            <w:pPr>
              <w:pStyle w:val="ECCTabletext"/>
              <w:rPr>
                <w:rFonts w:ascii="Times New Roman" w:hAnsi="Times New Roman"/>
                <w:sz w:val="24"/>
                <w:szCs w:val="24"/>
              </w:rPr>
            </w:pPr>
            <w:r w:rsidRPr="008D73A7">
              <w:rPr>
                <w:rFonts w:ascii="Times New Roman" w:hAnsi="Times New Roman"/>
                <w:sz w:val="24"/>
                <w:szCs w:val="24"/>
              </w:rPr>
              <w:t>CEPT to finalise the response to the Mandate for year Y and submit formally a report to the Commission.</w:t>
            </w:r>
          </w:p>
          <w:p w14:paraId="08F3C09A" w14:textId="77777777" w:rsidR="004F7BFF" w:rsidRPr="008D73A7" w:rsidRDefault="004F7BFF" w:rsidP="00DE7D17">
            <w:pPr>
              <w:pStyle w:val="ECCTabletext"/>
              <w:rPr>
                <w:rFonts w:ascii="Times New Roman" w:hAnsi="Times New Roman"/>
                <w:sz w:val="24"/>
                <w:szCs w:val="24"/>
              </w:rPr>
            </w:pPr>
          </w:p>
        </w:tc>
      </w:tr>
    </w:tbl>
    <w:p w14:paraId="05BC09E6" w14:textId="77777777" w:rsidR="004F7BFF" w:rsidRPr="008D73A7" w:rsidRDefault="004F7BFF" w:rsidP="004F7BFF">
      <w:pPr>
        <w:rPr>
          <w:lang w:val="en-GB"/>
        </w:rPr>
      </w:pPr>
    </w:p>
    <w:p w14:paraId="19D465EB" w14:textId="77777777" w:rsidR="004F7BFF" w:rsidRPr="008D73A7" w:rsidRDefault="004F7BFF" w:rsidP="004F7BFF">
      <w:pPr>
        <w:jc w:val="center"/>
        <w:rPr>
          <w:lang w:val="en-GB"/>
        </w:rPr>
      </w:pPr>
      <w:r w:rsidRPr="008D73A7">
        <w:rPr>
          <w:lang w:val="en-GB"/>
        </w:rPr>
        <w:t>***</w:t>
      </w:r>
    </w:p>
    <w:p w14:paraId="0D8C537F" w14:textId="2F7D1A9B" w:rsidR="006C2C39" w:rsidRPr="008D73A7" w:rsidRDefault="006C2C39" w:rsidP="006C2C39">
      <w:pPr>
        <w:spacing w:after="208" w:line="268" w:lineRule="auto"/>
        <w:ind w:left="902" w:right="1068" w:hanging="10"/>
        <w:jc w:val="both"/>
        <w:rPr>
          <w:rFonts w:ascii="Times New Roman" w:hAnsi="Times New Roman"/>
          <w:color w:val="000000"/>
          <w:sz w:val="24"/>
          <w:lang w:val="en-GB" w:eastAsia="en-GB" w:bidi="en-GB"/>
        </w:rPr>
      </w:pPr>
      <w:r w:rsidRPr="008D73A7">
        <w:rPr>
          <w:rFonts w:ascii="Times New Roman" w:hAnsi="Times New Roman"/>
          <w:color w:val="000000"/>
          <w:sz w:val="24"/>
          <w:lang w:val="en-GB" w:eastAsia="en-GB" w:bidi="en-GB"/>
        </w:rPr>
        <w:t xml:space="preserve"> </w:t>
      </w:r>
    </w:p>
    <w:p w14:paraId="391FA7FB" w14:textId="24D5F3F1" w:rsidR="006C2C39" w:rsidRPr="008D73A7" w:rsidRDefault="006C2C39" w:rsidP="009D0535">
      <w:pPr>
        <w:rPr>
          <w:lang w:val="en-GB"/>
        </w:rPr>
        <w:sectPr w:rsidR="006C2C39" w:rsidRPr="008D73A7" w:rsidSect="0089442B">
          <w:pgSz w:w="11907" w:h="16840" w:code="9"/>
          <w:pgMar w:top="1440" w:right="1134" w:bottom="1440" w:left="1134" w:header="709" w:footer="709" w:gutter="0"/>
          <w:cols w:space="708"/>
          <w:docGrid w:linePitch="360"/>
        </w:sectPr>
      </w:pPr>
    </w:p>
    <w:p w14:paraId="78F03895" w14:textId="5683BAFE" w:rsidR="009D0535" w:rsidRPr="008D73A7" w:rsidRDefault="009D0535" w:rsidP="00415C19">
      <w:pPr>
        <w:pStyle w:val="ECCAnnexheading1"/>
      </w:pPr>
      <w:bookmarkStart w:id="377" w:name="_Toc123634738"/>
      <w:bookmarkStart w:id="378" w:name="_Toc123634828"/>
      <w:bookmarkStart w:id="379" w:name="_Toc135806344"/>
      <w:bookmarkStart w:id="380" w:name="_Toc153443788"/>
      <w:bookmarkStart w:id="381" w:name="_Toc169147730"/>
      <w:bookmarkStart w:id="382" w:name="_Toc169241197"/>
      <w:r w:rsidRPr="008D73A7">
        <w:lastRenderedPageBreak/>
        <w:t>List of reference</w:t>
      </w:r>
      <w:r w:rsidR="0025615E" w:rsidRPr="008D73A7">
        <w:t>s</w:t>
      </w:r>
      <w:bookmarkEnd w:id="377"/>
      <w:bookmarkEnd w:id="378"/>
      <w:bookmarkEnd w:id="379"/>
      <w:bookmarkEnd w:id="380"/>
    </w:p>
    <w:bookmarkStart w:id="383" w:name="ECC_Report_334"/>
    <w:bookmarkStart w:id="384" w:name="_Ref135744418"/>
    <w:bookmarkEnd w:id="381"/>
    <w:bookmarkEnd w:id="382"/>
    <w:bookmarkEnd w:id="383"/>
    <w:p w14:paraId="5AD36414" w14:textId="3D082C0F" w:rsidR="002F7756" w:rsidRPr="008D73A7" w:rsidRDefault="00666B9A" w:rsidP="002F7756">
      <w:pPr>
        <w:pStyle w:val="reference"/>
        <w:numPr>
          <w:ilvl w:val="0"/>
          <w:numId w:val="6"/>
        </w:numPr>
        <w:spacing w:before="60"/>
        <w:rPr>
          <w:szCs w:val="20"/>
          <w:lang w:val="en-GB"/>
        </w:rPr>
      </w:pPr>
      <w:r w:rsidRPr="008D73A7">
        <w:rPr>
          <w:lang w:val="en-GB"/>
        </w:rPr>
        <w:fldChar w:fldCharType="begin"/>
      </w:r>
      <w:r w:rsidRPr="008D73A7">
        <w:rPr>
          <w:lang w:val="en-GB"/>
        </w:rPr>
        <w:instrText>HYPERLINK "https://docdb.cept.org/document/26187"</w:instrText>
      </w:r>
      <w:r w:rsidRPr="008D73A7">
        <w:rPr>
          <w:lang w:val="en-GB"/>
        </w:rPr>
      </w:r>
      <w:r w:rsidRPr="008D73A7">
        <w:rPr>
          <w:lang w:val="en-GB"/>
        </w:rPr>
        <w:fldChar w:fldCharType="separate"/>
      </w:r>
      <w:r w:rsidRPr="008D73A7">
        <w:rPr>
          <w:rStyle w:val="Hyperlink"/>
          <w:lang w:val="en-GB"/>
        </w:rPr>
        <w:t>ECC Report 334</w:t>
      </w:r>
      <w:r w:rsidRPr="008D73A7">
        <w:rPr>
          <w:lang w:val="en-GB"/>
        </w:rPr>
        <w:fldChar w:fldCharType="end"/>
      </w:r>
      <w:r w:rsidR="00682E65" w:rsidRPr="008D73A7">
        <w:rPr>
          <w:szCs w:val="20"/>
          <w:lang w:val="en-GB"/>
        </w:rPr>
        <w:t>: “UWB radiodetermination applications in the frequency range 116-260 GHz”</w:t>
      </w:r>
      <w:r w:rsidRPr="008D73A7">
        <w:rPr>
          <w:szCs w:val="20"/>
          <w:lang w:val="en-GB"/>
        </w:rPr>
        <w:t>, approved January</w:t>
      </w:r>
      <w:r w:rsidR="00682E65" w:rsidRPr="008D73A7">
        <w:rPr>
          <w:szCs w:val="20"/>
          <w:lang w:val="en-GB"/>
        </w:rPr>
        <w:t xml:space="preserve"> 2022</w:t>
      </w:r>
      <w:bookmarkEnd w:id="384"/>
    </w:p>
    <w:bookmarkStart w:id="385" w:name="_Ref133412098"/>
    <w:p w14:paraId="6A6AF48A" w14:textId="6EE46159" w:rsidR="002F7756" w:rsidRPr="008D73A7" w:rsidRDefault="00A552CE" w:rsidP="001D7C42">
      <w:pPr>
        <w:pStyle w:val="reference"/>
        <w:numPr>
          <w:ilvl w:val="0"/>
          <w:numId w:val="6"/>
        </w:numPr>
        <w:tabs>
          <w:tab w:val="clear" w:pos="397"/>
        </w:tabs>
        <w:spacing w:before="60"/>
        <w:rPr>
          <w:szCs w:val="20"/>
          <w:lang w:val="en-GB"/>
        </w:rPr>
      </w:pPr>
      <w:r w:rsidRPr="008D73A7">
        <w:rPr>
          <w:lang w:val="en-GB"/>
        </w:rPr>
        <w:fldChar w:fldCharType="begin"/>
      </w:r>
      <w:r w:rsidRPr="008D73A7">
        <w:rPr>
          <w:lang w:val="en-GB"/>
        </w:rPr>
        <w:instrText>HYPERLINK "https://docdb.cept.org/document/28588"</w:instrText>
      </w:r>
      <w:r w:rsidRPr="008D73A7">
        <w:rPr>
          <w:lang w:val="en-GB"/>
        </w:rPr>
      </w:r>
      <w:r w:rsidRPr="008D73A7">
        <w:rPr>
          <w:lang w:val="en-GB"/>
        </w:rPr>
        <w:fldChar w:fldCharType="separate"/>
      </w:r>
      <w:r w:rsidRPr="008D73A7">
        <w:rPr>
          <w:rStyle w:val="Hyperlink"/>
          <w:lang w:val="en-GB"/>
        </w:rPr>
        <w:t>ECC Report 351</w:t>
      </w:r>
      <w:r w:rsidRPr="008D73A7">
        <w:rPr>
          <w:lang w:val="en-GB"/>
        </w:rPr>
        <w:fldChar w:fldCharType="end"/>
      </w:r>
      <w:r w:rsidR="002F7756" w:rsidRPr="008D73A7">
        <w:rPr>
          <w:szCs w:val="20"/>
          <w:lang w:val="en-GB"/>
        </w:rPr>
        <w:t>: “</w:t>
      </w:r>
      <w:r w:rsidR="0013669E" w:rsidRPr="008D73A7">
        <w:rPr>
          <w:szCs w:val="20"/>
          <w:lang w:val="en-GB"/>
        </w:rPr>
        <w:t>UWB radiodetermination applications within the frequency range 116 GHz to 148.5 GHz for vehicular use</w:t>
      </w:r>
      <w:r w:rsidR="002F7756" w:rsidRPr="008D73A7">
        <w:rPr>
          <w:szCs w:val="20"/>
          <w:lang w:val="en-GB"/>
        </w:rPr>
        <w:t xml:space="preserve">”, approved </w:t>
      </w:r>
      <w:r w:rsidR="0013669E" w:rsidRPr="008D73A7">
        <w:rPr>
          <w:szCs w:val="20"/>
          <w:lang w:val="en-GB"/>
        </w:rPr>
        <w:t>Febr</w:t>
      </w:r>
      <w:r w:rsidR="002F7756" w:rsidRPr="008D73A7">
        <w:rPr>
          <w:szCs w:val="20"/>
          <w:lang w:val="en-GB"/>
        </w:rPr>
        <w:t>uary 202</w:t>
      </w:r>
      <w:r w:rsidR="0013669E" w:rsidRPr="008D73A7">
        <w:rPr>
          <w:szCs w:val="20"/>
          <w:lang w:val="en-GB"/>
        </w:rPr>
        <w:t>3</w:t>
      </w:r>
      <w:bookmarkEnd w:id="385"/>
    </w:p>
    <w:p w14:paraId="4AFCFF5F" w14:textId="036270EE" w:rsidR="00C67D67" w:rsidRPr="008D73A7" w:rsidRDefault="00C67D67" w:rsidP="00C558D2">
      <w:pPr>
        <w:pStyle w:val="reference"/>
        <w:numPr>
          <w:ilvl w:val="0"/>
          <w:numId w:val="6"/>
        </w:numPr>
        <w:spacing w:before="60"/>
        <w:rPr>
          <w:lang w:val="en-GB"/>
        </w:rPr>
      </w:pPr>
      <w:bookmarkStart w:id="386" w:name="ETSI_TR_103_498"/>
      <w:bookmarkStart w:id="387" w:name="_Ref88213795"/>
      <w:bookmarkEnd w:id="386"/>
      <w:r w:rsidRPr="008D73A7">
        <w:rPr>
          <w:lang w:val="en-GB"/>
        </w:rPr>
        <w:t>ETSI TR 103 498 "System Reference document (SRdoc); Short Range Devices (SRD) using Ultra Wide Band (UWB); Transmission characteristics; Radiodetermination applications within the frequency range 120 GHz to 260 GHz"</w:t>
      </w:r>
      <w:bookmarkEnd w:id="387"/>
    </w:p>
    <w:bookmarkStart w:id="388" w:name="ECC_DEC_22_03"/>
    <w:bookmarkEnd w:id="388"/>
    <w:p w14:paraId="7293083D" w14:textId="0598AA2E" w:rsidR="00ED66AF" w:rsidRPr="008D73A7" w:rsidRDefault="00666B9A" w:rsidP="00C558D2">
      <w:pPr>
        <w:pStyle w:val="reference"/>
        <w:numPr>
          <w:ilvl w:val="0"/>
          <w:numId w:val="6"/>
        </w:numPr>
        <w:spacing w:before="60"/>
        <w:rPr>
          <w:lang w:val="en-GB"/>
        </w:rPr>
      </w:pPr>
      <w:r w:rsidRPr="008D73A7">
        <w:rPr>
          <w:lang w:val="en-GB"/>
        </w:rPr>
        <w:fldChar w:fldCharType="begin"/>
      </w:r>
      <w:r w:rsidRPr="008D73A7">
        <w:rPr>
          <w:lang w:val="en-GB"/>
        </w:rPr>
        <w:instrText>HYPERLINK "https://docdb.cept.org/document/28577"</w:instrText>
      </w:r>
      <w:r w:rsidRPr="008D73A7">
        <w:rPr>
          <w:lang w:val="en-GB"/>
        </w:rPr>
      </w:r>
      <w:r w:rsidRPr="008D73A7">
        <w:rPr>
          <w:lang w:val="en-GB"/>
        </w:rPr>
        <w:fldChar w:fldCharType="separate"/>
      </w:r>
      <w:r w:rsidRPr="008D73A7">
        <w:rPr>
          <w:rStyle w:val="Hyperlink"/>
          <w:lang w:val="en-GB"/>
        </w:rPr>
        <w:t>ECC Decision (22)03</w:t>
      </w:r>
      <w:r w:rsidRPr="008D73A7">
        <w:rPr>
          <w:lang w:val="en-GB"/>
        </w:rPr>
        <w:fldChar w:fldCharType="end"/>
      </w:r>
      <w:r w:rsidR="00ED66AF" w:rsidRPr="008D73A7">
        <w:rPr>
          <w:lang w:val="en-GB"/>
        </w:rPr>
        <w:t xml:space="preserve">: “Technical characteristics, exemption from individual licensing and free circulation and use of </w:t>
      </w:r>
      <w:r w:rsidR="00684BC2" w:rsidRPr="008D73A7">
        <w:rPr>
          <w:lang w:val="en-GB"/>
        </w:rPr>
        <w:t xml:space="preserve">specific </w:t>
      </w:r>
      <w:r w:rsidR="00ED66AF" w:rsidRPr="008D73A7">
        <w:rPr>
          <w:lang w:val="en-GB"/>
        </w:rPr>
        <w:t>radiodetermination applications in the frequency range 116-260 GHz”</w:t>
      </w:r>
      <w:r w:rsidRPr="008D73A7">
        <w:rPr>
          <w:lang w:val="en-GB"/>
        </w:rPr>
        <w:t xml:space="preserve">, approved </w:t>
      </w:r>
      <w:r w:rsidR="00C96049" w:rsidRPr="008D73A7">
        <w:rPr>
          <w:lang w:val="en-GB"/>
        </w:rPr>
        <w:t xml:space="preserve">November </w:t>
      </w:r>
      <w:r w:rsidR="004F08B2" w:rsidRPr="008D73A7">
        <w:rPr>
          <w:lang w:val="en-GB"/>
        </w:rPr>
        <w:t>2022</w:t>
      </w:r>
      <w:r w:rsidR="006764DC">
        <w:rPr>
          <w:lang w:val="en-GB"/>
        </w:rPr>
        <w:t>, latest amended 8 March 2024</w:t>
      </w:r>
    </w:p>
    <w:p w14:paraId="5F8A8E9C" w14:textId="3D66533D" w:rsidR="00CA1648" w:rsidRPr="008D73A7" w:rsidRDefault="00CA1648" w:rsidP="00C558D2">
      <w:pPr>
        <w:pStyle w:val="reference"/>
        <w:numPr>
          <w:ilvl w:val="0"/>
          <w:numId w:val="6"/>
        </w:numPr>
        <w:spacing w:before="60"/>
        <w:rPr>
          <w:lang w:val="en-GB"/>
        </w:rPr>
      </w:pPr>
      <w:bookmarkStart w:id="389" w:name="ITU_RR"/>
      <w:bookmarkStart w:id="390" w:name="_Ref111452895"/>
      <w:bookmarkStart w:id="391" w:name="_Ref111445147"/>
      <w:bookmarkEnd w:id="389"/>
      <w:r w:rsidRPr="008D73A7">
        <w:rPr>
          <w:lang w:val="en-GB"/>
        </w:rPr>
        <w:t>ITU Radio Regulations, Edition 2020</w:t>
      </w:r>
      <w:bookmarkEnd w:id="390"/>
      <w:bookmarkEnd w:id="391"/>
    </w:p>
    <w:p w14:paraId="1FA68451" w14:textId="70E9E489" w:rsidR="00D40AB0" w:rsidRPr="008D73A7" w:rsidRDefault="00D40AB0" w:rsidP="00FF67C6">
      <w:pPr>
        <w:pStyle w:val="reference"/>
        <w:numPr>
          <w:ilvl w:val="0"/>
          <w:numId w:val="6"/>
        </w:numPr>
        <w:spacing w:before="60"/>
        <w:rPr>
          <w:szCs w:val="20"/>
          <w:lang w:val="en-GB"/>
        </w:rPr>
      </w:pPr>
      <w:bookmarkStart w:id="392" w:name="RED"/>
      <w:bookmarkEnd w:id="392"/>
      <w:r w:rsidRPr="008D73A7">
        <w:rPr>
          <w:szCs w:val="20"/>
          <w:lang w:val="en-GB"/>
        </w:rPr>
        <w:t>D</w:t>
      </w:r>
      <w:r w:rsidR="00666B9A" w:rsidRPr="008D73A7">
        <w:rPr>
          <w:szCs w:val="20"/>
          <w:lang w:val="en-GB"/>
        </w:rPr>
        <w:t>irective 2014/53/EU of the European parliament and of the council of 16 April 2014 on the harmonisation of the laws of the member states relating to the making available on the market of radio equipment and repealing directive 1999/5/EC</w:t>
      </w:r>
    </w:p>
    <w:p w14:paraId="2492F89A" w14:textId="3383AAF5" w:rsidR="00CC07BA" w:rsidRPr="008D73A7" w:rsidRDefault="00694CC4" w:rsidP="00FF67C6">
      <w:pPr>
        <w:pStyle w:val="reference"/>
        <w:numPr>
          <w:ilvl w:val="0"/>
          <w:numId w:val="6"/>
        </w:numPr>
        <w:spacing w:before="60"/>
        <w:rPr>
          <w:szCs w:val="20"/>
          <w:lang w:val="en-GB"/>
        </w:rPr>
      </w:pPr>
      <w:r w:rsidRPr="008D73A7">
        <w:rPr>
          <w:szCs w:val="20"/>
          <w:lang w:val="en-GB"/>
        </w:rPr>
        <w:t xml:space="preserve">ETSI EN 303 883-1: “Short Range Devices (SRD) and </w:t>
      </w:r>
      <w:proofErr w:type="spellStart"/>
      <w:r w:rsidRPr="008D73A7">
        <w:rPr>
          <w:szCs w:val="20"/>
          <w:lang w:val="en-GB"/>
        </w:rPr>
        <w:t>Ultra Wide</w:t>
      </w:r>
      <w:proofErr w:type="spellEnd"/>
      <w:r w:rsidRPr="008D73A7">
        <w:rPr>
          <w:szCs w:val="20"/>
          <w:lang w:val="en-GB"/>
        </w:rPr>
        <w:t xml:space="preserve"> Band (UWB); Part 1: Measurement techniques for transmitter requirements”</w:t>
      </w:r>
    </w:p>
    <w:p w14:paraId="3215A4DD" w14:textId="6E2BB372" w:rsidR="00ED66AF" w:rsidRPr="008D73A7" w:rsidRDefault="00ED66AF" w:rsidP="00C25BF4">
      <w:pPr>
        <w:pStyle w:val="reference"/>
        <w:numPr>
          <w:ilvl w:val="0"/>
          <w:numId w:val="0"/>
        </w:numPr>
        <w:spacing w:before="60"/>
        <w:ind w:left="397" w:hanging="397"/>
        <w:rPr>
          <w:szCs w:val="20"/>
          <w:lang w:val="en-GB"/>
        </w:rPr>
      </w:pPr>
    </w:p>
    <w:sectPr w:rsidR="00ED66AF" w:rsidRPr="008D73A7" w:rsidSect="0089442B">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42D0" w14:textId="77777777" w:rsidR="0089442B" w:rsidRDefault="0089442B" w:rsidP="00AB46DF">
      <w:r>
        <w:separator/>
      </w:r>
    </w:p>
  </w:endnote>
  <w:endnote w:type="continuationSeparator" w:id="0">
    <w:p w14:paraId="2721067A" w14:textId="77777777" w:rsidR="0089442B" w:rsidRDefault="0089442B" w:rsidP="00AB46DF">
      <w:r>
        <w:continuationSeparator/>
      </w:r>
    </w:p>
  </w:endnote>
  <w:endnote w:type="continuationNotice" w:id="1">
    <w:p w14:paraId="24381B34" w14:textId="77777777" w:rsidR="0089442B" w:rsidRDefault="0089442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3000000"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BBA4" w14:textId="77777777" w:rsidR="0089442B" w:rsidRDefault="0089442B" w:rsidP="00AB46DF">
      <w:r>
        <w:separator/>
      </w:r>
    </w:p>
  </w:footnote>
  <w:footnote w:type="continuationSeparator" w:id="0">
    <w:p w14:paraId="2247076F" w14:textId="77777777" w:rsidR="0089442B" w:rsidRDefault="0089442B" w:rsidP="00AB46DF">
      <w:r>
        <w:continuationSeparator/>
      </w:r>
    </w:p>
  </w:footnote>
  <w:footnote w:type="continuationNotice" w:id="1">
    <w:p w14:paraId="65A84461" w14:textId="77777777" w:rsidR="0089442B" w:rsidRDefault="0089442B">
      <w:pPr>
        <w:spacing w:before="0" w:after="0"/>
      </w:pPr>
    </w:p>
  </w:footnote>
  <w:footnote w:id="2">
    <w:p w14:paraId="3A300DC4" w14:textId="553BFCA3" w:rsidR="00104E5C" w:rsidRPr="002F586F" w:rsidRDefault="00104E5C" w:rsidP="002F586F">
      <w:pPr>
        <w:pStyle w:val="FootnoteText"/>
        <w:spacing w:before="104"/>
      </w:pPr>
      <w:r>
        <w:rPr>
          <w:rStyle w:val="FootnoteReference"/>
        </w:rPr>
        <w:footnoteRef/>
      </w:r>
      <w:r>
        <w:t xml:space="preserve"> </w:t>
      </w:r>
      <w:r w:rsidRPr="00FE6D4B">
        <w:rPr>
          <w:rFonts w:ascii="Times New Roman" w:hAnsi="Times New Roman"/>
        </w:rPr>
        <w:t>RSCOM06-27 Rev (5 July 2006)</w:t>
      </w:r>
    </w:p>
  </w:footnote>
  <w:footnote w:id="3">
    <w:p w14:paraId="1C1D6493" w14:textId="0E7FA8D6" w:rsidR="00104E5C" w:rsidRPr="002F586F" w:rsidRDefault="00104E5C" w:rsidP="002F586F">
      <w:pPr>
        <w:pStyle w:val="ECCParagraph"/>
      </w:pPr>
      <w:r>
        <w:rPr>
          <w:rStyle w:val="FootnoteReference"/>
        </w:rPr>
        <w:footnoteRef/>
      </w:r>
      <w:r>
        <w:t xml:space="preserve"> </w:t>
      </w:r>
      <w:r w:rsidRPr="00FE6D4B">
        <w:rPr>
          <w:rFonts w:ascii="Times New Roman" w:hAnsi="Times New Roman"/>
        </w:rPr>
        <w:t>CEPT Report 77 in response to the EC Permanent Mandate on the "Annual update of the technical annex of the Commission Decision on the technical harmonisation of radio spectrum for use by short-range devices, https://docdb.cept.org/download/139 and RSCOM21-07.</w:t>
      </w:r>
    </w:p>
  </w:footnote>
  <w:footnote w:id="4">
    <w:p w14:paraId="54C85F6B" w14:textId="280466AE" w:rsidR="00104E5C" w:rsidRPr="00326043" w:rsidRDefault="00104E5C">
      <w:pPr>
        <w:pStyle w:val="FootnoteText"/>
        <w:rPr>
          <w:rFonts w:ascii="Times New Roman" w:hAnsi="Times New Roman"/>
          <w:lang w:val="en-GB"/>
        </w:rPr>
      </w:pPr>
      <w:r w:rsidRPr="002F586F">
        <w:rPr>
          <w:rStyle w:val="FootnoteReference"/>
          <w:rFonts w:ascii="Times New Roman" w:hAnsi="Times New Roman"/>
        </w:rPr>
        <w:footnoteRef/>
      </w:r>
      <w:r w:rsidRPr="002F586F">
        <w:rPr>
          <w:rFonts w:ascii="Times New Roman" w:hAnsi="Times New Roman"/>
        </w:rPr>
        <w:t xml:space="preserve"> The terms "cognitive techniques" and "cognitive radio" are often understood as limited to sensing of other</w:t>
      </w:r>
      <w:r w:rsidRPr="002F586F">
        <w:rPr>
          <w:rFonts w:ascii="Times New Roman" w:hAnsi="Times New Roman"/>
          <w:spacing w:val="-3"/>
        </w:rPr>
        <w:t xml:space="preserve"> </w:t>
      </w:r>
      <w:r w:rsidRPr="002F586F">
        <w:rPr>
          <w:rFonts w:ascii="Times New Roman" w:hAnsi="Times New Roman"/>
        </w:rPr>
        <w:t>use</w:t>
      </w:r>
      <w:r w:rsidRPr="002F586F">
        <w:rPr>
          <w:rFonts w:ascii="Times New Roman" w:hAnsi="Times New Roman"/>
          <w:spacing w:val="-2"/>
        </w:rPr>
        <w:t xml:space="preserve"> </w:t>
      </w:r>
      <w:r w:rsidRPr="002F586F">
        <w:rPr>
          <w:rFonts w:ascii="Times New Roman" w:hAnsi="Times New Roman"/>
        </w:rPr>
        <w:t>only.</w:t>
      </w:r>
      <w:r w:rsidRPr="002F586F">
        <w:rPr>
          <w:rFonts w:ascii="Times New Roman" w:hAnsi="Times New Roman"/>
          <w:spacing w:val="-3"/>
        </w:rPr>
        <w:t xml:space="preserve"> </w:t>
      </w:r>
      <w:r w:rsidRPr="002F586F">
        <w:rPr>
          <w:rFonts w:ascii="Times New Roman" w:hAnsi="Times New Roman"/>
        </w:rPr>
        <w:t>In</w:t>
      </w:r>
      <w:r w:rsidRPr="002F586F">
        <w:rPr>
          <w:rFonts w:ascii="Times New Roman" w:hAnsi="Times New Roman"/>
          <w:spacing w:val="-3"/>
        </w:rPr>
        <w:t xml:space="preserve"> </w:t>
      </w:r>
      <w:r>
        <w:rPr>
          <w:rFonts w:ascii="Times New Roman" w:hAnsi="Times New Roman"/>
          <w:spacing w:val="-3"/>
        </w:rPr>
        <w:t xml:space="preserve">   </w:t>
      </w:r>
      <w:r w:rsidRPr="002F586F">
        <w:rPr>
          <w:rFonts w:ascii="Times New Roman" w:hAnsi="Times New Roman"/>
        </w:rPr>
        <w:t>this</w:t>
      </w:r>
      <w:r w:rsidRPr="002F586F">
        <w:rPr>
          <w:rFonts w:ascii="Times New Roman" w:hAnsi="Times New Roman"/>
          <w:spacing w:val="-3"/>
        </w:rPr>
        <w:t xml:space="preserve"> </w:t>
      </w:r>
      <w:r w:rsidRPr="002F586F">
        <w:rPr>
          <w:rFonts w:ascii="Times New Roman" w:hAnsi="Times New Roman"/>
        </w:rPr>
        <w:t>context they</w:t>
      </w:r>
      <w:r w:rsidRPr="002F586F">
        <w:rPr>
          <w:rFonts w:ascii="Times New Roman" w:hAnsi="Times New Roman"/>
          <w:spacing w:val="-3"/>
        </w:rPr>
        <w:t xml:space="preserve"> </w:t>
      </w:r>
      <w:r w:rsidRPr="002F586F">
        <w:rPr>
          <w:rFonts w:ascii="Times New Roman" w:hAnsi="Times New Roman"/>
        </w:rPr>
        <w:t>are</w:t>
      </w:r>
      <w:r w:rsidRPr="002F586F">
        <w:rPr>
          <w:rFonts w:ascii="Times New Roman" w:hAnsi="Times New Roman"/>
          <w:spacing w:val="-2"/>
        </w:rPr>
        <w:t xml:space="preserve"> </w:t>
      </w:r>
      <w:r w:rsidRPr="002F586F">
        <w:rPr>
          <w:rFonts w:ascii="Times New Roman" w:hAnsi="Times New Roman"/>
        </w:rPr>
        <w:t>used with</w:t>
      </w:r>
      <w:r w:rsidRPr="002F586F">
        <w:rPr>
          <w:rFonts w:ascii="Times New Roman" w:hAnsi="Times New Roman"/>
          <w:spacing w:val="-3"/>
        </w:rPr>
        <w:t xml:space="preserve"> </w:t>
      </w:r>
      <w:r w:rsidRPr="002F586F">
        <w:rPr>
          <w:rFonts w:ascii="Times New Roman" w:hAnsi="Times New Roman"/>
        </w:rPr>
        <w:t>a</w:t>
      </w:r>
      <w:r w:rsidRPr="002F586F">
        <w:rPr>
          <w:rFonts w:ascii="Times New Roman" w:hAnsi="Times New Roman"/>
          <w:spacing w:val="-2"/>
        </w:rPr>
        <w:t xml:space="preserve"> </w:t>
      </w:r>
      <w:r w:rsidRPr="002F586F">
        <w:rPr>
          <w:rFonts w:ascii="Times New Roman" w:hAnsi="Times New Roman"/>
        </w:rPr>
        <w:t>broad meaning</w:t>
      </w:r>
      <w:r w:rsidRPr="002F586F">
        <w:rPr>
          <w:rFonts w:ascii="Times New Roman" w:hAnsi="Times New Roman"/>
          <w:spacing w:val="-3"/>
        </w:rPr>
        <w:t xml:space="preserve"> </w:t>
      </w:r>
      <w:r w:rsidRPr="002F586F">
        <w:rPr>
          <w:rFonts w:ascii="Times New Roman" w:hAnsi="Times New Roman"/>
        </w:rPr>
        <w:t>and</w:t>
      </w:r>
      <w:r w:rsidRPr="002F586F">
        <w:rPr>
          <w:rFonts w:ascii="Times New Roman" w:hAnsi="Times New Roman"/>
          <w:spacing w:val="-3"/>
        </w:rPr>
        <w:t xml:space="preserve"> </w:t>
      </w:r>
      <w:r w:rsidRPr="002F586F">
        <w:rPr>
          <w:rFonts w:ascii="Times New Roman" w:hAnsi="Times New Roman"/>
        </w:rPr>
        <w:t>further</w:t>
      </w:r>
      <w:r w:rsidRPr="002F586F">
        <w:rPr>
          <w:rFonts w:ascii="Times New Roman" w:hAnsi="Times New Roman"/>
          <w:spacing w:val="-3"/>
        </w:rPr>
        <w:t xml:space="preserve"> </w:t>
      </w:r>
      <w:r w:rsidRPr="002F586F">
        <w:rPr>
          <w:rFonts w:ascii="Times New Roman" w:hAnsi="Times New Roman"/>
        </w:rPr>
        <w:t>include</w:t>
      </w:r>
      <w:r w:rsidRPr="002F586F">
        <w:rPr>
          <w:rFonts w:ascii="Times New Roman" w:hAnsi="Times New Roman"/>
          <w:spacing w:val="-2"/>
        </w:rPr>
        <w:t xml:space="preserve"> </w:t>
      </w:r>
      <w:r w:rsidRPr="002F586F">
        <w:rPr>
          <w:rFonts w:ascii="Times New Roman" w:hAnsi="Times New Roman"/>
        </w:rPr>
        <w:t>other</w:t>
      </w:r>
      <w:r w:rsidRPr="002F586F">
        <w:rPr>
          <w:rFonts w:ascii="Times New Roman" w:hAnsi="Times New Roman"/>
          <w:spacing w:val="-3"/>
        </w:rPr>
        <w:t xml:space="preserve"> </w:t>
      </w:r>
      <w:r w:rsidRPr="002F586F">
        <w:rPr>
          <w:rFonts w:ascii="Times New Roman" w:hAnsi="Times New Roman"/>
        </w:rPr>
        <w:t>approaches such as geo-location databases, without prejudice to any specific solution.</w:t>
      </w:r>
    </w:p>
  </w:footnote>
  <w:footnote w:id="5">
    <w:p w14:paraId="0456A60B" w14:textId="77777777" w:rsidR="00104E5C" w:rsidRDefault="00104E5C" w:rsidP="00113C66">
      <w:pPr>
        <w:spacing w:before="0" w:after="0"/>
        <w:rPr>
          <w:rFonts w:ascii="Times New Roman" w:hAnsi="Times New Roman"/>
        </w:rPr>
      </w:pPr>
      <w:r>
        <w:rPr>
          <w:rStyle w:val="FootnoteReference"/>
          <w:rFonts w:ascii="Times New Roman" w:hAnsi="Times New Roman"/>
        </w:rPr>
        <w:footnoteRef/>
      </w:r>
      <w:r>
        <w:rPr>
          <w:rFonts w:ascii="Times New Roman" w:hAnsi="Times New Roman"/>
        </w:rPr>
        <w:t>Commission Decision 2006/ 771/EC on the technical harmonisation of radio spectrum for use by short range radio devices</w:t>
      </w:r>
      <w:r>
        <w:rPr>
          <w:rFonts w:ascii="Times New Roman" w:hAnsi="Times New Roman"/>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D80F" w14:textId="0B678C64" w:rsidR="00104E5C" w:rsidRPr="007C5F95" w:rsidRDefault="00104E5C">
    <w:pPr>
      <w:pStyle w:val="Header"/>
      <w:rPr>
        <w:szCs w:val="16"/>
        <w:lang w:val="da-DK"/>
      </w:rPr>
    </w:pPr>
    <w:r>
      <w:rPr>
        <w:lang w:val="da-DK"/>
      </w:rPr>
      <w:t>CEPT REPORT 86 -</w:t>
    </w:r>
    <w:r w:rsidRPr="007C5F95">
      <w:rPr>
        <w:lang w:val="da-DK"/>
      </w:rPr>
      <w:t xml:space="preserve"> </w:t>
    </w:r>
    <w:r>
      <w:rPr>
        <w:szCs w:val="16"/>
        <w:lang w:val="da-DK"/>
      </w:rPr>
      <w:t xml:space="preserve">Page </w:t>
    </w:r>
    <w:r>
      <w:rPr>
        <w:b w:val="0"/>
      </w:rPr>
      <w:fldChar w:fldCharType="begin"/>
    </w:r>
    <w:r>
      <w:instrText xml:space="preserve"> PAGE  \* Arabic  \* MERGEFORMAT </w:instrText>
    </w:r>
    <w:r>
      <w:rPr>
        <w:b w:val="0"/>
      </w:rPr>
      <w:fldChar w:fldCharType="separate"/>
    </w:r>
    <w:r>
      <w:rPr>
        <w:noProof/>
      </w:rPr>
      <w:t>22</w:t>
    </w:r>
    <w:r>
      <w:rPr>
        <w:b w:val="0"/>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CDB6" w14:textId="1E81956F" w:rsidR="00104E5C" w:rsidRPr="007C5F95" w:rsidRDefault="00104E5C" w:rsidP="00AB46DF">
    <w:pPr>
      <w:pStyle w:val="Header"/>
      <w:jc w:val="right"/>
      <w:rPr>
        <w:szCs w:val="16"/>
        <w:lang w:val="da-DK"/>
      </w:rPr>
    </w:pPr>
    <w:r>
      <w:rPr>
        <w:lang w:val="da-DK"/>
      </w:rPr>
      <w:t>CEPT REPORT 86 -</w:t>
    </w:r>
    <w:r w:rsidRPr="007C5F95">
      <w:rPr>
        <w:lang w:val="da-DK"/>
      </w:rPr>
      <w:t xml:space="preserve"> </w:t>
    </w:r>
    <w:r>
      <w:rPr>
        <w:szCs w:val="16"/>
        <w:lang w:val="da-DK"/>
      </w:rPr>
      <w:t xml:space="preserve">Page </w:t>
    </w:r>
    <w:r>
      <w:rPr>
        <w:b w:val="0"/>
      </w:rPr>
      <w:fldChar w:fldCharType="begin"/>
    </w:r>
    <w:r>
      <w:instrText xml:space="preserve"> PAGE  \* Arabic  \* MERGEFORMAT </w:instrText>
    </w:r>
    <w:r>
      <w:rPr>
        <w:b w:val="0"/>
      </w:rPr>
      <w:fldChar w:fldCharType="separate"/>
    </w:r>
    <w:r>
      <w:rPr>
        <w:noProof/>
      </w:rPr>
      <w:t>21</w:t>
    </w:r>
    <w:r>
      <w:rPr>
        <w:b w:val="0"/>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B4F0" w14:textId="008CDC49" w:rsidR="00104E5C" w:rsidRPr="00B94F73" w:rsidRDefault="00104E5C" w:rsidP="009B6CAC">
    <w:pPr>
      <w:pStyle w:val="Header"/>
      <w:jc w:val="right"/>
      <w:rPr>
        <w:sz w:val="22"/>
        <w:szCs w:val="22"/>
      </w:rPr>
    </w:pPr>
    <w:r w:rsidRPr="005B5AE0">
      <w:rPr>
        <w:noProof/>
        <w:sz w:val="22"/>
        <w:szCs w:val="22"/>
        <w:lang w:val="fr-FR" w:eastAsia="fr-FR"/>
      </w:rPr>
      <w:drawing>
        <wp:anchor distT="0" distB="0" distL="114300" distR="114300" simplePos="0" relativeHeight="251658244" behindDoc="0" locked="0" layoutInCell="1" allowOverlap="1" wp14:anchorId="3B0A8B13" wp14:editId="1E862CF3">
          <wp:simplePos x="0" y="0"/>
          <wp:positionH relativeFrom="page">
            <wp:posOffset>5717540</wp:posOffset>
          </wp:positionH>
          <wp:positionV relativeFrom="page">
            <wp:posOffset>648335</wp:posOffset>
          </wp:positionV>
          <wp:extent cx="1461770" cy="546100"/>
          <wp:effectExtent l="25400" t="0" r="11430" b="0"/>
          <wp:wrapNone/>
          <wp:docPr id="2051045884" name="Picture 205104588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5B5AE0">
      <w:rPr>
        <w:noProof/>
        <w:sz w:val="22"/>
        <w:szCs w:val="22"/>
        <w:lang w:val="fr-FR" w:eastAsia="fr-FR"/>
      </w:rPr>
      <w:drawing>
        <wp:anchor distT="0" distB="0" distL="114300" distR="114300" simplePos="0" relativeHeight="251658240" behindDoc="0" locked="0" layoutInCell="1" allowOverlap="1" wp14:anchorId="1C771FFA" wp14:editId="2112680E">
          <wp:simplePos x="0" y="0"/>
          <wp:positionH relativeFrom="page">
            <wp:posOffset>572770</wp:posOffset>
          </wp:positionH>
          <wp:positionV relativeFrom="page">
            <wp:posOffset>457200</wp:posOffset>
          </wp:positionV>
          <wp:extent cx="889000" cy="889000"/>
          <wp:effectExtent l="25400" t="0" r="0" b="0"/>
          <wp:wrapNone/>
          <wp:docPr id="1412225608" name="Picture 1412225608"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pt;height:51pt;visibility:visible;mso-wrap-style:square" o:bullet="t">
        <v:imagedata r:id="rId1" o:title=""/>
      </v:shape>
    </w:pict>
  </w:numPicBullet>
  <w:abstractNum w:abstractNumId="0" w15:restartNumberingAfterBreak="0">
    <w:nsid w:val="06C2606D"/>
    <w:multiLevelType w:val="hybridMultilevel"/>
    <w:tmpl w:val="EDA8F88E"/>
    <w:lvl w:ilvl="0" w:tplc="F0A458D6">
      <w:start w:val="1"/>
      <w:numFmt w:val="lowerLetter"/>
      <w:lvlText w:val="%1)"/>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8102A">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3EED2A">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AEE02E">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7E0A44">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AC4470">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4899C8">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0A64DE">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0C503E">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205CB0"/>
    <w:multiLevelType w:val="hybridMultilevel"/>
    <w:tmpl w:val="F132BBE2"/>
    <w:lvl w:ilvl="0" w:tplc="749CF954">
      <w:start w:val="1"/>
      <w:numFmt w:val="lowerLetter"/>
      <w:lvlText w:val="%1."/>
      <w:lvlJc w:val="left"/>
      <w:pPr>
        <w:ind w:left="720" w:hanging="360"/>
      </w:pPr>
      <w:rPr>
        <w:rFonts w:ascii="Times New Roman"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0C3C15"/>
    <w:multiLevelType w:val="hybridMultilevel"/>
    <w:tmpl w:val="672438F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D274B09"/>
    <w:multiLevelType w:val="hybridMultilevel"/>
    <w:tmpl w:val="DBD2B8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EB4A7C"/>
    <w:multiLevelType w:val="hybridMultilevel"/>
    <w:tmpl w:val="E74E5DE8"/>
    <w:lvl w:ilvl="0" w:tplc="173E0830">
      <w:start w:val="1"/>
      <w:numFmt w:val="bullet"/>
      <w:pStyle w:val="ECCBulletsLv1"/>
      <w:lvlText w:val=""/>
      <w:lvlJc w:val="left"/>
      <w:pPr>
        <w:ind w:left="6598" w:hanging="360"/>
      </w:pPr>
      <w:rPr>
        <w:rFonts w:ascii="Wingdings" w:hAnsi="Wingdings" w:hint="default"/>
        <w:color w:val="D2232A"/>
      </w:rPr>
    </w:lvl>
    <w:lvl w:ilvl="1" w:tplc="04070003">
      <w:start w:val="1"/>
      <w:numFmt w:val="bullet"/>
      <w:lvlText w:val="o"/>
      <w:lvlJc w:val="left"/>
      <w:pPr>
        <w:ind w:left="7678" w:hanging="360"/>
      </w:pPr>
      <w:rPr>
        <w:rFonts w:ascii="Courier New" w:hAnsi="Courier New" w:cs="Courier New" w:hint="default"/>
      </w:rPr>
    </w:lvl>
    <w:lvl w:ilvl="2" w:tplc="04070005">
      <w:start w:val="1"/>
      <w:numFmt w:val="bullet"/>
      <w:lvlText w:val=""/>
      <w:lvlJc w:val="left"/>
      <w:pPr>
        <w:ind w:left="8398" w:hanging="360"/>
      </w:pPr>
      <w:rPr>
        <w:rFonts w:ascii="Wingdings" w:hAnsi="Wingdings" w:hint="default"/>
      </w:rPr>
    </w:lvl>
    <w:lvl w:ilvl="3" w:tplc="04070001">
      <w:start w:val="1"/>
      <w:numFmt w:val="bullet"/>
      <w:lvlText w:val=""/>
      <w:lvlJc w:val="left"/>
      <w:pPr>
        <w:ind w:left="9118" w:hanging="360"/>
      </w:pPr>
      <w:rPr>
        <w:rFonts w:ascii="Symbol" w:hAnsi="Symbol" w:hint="default"/>
      </w:rPr>
    </w:lvl>
    <w:lvl w:ilvl="4" w:tplc="04070003">
      <w:start w:val="1"/>
      <w:numFmt w:val="bullet"/>
      <w:lvlText w:val="o"/>
      <w:lvlJc w:val="left"/>
      <w:pPr>
        <w:ind w:left="9838" w:hanging="360"/>
      </w:pPr>
      <w:rPr>
        <w:rFonts w:ascii="Courier New" w:hAnsi="Courier New" w:cs="Courier New" w:hint="default"/>
      </w:rPr>
    </w:lvl>
    <w:lvl w:ilvl="5" w:tplc="04070005">
      <w:start w:val="1"/>
      <w:numFmt w:val="bullet"/>
      <w:lvlText w:val=""/>
      <w:lvlJc w:val="left"/>
      <w:pPr>
        <w:ind w:left="10558" w:hanging="360"/>
      </w:pPr>
      <w:rPr>
        <w:rFonts w:ascii="Wingdings" w:hAnsi="Wingdings" w:hint="default"/>
      </w:rPr>
    </w:lvl>
    <w:lvl w:ilvl="6" w:tplc="04070001">
      <w:start w:val="1"/>
      <w:numFmt w:val="bullet"/>
      <w:lvlText w:val=""/>
      <w:lvlJc w:val="left"/>
      <w:pPr>
        <w:ind w:left="11278" w:hanging="360"/>
      </w:pPr>
      <w:rPr>
        <w:rFonts w:ascii="Symbol" w:hAnsi="Symbol" w:hint="default"/>
      </w:rPr>
    </w:lvl>
    <w:lvl w:ilvl="7" w:tplc="04070003">
      <w:start w:val="1"/>
      <w:numFmt w:val="bullet"/>
      <w:lvlText w:val="o"/>
      <w:lvlJc w:val="left"/>
      <w:pPr>
        <w:ind w:left="11998" w:hanging="360"/>
      </w:pPr>
      <w:rPr>
        <w:rFonts w:ascii="Courier New" w:hAnsi="Courier New" w:cs="Courier New" w:hint="default"/>
      </w:rPr>
    </w:lvl>
    <w:lvl w:ilvl="8" w:tplc="04070005">
      <w:start w:val="1"/>
      <w:numFmt w:val="bullet"/>
      <w:lvlText w:val=""/>
      <w:lvlJc w:val="left"/>
      <w:pPr>
        <w:ind w:left="12718" w:hanging="360"/>
      </w:pPr>
      <w:rPr>
        <w:rFonts w:ascii="Wingdings" w:hAnsi="Wingdings" w:hint="default"/>
      </w:rPr>
    </w:lvl>
  </w:abstractNum>
  <w:abstractNum w:abstractNumId="5" w15:restartNumberingAfterBreak="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6" w15:restartNumberingAfterBreak="0">
    <w:nsid w:val="180F24F0"/>
    <w:multiLevelType w:val="multilevel"/>
    <w:tmpl w:val="41A6F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982952"/>
    <w:multiLevelType w:val="hybridMultilevel"/>
    <w:tmpl w:val="672438FC"/>
    <w:lvl w:ilvl="0" w:tplc="FFFFFFFF">
      <w:start w:val="1"/>
      <w:numFmt w:val="decimal"/>
      <w:lvlText w:val="%1."/>
      <w:lvlJc w:val="left"/>
      <w:pPr>
        <w:ind w:left="717" w:hanging="360"/>
      </w:p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8" w15:restartNumberingAfterBreak="0">
    <w:nsid w:val="212F4188"/>
    <w:multiLevelType w:val="multilevel"/>
    <w:tmpl w:val="D4B850FC"/>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7381" w:hanging="576"/>
      </w:pPr>
      <w:rPr>
        <w:rFonts w:hint="default"/>
        <w:lang w:val="en-GB"/>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15A2F6D"/>
    <w:multiLevelType w:val="multilevel"/>
    <w:tmpl w:val="09623FA6"/>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15:restartNumberingAfterBreak="0">
    <w:nsid w:val="22320F80"/>
    <w:multiLevelType w:val="hybridMultilevel"/>
    <w:tmpl w:val="C0E6CA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B1243F"/>
    <w:multiLevelType w:val="multilevel"/>
    <w:tmpl w:val="B28052F8"/>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238E30B8"/>
    <w:multiLevelType w:val="multilevel"/>
    <w:tmpl w:val="238E3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2440E2"/>
    <w:multiLevelType w:val="multilevel"/>
    <w:tmpl w:val="0122C030"/>
    <w:styleLink w:val="ECCNumbers-Letters"/>
    <w:lvl w:ilvl="0">
      <w:start w:val="1"/>
      <w:numFmt w:val="decimal"/>
      <w:pStyle w:val="ECCNumbered-LetteredList"/>
      <w:lvlText w:val="%1."/>
      <w:lvlJc w:val="left"/>
      <w:pPr>
        <w:tabs>
          <w:tab w:val="num" w:pos="680"/>
        </w:tabs>
        <w:ind w:left="680" w:hanging="340"/>
      </w:pPr>
      <w:rPr>
        <w:rFonts w:ascii="Arial" w:hAnsi="Arial" w:hint="default"/>
        <w:b w:val="0"/>
        <w:i w:val="0"/>
        <w:color w:val="D2232A"/>
        <w:sz w:val="20"/>
      </w:rPr>
    </w:lvl>
    <w:lvl w:ilvl="1">
      <w:start w:val="1"/>
      <w:numFmt w:val="lowerLetter"/>
      <w:lvlText w:val="%2)"/>
      <w:lvlJc w:val="left"/>
      <w:pPr>
        <w:tabs>
          <w:tab w:val="num" w:pos="1020"/>
        </w:tabs>
        <w:ind w:left="1020" w:hanging="340"/>
      </w:pPr>
      <w:rPr>
        <w:rFonts w:ascii="Arial" w:hAnsi="Arial" w:hint="default"/>
        <w:b w:val="0"/>
        <w:i w:val="0"/>
        <w:color w:val="D2232A"/>
        <w:sz w:val="20"/>
      </w:rPr>
    </w:lvl>
    <w:lvl w:ilvl="2">
      <w:start w:val="1"/>
      <w:numFmt w:val="bullet"/>
      <w:lvlText w:val=""/>
      <w:lvlJc w:val="left"/>
      <w:pPr>
        <w:tabs>
          <w:tab w:val="num" w:pos="1361"/>
        </w:tabs>
        <w:ind w:left="1361" w:hanging="341"/>
      </w:pPr>
      <w:rPr>
        <w:rFonts w:ascii="Wingdings" w:hAnsi="Wingdings" w:hint="default"/>
        <w:color w:val="D2232A"/>
      </w:rPr>
    </w:lvl>
    <w:lvl w:ilvl="3">
      <w:start w:val="1"/>
      <w:numFmt w:val="none"/>
      <w:lvlText w:val=""/>
      <w:lvlJc w:val="left"/>
      <w:pPr>
        <w:tabs>
          <w:tab w:val="num" w:pos="1417"/>
        </w:tabs>
        <w:ind w:left="2068" w:hanging="648"/>
      </w:pPr>
      <w:rPr>
        <w:rFonts w:hint="default"/>
      </w:rPr>
    </w:lvl>
    <w:lvl w:ilvl="4">
      <w:start w:val="1"/>
      <w:numFmt w:val="none"/>
      <w:lvlText w:val=""/>
      <w:lvlJc w:val="left"/>
      <w:pPr>
        <w:ind w:left="2572" w:hanging="792"/>
      </w:pPr>
      <w:rPr>
        <w:rFonts w:hint="default"/>
      </w:rPr>
    </w:lvl>
    <w:lvl w:ilvl="5">
      <w:start w:val="1"/>
      <w:numFmt w:val="none"/>
      <w:lvlText w:val=""/>
      <w:lvlJc w:val="left"/>
      <w:pPr>
        <w:ind w:left="3076" w:hanging="936"/>
      </w:pPr>
      <w:rPr>
        <w:rFonts w:hint="default"/>
      </w:rPr>
    </w:lvl>
    <w:lvl w:ilvl="6">
      <w:start w:val="1"/>
      <w:numFmt w:val="none"/>
      <w:lvlText w:val=""/>
      <w:lvlJc w:val="left"/>
      <w:pPr>
        <w:ind w:left="3580" w:hanging="1080"/>
      </w:pPr>
      <w:rPr>
        <w:rFonts w:hint="default"/>
      </w:rPr>
    </w:lvl>
    <w:lvl w:ilvl="7">
      <w:start w:val="1"/>
      <w:numFmt w:val="none"/>
      <w:lvlText w:val=""/>
      <w:lvlJc w:val="left"/>
      <w:pPr>
        <w:ind w:left="4084" w:hanging="1224"/>
      </w:pPr>
      <w:rPr>
        <w:rFonts w:hint="default"/>
      </w:rPr>
    </w:lvl>
    <w:lvl w:ilvl="8">
      <w:start w:val="1"/>
      <w:numFmt w:val="none"/>
      <w:lvlText w:val=""/>
      <w:lvlJc w:val="left"/>
      <w:pPr>
        <w:ind w:left="4660" w:hanging="1440"/>
      </w:pPr>
      <w:rPr>
        <w:rFonts w:hint="default"/>
      </w:rPr>
    </w:lvl>
  </w:abstractNum>
  <w:abstractNum w:abstractNumId="14" w15:restartNumberingAfterBreak="0">
    <w:nsid w:val="2A0A7C33"/>
    <w:multiLevelType w:val="hybridMultilevel"/>
    <w:tmpl w:val="81E804EC"/>
    <w:lvl w:ilvl="0" w:tplc="2718434E">
      <w:start w:val="1"/>
      <w:numFmt w:val="decimal"/>
      <w:pStyle w:val="ECCEditorsNote"/>
      <w:lvlText w:val="Editor's Note %1:"/>
      <w:lvlJc w:val="left"/>
      <w:pPr>
        <w:tabs>
          <w:tab w:val="num" w:pos="2268"/>
        </w:tabs>
        <w:ind w:left="2268"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5820ACB"/>
    <w:multiLevelType w:val="multilevel"/>
    <w:tmpl w:val="2C3695C0"/>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37CB3468"/>
    <w:multiLevelType w:val="multilevel"/>
    <w:tmpl w:val="B55AD4E8"/>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15:restartNumberingAfterBreak="0">
    <w:nsid w:val="3D163F7A"/>
    <w:multiLevelType w:val="multilevel"/>
    <w:tmpl w:val="6AFE1FDA"/>
    <w:lvl w:ilvl="0">
      <w:numFmt w:val="decimal"/>
      <w:pStyle w:val="Heading1"/>
      <w:lvlText w:val="%1"/>
      <w:lvlJc w:val="left"/>
      <w:pPr>
        <w:tabs>
          <w:tab w:val="num" w:pos="432"/>
        </w:tabs>
        <w:ind w:left="432" w:hanging="432"/>
      </w:pPr>
      <w:rPr>
        <w:rFonts w:ascii="Arial" w:hAnsi="Arial" w:hint="default"/>
        <w:b/>
        <w:i w:val="0"/>
        <w:color w:val="D2232A"/>
        <w:sz w:val="20"/>
        <w:szCs w:val="20"/>
        <w:lang w:val="en-US"/>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iCs w:val="0"/>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3D256B7D"/>
    <w:multiLevelType w:val="multilevel"/>
    <w:tmpl w:val="7FEA93E6"/>
    <w:styleLink w:val="ECCNumbers-Bullets"/>
    <w:lvl w:ilvl="0">
      <w:start w:val="1"/>
      <w:numFmt w:val="lowerLetter"/>
      <w:pStyle w:val="ECCNumberedBullets"/>
      <w:lvlText w:val="%1)"/>
      <w:lvlJc w:val="left"/>
      <w:pPr>
        <w:tabs>
          <w:tab w:val="num" w:pos="340"/>
        </w:tabs>
        <w:ind w:left="340" w:hanging="340"/>
      </w:pPr>
      <w:rPr>
        <w:rFonts w:ascii="Arial" w:hAnsi="Arial" w:hint="default"/>
        <w:b w:val="0"/>
        <w:bCs w:val="0"/>
        <w:i w:val="0"/>
        <w:iCs w:val="0"/>
        <w:color w:val="D2232A"/>
        <w:sz w:val="20"/>
        <w:szCs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1"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C1819"/>
    <w:multiLevelType w:val="hybridMultilevel"/>
    <w:tmpl w:val="6818C3B0"/>
    <w:lvl w:ilvl="0" w:tplc="E10AD1A4">
      <w:start w:val="1"/>
      <w:numFmt w:val="bullet"/>
      <w:lvlText w:val=""/>
      <w:lvlPicBulletId w:val="0"/>
      <w:lvlJc w:val="left"/>
      <w:pPr>
        <w:tabs>
          <w:tab w:val="num" w:pos="720"/>
        </w:tabs>
        <w:ind w:left="720" w:hanging="360"/>
      </w:pPr>
      <w:rPr>
        <w:rFonts w:ascii="Symbol" w:hAnsi="Symbol" w:hint="default"/>
      </w:rPr>
    </w:lvl>
    <w:lvl w:ilvl="1" w:tplc="3536C846" w:tentative="1">
      <w:start w:val="1"/>
      <w:numFmt w:val="bullet"/>
      <w:lvlText w:val=""/>
      <w:lvlJc w:val="left"/>
      <w:pPr>
        <w:tabs>
          <w:tab w:val="num" w:pos="1440"/>
        </w:tabs>
        <w:ind w:left="1440" w:hanging="360"/>
      </w:pPr>
      <w:rPr>
        <w:rFonts w:ascii="Symbol" w:hAnsi="Symbol" w:hint="default"/>
      </w:rPr>
    </w:lvl>
    <w:lvl w:ilvl="2" w:tplc="D61C9EEE" w:tentative="1">
      <w:start w:val="1"/>
      <w:numFmt w:val="bullet"/>
      <w:lvlText w:val=""/>
      <w:lvlJc w:val="left"/>
      <w:pPr>
        <w:tabs>
          <w:tab w:val="num" w:pos="2160"/>
        </w:tabs>
        <w:ind w:left="2160" w:hanging="360"/>
      </w:pPr>
      <w:rPr>
        <w:rFonts w:ascii="Symbol" w:hAnsi="Symbol" w:hint="default"/>
      </w:rPr>
    </w:lvl>
    <w:lvl w:ilvl="3" w:tplc="A8EA9C1A" w:tentative="1">
      <w:start w:val="1"/>
      <w:numFmt w:val="bullet"/>
      <w:lvlText w:val=""/>
      <w:lvlJc w:val="left"/>
      <w:pPr>
        <w:tabs>
          <w:tab w:val="num" w:pos="2880"/>
        </w:tabs>
        <w:ind w:left="2880" w:hanging="360"/>
      </w:pPr>
      <w:rPr>
        <w:rFonts w:ascii="Symbol" w:hAnsi="Symbol" w:hint="default"/>
      </w:rPr>
    </w:lvl>
    <w:lvl w:ilvl="4" w:tplc="2D42877A" w:tentative="1">
      <w:start w:val="1"/>
      <w:numFmt w:val="bullet"/>
      <w:lvlText w:val=""/>
      <w:lvlJc w:val="left"/>
      <w:pPr>
        <w:tabs>
          <w:tab w:val="num" w:pos="3600"/>
        </w:tabs>
        <w:ind w:left="3600" w:hanging="360"/>
      </w:pPr>
      <w:rPr>
        <w:rFonts w:ascii="Symbol" w:hAnsi="Symbol" w:hint="default"/>
      </w:rPr>
    </w:lvl>
    <w:lvl w:ilvl="5" w:tplc="E33E6286" w:tentative="1">
      <w:start w:val="1"/>
      <w:numFmt w:val="bullet"/>
      <w:lvlText w:val=""/>
      <w:lvlJc w:val="left"/>
      <w:pPr>
        <w:tabs>
          <w:tab w:val="num" w:pos="4320"/>
        </w:tabs>
        <w:ind w:left="4320" w:hanging="360"/>
      </w:pPr>
      <w:rPr>
        <w:rFonts w:ascii="Symbol" w:hAnsi="Symbol" w:hint="default"/>
      </w:rPr>
    </w:lvl>
    <w:lvl w:ilvl="6" w:tplc="2CE475A8" w:tentative="1">
      <w:start w:val="1"/>
      <w:numFmt w:val="bullet"/>
      <w:lvlText w:val=""/>
      <w:lvlJc w:val="left"/>
      <w:pPr>
        <w:tabs>
          <w:tab w:val="num" w:pos="5040"/>
        </w:tabs>
        <w:ind w:left="5040" w:hanging="360"/>
      </w:pPr>
      <w:rPr>
        <w:rFonts w:ascii="Symbol" w:hAnsi="Symbol" w:hint="default"/>
      </w:rPr>
    </w:lvl>
    <w:lvl w:ilvl="7" w:tplc="3A0AF066" w:tentative="1">
      <w:start w:val="1"/>
      <w:numFmt w:val="bullet"/>
      <w:lvlText w:val=""/>
      <w:lvlJc w:val="left"/>
      <w:pPr>
        <w:tabs>
          <w:tab w:val="num" w:pos="5760"/>
        </w:tabs>
        <w:ind w:left="5760" w:hanging="360"/>
      </w:pPr>
      <w:rPr>
        <w:rFonts w:ascii="Symbol" w:hAnsi="Symbol" w:hint="default"/>
      </w:rPr>
    </w:lvl>
    <w:lvl w:ilvl="8" w:tplc="1AD4A76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6CE0F37"/>
    <w:multiLevelType w:val="hybridMultilevel"/>
    <w:tmpl w:val="48D69298"/>
    <w:lvl w:ilvl="0" w:tplc="DC5E92AC">
      <w:start w:val="1"/>
      <w:numFmt w:val="lowerLetter"/>
      <w:lvlText w:val="%1."/>
      <w:lvlJc w:val="left"/>
      <w:pPr>
        <w:ind w:left="1440" w:hanging="72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1143B3"/>
    <w:multiLevelType w:val="hybridMultilevel"/>
    <w:tmpl w:val="DA48B6F6"/>
    <w:lvl w:ilvl="0" w:tplc="CAAC2D2E">
      <w:start w:val="1"/>
      <w:numFmt w:val="bullet"/>
      <w:lvlText w:val=""/>
      <w:lvlJc w:val="left"/>
      <w:pPr>
        <w:ind w:left="720" w:hanging="360"/>
      </w:pPr>
      <w:rPr>
        <w:rFonts w:ascii="Wingdings" w:hAnsi="Wingdings" w:hint="default"/>
        <w:color w:val="D2232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D0D3D63"/>
    <w:multiLevelType w:val="hybridMultilevel"/>
    <w:tmpl w:val="A9B892F2"/>
    <w:lvl w:ilvl="0" w:tplc="CAAC2D2E">
      <w:start w:val="1"/>
      <w:numFmt w:val="bullet"/>
      <w:lvlText w:val=""/>
      <w:lvlJc w:val="left"/>
      <w:pPr>
        <w:ind w:left="720" w:hanging="360"/>
      </w:pPr>
      <w:rPr>
        <w:rFonts w:ascii="Wingdings" w:hAnsi="Wingdings" w:hint="default"/>
        <w:color w:val="D2232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0754FCE"/>
    <w:multiLevelType w:val="multilevel"/>
    <w:tmpl w:val="2C3695C0"/>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9" w15:restartNumberingAfterBreak="0">
    <w:nsid w:val="50853EC7"/>
    <w:multiLevelType w:val="hybridMultilevel"/>
    <w:tmpl w:val="37D8CD52"/>
    <w:lvl w:ilvl="0" w:tplc="726E7AF0">
      <w:start w:val="1"/>
      <w:numFmt w:val="bullet"/>
      <w:lvlText w:val="•"/>
      <w:lvlJc w:val="left"/>
      <w:pPr>
        <w:ind w:left="1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D2858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34D64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2E69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22F18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448C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E881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4488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0CC1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60554E1"/>
    <w:multiLevelType w:val="hybridMultilevel"/>
    <w:tmpl w:val="2878F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2C6891"/>
    <w:multiLevelType w:val="hybridMultilevel"/>
    <w:tmpl w:val="C086465A"/>
    <w:lvl w:ilvl="0" w:tplc="9ECEEE1E">
      <w:start w:val="1"/>
      <w:numFmt w:val="lowerLetter"/>
      <w:lvlText w:val="%1."/>
      <w:lvlJc w:val="left"/>
      <w:pPr>
        <w:ind w:left="2066" w:hanging="420"/>
      </w:pPr>
      <w:rPr>
        <w:rFonts w:ascii="Times New Roman" w:eastAsia="Times New Roman" w:hAnsi="Times New Roman" w:cs="Times New Roman" w:hint="default"/>
        <w:b w:val="0"/>
        <w:bCs w:val="0"/>
        <w:i/>
        <w:iCs/>
        <w:w w:val="100"/>
        <w:sz w:val="24"/>
        <w:szCs w:val="24"/>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EF52BAA"/>
    <w:multiLevelType w:val="hybridMultilevel"/>
    <w:tmpl w:val="89D42912"/>
    <w:lvl w:ilvl="0" w:tplc="FD125034">
      <w:start w:val="3"/>
      <w:numFmt w:val="lowerLetter"/>
      <w:lvlText w:val="%1)"/>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366F60">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0CBC28">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89926">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D0A564">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3261C0">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1AA676">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067758">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6A5DE">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F39543E"/>
    <w:multiLevelType w:val="multilevel"/>
    <w:tmpl w:val="8626FF5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6268718A"/>
    <w:multiLevelType w:val="hybridMultilevel"/>
    <w:tmpl w:val="66D6848A"/>
    <w:lvl w:ilvl="0" w:tplc="E07EC6E2">
      <w:start w:val="1"/>
      <w:numFmt w:val="decimal"/>
      <w:lvlText w:val="%1."/>
      <w:lvlJc w:val="left"/>
      <w:pPr>
        <w:ind w:left="927" w:hanging="360"/>
      </w:pPr>
      <w:rPr>
        <w:rFonts w:hint="default"/>
        <w:sz w:val="2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5" w15:restartNumberingAfterBreak="0">
    <w:nsid w:val="63C11C28"/>
    <w:multiLevelType w:val="hybridMultilevel"/>
    <w:tmpl w:val="C0E6CAA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52E53D9"/>
    <w:multiLevelType w:val="hybridMultilevel"/>
    <w:tmpl w:val="DBD2B8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8" w15:restartNumberingAfterBreak="0">
    <w:nsid w:val="6C4558C5"/>
    <w:multiLevelType w:val="hybridMultilevel"/>
    <w:tmpl w:val="67A0047A"/>
    <w:lvl w:ilvl="0" w:tplc="34D682E8">
      <w:start w:val="1"/>
      <w:numFmt w:val="bullet"/>
      <w:lvlText w:val="•"/>
      <w:lvlJc w:val="left"/>
      <w:pPr>
        <w:ind w:left="1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787800">
      <w:start w:val="1"/>
      <w:numFmt w:val="bullet"/>
      <w:lvlText w:val="o"/>
      <w:lvlJc w:val="left"/>
      <w:pPr>
        <w:ind w:left="1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1C035A">
      <w:start w:val="1"/>
      <w:numFmt w:val="bullet"/>
      <w:lvlText w:val="▪"/>
      <w:lvlJc w:val="left"/>
      <w:pPr>
        <w:ind w:left="2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3CE2D0">
      <w:start w:val="1"/>
      <w:numFmt w:val="bullet"/>
      <w:lvlText w:val="•"/>
      <w:lvlJc w:val="left"/>
      <w:pPr>
        <w:ind w:left="3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28437E">
      <w:start w:val="1"/>
      <w:numFmt w:val="bullet"/>
      <w:lvlText w:val="o"/>
      <w:lvlJc w:val="left"/>
      <w:pPr>
        <w:ind w:left="4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A8BD36">
      <w:start w:val="1"/>
      <w:numFmt w:val="bullet"/>
      <w:lvlText w:val="▪"/>
      <w:lvlJc w:val="left"/>
      <w:pPr>
        <w:ind w:left="4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78D598">
      <w:start w:val="1"/>
      <w:numFmt w:val="bullet"/>
      <w:lvlText w:val="•"/>
      <w:lvlJc w:val="left"/>
      <w:pPr>
        <w:ind w:left="5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AFA9C">
      <w:start w:val="1"/>
      <w:numFmt w:val="bullet"/>
      <w:lvlText w:val="o"/>
      <w:lvlJc w:val="left"/>
      <w:pPr>
        <w:ind w:left="6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EE2792">
      <w:start w:val="1"/>
      <w:numFmt w:val="bullet"/>
      <w:lvlText w:val="▪"/>
      <w:lvlJc w:val="left"/>
      <w:pPr>
        <w:ind w:left="7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C6B1B06"/>
    <w:multiLevelType w:val="hybridMultilevel"/>
    <w:tmpl w:val="DBD2B8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C21639"/>
    <w:multiLevelType w:val="multilevel"/>
    <w:tmpl w:val="A364B9F8"/>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1" w15:restartNumberingAfterBreak="0">
    <w:nsid w:val="6D397CD6"/>
    <w:multiLevelType w:val="hybridMultilevel"/>
    <w:tmpl w:val="33B630CA"/>
    <w:lvl w:ilvl="0" w:tplc="0000826A">
      <w:start w:val="1"/>
      <w:numFmt w:val="decimal"/>
      <w:lvlText w:val="%1."/>
      <w:lvlJc w:val="left"/>
      <w:pPr>
        <w:ind w:left="1826" w:hanging="480"/>
      </w:pPr>
      <w:rPr>
        <w:rFonts w:ascii="Courier New" w:eastAsia="Courier New" w:hAnsi="Courier New" w:cs="Courier New" w:hint="default"/>
        <w:b/>
        <w:bCs/>
        <w:i w:val="0"/>
        <w:iCs w:val="0"/>
        <w:spacing w:val="-24"/>
        <w:w w:val="99"/>
        <w:sz w:val="24"/>
        <w:szCs w:val="24"/>
        <w:lang w:val="en-US" w:eastAsia="en-US" w:bidi="ar-SA"/>
      </w:rPr>
    </w:lvl>
    <w:lvl w:ilvl="1" w:tplc="9ECEEE1E">
      <w:start w:val="1"/>
      <w:numFmt w:val="lowerLetter"/>
      <w:lvlText w:val="%2."/>
      <w:lvlJc w:val="left"/>
      <w:pPr>
        <w:ind w:left="2066" w:hanging="420"/>
      </w:pPr>
      <w:rPr>
        <w:rFonts w:ascii="Times New Roman" w:eastAsia="Times New Roman" w:hAnsi="Times New Roman" w:cs="Times New Roman" w:hint="default"/>
        <w:b w:val="0"/>
        <w:bCs w:val="0"/>
        <w:i/>
        <w:iCs/>
        <w:w w:val="100"/>
        <w:sz w:val="24"/>
        <w:szCs w:val="24"/>
        <w:lang w:val="en-US" w:eastAsia="en-US" w:bidi="ar-SA"/>
      </w:rPr>
    </w:lvl>
    <w:lvl w:ilvl="2" w:tplc="ACEC638C">
      <w:numFmt w:val="bullet"/>
      <w:lvlText w:val="•"/>
      <w:lvlJc w:val="left"/>
      <w:pPr>
        <w:ind w:left="2962" w:hanging="420"/>
      </w:pPr>
      <w:rPr>
        <w:rFonts w:hint="default"/>
        <w:lang w:val="en-US" w:eastAsia="en-US" w:bidi="ar-SA"/>
      </w:rPr>
    </w:lvl>
    <w:lvl w:ilvl="3" w:tplc="65887D48">
      <w:numFmt w:val="bullet"/>
      <w:lvlText w:val="•"/>
      <w:lvlJc w:val="left"/>
      <w:pPr>
        <w:ind w:left="3864" w:hanging="420"/>
      </w:pPr>
      <w:rPr>
        <w:rFonts w:hint="default"/>
        <w:lang w:val="en-US" w:eastAsia="en-US" w:bidi="ar-SA"/>
      </w:rPr>
    </w:lvl>
    <w:lvl w:ilvl="4" w:tplc="B48E33D2">
      <w:numFmt w:val="bullet"/>
      <w:lvlText w:val="•"/>
      <w:lvlJc w:val="left"/>
      <w:pPr>
        <w:ind w:left="4766" w:hanging="420"/>
      </w:pPr>
      <w:rPr>
        <w:rFonts w:hint="default"/>
        <w:lang w:val="en-US" w:eastAsia="en-US" w:bidi="ar-SA"/>
      </w:rPr>
    </w:lvl>
    <w:lvl w:ilvl="5" w:tplc="5B8C5C04">
      <w:numFmt w:val="bullet"/>
      <w:lvlText w:val="•"/>
      <w:lvlJc w:val="left"/>
      <w:pPr>
        <w:ind w:left="5668" w:hanging="420"/>
      </w:pPr>
      <w:rPr>
        <w:rFonts w:hint="default"/>
        <w:lang w:val="en-US" w:eastAsia="en-US" w:bidi="ar-SA"/>
      </w:rPr>
    </w:lvl>
    <w:lvl w:ilvl="6" w:tplc="7C6CB2E0">
      <w:numFmt w:val="bullet"/>
      <w:lvlText w:val="•"/>
      <w:lvlJc w:val="left"/>
      <w:pPr>
        <w:ind w:left="6571" w:hanging="420"/>
      </w:pPr>
      <w:rPr>
        <w:rFonts w:hint="default"/>
        <w:lang w:val="en-US" w:eastAsia="en-US" w:bidi="ar-SA"/>
      </w:rPr>
    </w:lvl>
    <w:lvl w:ilvl="7" w:tplc="EA401DB2">
      <w:numFmt w:val="bullet"/>
      <w:lvlText w:val="•"/>
      <w:lvlJc w:val="left"/>
      <w:pPr>
        <w:ind w:left="7473" w:hanging="420"/>
      </w:pPr>
      <w:rPr>
        <w:rFonts w:hint="default"/>
        <w:lang w:val="en-US" w:eastAsia="en-US" w:bidi="ar-SA"/>
      </w:rPr>
    </w:lvl>
    <w:lvl w:ilvl="8" w:tplc="AA32D09C">
      <w:numFmt w:val="bullet"/>
      <w:lvlText w:val="•"/>
      <w:lvlJc w:val="left"/>
      <w:pPr>
        <w:ind w:left="8375" w:hanging="420"/>
      </w:pPr>
      <w:rPr>
        <w:rFonts w:hint="default"/>
        <w:lang w:val="en-US" w:eastAsia="en-US" w:bidi="ar-SA"/>
      </w:rPr>
    </w:lvl>
  </w:abstractNum>
  <w:abstractNum w:abstractNumId="42" w15:restartNumberingAfterBreak="0">
    <w:nsid w:val="74CE4305"/>
    <w:multiLevelType w:val="multilevel"/>
    <w:tmpl w:val="2A6A8BCE"/>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3" w15:restartNumberingAfterBreak="0">
    <w:nsid w:val="7AAF5CAD"/>
    <w:multiLevelType w:val="multilevel"/>
    <w:tmpl w:val="2C3695C0"/>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4" w15:restartNumberingAfterBreak="0">
    <w:nsid w:val="7B3212E4"/>
    <w:multiLevelType w:val="multilevel"/>
    <w:tmpl w:val="F28ED9A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167286487">
    <w:abstractNumId w:val="19"/>
  </w:num>
  <w:num w:numId="2" w16cid:durableId="696153773">
    <w:abstractNumId w:val="44"/>
  </w:num>
  <w:num w:numId="3" w16cid:durableId="2089499721">
    <w:abstractNumId w:val="26"/>
  </w:num>
  <w:num w:numId="4" w16cid:durableId="1164661103">
    <w:abstractNumId w:val="8"/>
  </w:num>
  <w:num w:numId="5" w16cid:durableId="85615140">
    <w:abstractNumId w:val="24"/>
  </w:num>
  <w:num w:numId="6" w16cid:durableId="487943011">
    <w:abstractNumId w:val="24"/>
    <w:lvlOverride w:ilvl="0">
      <w:startOverride w:val="1"/>
    </w:lvlOverride>
  </w:num>
  <w:num w:numId="7" w16cid:durableId="1289429427">
    <w:abstractNumId w:val="5"/>
  </w:num>
  <w:num w:numId="8" w16cid:durableId="1327441352">
    <w:abstractNumId w:val="20"/>
  </w:num>
  <w:num w:numId="9" w16cid:durableId="1928031872">
    <w:abstractNumId w:val="13"/>
  </w:num>
  <w:num w:numId="10" w16cid:durableId="1176267930">
    <w:abstractNumId w:val="37"/>
  </w:num>
  <w:num w:numId="11" w16cid:durableId="146436939">
    <w:abstractNumId w:val="4"/>
  </w:num>
  <w:num w:numId="12" w16cid:durableId="1124077919">
    <w:abstractNumId w:val="14"/>
  </w:num>
  <w:num w:numId="13" w16cid:durableId="1604651944">
    <w:abstractNumId w:val="21"/>
  </w:num>
  <w:num w:numId="14" w16cid:durableId="1282223246">
    <w:abstractNumId w:val="29"/>
  </w:num>
  <w:num w:numId="15" w16cid:durableId="641621020">
    <w:abstractNumId w:val="0"/>
  </w:num>
  <w:num w:numId="16" w16cid:durableId="224292496">
    <w:abstractNumId w:val="32"/>
  </w:num>
  <w:num w:numId="17" w16cid:durableId="35476218">
    <w:abstractNumId w:val="38"/>
  </w:num>
  <w:num w:numId="18" w16cid:durableId="1674526517">
    <w:abstractNumId w:val="30"/>
  </w:num>
  <w:num w:numId="19" w16cid:durableId="19682744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4362540">
    <w:abstractNumId w:val="33"/>
  </w:num>
  <w:num w:numId="21" w16cid:durableId="868495643">
    <w:abstractNumId w:val="42"/>
  </w:num>
  <w:num w:numId="22" w16cid:durableId="1206218649">
    <w:abstractNumId w:val="9"/>
  </w:num>
  <w:num w:numId="23" w16cid:durableId="19357019">
    <w:abstractNumId w:val="40"/>
  </w:num>
  <w:num w:numId="24" w16cid:durableId="184176936">
    <w:abstractNumId w:val="17"/>
  </w:num>
  <w:num w:numId="25" w16cid:durableId="1723820176">
    <w:abstractNumId w:val="11"/>
  </w:num>
  <w:num w:numId="26" w16cid:durableId="1887180551">
    <w:abstractNumId w:val="16"/>
  </w:num>
  <w:num w:numId="27" w16cid:durableId="356589157">
    <w:abstractNumId w:val="2"/>
  </w:num>
  <w:num w:numId="28" w16cid:durableId="1155293402">
    <w:abstractNumId w:val="1"/>
  </w:num>
  <w:num w:numId="29" w16cid:durableId="1955550462">
    <w:abstractNumId w:val="7"/>
  </w:num>
  <w:num w:numId="30" w16cid:durableId="626621488">
    <w:abstractNumId w:val="6"/>
  </w:num>
  <w:num w:numId="31" w16cid:durableId="1234202595">
    <w:abstractNumId w:val="12"/>
  </w:num>
  <w:num w:numId="32" w16cid:durableId="2056929648">
    <w:abstractNumId w:val="4"/>
  </w:num>
  <w:num w:numId="33" w16cid:durableId="2115249972">
    <w:abstractNumId w:val="4"/>
  </w:num>
  <w:num w:numId="34" w16cid:durableId="1895967998">
    <w:abstractNumId w:val="25"/>
  </w:num>
  <w:num w:numId="35" w16cid:durableId="532881828">
    <w:abstractNumId w:val="4"/>
  </w:num>
  <w:num w:numId="36" w16cid:durableId="1398895281">
    <w:abstractNumId w:val="4"/>
  </w:num>
  <w:num w:numId="37" w16cid:durableId="2027512127">
    <w:abstractNumId w:val="4"/>
  </w:num>
  <w:num w:numId="38" w16cid:durableId="1499081901">
    <w:abstractNumId w:val="4"/>
  </w:num>
  <w:num w:numId="39" w16cid:durableId="2000569794">
    <w:abstractNumId w:val="4"/>
  </w:num>
  <w:num w:numId="40" w16cid:durableId="2100444549">
    <w:abstractNumId w:val="4"/>
  </w:num>
  <w:num w:numId="41" w16cid:durableId="1820922192">
    <w:abstractNumId w:val="15"/>
  </w:num>
  <w:num w:numId="42" w16cid:durableId="1827478530">
    <w:abstractNumId w:val="3"/>
  </w:num>
  <w:num w:numId="43" w16cid:durableId="578709085">
    <w:abstractNumId w:val="35"/>
  </w:num>
  <w:num w:numId="44" w16cid:durableId="735321098">
    <w:abstractNumId w:val="39"/>
  </w:num>
  <w:num w:numId="45" w16cid:durableId="2030334264">
    <w:abstractNumId w:val="10"/>
  </w:num>
  <w:num w:numId="46" w16cid:durableId="36901113">
    <w:abstractNumId w:val="36"/>
  </w:num>
  <w:num w:numId="47" w16cid:durableId="1838615584">
    <w:abstractNumId w:val="8"/>
  </w:num>
  <w:num w:numId="48" w16cid:durableId="121274206">
    <w:abstractNumId w:val="8"/>
  </w:num>
  <w:num w:numId="49" w16cid:durableId="1675105834">
    <w:abstractNumId w:val="37"/>
  </w:num>
  <w:num w:numId="50" w16cid:durableId="217978501">
    <w:abstractNumId w:val="28"/>
  </w:num>
  <w:num w:numId="51" w16cid:durableId="1889604449">
    <w:abstractNumId w:val="37"/>
  </w:num>
  <w:num w:numId="52" w16cid:durableId="125441275">
    <w:abstractNumId w:val="43"/>
  </w:num>
  <w:num w:numId="53" w16cid:durableId="1599487433">
    <w:abstractNumId w:val="27"/>
  </w:num>
  <w:num w:numId="54" w16cid:durableId="1932854897">
    <w:abstractNumId w:val="41"/>
  </w:num>
  <w:num w:numId="55" w16cid:durableId="772896428">
    <w:abstractNumId w:val="31"/>
  </w:num>
  <w:num w:numId="56" w16cid:durableId="1084063369">
    <w:abstractNumId w:val="22"/>
  </w:num>
  <w:num w:numId="57" w16cid:durableId="1510555995">
    <w:abstractNumId w:val="34"/>
  </w:num>
  <w:num w:numId="58" w16cid:durableId="1152603157">
    <w:abstractNumId w:val="23"/>
  </w:num>
  <w:num w:numId="59" w16cid:durableId="1117335565">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543"/>
    <w:rsid w:val="00000623"/>
    <w:rsid w:val="00001DB4"/>
    <w:rsid w:val="000027C0"/>
    <w:rsid w:val="0000514E"/>
    <w:rsid w:val="0000642C"/>
    <w:rsid w:val="000067AF"/>
    <w:rsid w:val="00007117"/>
    <w:rsid w:val="000076BB"/>
    <w:rsid w:val="000079E9"/>
    <w:rsid w:val="00011022"/>
    <w:rsid w:val="000115BC"/>
    <w:rsid w:val="0001210D"/>
    <w:rsid w:val="0001239B"/>
    <w:rsid w:val="000126D9"/>
    <w:rsid w:val="0001389C"/>
    <w:rsid w:val="0001418D"/>
    <w:rsid w:val="00014504"/>
    <w:rsid w:val="00014795"/>
    <w:rsid w:val="000161EF"/>
    <w:rsid w:val="000170DC"/>
    <w:rsid w:val="0001753E"/>
    <w:rsid w:val="00017A2E"/>
    <w:rsid w:val="00020CA5"/>
    <w:rsid w:val="00022FD4"/>
    <w:rsid w:val="0002452F"/>
    <w:rsid w:val="00024698"/>
    <w:rsid w:val="00025330"/>
    <w:rsid w:val="00026D8B"/>
    <w:rsid w:val="00026EEA"/>
    <w:rsid w:val="000304DB"/>
    <w:rsid w:val="00030ADB"/>
    <w:rsid w:val="00031647"/>
    <w:rsid w:val="0003248F"/>
    <w:rsid w:val="00032684"/>
    <w:rsid w:val="00032FC1"/>
    <w:rsid w:val="0003414E"/>
    <w:rsid w:val="00035096"/>
    <w:rsid w:val="00036A9C"/>
    <w:rsid w:val="0004039C"/>
    <w:rsid w:val="00041852"/>
    <w:rsid w:val="000419A0"/>
    <w:rsid w:val="00041DA0"/>
    <w:rsid w:val="00042048"/>
    <w:rsid w:val="0004264F"/>
    <w:rsid w:val="000430E2"/>
    <w:rsid w:val="0004336F"/>
    <w:rsid w:val="00043C5A"/>
    <w:rsid w:val="00043CE4"/>
    <w:rsid w:val="000445E4"/>
    <w:rsid w:val="00045AA7"/>
    <w:rsid w:val="00046665"/>
    <w:rsid w:val="000470E0"/>
    <w:rsid w:val="000475C6"/>
    <w:rsid w:val="000477B0"/>
    <w:rsid w:val="00047C79"/>
    <w:rsid w:val="00051020"/>
    <w:rsid w:val="0005109A"/>
    <w:rsid w:val="000529A6"/>
    <w:rsid w:val="00053603"/>
    <w:rsid w:val="000539AB"/>
    <w:rsid w:val="00054B9F"/>
    <w:rsid w:val="0005565C"/>
    <w:rsid w:val="000561E6"/>
    <w:rsid w:val="00056D56"/>
    <w:rsid w:val="000615D4"/>
    <w:rsid w:val="000619FB"/>
    <w:rsid w:val="00061CE0"/>
    <w:rsid w:val="0006216E"/>
    <w:rsid w:val="0006254A"/>
    <w:rsid w:val="000627A1"/>
    <w:rsid w:val="00063AFA"/>
    <w:rsid w:val="00063E43"/>
    <w:rsid w:val="00067749"/>
    <w:rsid w:val="00067D6B"/>
    <w:rsid w:val="00070ACA"/>
    <w:rsid w:val="00071DD3"/>
    <w:rsid w:val="00072368"/>
    <w:rsid w:val="00074308"/>
    <w:rsid w:val="00074615"/>
    <w:rsid w:val="0007485A"/>
    <w:rsid w:val="00074D89"/>
    <w:rsid w:val="00076FA5"/>
    <w:rsid w:val="00077D33"/>
    <w:rsid w:val="00080AF2"/>
    <w:rsid w:val="00080F4E"/>
    <w:rsid w:val="00081556"/>
    <w:rsid w:val="00083DD8"/>
    <w:rsid w:val="0008415F"/>
    <w:rsid w:val="000844E6"/>
    <w:rsid w:val="00084805"/>
    <w:rsid w:val="000852C3"/>
    <w:rsid w:val="00086888"/>
    <w:rsid w:val="0009001E"/>
    <w:rsid w:val="000902F6"/>
    <w:rsid w:val="000905F3"/>
    <w:rsid w:val="00091AE9"/>
    <w:rsid w:val="00092A4A"/>
    <w:rsid w:val="00094062"/>
    <w:rsid w:val="0009427B"/>
    <w:rsid w:val="0009565C"/>
    <w:rsid w:val="00095B5A"/>
    <w:rsid w:val="0009687C"/>
    <w:rsid w:val="00097FB3"/>
    <w:rsid w:val="000A06C4"/>
    <w:rsid w:val="000A06F1"/>
    <w:rsid w:val="000A0CE5"/>
    <w:rsid w:val="000A0E4C"/>
    <w:rsid w:val="000A1F3D"/>
    <w:rsid w:val="000A25A1"/>
    <w:rsid w:val="000A2A2D"/>
    <w:rsid w:val="000A2BFD"/>
    <w:rsid w:val="000A2FBD"/>
    <w:rsid w:val="000A3734"/>
    <w:rsid w:val="000A39C9"/>
    <w:rsid w:val="000A4ED4"/>
    <w:rsid w:val="000A6091"/>
    <w:rsid w:val="000A648E"/>
    <w:rsid w:val="000A78B0"/>
    <w:rsid w:val="000B0778"/>
    <w:rsid w:val="000B27CB"/>
    <w:rsid w:val="000B4003"/>
    <w:rsid w:val="000B49AF"/>
    <w:rsid w:val="000B57F7"/>
    <w:rsid w:val="000C11FF"/>
    <w:rsid w:val="000C1A3C"/>
    <w:rsid w:val="000C1D5C"/>
    <w:rsid w:val="000C1D96"/>
    <w:rsid w:val="000C30BC"/>
    <w:rsid w:val="000C346F"/>
    <w:rsid w:val="000C4740"/>
    <w:rsid w:val="000C4F54"/>
    <w:rsid w:val="000C5C9F"/>
    <w:rsid w:val="000C5D3B"/>
    <w:rsid w:val="000C6CEA"/>
    <w:rsid w:val="000C76EF"/>
    <w:rsid w:val="000C778B"/>
    <w:rsid w:val="000D011E"/>
    <w:rsid w:val="000D03AD"/>
    <w:rsid w:val="000D0916"/>
    <w:rsid w:val="000D094E"/>
    <w:rsid w:val="000D09FC"/>
    <w:rsid w:val="000D16B7"/>
    <w:rsid w:val="000D215D"/>
    <w:rsid w:val="000D2410"/>
    <w:rsid w:val="000D2864"/>
    <w:rsid w:val="000D3115"/>
    <w:rsid w:val="000D3397"/>
    <w:rsid w:val="000D3E1B"/>
    <w:rsid w:val="000D426F"/>
    <w:rsid w:val="000D5FDD"/>
    <w:rsid w:val="000D65E1"/>
    <w:rsid w:val="000D6C00"/>
    <w:rsid w:val="000D7CD2"/>
    <w:rsid w:val="000D7CEC"/>
    <w:rsid w:val="000D7E27"/>
    <w:rsid w:val="000E098C"/>
    <w:rsid w:val="000E0A0F"/>
    <w:rsid w:val="000E12B4"/>
    <w:rsid w:val="000E1459"/>
    <w:rsid w:val="000E30F2"/>
    <w:rsid w:val="000E3186"/>
    <w:rsid w:val="000E319B"/>
    <w:rsid w:val="000E3C32"/>
    <w:rsid w:val="000E47A3"/>
    <w:rsid w:val="000E4AB2"/>
    <w:rsid w:val="000E53EA"/>
    <w:rsid w:val="000E69F0"/>
    <w:rsid w:val="000E744D"/>
    <w:rsid w:val="000F13EC"/>
    <w:rsid w:val="000F1C35"/>
    <w:rsid w:val="000F2311"/>
    <w:rsid w:val="000F29FC"/>
    <w:rsid w:val="000F3272"/>
    <w:rsid w:val="000F4536"/>
    <w:rsid w:val="000F7776"/>
    <w:rsid w:val="000F7C80"/>
    <w:rsid w:val="001025DA"/>
    <w:rsid w:val="00103420"/>
    <w:rsid w:val="00103461"/>
    <w:rsid w:val="00103E1F"/>
    <w:rsid w:val="00103E7B"/>
    <w:rsid w:val="00104156"/>
    <w:rsid w:val="00104950"/>
    <w:rsid w:val="00104E5C"/>
    <w:rsid w:val="001062DA"/>
    <w:rsid w:val="00110559"/>
    <w:rsid w:val="00110C48"/>
    <w:rsid w:val="00111211"/>
    <w:rsid w:val="00111C5F"/>
    <w:rsid w:val="00111E5A"/>
    <w:rsid w:val="00113216"/>
    <w:rsid w:val="001138AE"/>
    <w:rsid w:val="00113C66"/>
    <w:rsid w:val="00113EF7"/>
    <w:rsid w:val="001148BA"/>
    <w:rsid w:val="00114FE0"/>
    <w:rsid w:val="00116065"/>
    <w:rsid w:val="001164B2"/>
    <w:rsid w:val="00117FB0"/>
    <w:rsid w:val="00120713"/>
    <w:rsid w:val="00121126"/>
    <w:rsid w:val="00121339"/>
    <w:rsid w:val="00122AD5"/>
    <w:rsid w:val="00122BE0"/>
    <w:rsid w:val="0012348D"/>
    <w:rsid w:val="00123631"/>
    <w:rsid w:val="00124401"/>
    <w:rsid w:val="0012525D"/>
    <w:rsid w:val="0012555E"/>
    <w:rsid w:val="001269D6"/>
    <w:rsid w:val="00127CCF"/>
    <w:rsid w:val="001303DC"/>
    <w:rsid w:val="001306AA"/>
    <w:rsid w:val="00131C57"/>
    <w:rsid w:val="00134141"/>
    <w:rsid w:val="001351A5"/>
    <w:rsid w:val="0013552B"/>
    <w:rsid w:val="001360B0"/>
    <w:rsid w:val="00136201"/>
    <w:rsid w:val="00136470"/>
    <w:rsid w:val="0013669E"/>
    <w:rsid w:val="001370BE"/>
    <w:rsid w:val="00137548"/>
    <w:rsid w:val="001400FB"/>
    <w:rsid w:val="00140FD0"/>
    <w:rsid w:val="00141241"/>
    <w:rsid w:val="001413B2"/>
    <w:rsid w:val="00142912"/>
    <w:rsid w:val="00142AC3"/>
    <w:rsid w:val="00143085"/>
    <w:rsid w:val="001465DB"/>
    <w:rsid w:val="00147645"/>
    <w:rsid w:val="00147733"/>
    <w:rsid w:val="00150B3C"/>
    <w:rsid w:val="00151206"/>
    <w:rsid w:val="00151D60"/>
    <w:rsid w:val="0015249C"/>
    <w:rsid w:val="00153873"/>
    <w:rsid w:val="00153E4E"/>
    <w:rsid w:val="00156520"/>
    <w:rsid w:val="00156537"/>
    <w:rsid w:val="001569A6"/>
    <w:rsid w:val="00157259"/>
    <w:rsid w:val="001573FB"/>
    <w:rsid w:val="0016070D"/>
    <w:rsid w:val="00161154"/>
    <w:rsid w:val="001617FF"/>
    <w:rsid w:val="00161D7A"/>
    <w:rsid w:val="0016320C"/>
    <w:rsid w:val="00164DE5"/>
    <w:rsid w:val="00165151"/>
    <w:rsid w:val="00165164"/>
    <w:rsid w:val="001655E4"/>
    <w:rsid w:val="00165BE8"/>
    <w:rsid w:val="00167424"/>
    <w:rsid w:val="00171993"/>
    <w:rsid w:val="00171C35"/>
    <w:rsid w:val="00171DEC"/>
    <w:rsid w:val="001727E5"/>
    <w:rsid w:val="00172BF3"/>
    <w:rsid w:val="00173B0A"/>
    <w:rsid w:val="00174589"/>
    <w:rsid w:val="00174816"/>
    <w:rsid w:val="0017533E"/>
    <w:rsid w:val="00175876"/>
    <w:rsid w:val="00175EBE"/>
    <w:rsid w:val="00176860"/>
    <w:rsid w:val="00176AFD"/>
    <w:rsid w:val="00176F34"/>
    <w:rsid w:val="00177240"/>
    <w:rsid w:val="00177A6A"/>
    <w:rsid w:val="00177E30"/>
    <w:rsid w:val="00177F9C"/>
    <w:rsid w:val="00181583"/>
    <w:rsid w:val="001816EC"/>
    <w:rsid w:val="00182450"/>
    <w:rsid w:val="001824E5"/>
    <w:rsid w:val="001827A3"/>
    <w:rsid w:val="00185BC6"/>
    <w:rsid w:val="00185D02"/>
    <w:rsid w:val="001867B2"/>
    <w:rsid w:val="00190ABB"/>
    <w:rsid w:val="00190B94"/>
    <w:rsid w:val="00191D45"/>
    <w:rsid w:val="001923FA"/>
    <w:rsid w:val="001939F3"/>
    <w:rsid w:val="00194646"/>
    <w:rsid w:val="00194EE3"/>
    <w:rsid w:val="00195098"/>
    <w:rsid w:val="0019532C"/>
    <w:rsid w:val="00195492"/>
    <w:rsid w:val="00195E23"/>
    <w:rsid w:val="001963E0"/>
    <w:rsid w:val="001971E4"/>
    <w:rsid w:val="001A004D"/>
    <w:rsid w:val="001A2B6B"/>
    <w:rsid w:val="001A2D88"/>
    <w:rsid w:val="001A32D4"/>
    <w:rsid w:val="001A3CF4"/>
    <w:rsid w:val="001A43C0"/>
    <w:rsid w:val="001A43F1"/>
    <w:rsid w:val="001A4B06"/>
    <w:rsid w:val="001A50D9"/>
    <w:rsid w:val="001A651C"/>
    <w:rsid w:val="001B0BC6"/>
    <w:rsid w:val="001B0CAD"/>
    <w:rsid w:val="001B32DE"/>
    <w:rsid w:val="001B3441"/>
    <w:rsid w:val="001B34CF"/>
    <w:rsid w:val="001B3D2F"/>
    <w:rsid w:val="001B40EA"/>
    <w:rsid w:val="001B4844"/>
    <w:rsid w:val="001B7F37"/>
    <w:rsid w:val="001C0642"/>
    <w:rsid w:val="001C0DEF"/>
    <w:rsid w:val="001C10E7"/>
    <w:rsid w:val="001C2AC6"/>
    <w:rsid w:val="001C31D9"/>
    <w:rsid w:val="001C326E"/>
    <w:rsid w:val="001C4849"/>
    <w:rsid w:val="001C49DB"/>
    <w:rsid w:val="001C4E06"/>
    <w:rsid w:val="001C4E30"/>
    <w:rsid w:val="001C5188"/>
    <w:rsid w:val="001C5FAA"/>
    <w:rsid w:val="001C6D3A"/>
    <w:rsid w:val="001D1835"/>
    <w:rsid w:val="001D1B56"/>
    <w:rsid w:val="001D209E"/>
    <w:rsid w:val="001D3BEB"/>
    <w:rsid w:val="001D4932"/>
    <w:rsid w:val="001D4B4D"/>
    <w:rsid w:val="001D5956"/>
    <w:rsid w:val="001D5A97"/>
    <w:rsid w:val="001D603B"/>
    <w:rsid w:val="001D6052"/>
    <w:rsid w:val="001D6B15"/>
    <w:rsid w:val="001D6C38"/>
    <w:rsid w:val="001D6F41"/>
    <w:rsid w:val="001D7672"/>
    <w:rsid w:val="001D7C42"/>
    <w:rsid w:val="001D7E21"/>
    <w:rsid w:val="001E04DE"/>
    <w:rsid w:val="001E1255"/>
    <w:rsid w:val="001E1775"/>
    <w:rsid w:val="001E1B12"/>
    <w:rsid w:val="001E1E67"/>
    <w:rsid w:val="001E2733"/>
    <w:rsid w:val="001E2A39"/>
    <w:rsid w:val="001E2E6E"/>
    <w:rsid w:val="001E37D0"/>
    <w:rsid w:val="001E41C7"/>
    <w:rsid w:val="001E4964"/>
    <w:rsid w:val="001E6E78"/>
    <w:rsid w:val="001F0554"/>
    <w:rsid w:val="001F1B8D"/>
    <w:rsid w:val="001F2288"/>
    <w:rsid w:val="001F2F39"/>
    <w:rsid w:val="001F3249"/>
    <w:rsid w:val="001F3B9C"/>
    <w:rsid w:val="001F3EAF"/>
    <w:rsid w:val="001F46DD"/>
    <w:rsid w:val="001F5773"/>
    <w:rsid w:val="001F7937"/>
    <w:rsid w:val="001F7DDE"/>
    <w:rsid w:val="00200134"/>
    <w:rsid w:val="00200252"/>
    <w:rsid w:val="002009D0"/>
    <w:rsid w:val="00200E31"/>
    <w:rsid w:val="0020107C"/>
    <w:rsid w:val="0020229B"/>
    <w:rsid w:val="002023C4"/>
    <w:rsid w:val="00203719"/>
    <w:rsid w:val="00203CDA"/>
    <w:rsid w:val="00203E30"/>
    <w:rsid w:val="00204C90"/>
    <w:rsid w:val="002057FD"/>
    <w:rsid w:val="00206114"/>
    <w:rsid w:val="00206E9C"/>
    <w:rsid w:val="00207D3B"/>
    <w:rsid w:val="002103E2"/>
    <w:rsid w:val="00211132"/>
    <w:rsid w:val="002114BB"/>
    <w:rsid w:val="0021155E"/>
    <w:rsid w:val="0021187C"/>
    <w:rsid w:val="00212AFE"/>
    <w:rsid w:val="00213157"/>
    <w:rsid w:val="002135D3"/>
    <w:rsid w:val="002137B6"/>
    <w:rsid w:val="00214115"/>
    <w:rsid w:val="002152C4"/>
    <w:rsid w:val="002152CB"/>
    <w:rsid w:val="00215E2E"/>
    <w:rsid w:val="00216037"/>
    <w:rsid w:val="00216312"/>
    <w:rsid w:val="00216BE1"/>
    <w:rsid w:val="00220440"/>
    <w:rsid w:val="002209A7"/>
    <w:rsid w:val="00220EF1"/>
    <w:rsid w:val="0022199A"/>
    <w:rsid w:val="002226AC"/>
    <w:rsid w:val="002232C8"/>
    <w:rsid w:val="00223521"/>
    <w:rsid w:val="00223C09"/>
    <w:rsid w:val="00224AFD"/>
    <w:rsid w:val="00224EE2"/>
    <w:rsid w:val="00225D80"/>
    <w:rsid w:val="00225FC0"/>
    <w:rsid w:val="0022615F"/>
    <w:rsid w:val="00226647"/>
    <w:rsid w:val="002269AC"/>
    <w:rsid w:val="00226CA1"/>
    <w:rsid w:val="00227993"/>
    <w:rsid w:val="002303D8"/>
    <w:rsid w:val="00230D74"/>
    <w:rsid w:val="00231025"/>
    <w:rsid w:val="00231806"/>
    <w:rsid w:val="00231CB5"/>
    <w:rsid w:val="00232B70"/>
    <w:rsid w:val="0023311D"/>
    <w:rsid w:val="002332F3"/>
    <w:rsid w:val="002333E5"/>
    <w:rsid w:val="00233695"/>
    <w:rsid w:val="00234409"/>
    <w:rsid w:val="0023452B"/>
    <w:rsid w:val="00235EE6"/>
    <w:rsid w:val="00237343"/>
    <w:rsid w:val="002374D6"/>
    <w:rsid w:val="002375D9"/>
    <w:rsid w:val="00237E93"/>
    <w:rsid w:val="0024005D"/>
    <w:rsid w:val="002403B5"/>
    <w:rsid w:val="00241049"/>
    <w:rsid w:val="0024605A"/>
    <w:rsid w:val="00246BC4"/>
    <w:rsid w:val="00247496"/>
    <w:rsid w:val="00250674"/>
    <w:rsid w:val="00251764"/>
    <w:rsid w:val="0025201E"/>
    <w:rsid w:val="00253C4A"/>
    <w:rsid w:val="00254645"/>
    <w:rsid w:val="002547D6"/>
    <w:rsid w:val="00254A54"/>
    <w:rsid w:val="002554D1"/>
    <w:rsid w:val="002554EF"/>
    <w:rsid w:val="002556AF"/>
    <w:rsid w:val="0025615E"/>
    <w:rsid w:val="002569F4"/>
    <w:rsid w:val="002573D4"/>
    <w:rsid w:val="00257F3C"/>
    <w:rsid w:val="002604A9"/>
    <w:rsid w:val="0026103D"/>
    <w:rsid w:val="002614ED"/>
    <w:rsid w:val="0026264E"/>
    <w:rsid w:val="00262C82"/>
    <w:rsid w:val="002632E9"/>
    <w:rsid w:val="002635DB"/>
    <w:rsid w:val="00263920"/>
    <w:rsid w:val="00263CC6"/>
    <w:rsid w:val="0026525D"/>
    <w:rsid w:val="0026554C"/>
    <w:rsid w:val="00265AD8"/>
    <w:rsid w:val="00266BB0"/>
    <w:rsid w:val="00267D78"/>
    <w:rsid w:val="00267FAC"/>
    <w:rsid w:val="00270480"/>
    <w:rsid w:val="00270620"/>
    <w:rsid w:val="00270C0B"/>
    <w:rsid w:val="00271989"/>
    <w:rsid w:val="00271B04"/>
    <w:rsid w:val="00272AC5"/>
    <w:rsid w:val="002733B0"/>
    <w:rsid w:val="00274094"/>
    <w:rsid w:val="00276459"/>
    <w:rsid w:val="0027684A"/>
    <w:rsid w:val="002774E3"/>
    <w:rsid w:val="002775C6"/>
    <w:rsid w:val="00277827"/>
    <w:rsid w:val="00277AE4"/>
    <w:rsid w:val="00280D22"/>
    <w:rsid w:val="00281468"/>
    <w:rsid w:val="00282966"/>
    <w:rsid w:val="00282B8D"/>
    <w:rsid w:val="00284AE9"/>
    <w:rsid w:val="0028591C"/>
    <w:rsid w:val="00285C17"/>
    <w:rsid w:val="00286398"/>
    <w:rsid w:val="00287782"/>
    <w:rsid w:val="002878EE"/>
    <w:rsid w:val="002904DA"/>
    <w:rsid w:val="00290FD8"/>
    <w:rsid w:val="00291363"/>
    <w:rsid w:val="002917DB"/>
    <w:rsid w:val="002918C1"/>
    <w:rsid w:val="00291D34"/>
    <w:rsid w:val="00292D75"/>
    <w:rsid w:val="00294AE0"/>
    <w:rsid w:val="00294D7C"/>
    <w:rsid w:val="0029599B"/>
    <w:rsid w:val="00295C38"/>
    <w:rsid w:val="00295F16"/>
    <w:rsid w:val="00297251"/>
    <w:rsid w:val="002975D1"/>
    <w:rsid w:val="002A092E"/>
    <w:rsid w:val="002A0A99"/>
    <w:rsid w:val="002A1367"/>
    <w:rsid w:val="002A2092"/>
    <w:rsid w:val="002A6050"/>
    <w:rsid w:val="002A695E"/>
    <w:rsid w:val="002A7ABF"/>
    <w:rsid w:val="002B0511"/>
    <w:rsid w:val="002B084C"/>
    <w:rsid w:val="002B172A"/>
    <w:rsid w:val="002B24DF"/>
    <w:rsid w:val="002B273A"/>
    <w:rsid w:val="002B2855"/>
    <w:rsid w:val="002B3195"/>
    <w:rsid w:val="002B3388"/>
    <w:rsid w:val="002B3439"/>
    <w:rsid w:val="002B37E1"/>
    <w:rsid w:val="002B5885"/>
    <w:rsid w:val="002B64BD"/>
    <w:rsid w:val="002B7123"/>
    <w:rsid w:val="002B79C2"/>
    <w:rsid w:val="002C0899"/>
    <w:rsid w:val="002C14E0"/>
    <w:rsid w:val="002C195C"/>
    <w:rsid w:val="002C1B0D"/>
    <w:rsid w:val="002C1E12"/>
    <w:rsid w:val="002C4061"/>
    <w:rsid w:val="002C4552"/>
    <w:rsid w:val="002C4E91"/>
    <w:rsid w:val="002C4F86"/>
    <w:rsid w:val="002C5CF6"/>
    <w:rsid w:val="002C6194"/>
    <w:rsid w:val="002C6436"/>
    <w:rsid w:val="002C6552"/>
    <w:rsid w:val="002C65D7"/>
    <w:rsid w:val="002D09C0"/>
    <w:rsid w:val="002D0A29"/>
    <w:rsid w:val="002D1219"/>
    <w:rsid w:val="002D1340"/>
    <w:rsid w:val="002D14FC"/>
    <w:rsid w:val="002D163B"/>
    <w:rsid w:val="002D16B2"/>
    <w:rsid w:val="002D18E7"/>
    <w:rsid w:val="002D25B7"/>
    <w:rsid w:val="002D26CD"/>
    <w:rsid w:val="002D2CE9"/>
    <w:rsid w:val="002D3F57"/>
    <w:rsid w:val="002D54D1"/>
    <w:rsid w:val="002D56FC"/>
    <w:rsid w:val="002D572E"/>
    <w:rsid w:val="002D619C"/>
    <w:rsid w:val="002D62B2"/>
    <w:rsid w:val="002D62CC"/>
    <w:rsid w:val="002D6796"/>
    <w:rsid w:val="002E03CB"/>
    <w:rsid w:val="002E0595"/>
    <w:rsid w:val="002E05FF"/>
    <w:rsid w:val="002E0825"/>
    <w:rsid w:val="002E1712"/>
    <w:rsid w:val="002E26B6"/>
    <w:rsid w:val="002E2CFB"/>
    <w:rsid w:val="002E2D6F"/>
    <w:rsid w:val="002E3594"/>
    <w:rsid w:val="002E3AE8"/>
    <w:rsid w:val="002E3EEB"/>
    <w:rsid w:val="002E4045"/>
    <w:rsid w:val="002E4FFB"/>
    <w:rsid w:val="002E68D0"/>
    <w:rsid w:val="002E792B"/>
    <w:rsid w:val="002F00BC"/>
    <w:rsid w:val="002F0402"/>
    <w:rsid w:val="002F0692"/>
    <w:rsid w:val="002F0C29"/>
    <w:rsid w:val="002F1B75"/>
    <w:rsid w:val="002F23E1"/>
    <w:rsid w:val="002F389F"/>
    <w:rsid w:val="002F420D"/>
    <w:rsid w:val="002F4E21"/>
    <w:rsid w:val="002F522A"/>
    <w:rsid w:val="002F586F"/>
    <w:rsid w:val="002F602D"/>
    <w:rsid w:val="002F62F5"/>
    <w:rsid w:val="002F6642"/>
    <w:rsid w:val="002F7756"/>
    <w:rsid w:val="00300841"/>
    <w:rsid w:val="00300CCA"/>
    <w:rsid w:val="00301372"/>
    <w:rsid w:val="003015CC"/>
    <w:rsid w:val="003031B6"/>
    <w:rsid w:val="00303849"/>
    <w:rsid w:val="00303F26"/>
    <w:rsid w:val="00304056"/>
    <w:rsid w:val="00305406"/>
    <w:rsid w:val="00305929"/>
    <w:rsid w:val="003062DA"/>
    <w:rsid w:val="00306300"/>
    <w:rsid w:val="003074F1"/>
    <w:rsid w:val="0030754C"/>
    <w:rsid w:val="00307ACD"/>
    <w:rsid w:val="00307B30"/>
    <w:rsid w:val="00310B19"/>
    <w:rsid w:val="00312929"/>
    <w:rsid w:val="00313068"/>
    <w:rsid w:val="003133BF"/>
    <w:rsid w:val="003151CA"/>
    <w:rsid w:val="003156DC"/>
    <w:rsid w:val="00316F6A"/>
    <w:rsid w:val="00320F7D"/>
    <w:rsid w:val="0032138A"/>
    <w:rsid w:val="003215CB"/>
    <w:rsid w:val="00321C2D"/>
    <w:rsid w:val="00322858"/>
    <w:rsid w:val="003231C6"/>
    <w:rsid w:val="003231FC"/>
    <w:rsid w:val="003236B2"/>
    <w:rsid w:val="00323C7C"/>
    <w:rsid w:val="0032503B"/>
    <w:rsid w:val="00325164"/>
    <w:rsid w:val="0032565D"/>
    <w:rsid w:val="00326043"/>
    <w:rsid w:val="00326BDA"/>
    <w:rsid w:val="00326DCA"/>
    <w:rsid w:val="00326EBB"/>
    <w:rsid w:val="0032717C"/>
    <w:rsid w:val="00327482"/>
    <w:rsid w:val="00327B14"/>
    <w:rsid w:val="00327B62"/>
    <w:rsid w:val="00327C1F"/>
    <w:rsid w:val="00330F26"/>
    <w:rsid w:val="003315AF"/>
    <w:rsid w:val="0033242D"/>
    <w:rsid w:val="0033253B"/>
    <w:rsid w:val="0033286E"/>
    <w:rsid w:val="00333094"/>
    <w:rsid w:val="00333E65"/>
    <w:rsid w:val="0033477E"/>
    <w:rsid w:val="003350A4"/>
    <w:rsid w:val="00335504"/>
    <w:rsid w:val="00335BC1"/>
    <w:rsid w:val="00335E7C"/>
    <w:rsid w:val="00336FE7"/>
    <w:rsid w:val="00337588"/>
    <w:rsid w:val="00337A00"/>
    <w:rsid w:val="00337B29"/>
    <w:rsid w:val="003409F5"/>
    <w:rsid w:val="00340F84"/>
    <w:rsid w:val="003410AC"/>
    <w:rsid w:val="003414D5"/>
    <w:rsid w:val="00341777"/>
    <w:rsid w:val="00341B0E"/>
    <w:rsid w:val="00342318"/>
    <w:rsid w:val="00342609"/>
    <w:rsid w:val="00342B53"/>
    <w:rsid w:val="003430D0"/>
    <w:rsid w:val="0034399D"/>
    <w:rsid w:val="00343D31"/>
    <w:rsid w:val="00345036"/>
    <w:rsid w:val="003451A9"/>
    <w:rsid w:val="003453D4"/>
    <w:rsid w:val="00346BDE"/>
    <w:rsid w:val="00346CF3"/>
    <w:rsid w:val="0034761E"/>
    <w:rsid w:val="00347848"/>
    <w:rsid w:val="00350AF0"/>
    <w:rsid w:val="00351BA6"/>
    <w:rsid w:val="00351BE4"/>
    <w:rsid w:val="003544E7"/>
    <w:rsid w:val="00354A32"/>
    <w:rsid w:val="003552A9"/>
    <w:rsid w:val="0035569C"/>
    <w:rsid w:val="0035597E"/>
    <w:rsid w:val="00356008"/>
    <w:rsid w:val="00356148"/>
    <w:rsid w:val="00356230"/>
    <w:rsid w:val="00356919"/>
    <w:rsid w:val="0035788B"/>
    <w:rsid w:val="00361539"/>
    <w:rsid w:val="003619E6"/>
    <w:rsid w:val="003628F3"/>
    <w:rsid w:val="0036296E"/>
    <w:rsid w:val="00362EB2"/>
    <w:rsid w:val="00362F11"/>
    <w:rsid w:val="0036430A"/>
    <w:rsid w:val="003645F1"/>
    <w:rsid w:val="003649BB"/>
    <w:rsid w:val="003654D0"/>
    <w:rsid w:val="003657A1"/>
    <w:rsid w:val="00365905"/>
    <w:rsid w:val="0036721E"/>
    <w:rsid w:val="00367690"/>
    <w:rsid w:val="00367A75"/>
    <w:rsid w:val="00367B9D"/>
    <w:rsid w:val="003709E7"/>
    <w:rsid w:val="00371BB5"/>
    <w:rsid w:val="003722C7"/>
    <w:rsid w:val="00372750"/>
    <w:rsid w:val="0037432C"/>
    <w:rsid w:val="00374FC1"/>
    <w:rsid w:val="003753F4"/>
    <w:rsid w:val="00377D64"/>
    <w:rsid w:val="003807A7"/>
    <w:rsid w:val="00380A41"/>
    <w:rsid w:val="00380DB8"/>
    <w:rsid w:val="0038241B"/>
    <w:rsid w:val="00382E2D"/>
    <w:rsid w:val="00383928"/>
    <w:rsid w:val="00383B05"/>
    <w:rsid w:val="003852D2"/>
    <w:rsid w:val="0038561A"/>
    <w:rsid w:val="00385799"/>
    <w:rsid w:val="0038609E"/>
    <w:rsid w:val="003874E8"/>
    <w:rsid w:val="00387911"/>
    <w:rsid w:val="0039087B"/>
    <w:rsid w:val="00390F04"/>
    <w:rsid w:val="00391346"/>
    <w:rsid w:val="003928FB"/>
    <w:rsid w:val="00392EDA"/>
    <w:rsid w:val="00393AD8"/>
    <w:rsid w:val="00393F2D"/>
    <w:rsid w:val="003942F5"/>
    <w:rsid w:val="003944EB"/>
    <w:rsid w:val="00394B67"/>
    <w:rsid w:val="003973FF"/>
    <w:rsid w:val="00397FDB"/>
    <w:rsid w:val="003A0B3C"/>
    <w:rsid w:val="003A0C2A"/>
    <w:rsid w:val="003A1019"/>
    <w:rsid w:val="003A2BA1"/>
    <w:rsid w:val="003A3307"/>
    <w:rsid w:val="003A3316"/>
    <w:rsid w:val="003A3658"/>
    <w:rsid w:val="003A45AC"/>
    <w:rsid w:val="003A57AF"/>
    <w:rsid w:val="003A625B"/>
    <w:rsid w:val="003A6380"/>
    <w:rsid w:val="003A65C8"/>
    <w:rsid w:val="003B18B2"/>
    <w:rsid w:val="003B1986"/>
    <w:rsid w:val="003B1D44"/>
    <w:rsid w:val="003B1FCA"/>
    <w:rsid w:val="003B2C70"/>
    <w:rsid w:val="003B317A"/>
    <w:rsid w:val="003B489F"/>
    <w:rsid w:val="003B60D9"/>
    <w:rsid w:val="003B6424"/>
    <w:rsid w:val="003B669F"/>
    <w:rsid w:val="003B7341"/>
    <w:rsid w:val="003C02B0"/>
    <w:rsid w:val="003C0D07"/>
    <w:rsid w:val="003C3E1B"/>
    <w:rsid w:val="003C3EE4"/>
    <w:rsid w:val="003C56AB"/>
    <w:rsid w:val="003C62CA"/>
    <w:rsid w:val="003C6363"/>
    <w:rsid w:val="003D0B23"/>
    <w:rsid w:val="003D11DC"/>
    <w:rsid w:val="003D28FB"/>
    <w:rsid w:val="003D2E90"/>
    <w:rsid w:val="003D360D"/>
    <w:rsid w:val="003D39A1"/>
    <w:rsid w:val="003D5508"/>
    <w:rsid w:val="003D5E81"/>
    <w:rsid w:val="003D5F49"/>
    <w:rsid w:val="003D6B6A"/>
    <w:rsid w:val="003D74D9"/>
    <w:rsid w:val="003E04A8"/>
    <w:rsid w:val="003E0F35"/>
    <w:rsid w:val="003E135E"/>
    <w:rsid w:val="003E17A4"/>
    <w:rsid w:val="003E2AE9"/>
    <w:rsid w:val="003E2BBA"/>
    <w:rsid w:val="003E377D"/>
    <w:rsid w:val="003E3A7B"/>
    <w:rsid w:val="003E3C43"/>
    <w:rsid w:val="003E4913"/>
    <w:rsid w:val="003E4B1D"/>
    <w:rsid w:val="003E4B3F"/>
    <w:rsid w:val="003E4E4F"/>
    <w:rsid w:val="003E4EB3"/>
    <w:rsid w:val="003E50E2"/>
    <w:rsid w:val="003E6922"/>
    <w:rsid w:val="003E69DD"/>
    <w:rsid w:val="003E6DFA"/>
    <w:rsid w:val="003E7C10"/>
    <w:rsid w:val="003F26FD"/>
    <w:rsid w:val="003F2F9A"/>
    <w:rsid w:val="003F3EED"/>
    <w:rsid w:val="003F470E"/>
    <w:rsid w:val="003F5996"/>
    <w:rsid w:val="003F5B33"/>
    <w:rsid w:val="003F5FE8"/>
    <w:rsid w:val="003F72CF"/>
    <w:rsid w:val="00400DA7"/>
    <w:rsid w:val="00400FC6"/>
    <w:rsid w:val="0040386C"/>
    <w:rsid w:val="00403A89"/>
    <w:rsid w:val="00403AF2"/>
    <w:rsid w:val="004048D5"/>
    <w:rsid w:val="0040497E"/>
    <w:rsid w:val="004064C9"/>
    <w:rsid w:val="00406659"/>
    <w:rsid w:val="00406747"/>
    <w:rsid w:val="00407721"/>
    <w:rsid w:val="00407CC6"/>
    <w:rsid w:val="00407E93"/>
    <w:rsid w:val="00410019"/>
    <w:rsid w:val="0041047D"/>
    <w:rsid w:val="00410B1C"/>
    <w:rsid w:val="00411033"/>
    <w:rsid w:val="00411290"/>
    <w:rsid w:val="00411CBC"/>
    <w:rsid w:val="00412503"/>
    <w:rsid w:val="00412A10"/>
    <w:rsid w:val="0041313A"/>
    <w:rsid w:val="00413F08"/>
    <w:rsid w:val="004147D8"/>
    <w:rsid w:val="00414A08"/>
    <w:rsid w:val="004150F1"/>
    <w:rsid w:val="00415BC1"/>
    <w:rsid w:val="00415C19"/>
    <w:rsid w:val="00415E5A"/>
    <w:rsid w:val="004162B5"/>
    <w:rsid w:val="00416905"/>
    <w:rsid w:val="0041732E"/>
    <w:rsid w:val="0041748F"/>
    <w:rsid w:val="00421448"/>
    <w:rsid w:val="0042145D"/>
    <w:rsid w:val="00421787"/>
    <w:rsid w:val="004217EB"/>
    <w:rsid w:val="004217F1"/>
    <w:rsid w:val="004253F4"/>
    <w:rsid w:val="00425704"/>
    <w:rsid w:val="004260C7"/>
    <w:rsid w:val="00426907"/>
    <w:rsid w:val="004276F6"/>
    <w:rsid w:val="004304C9"/>
    <w:rsid w:val="00430D44"/>
    <w:rsid w:val="00431186"/>
    <w:rsid w:val="0043130F"/>
    <w:rsid w:val="00431A0C"/>
    <w:rsid w:val="004323D5"/>
    <w:rsid w:val="00433621"/>
    <w:rsid w:val="00433A36"/>
    <w:rsid w:val="00434344"/>
    <w:rsid w:val="004346D1"/>
    <w:rsid w:val="00435085"/>
    <w:rsid w:val="004364D6"/>
    <w:rsid w:val="0043700B"/>
    <w:rsid w:val="004408B2"/>
    <w:rsid w:val="00440A07"/>
    <w:rsid w:val="00441280"/>
    <w:rsid w:val="004443C4"/>
    <w:rsid w:val="00444526"/>
    <w:rsid w:val="00444B15"/>
    <w:rsid w:val="00444D85"/>
    <w:rsid w:val="00444EE8"/>
    <w:rsid w:val="004454C9"/>
    <w:rsid w:val="00445583"/>
    <w:rsid w:val="00445A4C"/>
    <w:rsid w:val="004471CB"/>
    <w:rsid w:val="0045071E"/>
    <w:rsid w:val="00450856"/>
    <w:rsid w:val="00450D9C"/>
    <w:rsid w:val="00450FF0"/>
    <w:rsid w:val="004514BD"/>
    <w:rsid w:val="00451CF7"/>
    <w:rsid w:val="004522BB"/>
    <w:rsid w:val="004538B1"/>
    <w:rsid w:val="00454830"/>
    <w:rsid w:val="00454BE1"/>
    <w:rsid w:val="00454C88"/>
    <w:rsid w:val="004552E7"/>
    <w:rsid w:val="004558F4"/>
    <w:rsid w:val="00455BA7"/>
    <w:rsid w:val="004563BA"/>
    <w:rsid w:val="004577AA"/>
    <w:rsid w:val="0045786B"/>
    <w:rsid w:val="00457A56"/>
    <w:rsid w:val="00461C9F"/>
    <w:rsid w:val="00462A45"/>
    <w:rsid w:val="00462CC0"/>
    <w:rsid w:val="00462DF8"/>
    <w:rsid w:val="00463785"/>
    <w:rsid w:val="004638EA"/>
    <w:rsid w:val="004642B4"/>
    <w:rsid w:val="00465090"/>
    <w:rsid w:val="0046658E"/>
    <w:rsid w:val="00466A15"/>
    <w:rsid w:val="00466C84"/>
    <w:rsid w:val="00470819"/>
    <w:rsid w:val="00470F4A"/>
    <w:rsid w:val="004717D5"/>
    <w:rsid w:val="00471C8B"/>
    <w:rsid w:val="00471CFA"/>
    <w:rsid w:val="0047386F"/>
    <w:rsid w:val="00474384"/>
    <w:rsid w:val="00474492"/>
    <w:rsid w:val="0047460D"/>
    <w:rsid w:val="004752AC"/>
    <w:rsid w:val="0047587B"/>
    <w:rsid w:val="00476475"/>
    <w:rsid w:val="0047655B"/>
    <w:rsid w:val="00477296"/>
    <w:rsid w:val="00477873"/>
    <w:rsid w:val="00477EB2"/>
    <w:rsid w:val="00480706"/>
    <w:rsid w:val="00483A3C"/>
    <w:rsid w:val="00483E6B"/>
    <w:rsid w:val="00484CC1"/>
    <w:rsid w:val="00485172"/>
    <w:rsid w:val="0048647E"/>
    <w:rsid w:val="00486B92"/>
    <w:rsid w:val="00486FD9"/>
    <w:rsid w:val="00487773"/>
    <w:rsid w:val="00487A2C"/>
    <w:rsid w:val="004901CE"/>
    <w:rsid w:val="0049065D"/>
    <w:rsid w:val="00492DBE"/>
    <w:rsid w:val="00492FC5"/>
    <w:rsid w:val="004931E6"/>
    <w:rsid w:val="00493E62"/>
    <w:rsid w:val="004940F0"/>
    <w:rsid w:val="004942D0"/>
    <w:rsid w:val="0049453B"/>
    <w:rsid w:val="00495315"/>
    <w:rsid w:val="0049547E"/>
    <w:rsid w:val="00496CD3"/>
    <w:rsid w:val="0049741A"/>
    <w:rsid w:val="004A044C"/>
    <w:rsid w:val="004A0952"/>
    <w:rsid w:val="004A1ED3"/>
    <w:rsid w:val="004A24B2"/>
    <w:rsid w:val="004A2589"/>
    <w:rsid w:val="004A26D7"/>
    <w:rsid w:val="004A2AA9"/>
    <w:rsid w:val="004A3493"/>
    <w:rsid w:val="004A4A9F"/>
    <w:rsid w:val="004A5AB8"/>
    <w:rsid w:val="004A5B39"/>
    <w:rsid w:val="004A5E44"/>
    <w:rsid w:val="004A6865"/>
    <w:rsid w:val="004A7077"/>
    <w:rsid w:val="004A791D"/>
    <w:rsid w:val="004B0215"/>
    <w:rsid w:val="004B08B8"/>
    <w:rsid w:val="004B14A1"/>
    <w:rsid w:val="004B1727"/>
    <w:rsid w:val="004B1C7A"/>
    <w:rsid w:val="004B20DE"/>
    <w:rsid w:val="004B213E"/>
    <w:rsid w:val="004B23B4"/>
    <w:rsid w:val="004B3023"/>
    <w:rsid w:val="004B31E9"/>
    <w:rsid w:val="004B338E"/>
    <w:rsid w:val="004B5984"/>
    <w:rsid w:val="004B5A34"/>
    <w:rsid w:val="004B5EEE"/>
    <w:rsid w:val="004B5F82"/>
    <w:rsid w:val="004B65D9"/>
    <w:rsid w:val="004B7B1F"/>
    <w:rsid w:val="004C0198"/>
    <w:rsid w:val="004C0B51"/>
    <w:rsid w:val="004C1CE6"/>
    <w:rsid w:val="004C36FE"/>
    <w:rsid w:val="004C5DAA"/>
    <w:rsid w:val="004C5EC8"/>
    <w:rsid w:val="004C62CE"/>
    <w:rsid w:val="004C6451"/>
    <w:rsid w:val="004C701D"/>
    <w:rsid w:val="004C708B"/>
    <w:rsid w:val="004D155F"/>
    <w:rsid w:val="004D1705"/>
    <w:rsid w:val="004D2280"/>
    <w:rsid w:val="004D22AE"/>
    <w:rsid w:val="004D2974"/>
    <w:rsid w:val="004D2EB3"/>
    <w:rsid w:val="004D2EDB"/>
    <w:rsid w:val="004D436D"/>
    <w:rsid w:val="004D4389"/>
    <w:rsid w:val="004D4F02"/>
    <w:rsid w:val="004D5063"/>
    <w:rsid w:val="004D5326"/>
    <w:rsid w:val="004D5607"/>
    <w:rsid w:val="004D5FD7"/>
    <w:rsid w:val="004D5FEC"/>
    <w:rsid w:val="004D652A"/>
    <w:rsid w:val="004D6CE8"/>
    <w:rsid w:val="004D7DB2"/>
    <w:rsid w:val="004E004E"/>
    <w:rsid w:val="004E012D"/>
    <w:rsid w:val="004E06A1"/>
    <w:rsid w:val="004E0844"/>
    <w:rsid w:val="004E0A7A"/>
    <w:rsid w:val="004E0E07"/>
    <w:rsid w:val="004E2AE5"/>
    <w:rsid w:val="004E2CA1"/>
    <w:rsid w:val="004E4183"/>
    <w:rsid w:val="004E5399"/>
    <w:rsid w:val="004E57B2"/>
    <w:rsid w:val="004E5D04"/>
    <w:rsid w:val="004E6541"/>
    <w:rsid w:val="004E6A57"/>
    <w:rsid w:val="004F08B2"/>
    <w:rsid w:val="004F16D0"/>
    <w:rsid w:val="004F1C30"/>
    <w:rsid w:val="004F4C3F"/>
    <w:rsid w:val="004F692B"/>
    <w:rsid w:val="004F6D74"/>
    <w:rsid w:val="004F6DF2"/>
    <w:rsid w:val="004F7BFF"/>
    <w:rsid w:val="004F7E20"/>
    <w:rsid w:val="0050100B"/>
    <w:rsid w:val="005011B0"/>
    <w:rsid w:val="0050164C"/>
    <w:rsid w:val="0050219C"/>
    <w:rsid w:val="0050237C"/>
    <w:rsid w:val="005023EE"/>
    <w:rsid w:val="00503A3A"/>
    <w:rsid w:val="00503D61"/>
    <w:rsid w:val="0050610F"/>
    <w:rsid w:val="00506D23"/>
    <w:rsid w:val="0050735D"/>
    <w:rsid w:val="0050781A"/>
    <w:rsid w:val="00507BBE"/>
    <w:rsid w:val="00507E5C"/>
    <w:rsid w:val="00510561"/>
    <w:rsid w:val="00511DFB"/>
    <w:rsid w:val="00512677"/>
    <w:rsid w:val="00512D0F"/>
    <w:rsid w:val="005141BF"/>
    <w:rsid w:val="00514BDF"/>
    <w:rsid w:val="00514FE9"/>
    <w:rsid w:val="00515BD7"/>
    <w:rsid w:val="00516BC0"/>
    <w:rsid w:val="0051730E"/>
    <w:rsid w:val="00520019"/>
    <w:rsid w:val="00520ED4"/>
    <w:rsid w:val="00521282"/>
    <w:rsid w:val="00521CD0"/>
    <w:rsid w:val="0052232D"/>
    <w:rsid w:val="00523EF7"/>
    <w:rsid w:val="00524366"/>
    <w:rsid w:val="00524C14"/>
    <w:rsid w:val="00525CB0"/>
    <w:rsid w:val="005266A7"/>
    <w:rsid w:val="005274C3"/>
    <w:rsid w:val="00527F7D"/>
    <w:rsid w:val="005319A5"/>
    <w:rsid w:val="00532FEC"/>
    <w:rsid w:val="00534216"/>
    <w:rsid w:val="00534D37"/>
    <w:rsid w:val="00534E67"/>
    <w:rsid w:val="00535477"/>
    <w:rsid w:val="00537303"/>
    <w:rsid w:val="0053734F"/>
    <w:rsid w:val="00540E40"/>
    <w:rsid w:val="005412DF"/>
    <w:rsid w:val="00541D29"/>
    <w:rsid w:val="0054208D"/>
    <w:rsid w:val="00543522"/>
    <w:rsid w:val="00544882"/>
    <w:rsid w:val="00544E33"/>
    <w:rsid w:val="005465B8"/>
    <w:rsid w:val="00546FE3"/>
    <w:rsid w:val="00547EF6"/>
    <w:rsid w:val="0055076E"/>
    <w:rsid w:val="00550E34"/>
    <w:rsid w:val="005510A8"/>
    <w:rsid w:val="00551C9D"/>
    <w:rsid w:val="005530C6"/>
    <w:rsid w:val="00553A2F"/>
    <w:rsid w:val="00553D76"/>
    <w:rsid w:val="005544EC"/>
    <w:rsid w:val="00555207"/>
    <w:rsid w:val="00556862"/>
    <w:rsid w:val="005572A5"/>
    <w:rsid w:val="00557495"/>
    <w:rsid w:val="005603DE"/>
    <w:rsid w:val="005608C1"/>
    <w:rsid w:val="005609EA"/>
    <w:rsid w:val="00560E91"/>
    <w:rsid w:val="005618F8"/>
    <w:rsid w:val="0056196A"/>
    <w:rsid w:val="00561C30"/>
    <w:rsid w:val="00562180"/>
    <w:rsid w:val="00563212"/>
    <w:rsid w:val="0056338C"/>
    <w:rsid w:val="00563FC9"/>
    <w:rsid w:val="005640CA"/>
    <w:rsid w:val="00564A27"/>
    <w:rsid w:val="00564F77"/>
    <w:rsid w:val="005658FD"/>
    <w:rsid w:val="00565DB5"/>
    <w:rsid w:val="00566D20"/>
    <w:rsid w:val="00566EFE"/>
    <w:rsid w:val="00567189"/>
    <w:rsid w:val="005671B8"/>
    <w:rsid w:val="0056736B"/>
    <w:rsid w:val="00567760"/>
    <w:rsid w:val="0057066C"/>
    <w:rsid w:val="00570A41"/>
    <w:rsid w:val="0057130B"/>
    <w:rsid w:val="005723E3"/>
    <w:rsid w:val="005734B6"/>
    <w:rsid w:val="00574B25"/>
    <w:rsid w:val="005757E8"/>
    <w:rsid w:val="00575C35"/>
    <w:rsid w:val="005761B0"/>
    <w:rsid w:val="00577073"/>
    <w:rsid w:val="0057760E"/>
    <w:rsid w:val="00577EFE"/>
    <w:rsid w:val="00577F85"/>
    <w:rsid w:val="00580691"/>
    <w:rsid w:val="00580FAD"/>
    <w:rsid w:val="0058215B"/>
    <w:rsid w:val="0058264B"/>
    <w:rsid w:val="00583794"/>
    <w:rsid w:val="00583A0F"/>
    <w:rsid w:val="00583D48"/>
    <w:rsid w:val="005843D7"/>
    <w:rsid w:val="00584571"/>
    <w:rsid w:val="00584880"/>
    <w:rsid w:val="00585175"/>
    <w:rsid w:val="00585590"/>
    <w:rsid w:val="00585624"/>
    <w:rsid w:val="00585957"/>
    <w:rsid w:val="00586503"/>
    <w:rsid w:val="00586D7A"/>
    <w:rsid w:val="00590840"/>
    <w:rsid w:val="005909F1"/>
    <w:rsid w:val="0059100B"/>
    <w:rsid w:val="005912DA"/>
    <w:rsid w:val="0059184D"/>
    <w:rsid w:val="00592A13"/>
    <w:rsid w:val="00592EEB"/>
    <w:rsid w:val="00593276"/>
    <w:rsid w:val="005939A3"/>
    <w:rsid w:val="005951D6"/>
    <w:rsid w:val="005952B9"/>
    <w:rsid w:val="00595310"/>
    <w:rsid w:val="005954DF"/>
    <w:rsid w:val="00595DF8"/>
    <w:rsid w:val="0059652E"/>
    <w:rsid w:val="005A059F"/>
    <w:rsid w:val="005A2030"/>
    <w:rsid w:val="005A2042"/>
    <w:rsid w:val="005A211E"/>
    <w:rsid w:val="005A2B51"/>
    <w:rsid w:val="005A2F52"/>
    <w:rsid w:val="005A3C50"/>
    <w:rsid w:val="005A43C0"/>
    <w:rsid w:val="005A462C"/>
    <w:rsid w:val="005A48FA"/>
    <w:rsid w:val="005A55E9"/>
    <w:rsid w:val="005A5EC5"/>
    <w:rsid w:val="005A7149"/>
    <w:rsid w:val="005B136B"/>
    <w:rsid w:val="005B2F4B"/>
    <w:rsid w:val="005B5AE0"/>
    <w:rsid w:val="005B5BFB"/>
    <w:rsid w:val="005B5D3B"/>
    <w:rsid w:val="005B6169"/>
    <w:rsid w:val="005B78B4"/>
    <w:rsid w:val="005B7AD9"/>
    <w:rsid w:val="005B7B51"/>
    <w:rsid w:val="005C00A0"/>
    <w:rsid w:val="005C01F4"/>
    <w:rsid w:val="005C027F"/>
    <w:rsid w:val="005C0831"/>
    <w:rsid w:val="005C17BD"/>
    <w:rsid w:val="005C19F9"/>
    <w:rsid w:val="005C1C41"/>
    <w:rsid w:val="005C2AD9"/>
    <w:rsid w:val="005C43F7"/>
    <w:rsid w:val="005C4E1B"/>
    <w:rsid w:val="005C54D8"/>
    <w:rsid w:val="005C5AD5"/>
    <w:rsid w:val="005C6FC0"/>
    <w:rsid w:val="005C748F"/>
    <w:rsid w:val="005C7F5E"/>
    <w:rsid w:val="005D0945"/>
    <w:rsid w:val="005D1922"/>
    <w:rsid w:val="005D1994"/>
    <w:rsid w:val="005D1C0A"/>
    <w:rsid w:val="005D2059"/>
    <w:rsid w:val="005D21C1"/>
    <w:rsid w:val="005D3687"/>
    <w:rsid w:val="005D4801"/>
    <w:rsid w:val="005D4EB3"/>
    <w:rsid w:val="005D4F76"/>
    <w:rsid w:val="005D58D9"/>
    <w:rsid w:val="005D6C13"/>
    <w:rsid w:val="005D7FE2"/>
    <w:rsid w:val="005E217F"/>
    <w:rsid w:val="005E2B6D"/>
    <w:rsid w:val="005E2CEA"/>
    <w:rsid w:val="005E3377"/>
    <w:rsid w:val="005E55F4"/>
    <w:rsid w:val="005E5A10"/>
    <w:rsid w:val="005E5B5D"/>
    <w:rsid w:val="005E7069"/>
    <w:rsid w:val="005E7469"/>
    <w:rsid w:val="005E76BC"/>
    <w:rsid w:val="005E7AEC"/>
    <w:rsid w:val="005F1173"/>
    <w:rsid w:val="005F1339"/>
    <w:rsid w:val="005F186B"/>
    <w:rsid w:val="005F18FB"/>
    <w:rsid w:val="005F2CD2"/>
    <w:rsid w:val="005F34F2"/>
    <w:rsid w:val="005F393C"/>
    <w:rsid w:val="005F3FBC"/>
    <w:rsid w:val="005F4580"/>
    <w:rsid w:val="005F4738"/>
    <w:rsid w:val="005F5456"/>
    <w:rsid w:val="005F5E7A"/>
    <w:rsid w:val="005F65A1"/>
    <w:rsid w:val="005F6BC5"/>
    <w:rsid w:val="005F721D"/>
    <w:rsid w:val="005F72D4"/>
    <w:rsid w:val="005F77C3"/>
    <w:rsid w:val="005F7B09"/>
    <w:rsid w:val="005F7E15"/>
    <w:rsid w:val="00600523"/>
    <w:rsid w:val="00600606"/>
    <w:rsid w:val="006009EB"/>
    <w:rsid w:val="00600FEC"/>
    <w:rsid w:val="00601ACE"/>
    <w:rsid w:val="0060329F"/>
    <w:rsid w:val="00604EF7"/>
    <w:rsid w:val="0060554F"/>
    <w:rsid w:val="00606003"/>
    <w:rsid w:val="006060D5"/>
    <w:rsid w:val="0060658F"/>
    <w:rsid w:val="00607445"/>
    <w:rsid w:val="00610BC7"/>
    <w:rsid w:val="00610EBC"/>
    <w:rsid w:val="0061151D"/>
    <w:rsid w:val="006116FD"/>
    <w:rsid w:val="006130FB"/>
    <w:rsid w:val="00613635"/>
    <w:rsid w:val="006138F7"/>
    <w:rsid w:val="0061470B"/>
    <w:rsid w:val="006149A5"/>
    <w:rsid w:val="00614ECD"/>
    <w:rsid w:val="00615293"/>
    <w:rsid w:val="00615352"/>
    <w:rsid w:val="006160BF"/>
    <w:rsid w:val="006176B6"/>
    <w:rsid w:val="00620595"/>
    <w:rsid w:val="00622749"/>
    <w:rsid w:val="00622A0A"/>
    <w:rsid w:val="00623F5B"/>
    <w:rsid w:val="00625360"/>
    <w:rsid w:val="00625D04"/>
    <w:rsid w:val="00626140"/>
    <w:rsid w:val="00626239"/>
    <w:rsid w:val="00627BCC"/>
    <w:rsid w:val="00627F17"/>
    <w:rsid w:val="00630D28"/>
    <w:rsid w:val="0063158B"/>
    <w:rsid w:val="00631D29"/>
    <w:rsid w:val="00631D4E"/>
    <w:rsid w:val="00632750"/>
    <w:rsid w:val="00632BBC"/>
    <w:rsid w:val="006335B2"/>
    <w:rsid w:val="006338EF"/>
    <w:rsid w:val="00633F2D"/>
    <w:rsid w:val="00635318"/>
    <w:rsid w:val="0063694C"/>
    <w:rsid w:val="00637700"/>
    <w:rsid w:val="00637C5B"/>
    <w:rsid w:val="006414CC"/>
    <w:rsid w:val="0064318F"/>
    <w:rsid w:val="006431E7"/>
    <w:rsid w:val="00643AC7"/>
    <w:rsid w:val="00643C27"/>
    <w:rsid w:val="00643DCB"/>
    <w:rsid w:val="006449EA"/>
    <w:rsid w:val="006450B2"/>
    <w:rsid w:val="006452F7"/>
    <w:rsid w:val="00646940"/>
    <w:rsid w:val="00646A23"/>
    <w:rsid w:val="00647269"/>
    <w:rsid w:val="006474EC"/>
    <w:rsid w:val="00647790"/>
    <w:rsid w:val="006513FF"/>
    <w:rsid w:val="006514F3"/>
    <w:rsid w:val="00652186"/>
    <w:rsid w:val="006538CE"/>
    <w:rsid w:val="00654DB7"/>
    <w:rsid w:val="006554F6"/>
    <w:rsid w:val="00655F75"/>
    <w:rsid w:val="00656421"/>
    <w:rsid w:val="00660BE7"/>
    <w:rsid w:val="00660F61"/>
    <w:rsid w:val="00661EA2"/>
    <w:rsid w:val="006634C1"/>
    <w:rsid w:val="00666607"/>
    <w:rsid w:val="00666B9A"/>
    <w:rsid w:val="006701A1"/>
    <w:rsid w:val="006705FC"/>
    <w:rsid w:val="00671196"/>
    <w:rsid w:val="00671D04"/>
    <w:rsid w:val="00672348"/>
    <w:rsid w:val="0067262E"/>
    <w:rsid w:val="00672D72"/>
    <w:rsid w:val="006734DD"/>
    <w:rsid w:val="00674FF1"/>
    <w:rsid w:val="006764DC"/>
    <w:rsid w:val="00676BCB"/>
    <w:rsid w:val="0067720C"/>
    <w:rsid w:val="00677D24"/>
    <w:rsid w:val="00680209"/>
    <w:rsid w:val="006803E4"/>
    <w:rsid w:val="00681851"/>
    <w:rsid w:val="00681AFA"/>
    <w:rsid w:val="00682617"/>
    <w:rsid w:val="00682748"/>
    <w:rsid w:val="00682C9B"/>
    <w:rsid w:val="00682E65"/>
    <w:rsid w:val="0068379D"/>
    <w:rsid w:val="00683D32"/>
    <w:rsid w:val="00684011"/>
    <w:rsid w:val="00684BC2"/>
    <w:rsid w:val="00684F98"/>
    <w:rsid w:val="006850FD"/>
    <w:rsid w:val="006854AD"/>
    <w:rsid w:val="00685F6F"/>
    <w:rsid w:val="00686403"/>
    <w:rsid w:val="00686C98"/>
    <w:rsid w:val="00690661"/>
    <w:rsid w:val="00690C6F"/>
    <w:rsid w:val="00690D5D"/>
    <w:rsid w:val="00690F11"/>
    <w:rsid w:val="00691DAC"/>
    <w:rsid w:val="006924A7"/>
    <w:rsid w:val="00692842"/>
    <w:rsid w:val="00692D68"/>
    <w:rsid w:val="00693703"/>
    <w:rsid w:val="00694C04"/>
    <w:rsid w:val="00694CC4"/>
    <w:rsid w:val="00694E0E"/>
    <w:rsid w:val="00694EA1"/>
    <w:rsid w:val="00694EDA"/>
    <w:rsid w:val="00695450"/>
    <w:rsid w:val="00696800"/>
    <w:rsid w:val="00696A83"/>
    <w:rsid w:val="00696BD0"/>
    <w:rsid w:val="00697712"/>
    <w:rsid w:val="00697D91"/>
    <w:rsid w:val="006A0397"/>
    <w:rsid w:val="006A0A70"/>
    <w:rsid w:val="006A0B9A"/>
    <w:rsid w:val="006A1FAD"/>
    <w:rsid w:val="006A3119"/>
    <w:rsid w:val="006A3C1F"/>
    <w:rsid w:val="006A3D84"/>
    <w:rsid w:val="006A4426"/>
    <w:rsid w:val="006A4C04"/>
    <w:rsid w:val="006A5DAD"/>
    <w:rsid w:val="006A5E5F"/>
    <w:rsid w:val="006A5EDE"/>
    <w:rsid w:val="006A611D"/>
    <w:rsid w:val="006A63AA"/>
    <w:rsid w:val="006A6A49"/>
    <w:rsid w:val="006A70AE"/>
    <w:rsid w:val="006B1280"/>
    <w:rsid w:val="006B1CF4"/>
    <w:rsid w:val="006B289E"/>
    <w:rsid w:val="006B2FFE"/>
    <w:rsid w:val="006B3335"/>
    <w:rsid w:val="006B36B6"/>
    <w:rsid w:val="006B3B53"/>
    <w:rsid w:val="006B4984"/>
    <w:rsid w:val="006B4BFD"/>
    <w:rsid w:val="006B4D21"/>
    <w:rsid w:val="006B5637"/>
    <w:rsid w:val="006B5D7F"/>
    <w:rsid w:val="006B7026"/>
    <w:rsid w:val="006C002C"/>
    <w:rsid w:val="006C2344"/>
    <w:rsid w:val="006C2474"/>
    <w:rsid w:val="006C2C39"/>
    <w:rsid w:val="006C2E24"/>
    <w:rsid w:val="006C2FB9"/>
    <w:rsid w:val="006C3462"/>
    <w:rsid w:val="006C3496"/>
    <w:rsid w:val="006C354C"/>
    <w:rsid w:val="006C3856"/>
    <w:rsid w:val="006C4906"/>
    <w:rsid w:val="006C4A1B"/>
    <w:rsid w:val="006C5CEB"/>
    <w:rsid w:val="006C6221"/>
    <w:rsid w:val="006C6EB5"/>
    <w:rsid w:val="006D1173"/>
    <w:rsid w:val="006D17BF"/>
    <w:rsid w:val="006D1DF0"/>
    <w:rsid w:val="006D2CC7"/>
    <w:rsid w:val="006D3522"/>
    <w:rsid w:val="006D39D0"/>
    <w:rsid w:val="006D4290"/>
    <w:rsid w:val="006D4D23"/>
    <w:rsid w:val="006E01EA"/>
    <w:rsid w:val="006E01ED"/>
    <w:rsid w:val="006E0220"/>
    <w:rsid w:val="006E0317"/>
    <w:rsid w:val="006E1C0A"/>
    <w:rsid w:val="006E1EFF"/>
    <w:rsid w:val="006E4274"/>
    <w:rsid w:val="006E4563"/>
    <w:rsid w:val="006E481D"/>
    <w:rsid w:val="006E507D"/>
    <w:rsid w:val="006E54C0"/>
    <w:rsid w:val="006E6D95"/>
    <w:rsid w:val="006E7A36"/>
    <w:rsid w:val="006F0B6C"/>
    <w:rsid w:val="006F2DF0"/>
    <w:rsid w:val="006F3071"/>
    <w:rsid w:val="006F3296"/>
    <w:rsid w:val="006F38B0"/>
    <w:rsid w:val="006F47B5"/>
    <w:rsid w:val="006F53CF"/>
    <w:rsid w:val="006F5883"/>
    <w:rsid w:val="006F5EA6"/>
    <w:rsid w:val="006F661F"/>
    <w:rsid w:val="006F6FA1"/>
    <w:rsid w:val="006F72E0"/>
    <w:rsid w:val="006F7A1C"/>
    <w:rsid w:val="00701BDE"/>
    <w:rsid w:val="007036E5"/>
    <w:rsid w:val="007047BF"/>
    <w:rsid w:val="00705B06"/>
    <w:rsid w:val="00705EBD"/>
    <w:rsid w:val="00706527"/>
    <w:rsid w:val="007066C4"/>
    <w:rsid w:val="007117D4"/>
    <w:rsid w:val="00711F6D"/>
    <w:rsid w:val="00712ED3"/>
    <w:rsid w:val="00713092"/>
    <w:rsid w:val="00713779"/>
    <w:rsid w:val="007138AE"/>
    <w:rsid w:val="00714072"/>
    <w:rsid w:val="007141C5"/>
    <w:rsid w:val="00714817"/>
    <w:rsid w:val="0071525A"/>
    <w:rsid w:val="00715B67"/>
    <w:rsid w:val="00716AC2"/>
    <w:rsid w:val="00717149"/>
    <w:rsid w:val="00717A8F"/>
    <w:rsid w:val="00717B89"/>
    <w:rsid w:val="007201C9"/>
    <w:rsid w:val="007238A6"/>
    <w:rsid w:val="0072441B"/>
    <w:rsid w:val="00724E46"/>
    <w:rsid w:val="00731EA4"/>
    <w:rsid w:val="007324E1"/>
    <w:rsid w:val="007325CF"/>
    <w:rsid w:val="00732980"/>
    <w:rsid w:val="00733BC1"/>
    <w:rsid w:val="007348E2"/>
    <w:rsid w:val="00735C4A"/>
    <w:rsid w:val="00735F94"/>
    <w:rsid w:val="00736126"/>
    <w:rsid w:val="0073672F"/>
    <w:rsid w:val="00740264"/>
    <w:rsid w:val="007408A3"/>
    <w:rsid w:val="00741B58"/>
    <w:rsid w:val="007420B1"/>
    <w:rsid w:val="00742A1B"/>
    <w:rsid w:val="00742C02"/>
    <w:rsid w:val="00743791"/>
    <w:rsid w:val="00744324"/>
    <w:rsid w:val="00746103"/>
    <w:rsid w:val="00746B43"/>
    <w:rsid w:val="007473AD"/>
    <w:rsid w:val="00747AE3"/>
    <w:rsid w:val="00751272"/>
    <w:rsid w:val="007515B6"/>
    <w:rsid w:val="007532A4"/>
    <w:rsid w:val="007532B8"/>
    <w:rsid w:val="00753AAB"/>
    <w:rsid w:val="00753D83"/>
    <w:rsid w:val="007542DA"/>
    <w:rsid w:val="00754E42"/>
    <w:rsid w:val="0075564D"/>
    <w:rsid w:val="00757A1F"/>
    <w:rsid w:val="007601B4"/>
    <w:rsid w:val="007612E7"/>
    <w:rsid w:val="007616EB"/>
    <w:rsid w:val="007630A6"/>
    <w:rsid w:val="00764A13"/>
    <w:rsid w:val="007652B9"/>
    <w:rsid w:val="00765FD6"/>
    <w:rsid w:val="00766237"/>
    <w:rsid w:val="007675A5"/>
    <w:rsid w:val="00770779"/>
    <w:rsid w:val="00771F03"/>
    <w:rsid w:val="00774D26"/>
    <w:rsid w:val="0077507B"/>
    <w:rsid w:val="007754A3"/>
    <w:rsid w:val="00776B47"/>
    <w:rsid w:val="00776B8D"/>
    <w:rsid w:val="0078049F"/>
    <w:rsid w:val="00780E66"/>
    <w:rsid w:val="00782EB4"/>
    <w:rsid w:val="00783832"/>
    <w:rsid w:val="0078506E"/>
    <w:rsid w:val="007855EC"/>
    <w:rsid w:val="007855FB"/>
    <w:rsid w:val="007863AB"/>
    <w:rsid w:val="00786B4C"/>
    <w:rsid w:val="00787754"/>
    <w:rsid w:val="0079061D"/>
    <w:rsid w:val="0079162C"/>
    <w:rsid w:val="007922ED"/>
    <w:rsid w:val="00794526"/>
    <w:rsid w:val="00794C2E"/>
    <w:rsid w:val="00794E03"/>
    <w:rsid w:val="0079502E"/>
    <w:rsid w:val="00795E5E"/>
    <w:rsid w:val="00796598"/>
    <w:rsid w:val="0079706F"/>
    <w:rsid w:val="007A0001"/>
    <w:rsid w:val="007A0486"/>
    <w:rsid w:val="007A0752"/>
    <w:rsid w:val="007A24FB"/>
    <w:rsid w:val="007A37EE"/>
    <w:rsid w:val="007A4E52"/>
    <w:rsid w:val="007A53D4"/>
    <w:rsid w:val="007A599D"/>
    <w:rsid w:val="007A5B32"/>
    <w:rsid w:val="007A5EBD"/>
    <w:rsid w:val="007A6577"/>
    <w:rsid w:val="007A7353"/>
    <w:rsid w:val="007A7A42"/>
    <w:rsid w:val="007B031F"/>
    <w:rsid w:val="007B068A"/>
    <w:rsid w:val="007B0851"/>
    <w:rsid w:val="007B1442"/>
    <w:rsid w:val="007B160E"/>
    <w:rsid w:val="007B1E7F"/>
    <w:rsid w:val="007B2C87"/>
    <w:rsid w:val="007B39C6"/>
    <w:rsid w:val="007B3A8F"/>
    <w:rsid w:val="007B3E76"/>
    <w:rsid w:val="007B573A"/>
    <w:rsid w:val="007B5885"/>
    <w:rsid w:val="007B5DAA"/>
    <w:rsid w:val="007B61A5"/>
    <w:rsid w:val="007B6343"/>
    <w:rsid w:val="007B65EE"/>
    <w:rsid w:val="007B762E"/>
    <w:rsid w:val="007C01BB"/>
    <w:rsid w:val="007C06C8"/>
    <w:rsid w:val="007C1016"/>
    <w:rsid w:val="007C192C"/>
    <w:rsid w:val="007C1A52"/>
    <w:rsid w:val="007C1AB2"/>
    <w:rsid w:val="007C2496"/>
    <w:rsid w:val="007C25DB"/>
    <w:rsid w:val="007C3A19"/>
    <w:rsid w:val="007C4013"/>
    <w:rsid w:val="007C4FD9"/>
    <w:rsid w:val="007C737A"/>
    <w:rsid w:val="007C740C"/>
    <w:rsid w:val="007C7726"/>
    <w:rsid w:val="007D0EA7"/>
    <w:rsid w:val="007D1A36"/>
    <w:rsid w:val="007D1F66"/>
    <w:rsid w:val="007D215F"/>
    <w:rsid w:val="007D2E6B"/>
    <w:rsid w:val="007D5C1D"/>
    <w:rsid w:val="007D5ECB"/>
    <w:rsid w:val="007D639B"/>
    <w:rsid w:val="007D6498"/>
    <w:rsid w:val="007D6923"/>
    <w:rsid w:val="007D77EC"/>
    <w:rsid w:val="007D7D91"/>
    <w:rsid w:val="007E17E5"/>
    <w:rsid w:val="007E1AA6"/>
    <w:rsid w:val="007E2C1C"/>
    <w:rsid w:val="007E3ACD"/>
    <w:rsid w:val="007E3D5B"/>
    <w:rsid w:val="007E47C0"/>
    <w:rsid w:val="007E49BB"/>
    <w:rsid w:val="007E4B0E"/>
    <w:rsid w:val="007E587A"/>
    <w:rsid w:val="007E6561"/>
    <w:rsid w:val="007E6F78"/>
    <w:rsid w:val="007E7039"/>
    <w:rsid w:val="007E78BD"/>
    <w:rsid w:val="007E7FD3"/>
    <w:rsid w:val="007F0471"/>
    <w:rsid w:val="007F1034"/>
    <w:rsid w:val="007F1E34"/>
    <w:rsid w:val="007F1F30"/>
    <w:rsid w:val="007F2BF0"/>
    <w:rsid w:val="007F5483"/>
    <w:rsid w:val="007F62A9"/>
    <w:rsid w:val="007F6965"/>
    <w:rsid w:val="007F7220"/>
    <w:rsid w:val="00800B2C"/>
    <w:rsid w:val="00800F63"/>
    <w:rsid w:val="00800FE2"/>
    <w:rsid w:val="008012EE"/>
    <w:rsid w:val="00801AD3"/>
    <w:rsid w:val="00801D0E"/>
    <w:rsid w:val="00803616"/>
    <w:rsid w:val="00804369"/>
    <w:rsid w:val="0080564E"/>
    <w:rsid w:val="00805A10"/>
    <w:rsid w:val="00805BF7"/>
    <w:rsid w:val="00806587"/>
    <w:rsid w:val="0080696B"/>
    <w:rsid w:val="008072F0"/>
    <w:rsid w:val="00807BCB"/>
    <w:rsid w:val="008109D6"/>
    <w:rsid w:val="00811F81"/>
    <w:rsid w:val="0081504D"/>
    <w:rsid w:val="0081593C"/>
    <w:rsid w:val="0081630F"/>
    <w:rsid w:val="00816A4C"/>
    <w:rsid w:val="00816C56"/>
    <w:rsid w:val="00816DFB"/>
    <w:rsid w:val="00817AB7"/>
    <w:rsid w:val="00820627"/>
    <w:rsid w:val="00820A1E"/>
    <w:rsid w:val="008223D0"/>
    <w:rsid w:val="00822E13"/>
    <w:rsid w:val="00823172"/>
    <w:rsid w:val="0082333C"/>
    <w:rsid w:val="008234A5"/>
    <w:rsid w:val="0082371F"/>
    <w:rsid w:val="00824431"/>
    <w:rsid w:val="008248A0"/>
    <w:rsid w:val="00824C4F"/>
    <w:rsid w:val="00825372"/>
    <w:rsid w:val="008308D1"/>
    <w:rsid w:val="00830A90"/>
    <w:rsid w:val="00830C23"/>
    <w:rsid w:val="008312AA"/>
    <w:rsid w:val="008312CA"/>
    <w:rsid w:val="008319C0"/>
    <w:rsid w:val="008322F7"/>
    <w:rsid w:val="008323ED"/>
    <w:rsid w:val="00832DF9"/>
    <w:rsid w:val="00833644"/>
    <w:rsid w:val="00833698"/>
    <w:rsid w:val="00833946"/>
    <w:rsid w:val="00835DB4"/>
    <w:rsid w:val="008364B2"/>
    <w:rsid w:val="00836877"/>
    <w:rsid w:val="00836CB2"/>
    <w:rsid w:val="00837980"/>
    <w:rsid w:val="00837DAC"/>
    <w:rsid w:val="00837DF7"/>
    <w:rsid w:val="00837FEC"/>
    <w:rsid w:val="00840478"/>
    <w:rsid w:val="008408E7"/>
    <w:rsid w:val="00840EB0"/>
    <w:rsid w:val="008414E5"/>
    <w:rsid w:val="008415DC"/>
    <w:rsid w:val="008416A4"/>
    <w:rsid w:val="00842A9B"/>
    <w:rsid w:val="00843D53"/>
    <w:rsid w:val="00845613"/>
    <w:rsid w:val="00847689"/>
    <w:rsid w:val="00847CE7"/>
    <w:rsid w:val="00850FE0"/>
    <w:rsid w:val="008511B3"/>
    <w:rsid w:val="00852AD3"/>
    <w:rsid w:val="00853F12"/>
    <w:rsid w:val="008547B2"/>
    <w:rsid w:val="00854CEB"/>
    <w:rsid w:val="00855A0C"/>
    <w:rsid w:val="008561B3"/>
    <w:rsid w:val="008575ED"/>
    <w:rsid w:val="00860257"/>
    <w:rsid w:val="00860762"/>
    <w:rsid w:val="00860A3A"/>
    <w:rsid w:val="0086105F"/>
    <w:rsid w:val="008616C0"/>
    <w:rsid w:val="00861C02"/>
    <w:rsid w:val="00861EE4"/>
    <w:rsid w:val="008621E1"/>
    <w:rsid w:val="0086283B"/>
    <w:rsid w:val="00864C07"/>
    <w:rsid w:val="00864F9C"/>
    <w:rsid w:val="008673CD"/>
    <w:rsid w:val="0086793E"/>
    <w:rsid w:val="00870CC9"/>
    <w:rsid w:val="00871788"/>
    <w:rsid w:val="008720E1"/>
    <w:rsid w:val="00872978"/>
    <w:rsid w:val="00872AEB"/>
    <w:rsid w:val="00873FCB"/>
    <w:rsid w:val="00874BE4"/>
    <w:rsid w:val="00874D91"/>
    <w:rsid w:val="00874F58"/>
    <w:rsid w:val="008758AB"/>
    <w:rsid w:val="00876BB4"/>
    <w:rsid w:val="008806DD"/>
    <w:rsid w:val="00880A3F"/>
    <w:rsid w:val="00881890"/>
    <w:rsid w:val="00882607"/>
    <w:rsid w:val="00882CAE"/>
    <w:rsid w:val="00882F86"/>
    <w:rsid w:val="00883A68"/>
    <w:rsid w:val="0088402E"/>
    <w:rsid w:val="00884236"/>
    <w:rsid w:val="008845D6"/>
    <w:rsid w:val="00884E34"/>
    <w:rsid w:val="00885536"/>
    <w:rsid w:val="0088622B"/>
    <w:rsid w:val="00886C3D"/>
    <w:rsid w:val="00886C65"/>
    <w:rsid w:val="008901C0"/>
    <w:rsid w:val="0089085E"/>
    <w:rsid w:val="00892B7C"/>
    <w:rsid w:val="00892FE6"/>
    <w:rsid w:val="008939CA"/>
    <w:rsid w:val="0089442B"/>
    <w:rsid w:val="00894A26"/>
    <w:rsid w:val="00895F1B"/>
    <w:rsid w:val="008962FF"/>
    <w:rsid w:val="008963A6"/>
    <w:rsid w:val="00897B3A"/>
    <w:rsid w:val="00897D13"/>
    <w:rsid w:val="008A054B"/>
    <w:rsid w:val="008A18B4"/>
    <w:rsid w:val="008A35F8"/>
    <w:rsid w:val="008A4644"/>
    <w:rsid w:val="008A469E"/>
    <w:rsid w:val="008A4CCA"/>
    <w:rsid w:val="008A5117"/>
    <w:rsid w:val="008A5C14"/>
    <w:rsid w:val="008A6096"/>
    <w:rsid w:val="008A67F7"/>
    <w:rsid w:val="008A7141"/>
    <w:rsid w:val="008A7206"/>
    <w:rsid w:val="008A76CF"/>
    <w:rsid w:val="008A7ED9"/>
    <w:rsid w:val="008B038D"/>
    <w:rsid w:val="008B0886"/>
    <w:rsid w:val="008B1AAD"/>
    <w:rsid w:val="008B1C96"/>
    <w:rsid w:val="008B2AC9"/>
    <w:rsid w:val="008B33B2"/>
    <w:rsid w:val="008B45A7"/>
    <w:rsid w:val="008B49B1"/>
    <w:rsid w:val="008B5253"/>
    <w:rsid w:val="008B573E"/>
    <w:rsid w:val="008B593B"/>
    <w:rsid w:val="008B5EE8"/>
    <w:rsid w:val="008B5F55"/>
    <w:rsid w:val="008B68E8"/>
    <w:rsid w:val="008B6B57"/>
    <w:rsid w:val="008C046C"/>
    <w:rsid w:val="008C0B80"/>
    <w:rsid w:val="008C0E3B"/>
    <w:rsid w:val="008C1439"/>
    <w:rsid w:val="008C200B"/>
    <w:rsid w:val="008C2222"/>
    <w:rsid w:val="008C2864"/>
    <w:rsid w:val="008C3066"/>
    <w:rsid w:val="008C3A0B"/>
    <w:rsid w:val="008C474A"/>
    <w:rsid w:val="008C4B86"/>
    <w:rsid w:val="008C5E68"/>
    <w:rsid w:val="008C5E82"/>
    <w:rsid w:val="008C6170"/>
    <w:rsid w:val="008C64C4"/>
    <w:rsid w:val="008C6A6C"/>
    <w:rsid w:val="008C78E7"/>
    <w:rsid w:val="008D00D2"/>
    <w:rsid w:val="008D05D1"/>
    <w:rsid w:val="008D1972"/>
    <w:rsid w:val="008D213C"/>
    <w:rsid w:val="008D24D6"/>
    <w:rsid w:val="008D29D5"/>
    <w:rsid w:val="008D344D"/>
    <w:rsid w:val="008D3E3D"/>
    <w:rsid w:val="008D3E62"/>
    <w:rsid w:val="008D42BA"/>
    <w:rsid w:val="008D45B6"/>
    <w:rsid w:val="008D4678"/>
    <w:rsid w:val="008D4728"/>
    <w:rsid w:val="008D4804"/>
    <w:rsid w:val="008D62A2"/>
    <w:rsid w:val="008D63FB"/>
    <w:rsid w:val="008D6C73"/>
    <w:rsid w:val="008D6DE3"/>
    <w:rsid w:val="008D73A7"/>
    <w:rsid w:val="008E02E5"/>
    <w:rsid w:val="008E0527"/>
    <w:rsid w:val="008E1262"/>
    <w:rsid w:val="008E197E"/>
    <w:rsid w:val="008E1F30"/>
    <w:rsid w:val="008E23F9"/>
    <w:rsid w:val="008E6C29"/>
    <w:rsid w:val="008E715B"/>
    <w:rsid w:val="008E75C0"/>
    <w:rsid w:val="008E77FE"/>
    <w:rsid w:val="008F006D"/>
    <w:rsid w:val="008F03C4"/>
    <w:rsid w:val="008F091F"/>
    <w:rsid w:val="008F1B16"/>
    <w:rsid w:val="008F2B26"/>
    <w:rsid w:val="008F41BF"/>
    <w:rsid w:val="008F4227"/>
    <w:rsid w:val="008F5159"/>
    <w:rsid w:val="008F5D4D"/>
    <w:rsid w:val="008F6855"/>
    <w:rsid w:val="008F6D91"/>
    <w:rsid w:val="008F6F5E"/>
    <w:rsid w:val="008F7596"/>
    <w:rsid w:val="00902761"/>
    <w:rsid w:val="00902B53"/>
    <w:rsid w:val="0090340A"/>
    <w:rsid w:val="00904288"/>
    <w:rsid w:val="009042E5"/>
    <w:rsid w:val="00904AE9"/>
    <w:rsid w:val="00904B3A"/>
    <w:rsid w:val="00905BFC"/>
    <w:rsid w:val="00906284"/>
    <w:rsid w:val="009069F4"/>
    <w:rsid w:val="00906AC3"/>
    <w:rsid w:val="00910D18"/>
    <w:rsid w:val="00911C1F"/>
    <w:rsid w:val="009122F7"/>
    <w:rsid w:val="00912643"/>
    <w:rsid w:val="00912BEE"/>
    <w:rsid w:val="00913510"/>
    <w:rsid w:val="0091366D"/>
    <w:rsid w:val="00913B41"/>
    <w:rsid w:val="00913C19"/>
    <w:rsid w:val="00915232"/>
    <w:rsid w:val="00917D9B"/>
    <w:rsid w:val="00917E2C"/>
    <w:rsid w:val="00921955"/>
    <w:rsid w:val="0092375A"/>
    <w:rsid w:val="00923FE7"/>
    <w:rsid w:val="009242EF"/>
    <w:rsid w:val="009245AC"/>
    <w:rsid w:val="00924664"/>
    <w:rsid w:val="00925324"/>
    <w:rsid w:val="009253DF"/>
    <w:rsid w:val="00926F83"/>
    <w:rsid w:val="00927A09"/>
    <w:rsid w:val="00927C76"/>
    <w:rsid w:val="00930DAF"/>
    <w:rsid w:val="00931436"/>
    <w:rsid w:val="00932393"/>
    <w:rsid w:val="00932BFB"/>
    <w:rsid w:val="00932E7A"/>
    <w:rsid w:val="0093304A"/>
    <w:rsid w:val="009331D0"/>
    <w:rsid w:val="009334DD"/>
    <w:rsid w:val="0093425B"/>
    <w:rsid w:val="00934A60"/>
    <w:rsid w:val="00935C8E"/>
    <w:rsid w:val="00935CC8"/>
    <w:rsid w:val="00936028"/>
    <w:rsid w:val="00937EF0"/>
    <w:rsid w:val="00941C8E"/>
    <w:rsid w:val="00941CA4"/>
    <w:rsid w:val="00941F97"/>
    <w:rsid w:val="0094369D"/>
    <w:rsid w:val="00943B06"/>
    <w:rsid w:val="00943E5B"/>
    <w:rsid w:val="009453C7"/>
    <w:rsid w:val="009457E7"/>
    <w:rsid w:val="00945B31"/>
    <w:rsid w:val="00945DC9"/>
    <w:rsid w:val="009467A1"/>
    <w:rsid w:val="00947139"/>
    <w:rsid w:val="00947381"/>
    <w:rsid w:val="00947710"/>
    <w:rsid w:val="00947912"/>
    <w:rsid w:val="00947D66"/>
    <w:rsid w:val="00947D7D"/>
    <w:rsid w:val="00952300"/>
    <w:rsid w:val="00952BBA"/>
    <w:rsid w:val="00952D7C"/>
    <w:rsid w:val="00953873"/>
    <w:rsid w:val="009539AD"/>
    <w:rsid w:val="00955E7C"/>
    <w:rsid w:val="0095628C"/>
    <w:rsid w:val="009566F2"/>
    <w:rsid w:val="0095792D"/>
    <w:rsid w:val="00957E90"/>
    <w:rsid w:val="009603B3"/>
    <w:rsid w:val="00960E57"/>
    <w:rsid w:val="0096112D"/>
    <w:rsid w:val="00961D9C"/>
    <w:rsid w:val="009630A1"/>
    <w:rsid w:val="009638F8"/>
    <w:rsid w:val="009646CA"/>
    <w:rsid w:val="00965404"/>
    <w:rsid w:val="0096594F"/>
    <w:rsid w:val="00965DC2"/>
    <w:rsid w:val="00965F4F"/>
    <w:rsid w:val="0096668E"/>
    <w:rsid w:val="009675DE"/>
    <w:rsid w:val="00967D6E"/>
    <w:rsid w:val="009703CF"/>
    <w:rsid w:val="009717AC"/>
    <w:rsid w:val="00973265"/>
    <w:rsid w:val="009733BA"/>
    <w:rsid w:val="00973792"/>
    <w:rsid w:val="00973EA5"/>
    <w:rsid w:val="00974839"/>
    <w:rsid w:val="009749E1"/>
    <w:rsid w:val="00976E35"/>
    <w:rsid w:val="00977572"/>
    <w:rsid w:val="00977D25"/>
    <w:rsid w:val="00980DD4"/>
    <w:rsid w:val="009811C5"/>
    <w:rsid w:val="00981CAC"/>
    <w:rsid w:val="0098217F"/>
    <w:rsid w:val="00982482"/>
    <w:rsid w:val="00982555"/>
    <w:rsid w:val="00982B80"/>
    <w:rsid w:val="00984C0F"/>
    <w:rsid w:val="00984C95"/>
    <w:rsid w:val="00984E16"/>
    <w:rsid w:val="009854D6"/>
    <w:rsid w:val="00986074"/>
    <w:rsid w:val="009865B6"/>
    <w:rsid w:val="0098694A"/>
    <w:rsid w:val="00986D67"/>
    <w:rsid w:val="00986FAA"/>
    <w:rsid w:val="00987C97"/>
    <w:rsid w:val="00990031"/>
    <w:rsid w:val="00990553"/>
    <w:rsid w:val="00990C1A"/>
    <w:rsid w:val="00990D6C"/>
    <w:rsid w:val="00992052"/>
    <w:rsid w:val="00993781"/>
    <w:rsid w:val="009938BF"/>
    <w:rsid w:val="00993FDF"/>
    <w:rsid w:val="009942AA"/>
    <w:rsid w:val="00994B92"/>
    <w:rsid w:val="00994D1C"/>
    <w:rsid w:val="00995543"/>
    <w:rsid w:val="00995D72"/>
    <w:rsid w:val="00995E7E"/>
    <w:rsid w:val="00996751"/>
    <w:rsid w:val="00996C08"/>
    <w:rsid w:val="00996F2F"/>
    <w:rsid w:val="00997705"/>
    <w:rsid w:val="009A0648"/>
    <w:rsid w:val="009A0707"/>
    <w:rsid w:val="009A0878"/>
    <w:rsid w:val="009A16A3"/>
    <w:rsid w:val="009A21FC"/>
    <w:rsid w:val="009A2899"/>
    <w:rsid w:val="009A3563"/>
    <w:rsid w:val="009A457C"/>
    <w:rsid w:val="009A5165"/>
    <w:rsid w:val="009A539A"/>
    <w:rsid w:val="009A5802"/>
    <w:rsid w:val="009A5E98"/>
    <w:rsid w:val="009A777F"/>
    <w:rsid w:val="009B02A4"/>
    <w:rsid w:val="009B1C42"/>
    <w:rsid w:val="009B335F"/>
    <w:rsid w:val="009B6726"/>
    <w:rsid w:val="009B6CAC"/>
    <w:rsid w:val="009B6FDC"/>
    <w:rsid w:val="009C04F9"/>
    <w:rsid w:val="009C181D"/>
    <w:rsid w:val="009C18AB"/>
    <w:rsid w:val="009C1BB6"/>
    <w:rsid w:val="009C2ED7"/>
    <w:rsid w:val="009C375A"/>
    <w:rsid w:val="009C38CD"/>
    <w:rsid w:val="009C5043"/>
    <w:rsid w:val="009C6CDA"/>
    <w:rsid w:val="009C6DCE"/>
    <w:rsid w:val="009C7256"/>
    <w:rsid w:val="009C7A67"/>
    <w:rsid w:val="009D01A6"/>
    <w:rsid w:val="009D0266"/>
    <w:rsid w:val="009D0535"/>
    <w:rsid w:val="009D0995"/>
    <w:rsid w:val="009D0CA9"/>
    <w:rsid w:val="009D16EA"/>
    <w:rsid w:val="009D2BCB"/>
    <w:rsid w:val="009D2D7F"/>
    <w:rsid w:val="009D36C6"/>
    <w:rsid w:val="009D45E1"/>
    <w:rsid w:val="009D4CF5"/>
    <w:rsid w:val="009D50E1"/>
    <w:rsid w:val="009D551D"/>
    <w:rsid w:val="009D553D"/>
    <w:rsid w:val="009D6B0D"/>
    <w:rsid w:val="009D777A"/>
    <w:rsid w:val="009D77C8"/>
    <w:rsid w:val="009E00EC"/>
    <w:rsid w:val="009E4B62"/>
    <w:rsid w:val="009E542C"/>
    <w:rsid w:val="009E57CB"/>
    <w:rsid w:val="009E5F18"/>
    <w:rsid w:val="009E6973"/>
    <w:rsid w:val="009E6FFE"/>
    <w:rsid w:val="009E7490"/>
    <w:rsid w:val="009F0084"/>
    <w:rsid w:val="009F0FF2"/>
    <w:rsid w:val="009F183C"/>
    <w:rsid w:val="009F192D"/>
    <w:rsid w:val="009F2688"/>
    <w:rsid w:val="009F29F2"/>
    <w:rsid w:val="009F3D91"/>
    <w:rsid w:val="009F43C1"/>
    <w:rsid w:val="009F4409"/>
    <w:rsid w:val="009F5847"/>
    <w:rsid w:val="009F6BC1"/>
    <w:rsid w:val="009F74EC"/>
    <w:rsid w:val="009F771A"/>
    <w:rsid w:val="009F7FB1"/>
    <w:rsid w:val="00A00BEA"/>
    <w:rsid w:val="00A00FF6"/>
    <w:rsid w:val="00A01B29"/>
    <w:rsid w:val="00A01CEE"/>
    <w:rsid w:val="00A01F7D"/>
    <w:rsid w:val="00A0240B"/>
    <w:rsid w:val="00A03D5B"/>
    <w:rsid w:val="00A0403B"/>
    <w:rsid w:val="00A042C7"/>
    <w:rsid w:val="00A04380"/>
    <w:rsid w:val="00A0444D"/>
    <w:rsid w:val="00A04919"/>
    <w:rsid w:val="00A06466"/>
    <w:rsid w:val="00A06549"/>
    <w:rsid w:val="00A0741B"/>
    <w:rsid w:val="00A078EE"/>
    <w:rsid w:val="00A07973"/>
    <w:rsid w:val="00A079FC"/>
    <w:rsid w:val="00A07BC2"/>
    <w:rsid w:val="00A10A1F"/>
    <w:rsid w:val="00A111A1"/>
    <w:rsid w:val="00A124DF"/>
    <w:rsid w:val="00A12CAB"/>
    <w:rsid w:val="00A12F59"/>
    <w:rsid w:val="00A13112"/>
    <w:rsid w:val="00A1327B"/>
    <w:rsid w:val="00A144AF"/>
    <w:rsid w:val="00A14885"/>
    <w:rsid w:val="00A14969"/>
    <w:rsid w:val="00A14C97"/>
    <w:rsid w:val="00A1513F"/>
    <w:rsid w:val="00A1527E"/>
    <w:rsid w:val="00A1598C"/>
    <w:rsid w:val="00A15CCD"/>
    <w:rsid w:val="00A1658C"/>
    <w:rsid w:val="00A16B81"/>
    <w:rsid w:val="00A17205"/>
    <w:rsid w:val="00A1723C"/>
    <w:rsid w:val="00A17C2A"/>
    <w:rsid w:val="00A20069"/>
    <w:rsid w:val="00A2007A"/>
    <w:rsid w:val="00A20940"/>
    <w:rsid w:val="00A21275"/>
    <w:rsid w:val="00A213B3"/>
    <w:rsid w:val="00A21D02"/>
    <w:rsid w:val="00A225DD"/>
    <w:rsid w:val="00A23B2C"/>
    <w:rsid w:val="00A24193"/>
    <w:rsid w:val="00A25005"/>
    <w:rsid w:val="00A255FA"/>
    <w:rsid w:val="00A25AE3"/>
    <w:rsid w:val="00A27994"/>
    <w:rsid w:val="00A30EF4"/>
    <w:rsid w:val="00A31909"/>
    <w:rsid w:val="00A3243A"/>
    <w:rsid w:val="00A33429"/>
    <w:rsid w:val="00A356FA"/>
    <w:rsid w:val="00A36BF5"/>
    <w:rsid w:val="00A37485"/>
    <w:rsid w:val="00A37BEA"/>
    <w:rsid w:val="00A4051A"/>
    <w:rsid w:val="00A406D9"/>
    <w:rsid w:val="00A40954"/>
    <w:rsid w:val="00A4108C"/>
    <w:rsid w:val="00A4159B"/>
    <w:rsid w:val="00A417C7"/>
    <w:rsid w:val="00A42627"/>
    <w:rsid w:val="00A4311C"/>
    <w:rsid w:val="00A43B07"/>
    <w:rsid w:val="00A44731"/>
    <w:rsid w:val="00A45A5C"/>
    <w:rsid w:val="00A46750"/>
    <w:rsid w:val="00A50A04"/>
    <w:rsid w:val="00A52B95"/>
    <w:rsid w:val="00A52BA8"/>
    <w:rsid w:val="00A530B5"/>
    <w:rsid w:val="00A542E6"/>
    <w:rsid w:val="00A5474C"/>
    <w:rsid w:val="00A552CE"/>
    <w:rsid w:val="00A55704"/>
    <w:rsid w:val="00A55B5C"/>
    <w:rsid w:val="00A56583"/>
    <w:rsid w:val="00A602DC"/>
    <w:rsid w:val="00A60781"/>
    <w:rsid w:val="00A61564"/>
    <w:rsid w:val="00A61823"/>
    <w:rsid w:val="00A62296"/>
    <w:rsid w:val="00A626BC"/>
    <w:rsid w:val="00A627C9"/>
    <w:rsid w:val="00A628CA"/>
    <w:rsid w:val="00A633B8"/>
    <w:rsid w:val="00A6372B"/>
    <w:rsid w:val="00A638D7"/>
    <w:rsid w:val="00A644BF"/>
    <w:rsid w:val="00A65719"/>
    <w:rsid w:val="00A65A32"/>
    <w:rsid w:val="00A66704"/>
    <w:rsid w:val="00A673D9"/>
    <w:rsid w:val="00A67723"/>
    <w:rsid w:val="00A67D6B"/>
    <w:rsid w:val="00A706D1"/>
    <w:rsid w:val="00A70FA4"/>
    <w:rsid w:val="00A717BA"/>
    <w:rsid w:val="00A719DA"/>
    <w:rsid w:val="00A7355A"/>
    <w:rsid w:val="00A73A66"/>
    <w:rsid w:val="00A74454"/>
    <w:rsid w:val="00A75003"/>
    <w:rsid w:val="00A75041"/>
    <w:rsid w:val="00A75905"/>
    <w:rsid w:val="00A76DA9"/>
    <w:rsid w:val="00A77682"/>
    <w:rsid w:val="00A77CD6"/>
    <w:rsid w:val="00A80EAC"/>
    <w:rsid w:val="00A81867"/>
    <w:rsid w:val="00A82935"/>
    <w:rsid w:val="00A8557A"/>
    <w:rsid w:val="00A85A1F"/>
    <w:rsid w:val="00A85B7D"/>
    <w:rsid w:val="00A85CC9"/>
    <w:rsid w:val="00A85EB3"/>
    <w:rsid w:val="00A860A7"/>
    <w:rsid w:val="00A860F0"/>
    <w:rsid w:val="00A8761C"/>
    <w:rsid w:val="00A908FE"/>
    <w:rsid w:val="00A90955"/>
    <w:rsid w:val="00A9108E"/>
    <w:rsid w:val="00A91ADC"/>
    <w:rsid w:val="00A92111"/>
    <w:rsid w:val="00A92CCF"/>
    <w:rsid w:val="00A944B0"/>
    <w:rsid w:val="00A94EA6"/>
    <w:rsid w:val="00A9570A"/>
    <w:rsid w:val="00A9627F"/>
    <w:rsid w:val="00A96ADE"/>
    <w:rsid w:val="00A96D05"/>
    <w:rsid w:val="00A971C2"/>
    <w:rsid w:val="00A979C8"/>
    <w:rsid w:val="00AA02D2"/>
    <w:rsid w:val="00AA3138"/>
    <w:rsid w:val="00AA44D3"/>
    <w:rsid w:val="00AA4AF5"/>
    <w:rsid w:val="00AA4FDA"/>
    <w:rsid w:val="00AA6061"/>
    <w:rsid w:val="00AA6EFA"/>
    <w:rsid w:val="00AB0185"/>
    <w:rsid w:val="00AB13A5"/>
    <w:rsid w:val="00AB215B"/>
    <w:rsid w:val="00AB24A9"/>
    <w:rsid w:val="00AB278F"/>
    <w:rsid w:val="00AB292A"/>
    <w:rsid w:val="00AB46DF"/>
    <w:rsid w:val="00AB4BEC"/>
    <w:rsid w:val="00AB5401"/>
    <w:rsid w:val="00AB57BE"/>
    <w:rsid w:val="00AB5B4D"/>
    <w:rsid w:val="00AB602F"/>
    <w:rsid w:val="00AB76EE"/>
    <w:rsid w:val="00AB7F38"/>
    <w:rsid w:val="00AC0559"/>
    <w:rsid w:val="00AC06CC"/>
    <w:rsid w:val="00AC0FB3"/>
    <w:rsid w:val="00AC117F"/>
    <w:rsid w:val="00AC1609"/>
    <w:rsid w:val="00AC1ACF"/>
    <w:rsid w:val="00AC2FBD"/>
    <w:rsid w:val="00AC300B"/>
    <w:rsid w:val="00AC315B"/>
    <w:rsid w:val="00AC349C"/>
    <w:rsid w:val="00AC58E0"/>
    <w:rsid w:val="00AC5B15"/>
    <w:rsid w:val="00AC61A0"/>
    <w:rsid w:val="00AC76DE"/>
    <w:rsid w:val="00AD0CED"/>
    <w:rsid w:val="00AD0DBE"/>
    <w:rsid w:val="00AD124C"/>
    <w:rsid w:val="00AD1351"/>
    <w:rsid w:val="00AD13B6"/>
    <w:rsid w:val="00AD1473"/>
    <w:rsid w:val="00AD1E9F"/>
    <w:rsid w:val="00AD23F1"/>
    <w:rsid w:val="00AD25D9"/>
    <w:rsid w:val="00AD3603"/>
    <w:rsid w:val="00AD3D58"/>
    <w:rsid w:val="00AD6411"/>
    <w:rsid w:val="00AD642F"/>
    <w:rsid w:val="00AD7FEF"/>
    <w:rsid w:val="00AE00B7"/>
    <w:rsid w:val="00AE040C"/>
    <w:rsid w:val="00AE0784"/>
    <w:rsid w:val="00AE084B"/>
    <w:rsid w:val="00AE0A6A"/>
    <w:rsid w:val="00AE0C57"/>
    <w:rsid w:val="00AE0F0E"/>
    <w:rsid w:val="00AE33BC"/>
    <w:rsid w:val="00AE34C7"/>
    <w:rsid w:val="00AE3659"/>
    <w:rsid w:val="00AE3B25"/>
    <w:rsid w:val="00AE415D"/>
    <w:rsid w:val="00AE4DD9"/>
    <w:rsid w:val="00AE53E7"/>
    <w:rsid w:val="00AE5A42"/>
    <w:rsid w:val="00AE6529"/>
    <w:rsid w:val="00AE68F2"/>
    <w:rsid w:val="00AE6BE1"/>
    <w:rsid w:val="00AE78F9"/>
    <w:rsid w:val="00AF03B9"/>
    <w:rsid w:val="00AF0C20"/>
    <w:rsid w:val="00AF0E83"/>
    <w:rsid w:val="00AF16F5"/>
    <w:rsid w:val="00AF2184"/>
    <w:rsid w:val="00AF3417"/>
    <w:rsid w:val="00AF3A2D"/>
    <w:rsid w:val="00AF3AB4"/>
    <w:rsid w:val="00AF441B"/>
    <w:rsid w:val="00AF4791"/>
    <w:rsid w:val="00AF61FD"/>
    <w:rsid w:val="00AF63E0"/>
    <w:rsid w:val="00AF691E"/>
    <w:rsid w:val="00AF6CA6"/>
    <w:rsid w:val="00B00BA0"/>
    <w:rsid w:val="00B00EB0"/>
    <w:rsid w:val="00B01275"/>
    <w:rsid w:val="00B01500"/>
    <w:rsid w:val="00B01EE8"/>
    <w:rsid w:val="00B020C5"/>
    <w:rsid w:val="00B020D1"/>
    <w:rsid w:val="00B022F3"/>
    <w:rsid w:val="00B04063"/>
    <w:rsid w:val="00B04CE3"/>
    <w:rsid w:val="00B07009"/>
    <w:rsid w:val="00B077A6"/>
    <w:rsid w:val="00B077A8"/>
    <w:rsid w:val="00B07B00"/>
    <w:rsid w:val="00B1017F"/>
    <w:rsid w:val="00B11247"/>
    <w:rsid w:val="00B1139A"/>
    <w:rsid w:val="00B11487"/>
    <w:rsid w:val="00B11DF8"/>
    <w:rsid w:val="00B124C1"/>
    <w:rsid w:val="00B1288D"/>
    <w:rsid w:val="00B12B47"/>
    <w:rsid w:val="00B130A6"/>
    <w:rsid w:val="00B13CC4"/>
    <w:rsid w:val="00B14C11"/>
    <w:rsid w:val="00B14E09"/>
    <w:rsid w:val="00B15091"/>
    <w:rsid w:val="00B1539E"/>
    <w:rsid w:val="00B16471"/>
    <w:rsid w:val="00B17928"/>
    <w:rsid w:val="00B17A36"/>
    <w:rsid w:val="00B2039A"/>
    <w:rsid w:val="00B20584"/>
    <w:rsid w:val="00B2088D"/>
    <w:rsid w:val="00B2326D"/>
    <w:rsid w:val="00B23B50"/>
    <w:rsid w:val="00B23BB0"/>
    <w:rsid w:val="00B23F36"/>
    <w:rsid w:val="00B25AEC"/>
    <w:rsid w:val="00B261EC"/>
    <w:rsid w:val="00B274CE"/>
    <w:rsid w:val="00B27691"/>
    <w:rsid w:val="00B27C0E"/>
    <w:rsid w:val="00B27F75"/>
    <w:rsid w:val="00B304A4"/>
    <w:rsid w:val="00B31266"/>
    <w:rsid w:val="00B326C8"/>
    <w:rsid w:val="00B32B93"/>
    <w:rsid w:val="00B32ED5"/>
    <w:rsid w:val="00B34B4C"/>
    <w:rsid w:val="00B35A92"/>
    <w:rsid w:val="00B36C6E"/>
    <w:rsid w:val="00B36C91"/>
    <w:rsid w:val="00B3721B"/>
    <w:rsid w:val="00B376EE"/>
    <w:rsid w:val="00B37972"/>
    <w:rsid w:val="00B40345"/>
    <w:rsid w:val="00B4163B"/>
    <w:rsid w:val="00B4192F"/>
    <w:rsid w:val="00B41AA1"/>
    <w:rsid w:val="00B42765"/>
    <w:rsid w:val="00B429AC"/>
    <w:rsid w:val="00B43240"/>
    <w:rsid w:val="00B432BC"/>
    <w:rsid w:val="00B435C8"/>
    <w:rsid w:val="00B44297"/>
    <w:rsid w:val="00B45B30"/>
    <w:rsid w:val="00B50F43"/>
    <w:rsid w:val="00B5126C"/>
    <w:rsid w:val="00B512F4"/>
    <w:rsid w:val="00B522A7"/>
    <w:rsid w:val="00B5320B"/>
    <w:rsid w:val="00B534EB"/>
    <w:rsid w:val="00B5367E"/>
    <w:rsid w:val="00B53DCE"/>
    <w:rsid w:val="00B53EFD"/>
    <w:rsid w:val="00B54250"/>
    <w:rsid w:val="00B546D1"/>
    <w:rsid w:val="00B559A9"/>
    <w:rsid w:val="00B562F0"/>
    <w:rsid w:val="00B573BA"/>
    <w:rsid w:val="00B609F9"/>
    <w:rsid w:val="00B61434"/>
    <w:rsid w:val="00B618E7"/>
    <w:rsid w:val="00B6192D"/>
    <w:rsid w:val="00B61C65"/>
    <w:rsid w:val="00B62239"/>
    <w:rsid w:val="00B62B01"/>
    <w:rsid w:val="00B634AD"/>
    <w:rsid w:val="00B63A30"/>
    <w:rsid w:val="00B6431E"/>
    <w:rsid w:val="00B646B3"/>
    <w:rsid w:val="00B64E28"/>
    <w:rsid w:val="00B65D52"/>
    <w:rsid w:val="00B66824"/>
    <w:rsid w:val="00B6689F"/>
    <w:rsid w:val="00B66B68"/>
    <w:rsid w:val="00B66EEF"/>
    <w:rsid w:val="00B703B6"/>
    <w:rsid w:val="00B710B5"/>
    <w:rsid w:val="00B713DB"/>
    <w:rsid w:val="00B71509"/>
    <w:rsid w:val="00B71D10"/>
    <w:rsid w:val="00B73883"/>
    <w:rsid w:val="00B739E2"/>
    <w:rsid w:val="00B73A0F"/>
    <w:rsid w:val="00B73ACD"/>
    <w:rsid w:val="00B73D7B"/>
    <w:rsid w:val="00B741BD"/>
    <w:rsid w:val="00B744AF"/>
    <w:rsid w:val="00B749E8"/>
    <w:rsid w:val="00B754B7"/>
    <w:rsid w:val="00B75A2A"/>
    <w:rsid w:val="00B76490"/>
    <w:rsid w:val="00B76610"/>
    <w:rsid w:val="00B77A04"/>
    <w:rsid w:val="00B80C65"/>
    <w:rsid w:val="00B8185B"/>
    <w:rsid w:val="00B81897"/>
    <w:rsid w:val="00B84AE0"/>
    <w:rsid w:val="00B85017"/>
    <w:rsid w:val="00B856DC"/>
    <w:rsid w:val="00B8715C"/>
    <w:rsid w:val="00B87178"/>
    <w:rsid w:val="00B87C84"/>
    <w:rsid w:val="00B90A1E"/>
    <w:rsid w:val="00B90ED4"/>
    <w:rsid w:val="00B91658"/>
    <w:rsid w:val="00B9265A"/>
    <w:rsid w:val="00B9269B"/>
    <w:rsid w:val="00B92C78"/>
    <w:rsid w:val="00B9376B"/>
    <w:rsid w:val="00B93964"/>
    <w:rsid w:val="00B94F73"/>
    <w:rsid w:val="00B96764"/>
    <w:rsid w:val="00B96B4F"/>
    <w:rsid w:val="00B96E88"/>
    <w:rsid w:val="00B975E4"/>
    <w:rsid w:val="00B97865"/>
    <w:rsid w:val="00B97F1A"/>
    <w:rsid w:val="00BA00BC"/>
    <w:rsid w:val="00BA1AB7"/>
    <w:rsid w:val="00BA1C99"/>
    <w:rsid w:val="00BA1FAE"/>
    <w:rsid w:val="00BA444F"/>
    <w:rsid w:val="00BA4E74"/>
    <w:rsid w:val="00BA55D4"/>
    <w:rsid w:val="00BA5D44"/>
    <w:rsid w:val="00BA5E1A"/>
    <w:rsid w:val="00BA5F3A"/>
    <w:rsid w:val="00BA616C"/>
    <w:rsid w:val="00BA6280"/>
    <w:rsid w:val="00BA6500"/>
    <w:rsid w:val="00BA6B3F"/>
    <w:rsid w:val="00BB0768"/>
    <w:rsid w:val="00BB113E"/>
    <w:rsid w:val="00BB25E2"/>
    <w:rsid w:val="00BB28FE"/>
    <w:rsid w:val="00BB2AF1"/>
    <w:rsid w:val="00BB2F9D"/>
    <w:rsid w:val="00BB345A"/>
    <w:rsid w:val="00BB4DD1"/>
    <w:rsid w:val="00BB5B82"/>
    <w:rsid w:val="00BB5C92"/>
    <w:rsid w:val="00BB6225"/>
    <w:rsid w:val="00BB634F"/>
    <w:rsid w:val="00BB6366"/>
    <w:rsid w:val="00BB6D5D"/>
    <w:rsid w:val="00BB70EB"/>
    <w:rsid w:val="00BB7ADF"/>
    <w:rsid w:val="00BB7D1D"/>
    <w:rsid w:val="00BC09FA"/>
    <w:rsid w:val="00BC0DF7"/>
    <w:rsid w:val="00BC14D0"/>
    <w:rsid w:val="00BC1EB6"/>
    <w:rsid w:val="00BC2488"/>
    <w:rsid w:val="00BC4074"/>
    <w:rsid w:val="00BC45DB"/>
    <w:rsid w:val="00BC468F"/>
    <w:rsid w:val="00BC558C"/>
    <w:rsid w:val="00BC5955"/>
    <w:rsid w:val="00BC6607"/>
    <w:rsid w:val="00BC68F2"/>
    <w:rsid w:val="00BC7CD8"/>
    <w:rsid w:val="00BC7DEB"/>
    <w:rsid w:val="00BD0773"/>
    <w:rsid w:val="00BD083C"/>
    <w:rsid w:val="00BD0B7C"/>
    <w:rsid w:val="00BD106D"/>
    <w:rsid w:val="00BD1A5A"/>
    <w:rsid w:val="00BD2F73"/>
    <w:rsid w:val="00BD394F"/>
    <w:rsid w:val="00BD3F6B"/>
    <w:rsid w:val="00BD4747"/>
    <w:rsid w:val="00BD4D26"/>
    <w:rsid w:val="00BD5C67"/>
    <w:rsid w:val="00BD7D02"/>
    <w:rsid w:val="00BD7E5D"/>
    <w:rsid w:val="00BE0D1C"/>
    <w:rsid w:val="00BE0D64"/>
    <w:rsid w:val="00BE0F7A"/>
    <w:rsid w:val="00BE20CA"/>
    <w:rsid w:val="00BE2577"/>
    <w:rsid w:val="00BE280F"/>
    <w:rsid w:val="00BE2A4E"/>
    <w:rsid w:val="00BE303F"/>
    <w:rsid w:val="00BE30FB"/>
    <w:rsid w:val="00BE3AF0"/>
    <w:rsid w:val="00BE5392"/>
    <w:rsid w:val="00BE6178"/>
    <w:rsid w:val="00BE624E"/>
    <w:rsid w:val="00BE64D6"/>
    <w:rsid w:val="00BE6901"/>
    <w:rsid w:val="00BE70A9"/>
    <w:rsid w:val="00BE70DF"/>
    <w:rsid w:val="00BE7527"/>
    <w:rsid w:val="00BE7979"/>
    <w:rsid w:val="00BF1734"/>
    <w:rsid w:val="00BF1DA7"/>
    <w:rsid w:val="00BF2A16"/>
    <w:rsid w:val="00BF352A"/>
    <w:rsid w:val="00BF3E07"/>
    <w:rsid w:val="00BF4C95"/>
    <w:rsid w:val="00BF513E"/>
    <w:rsid w:val="00BF6069"/>
    <w:rsid w:val="00BF7002"/>
    <w:rsid w:val="00C00023"/>
    <w:rsid w:val="00C01069"/>
    <w:rsid w:val="00C01A4E"/>
    <w:rsid w:val="00C02EDF"/>
    <w:rsid w:val="00C02F33"/>
    <w:rsid w:val="00C03676"/>
    <w:rsid w:val="00C03B00"/>
    <w:rsid w:val="00C04B8C"/>
    <w:rsid w:val="00C06FB4"/>
    <w:rsid w:val="00C07053"/>
    <w:rsid w:val="00C074CC"/>
    <w:rsid w:val="00C0754F"/>
    <w:rsid w:val="00C079CF"/>
    <w:rsid w:val="00C10204"/>
    <w:rsid w:val="00C1026F"/>
    <w:rsid w:val="00C111EF"/>
    <w:rsid w:val="00C1140D"/>
    <w:rsid w:val="00C14851"/>
    <w:rsid w:val="00C15B12"/>
    <w:rsid w:val="00C15E09"/>
    <w:rsid w:val="00C1639F"/>
    <w:rsid w:val="00C16930"/>
    <w:rsid w:val="00C169B1"/>
    <w:rsid w:val="00C17B34"/>
    <w:rsid w:val="00C200A5"/>
    <w:rsid w:val="00C211B3"/>
    <w:rsid w:val="00C21C2C"/>
    <w:rsid w:val="00C21EBE"/>
    <w:rsid w:val="00C22938"/>
    <w:rsid w:val="00C22CE5"/>
    <w:rsid w:val="00C23C37"/>
    <w:rsid w:val="00C242A7"/>
    <w:rsid w:val="00C24AD8"/>
    <w:rsid w:val="00C24FC8"/>
    <w:rsid w:val="00C25BF4"/>
    <w:rsid w:val="00C266B0"/>
    <w:rsid w:val="00C26C58"/>
    <w:rsid w:val="00C26DA6"/>
    <w:rsid w:val="00C26E97"/>
    <w:rsid w:val="00C27402"/>
    <w:rsid w:val="00C278C3"/>
    <w:rsid w:val="00C319C2"/>
    <w:rsid w:val="00C336D2"/>
    <w:rsid w:val="00C33F21"/>
    <w:rsid w:val="00C33FA8"/>
    <w:rsid w:val="00C340EF"/>
    <w:rsid w:val="00C345DE"/>
    <w:rsid w:val="00C345FB"/>
    <w:rsid w:val="00C34AA8"/>
    <w:rsid w:val="00C3591B"/>
    <w:rsid w:val="00C365E2"/>
    <w:rsid w:val="00C366EB"/>
    <w:rsid w:val="00C36E28"/>
    <w:rsid w:val="00C37BB2"/>
    <w:rsid w:val="00C404A7"/>
    <w:rsid w:val="00C40A85"/>
    <w:rsid w:val="00C41263"/>
    <w:rsid w:val="00C41CEE"/>
    <w:rsid w:val="00C4222E"/>
    <w:rsid w:val="00C427EC"/>
    <w:rsid w:val="00C42932"/>
    <w:rsid w:val="00C44043"/>
    <w:rsid w:val="00C44796"/>
    <w:rsid w:val="00C44863"/>
    <w:rsid w:val="00C4596F"/>
    <w:rsid w:val="00C45C3F"/>
    <w:rsid w:val="00C470DF"/>
    <w:rsid w:val="00C52278"/>
    <w:rsid w:val="00C5293C"/>
    <w:rsid w:val="00C54151"/>
    <w:rsid w:val="00C54601"/>
    <w:rsid w:val="00C558D2"/>
    <w:rsid w:val="00C55BA0"/>
    <w:rsid w:val="00C561CD"/>
    <w:rsid w:val="00C56331"/>
    <w:rsid w:val="00C56566"/>
    <w:rsid w:val="00C566A9"/>
    <w:rsid w:val="00C602F7"/>
    <w:rsid w:val="00C60D61"/>
    <w:rsid w:val="00C61C4B"/>
    <w:rsid w:val="00C61CEC"/>
    <w:rsid w:val="00C6229C"/>
    <w:rsid w:val="00C62F8C"/>
    <w:rsid w:val="00C63378"/>
    <w:rsid w:val="00C6339E"/>
    <w:rsid w:val="00C6352B"/>
    <w:rsid w:val="00C63D73"/>
    <w:rsid w:val="00C65335"/>
    <w:rsid w:val="00C65970"/>
    <w:rsid w:val="00C67D67"/>
    <w:rsid w:val="00C70362"/>
    <w:rsid w:val="00C7046E"/>
    <w:rsid w:val="00C7064C"/>
    <w:rsid w:val="00C71AB3"/>
    <w:rsid w:val="00C71B0D"/>
    <w:rsid w:val="00C71C07"/>
    <w:rsid w:val="00C72A23"/>
    <w:rsid w:val="00C7379D"/>
    <w:rsid w:val="00C73C11"/>
    <w:rsid w:val="00C74A13"/>
    <w:rsid w:val="00C763FD"/>
    <w:rsid w:val="00C76CF9"/>
    <w:rsid w:val="00C76FA5"/>
    <w:rsid w:val="00C77205"/>
    <w:rsid w:val="00C801F8"/>
    <w:rsid w:val="00C803A4"/>
    <w:rsid w:val="00C81170"/>
    <w:rsid w:val="00C81566"/>
    <w:rsid w:val="00C815C7"/>
    <w:rsid w:val="00C81F6B"/>
    <w:rsid w:val="00C824DA"/>
    <w:rsid w:val="00C8320D"/>
    <w:rsid w:val="00C836C9"/>
    <w:rsid w:val="00C84100"/>
    <w:rsid w:val="00C8451E"/>
    <w:rsid w:val="00C84931"/>
    <w:rsid w:val="00C85868"/>
    <w:rsid w:val="00C86F5B"/>
    <w:rsid w:val="00C8733F"/>
    <w:rsid w:val="00C876C7"/>
    <w:rsid w:val="00C906F6"/>
    <w:rsid w:val="00C90A7B"/>
    <w:rsid w:val="00C90F59"/>
    <w:rsid w:val="00C9108C"/>
    <w:rsid w:val="00C91573"/>
    <w:rsid w:val="00C91823"/>
    <w:rsid w:val="00C91C74"/>
    <w:rsid w:val="00C925D6"/>
    <w:rsid w:val="00C92B01"/>
    <w:rsid w:val="00C93477"/>
    <w:rsid w:val="00C95022"/>
    <w:rsid w:val="00C955A6"/>
    <w:rsid w:val="00C9577D"/>
    <w:rsid w:val="00C95E20"/>
    <w:rsid w:val="00C95EEF"/>
    <w:rsid w:val="00C96049"/>
    <w:rsid w:val="00C96134"/>
    <w:rsid w:val="00C96410"/>
    <w:rsid w:val="00C96AA6"/>
    <w:rsid w:val="00C96CC2"/>
    <w:rsid w:val="00C97F70"/>
    <w:rsid w:val="00CA04C8"/>
    <w:rsid w:val="00CA05D8"/>
    <w:rsid w:val="00CA0969"/>
    <w:rsid w:val="00CA15CD"/>
    <w:rsid w:val="00CA1648"/>
    <w:rsid w:val="00CA1BBD"/>
    <w:rsid w:val="00CA1D6E"/>
    <w:rsid w:val="00CA423A"/>
    <w:rsid w:val="00CA517E"/>
    <w:rsid w:val="00CA56B5"/>
    <w:rsid w:val="00CA663D"/>
    <w:rsid w:val="00CA7108"/>
    <w:rsid w:val="00CA7D74"/>
    <w:rsid w:val="00CB04DE"/>
    <w:rsid w:val="00CB084C"/>
    <w:rsid w:val="00CB0850"/>
    <w:rsid w:val="00CB19CD"/>
    <w:rsid w:val="00CB1CE5"/>
    <w:rsid w:val="00CB222A"/>
    <w:rsid w:val="00CB3175"/>
    <w:rsid w:val="00CB48C5"/>
    <w:rsid w:val="00CB5F8C"/>
    <w:rsid w:val="00CB6AAD"/>
    <w:rsid w:val="00CB6F95"/>
    <w:rsid w:val="00CC0028"/>
    <w:rsid w:val="00CC07BA"/>
    <w:rsid w:val="00CC095A"/>
    <w:rsid w:val="00CC0E90"/>
    <w:rsid w:val="00CC143F"/>
    <w:rsid w:val="00CC14E3"/>
    <w:rsid w:val="00CC22BC"/>
    <w:rsid w:val="00CC3D3C"/>
    <w:rsid w:val="00CC3F30"/>
    <w:rsid w:val="00CC42E1"/>
    <w:rsid w:val="00CC582E"/>
    <w:rsid w:val="00CC5C6E"/>
    <w:rsid w:val="00CC68B4"/>
    <w:rsid w:val="00CC6E66"/>
    <w:rsid w:val="00CC7D27"/>
    <w:rsid w:val="00CC7E3D"/>
    <w:rsid w:val="00CD0165"/>
    <w:rsid w:val="00CD0221"/>
    <w:rsid w:val="00CD10B6"/>
    <w:rsid w:val="00CD1D0E"/>
    <w:rsid w:val="00CD308E"/>
    <w:rsid w:val="00CD52CB"/>
    <w:rsid w:val="00CD6285"/>
    <w:rsid w:val="00CD7145"/>
    <w:rsid w:val="00CD78F5"/>
    <w:rsid w:val="00CE0656"/>
    <w:rsid w:val="00CE1430"/>
    <w:rsid w:val="00CE2398"/>
    <w:rsid w:val="00CE4CE9"/>
    <w:rsid w:val="00CE550D"/>
    <w:rsid w:val="00CE6B97"/>
    <w:rsid w:val="00CE7986"/>
    <w:rsid w:val="00CE7A43"/>
    <w:rsid w:val="00CF0912"/>
    <w:rsid w:val="00CF0D10"/>
    <w:rsid w:val="00CF10C1"/>
    <w:rsid w:val="00CF1795"/>
    <w:rsid w:val="00CF220E"/>
    <w:rsid w:val="00CF2D6E"/>
    <w:rsid w:val="00CF37AE"/>
    <w:rsid w:val="00CF3E08"/>
    <w:rsid w:val="00CF3E85"/>
    <w:rsid w:val="00CF42A7"/>
    <w:rsid w:val="00CF487F"/>
    <w:rsid w:val="00CF4DCD"/>
    <w:rsid w:val="00CF62AC"/>
    <w:rsid w:val="00CF64AE"/>
    <w:rsid w:val="00CF7407"/>
    <w:rsid w:val="00D018AD"/>
    <w:rsid w:val="00D01A2C"/>
    <w:rsid w:val="00D02651"/>
    <w:rsid w:val="00D03AE5"/>
    <w:rsid w:val="00D03B90"/>
    <w:rsid w:val="00D04328"/>
    <w:rsid w:val="00D04ACE"/>
    <w:rsid w:val="00D04C2C"/>
    <w:rsid w:val="00D05017"/>
    <w:rsid w:val="00D0510B"/>
    <w:rsid w:val="00D06307"/>
    <w:rsid w:val="00D064CA"/>
    <w:rsid w:val="00D06F72"/>
    <w:rsid w:val="00D077ED"/>
    <w:rsid w:val="00D07FFB"/>
    <w:rsid w:val="00D12701"/>
    <w:rsid w:val="00D135E8"/>
    <w:rsid w:val="00D14227"/>
    <w:rsid w:val="00D14A7B"/>
    <w:rsid w:val="00D14AE5"/>
    <w:rsid w:val="00D15161"/>
    <w:rsid w:val="00D15496"/>
    <w:rsid w:val="00D16100"/>
    <w:rsid w:val="00D1662E"/>
    <w:rsid w:val="00D16BC0"/>
    <w:rsid w:val="00D17BEE"/>
    <w:rsid w:val="00D200D6"/>
    <w:rsid w:val="00D20438"/>
    <w:rsid w:val="00D20E3B"/>
    <w:rsid w:val="00D20FE5"/>
    <w:rsid w:val="00D219A4"/>
    <w:rsid w:val="00D21AE1"/>
    <w:rsid w:val="00D21B66"/>
    <w:rsid w:val="00D21BBA"/>
    <w:rsid w:val="00D21BDD"/>
    <w:rsid w:val="00D21CC2"/>
    <w:rsid w:val="00D2225A"/>
    <w:rsid w:val="00D229BA"/>
    <w:rsid w:val="00D2305A"/>
    <w:rsid w:val="00D25255"/>
    <w:rsid w:val="00D253BC"/>
    <w:rsid w:val="00D25415"/>
    <w:rsid w:val="00D254F9"/>
    <w:rsid w:val="00D25B17"/>
    <w:rsid w:val="00D26424"/>
    <w:rsid w:val="00D26779"/>
    <w:rsid w:val="00D26831"/>
    <w:rsid w:val="00D2748D"/>
    <w:rsid w:val="00D27EE3"/>
    <w:rsid w:val="00D27FD0"/>
    <w:rsid w:val="00D30203"/>
    <w:rsid w:val="00D3045E"/>
    <w:rsid w:val="00D31EBF"/>
    <w:rsid w:val="00D32332"/>
    <w:rsid w:val="00D327D3"/>
    <w:rsid w:val="00D33543"/>
    <w:rsid w:val="00D34156"/>
    <w:rsid w:val="00D357BC"/>
    <w:rsid w:val="00D35A80"/>
    <w:rsid w:val="00D35AE5"/>
    <w:rsid w:val="00D35B2D"/>
    <w:rsid w:val="00D36153"/>
    <w:rsid w:val="00D36CBA"/>
    <w:rsid w:val="00D37B7E"/>
    <w:rsid w:val="00D37E10"/>
    <w:rsid w:val="00D40AB0"/>
    <w:rsid w:val="00D40C3A"/>
    <w:rsid w:val="00D41D91"/>
    <w:rsid w:val="00D420B4"/>
    <w:rsid w:val="00D427A1"/>
    <w:rsid w:val="00D4294D"/>
    <w:rsid w:val="00D43A3C"/>
    <w:rsid w:val="00D44467"/>
    <w:rsid w:val="00D44722"/>
    <w:rsid w:val="00D45349"/>
    <w:rsid w:val="00D45814"/>
    <w:rsid w:val="00D45C03"/>
    <w:rsid w:val="00D465C9"/>
    <w:rsid w:val="00D46A10"/>
    <w:rsid w:val="00D46D86"/>
    <w:rsid w:val="00D46FF5"/>
    <w:rsid w:val="00D47470"/>
    <w:rsid w:val="00D50138"/>
    <w:rsid w:val="00D52196"/>
    <w:rsid w:val="00D52447"/>
    <w:rsid w:val="00D529B9"/>
    <w:rsid w:val="00D5376C"/>
    <w:rsid w:val="00D53A80"/>
    <w:rsid w:val="00D5459C"/>
    <w:rsid w:val="00D56744"/>
    <w:rsid w:val="00D56AD0"/>
    <w:rsid w:val="00D56D77"/>
    <w:rsid w:val="00D5704E"/>
    <w:rsid w:val="00D5728D"/>
    <w:rsid w:val="00D573FB"/>
    <w:rsid w:val="00D609AF"/>
    <w:rsid w:val="00D60A93"/>
    <w:rsid w:val="00D61585"/>
    <w:rsid w:val="00D62091"/>
    <w:rsid w:val="00D6254A"/>
    <w:rsid w:val="00D62A3B"/>
    <w:rsid w:val="00D62EA3"/>
    <w:rsid w:val="00D6377D"/>
    <w:rsid w:val="00D643E6"/>
    <w:rsid w:val="00D64498"/>
    <w:rsid w:val="00D6793C"/>
    <w:rsid w:val="00D67C20"/>
    <w:rsid w:val="00D67C32"/>
    <w:rsid w:val="00D67CC7"/>
    <w:rsid w:val="00D7043B"/>
    <w:rsid w:val="00D704DE"/>
    <w:rsid w:val="00D707B2"/>
    <w:rsid w:val="00D70D97"/>
    <w:rsid w:val="00D7204C"/>
    <w:rsid w:val="00D72144"/>
    <w:rsid w:val="00D73433"/>
    <w:rsid w:val="00D735A6"/>
    <w:rsid w:val="00D73BC8"/>
    <w:rsid w:val="00D73DF4"/>
    <w:rsid w:val="00D75559"/>
    <w:rsid w:val="00D76A1C"/>
    <w:rsid w:val="00D76DB0"/>
    <w:rsid w:val="00D76FD8"/>
    <w:rsid w:val="00D77B94"/>
    <w:rsid w:val="00D802F3"/>
    <w:rsid w:val="00D81A60"/>
    <w:rsid w:val="00D81F26"/>
    <w:rsid w:val="00D82740"/>
    <w:rsid w:val="00D828D9"/>
    <w:rsid w:val="00D83A0B"/>
    <w:rsid w:val="00D8499B"/>
    <w:rsid w:val="00D84BD8"/>
    <w:rsid w:val="00D84EC2"/>
    <w:rsid w:val="00D8610A"/>
    <w:rsid w:val="00D862B2"/>
    <w:rsid w:val="00D86ABF"/>
    <w:rsid w:val="00D870FA"/>
    <w:rsid w:val="00D8762C"/>
    <w:rsid w:val="00D9014C"/>
    <w:rsid w:val="00D90DB0"/>
    <w:rsid w:val="00D90ECB"/>
    <w:rsid w:val="00D9149C"/>
    <w:rsid w:val="00D91BCA"/>
    <w:rsid w:val="00D9264E"/>
    <w:rsid w:val="00D9275E"/>
    <w:rsid w:val="00D93DAB"/>
    <w:rsid w:val="00D94A78"/>
    <w:rsid w:val="00D952A0"/>
    <w:rsid w:val="00D9594C"/>
    <w:rsid w:val="00D97738"/>
    <w:rsid w:val="00D97CA2"/>
    <w:rsid w:val="00DA010E"/>
    <w:rsid w:val="00DA07C7"/>
    <w:rsid w:val="00DA08E0"/>
    <w:rsid w:val="00DA0920"/>
    <w:rsid w:val="00DA1110"/>
    <w:rsid w:val="00DA1305"/>
    <w:rsid w:val="00DA5076"/>
    <w:rsid w:val="00DA6280"/>
    <w:rsid w:val="00DA6541"/>
    <w:rsid w:val="00DA6EB0"/>
    <w:rsid w:val="00DB003F"/>
    <w:rsid w:val="00DB11D4"/>
    <w:rsid w:val="00DB1422"/>
    <w:rsid w:val="00DB2089"/>
    <w:rsid w:val="00DB22D0"/>
    <w:rsid w:val="00DB2352"/>
    <w:rsid w:val="00DB2C66"/>
    <w:rsid w:val="00DB3B49"/>
    <w:rsid w:val="00DB49BB"/>
    <w:rsid w:val="00DB5577"/>
    <w:rsid w:val="00DB55F7"/>
    <w:rsid w:val="00DB6880"/>
    <w:rsid w:val="00DB70DB"/>
    <w:rsid w:val="00DB7749"/>
    <w:rsid w:val="00DB799A"/>
    <w:rsid w:val="00DC040F"/>
    <w:rsid w:val="00DC20FC"/>
    <w:rsid w:val="00DC27F7"/>
    <w:rsid w:val="00DC335B"/>
    <w:rsid w:val="00DC3A7F"/>
    <w:rsid w:val="00DC5657"/>
    <w:rsid w:val="00DC593E"/>
    <w:rsid w:val="00DC5B6A"/>
    <w:rsid w:val="00DC5D64"/>
    <w:rsid w:val="00DC5FBD"/>
    <w:rsid w:val="00DC64E9"/>
    <w:rsid w:val="00DC6CC3"/>
    <w:rsid w:val="00DC7146"/>
    <w:rsid w:val="00DC7472"/>
    <w:rsid w:val="00DD2718"/>
    <w:rsid w:val="00DD4D1B"/>
    <w:rsid w:val="00DD5E82"/>
    <w:rsid w:val="00DD6376"/>
    <w:rsid w:val="00DD6377"/>
    <w:rsid w:val="00DD7770"/>
    <w:rsid w:val="00DE0585"/>
    <w:rsid w:val="00DE0DE7"/>
    <w:rsid w:val="00DE1618"/>
    <w:rsid w:val="00DE18AA"/>
    <w:rsid w:val="00DE1919"/>
    <w:rsid w:val="00DE1A94"/>
    <w:rsid w:val="00DE25FF"/>
    <w:rsid w:val="00DE38D6"/>
    <w:rsid w:val="00DE3A2E"/>
    <w:rsid w:val="00DE4454"/>
    <w:rsid w:val="00DE4D92"/>
    <w:rsid w:val="00DE5212"/>
    <w:rsid w:val="00DE692B"/>
    <w:rsid w:val="00DE76DD"/>
    <w:rsid w:val="00DE7D17"/>
    <w:rsid w:val="00DE7E99"/>
    <w:rsid w:val="00DF0E51"/>
    <w:rsid w:val="00DF1A67"/>
    <w:rsid w:val="00DF36BE"/>
    <w:rsid w:val="00DF4F1F"/>
    <w:rsid w:val="00DF5279"/>
    <w:rsid w:val="00DF55D5"/>
    <w:rsid w:val="00DF5B9C"/>
    <w:rsid w:val="00DF621C"/>
    <w:rsid w:val="00DF712D"/>
    <w:rsid w:val="00DF7182"/>
    <w:rsid w:val="00E00FAC"/>
    <w:rsid w:val="00E02093"/>
    <w:rsid w:val="00E02B02"/>
    <w:rsid w:val="00E02BD5"/>
    <w:rsid w:val="00E02FCB"/>
    <w:rsid w:val="00E033E5"/>
    <w:rsid w:val="00E051FC"/>
    <w:rsid w:val="00E0539B"/>
    <w:rsid w:val="00E065C1"/>
    <w:rsid w:val="00E07EC6"/>
    <w:rsid w:val="00E10018"/>
    <w:rsid w:val="00E10E73"/>
    <w:rsid w:val="00E12CE3"/>
    <w:rsid w:val="00E134B3"/>
    <w:rsid w:val="00E136ED"/>
    <w:rsid w:val="00E13DC3"/>
    <w:rsid w:val="00E13E0C"/>
    <w:rsid w:val="00E14BE2"/>
    <w:rsid w:val="00E15076"/>
    <w:rsid w:val="00E1589F"/>
    <w:rsid w:val="00E15900"/>
    <w:rsid w:val="00E15AEC"/>
    <w:rsid w:val="00E173C3"/>
    <w:rsid w:val="00E174D9"/>
    <w:rsid w:val="00E1750A"/>
    <w:rsid w:val="00E1766A"/>
    <w:rsid w:val="00E17C40"/>
    <w:rsid w:val="00E17DA4"/>
    <w:rsid w:val="00E17E01"/>
    <w:rsid w:val="00E17EE9"/>
    <w:rsid w:val="00E204B6"/>
    <w:rsid w:val="00E20FFF"/>
    <w:rsid w:val="00E21160"/>
    <w:rsid w:val="00E2159F"/>
    <w:rsid w:val="00E21B23"/>
    <w:rsid w:val="00E21DDA"/>
    <w:rsid w:val="00E222BD"/>
    <w:rsid w:val="00E226D7"/>
    <w:rsid w:val="00E22BA7"/>
    <w:rsid w:val="00E22D7A"/>
    <w:rsid w:val="00E23DF6"/>
    <w:rsid w:val="00E240B9"/>
    <w:rsid w:val="00E24223"/>
    <w:rsid w:val="00E24A51"/>
    <w:rsid w:val="00E25082"/>
    <w:rsid w:val="00E26705"/>
    <w:rsid w:val="00E26AA5"/>
    <w:rsid w:val="00E26E6C"/>
    <w:rsid w:val="00E30654"/>
    <w:rsid w:val="00E31BF1"/>
    <w:rsid w:val="00E31F4D"/>
    <w:rsid w:val="00E32DD0"/>
    <w:rsid w:val="00E332ED"/>
    <w:rsid w:val="00E337FB"/>
    <w:rsid w:val="00E33D4D"/>
    <w:rsid w:val="00E3450B"/>
    <w:rsid w:val="00E34822"/>
    <w:rsid w:val="00E34B81"/>
    <w:rsid w:val="00E35DE0"/>
    <w:rsid w:val="00E35F26"/>
    <w:rsid w:val="00E368C6"/>
    <w:rsid w:val="00E36D57"/>
    <w:rsid w:val="00E40265"/>
    <w:rsid w:val="00E4064D"/>
    <w:rsid w:val="00E42C2A"/>
    <w:rsid w:val="00E436F7"/>
    <w:rsid w:val="00E43B9C"/>
    <w:rsid w:val="00E43C4D"/>
    <w:rsid w:val="00E4459C"/>
    <w:rsid w:val="00E44752"/>
    <w:rsid w:val="00E449D0"/>
    <w:rsid w:val="00E44BE5"/>
    <w:rsid w:val="00E44DE0"/>
    <w:rsid w:val="00E45210"/>
    <w:rsid w:val="00E46927"/>
    <w:rsid w:val="00E47C23"/>
    <w:rsid w:val="00E47EF0"/>
    <w:rsid w:val="00E50DCC"/>
    <w:rsid w:val="00E5133F"/>
    <w:rsid w:val="00E5468D"/>
    <w:rsid w:val="00E54775"/>
    <w:rsid w:val="00E5558E"/>
    <w:rsid w:val="00E556F8"/>
    <w:rsid w:val="00E5619D"/>
    <w:rsid w:val="00E576FF"/>
    <w:rsid w:val="00E60AC1"/>
    <w:rsid w:val="00E61537"/>
    <w:rsid w:val="00E61F7B"/>
    <w:rsid w:val="00E62310"/>
    <w:rsid w:val="00E62888"/>
    <w:rsid w:val="00E62F0C"/>
    <w:rsid w:val="00E62FA2"/>
    <w:rsid w:val="00E63755"/>
    <w:rsid w:val="00E63843"/>
    <w:rsid w:val="00E65E99"/>
    <w:rsid w:val="00E66DAB"/>
    <w:rsid w:val="00E67243"/>
    <w:rsid w:val="00E67717"/>
    <w:rsid w:val="00E67AAC"/>
    <w:rsid w:val="00E709EF"/>
    <w:rsid w:val="00E7211B"/>
    <w:rsid w:val="00E7322E"/>
    <w:rsid w:val="00E73A0F"/>
    <w:rsid w:val="00E73C9B"/>
    <w:rsid w:val="00E742D2"/>
    <w:rsid w:val="00E7459A"/>
    <w:rsid w:val="00E7517E"/>
    <w:rsid w:val="00E75244"/>
    <w:rsid w:val="00E7578B"/>
    <w:rsid w:val="00E75A50"/>
    <w:rsid w:val="00E76C10"/>
    <w:rsid w:val="00E774B2"/>
    <w:rsid w:val="00E77D4D"/>
    <w:rsid w:val="00E77FB6"/>
    <w:rsid w:val="00E80534"/>
    <w:rsid w:val="00E80579"/>
    <w:rsid w:val="00E80B89"/>
    <w:rsid w:val="00E8173F"/>
    <w:rsid w:val="00E82942"/>
    <w:rsid w:val="00E83176"/>
    <w:rsid w:val="00E83B98"/>
    <w:rsid w:val="00E84A5F"/>
    <w:rsid w:val="00E84BED"/>
    <w:rsid w:val="00E84E16"/>
    <w:rsid w:val="00E84F42"/>
    <w:rsid w:val="00E8514C"/>
    <w:rsid w:val="00E85830"/>
    <w:rsid w:val="00E8606F"/>
    <w:rsid w:val="00E86248"/>
    <w:rsid w:val="00E866CB"/>
    <w:rsid w:val="00E86EC5"/>
    <w:rsid w:val="00E872C3"/>
    <w:rsid w:val="00E87B5F"/>
    <w:rsid w:val="00E87FC9"/>
    <w:rsid w:val="00E9003D"/>
    <w:rsid w:val="00E901CB"/>
    <w:rsid w:val="00E90D44"/>
    <w:rsid w:val="00E9182D"/>
    <w:rsid w:val="00E92C25"/>
    <w:rsid w:val="00E93338"/>
    <w:rsid w:val="00E93726"/>
    <w:rsid w:val="00E938A5"/>
    <w:rsid w:val="00E93EF2"/>
    <w:rsid w:val="00E94622"/>
    <w:rsid w:val="00E94689"/>
    <w:rsid w:val="00E95B28"/>
    <w:rsid w:val="00E96336"/>
    <w:rsid w:val="00E96550"/>
    <w:rsid w:val="00E96996"/>
    <w:rsid w:val="00E974ED"/>
    <w:rsid w:val="00E97547"/>
    <w:rsid w:val="00EA0990"/>
    <w:rsid w:val="00EA0FD7"/>
    <w:rsid w:val="00EA109D"/>
    <w:rsid w:val="00EA31EB"/>
    <w:rsid w:val="00EA367F"/>
    <w:rsid w:val="00EA408C"/>
    <w:rsid w:val="00EA54BA"/>
    <w:rsid w:val="00EA56BF"/>
    <w:rsid w:val="00EA5DF2"/>
    <w:rsid w:val="00EA67E2"/>
    <w:rsid w:val="00EA6E1D"/>
    <w:rsid w:val="00EB02A0"/>
    <w:rsid w:val="00EB0F0B"/>
    <w:rsid w:val="00EB1611"/>
    <w:rsid w:val="00EB1BD3"/>
    <w:rsid w:val="00EB33B0"/>
    <w:rsid w:val="00EB3502"/>
    <w:rsid w:val="00EB37CF"/>
    <w:rsid w:val="00EB3A73"/>
    <w:rsid w:val="00EB7A8E"/>
    <w:rsid w:val="00EC0442"/>
    <w:rsid w:val="00EC1536"/>
    <w:rsid w:val="00EC1671"/>
    <w:rsid w:val="00EC1B62"/>
    <w:rsid w:val="00EC2DB2"/>
    <w:rsid w:val="00EC317C"/>
    <w:rsid w:val="00EC36CC"/>
    <w:rsid w:val="00EC577D"/>
    <w:rsid w:val="00EC5EBE"/>
    <w:rsid w:val="00EC7293"/>
    <w:rsid w:val="00EC775A"/>
    <w:rsid w:val="00ED005E"/>
    <w:rsid w:val="00ED2057"/>
    <w:rsid w:val="00ED22B8"/>
    <w:rsid w:val="00ED2974"/>
    <w:rsid w:val="00ED2C58"/>
    <w:rsid w:val="00ED3001"/>
    <w:rsid w:val="00ED3560"/>
    <w:rsid w:val="00ED3ABB"/>
    <w:rsid w:val="00ED3ECB"/>
    <w:rsid w:val="00ED469F"/>
    <w:rsid w:val="00ED4DF8"/>
    <w:rsid w:val="00ED5337"/>
    <w:rsid w:val="00ED542C"/>
    <w:rsid w:val="00ED589A"/>
    <w:rsid w:val="00ED5E19"/>
    <w:rsid w:val="00ED66AF"/>
    <w:rsid w:val="00ED7B77"/>
    <w:rsid w:val="00EE193B"/>
    <w:rsid w:val="00EE2F7E"/>
    <w:rsid w:val="00EE5867"/>
    <w:rsid w:val="00EE5A52"/>
    <w:rsid w:val="00EE6FB7"/>
    <w:rsid w:val="00EE7BEC"/>
    <w:rsid w:val="00EE7C23"/>
    <w:rsid w:val="00EE7DA9"/>
    <w:rsid w:val="00EF007E"/>
    <w:rsid w:val="00EF1C3D"/>
    <w:rsid w:val="00EF31C6"/>
    <w:rsid w:val="00EF375A"/>
    <w:rsid w:val="00EF3D05"/>
    <w:rsid w:val="00EF4AA0"/>
    <w:rsid w:val="00EF5963"/>
    <w:rsid w:val="00EF5E65"/>
    <w:rsid w:val="00EF6369"/>
    <w:rsid w:val="00EF6BF3"/>
    <w:rsid w:val="00EF6E2A"/>
    <w:rsid w:val="00EF75F9"/>
    <w:rsid w:val="00F004AE"/>
    <w:rsid w:val="00F014FB"/>
    <w:rsid w:val="00F0223F"/>
    <w:rsid w:val="00F03119"/>
    <w:rsid w:val="00F034DB"/>
    <w:rsid w:val="00F04273"/>
    <w:rsid w:val="00F044BB"/>
    <w:rsid w:val="00F0507F"/>
    <w:rsid w:val="00F055BD"/>
    <w:rsid w:val="00F059FE"/>
    <w:rsid w:val="00F0623F"/>
    <w:rsid w:val="00F06C9E"/>
    <w:rsid w:val="00F072D7"/>
    <w:rsid w:val="00F077CB"/>
    <w:rsid w:val="00F079B7"/>
    <w:rsid w:val="00F07AD0"/>
    <w:rsid w:val="00F1024D"/>
    <w:rsid w:val="00F12E57"/>
    <w:rsid w:val="00F13470"/>
    <w:rsid w:val="00F13DEC"/>
    <w:rsid w:val="00F14093"/>
    <w:rsid w:val="00F15004"/>
    <w:rsid w:val="00F1544D"/>
    <w:rsid w:val="00F15EFE"/>
    <w:rsid w:val="00F16108"/>
    <w:rsid w:val="00F16BF9"/>
    <w:rsid w:val="00F16C89"/>
    <w:rsid w:val="00F17C74"/>
    <w:rsid w:val="00F213B2"/>
    <w:rsid w:val="00F219F6"/>
    <w:rsid w:val="00F22B21"/>
    <w:rsid w:val="00F22ED0"/>
    <w:rsid w:val="00F23E88"/>
    <w:rsid w:val="00F2492C"/>
    <w:rsid w:val="00F24B19"/>
    <w:rsid w:val="00F25138"/>
    <w:rsid w:val="00F26887"/>
    <w:rsid w:val="00F269DC"/>
    <w:rsid w:val="00F26A56"/>
    <w:rsid w:val="00F26F60"/>
    <w:rsid w:val="00F27588"/>
    <w:rsid w:val="00F27E5D"/>
    <w:rsid w:val="00F30776"/>
    <w:rsid w:val="00F308B1"/>
    <w:rsid w:val="00F30E6F"/>
    <w:rsid w:val="00F3115D"/>
    <w:rsid w:val="00F314AA"/>
    <w:rsid w:val="00F31817"/>
    <w:rsid w:val="00F32B9E"/>
    <w:rsid w:val="00F3316E"/>
    <w:rsid w:val="00F33494"/>
    <w:rsid w:val="00F3501A"/>
    <w:rsid w:val="00F36BF6"/>
    <w:rsid w:val="00F3760D"/>
    <w:rsid w:val="00F376A3"/>
    <w:rsid w:val="00F37C84"/>
    <w:rsid w:val="00F40245"/>
    <w:rsid w:val="00F40373"/>
    <w:rsid w:val="00F40D50"/>
    <w:rsid w:val="00F41BDA"/>
    <w:rsid w:val="00F41D8A"/>
    <w:rsid w:val="00F42EFD"/>
    <w:rsid w:val="00F4393E"/>
    <w:rsid w:val="00F4536B"/>
    <w:rsid w:val="00F45B1D"/>
    <w:rsid w:val="00F45E09"/>
    <w:rsid w:val="00F4641B"/>
    <w:rsid w:val="00F46879"/>
    <w:rsid w:val="00F46B7E"/>
    <w:rsid w:val="00F46D21"/>
    <w:rsid w:val="00F46E97"/>
    <w:rsid w:val="00F4762A"/>
    <w:rsid w:val="00F47692"/>
    <w:rsid w:val="00F47820"/>
    <w:rsid w:val="00F47BCB"/>
    <w:rsid w:val="00F47EEC"/>
    <w:rsid w:val="00F5013D"/>
    <w:rsid w:val="00F50302"/>
    <w:rsid w:val="00F50378"/>
    <w:rsid w:val="00F50BA8"/>
    <w:rsid w:val="00F5346F"/>
    <w:rsid w:val="00F53756"/>
    <w:rsid w:val="00F543EE"/>
    <w:rsid w:val="00F55412"/>
    <w:rsid w:val="00F5654D"/>
    <w:rsid w:val="00F567A6"/>
    <w:rsid w:val="00F579A7"/>
    <w:rsid w:val="00F57C6A"/>
    <w:rsid w:val="00F603EC"/>
    <w:rsid w:val="00F60E92"/>
    <w:rsid w:val="00F620AD"/>
    <w:rsid w:val="00F62209"/>
    <w:rsid w:val="00F62B34"/>
    <w:rsid w:val="00F630B3"/>
    <w:rsid w:val="00F633BA"/>
    <w:rsid w:val="00F64897"/>
    <w:rsid w:val="00F64C05"/>
    <w:rsid w:val="00F64C50"/>
    <w:rsid w:val="00F658B5"/>
    <w:rsid w:val="00F65DE8"/>
    <w:rsid w:val="00F7056C"/>
    <w:rsid w:val="00F7087D"/>
    <w:rsid w:val="00F709CE"/>
    <w:rsid w:val="00F70FFC"/>
    <w:rsid w:val="00F715FC"/>
    <w:rsid w:val="00F728D2"/>
    <w:rsid w:val="00F736B7"/>
    <w:rsid w:val="00F75C4C"/>
    <w:rsid w:val="00F76928"/>
    <w:rsid w:val="00F76AC6"/>
    <w:rsid w:val="00F76BC9"/>
    <w:rsid w:val="00F7775C"/>
    <w:rsid w:val="00F777E3"/>
    <w:rsid w:val="00F809B8"/>
    <w:rsid w:val="00F81170"/>
    <w:rsid w:val="00F81822"/>
    <w:rsid w:val="00F824B1"/>
    <w:rsid w:val="00F8380D"/>
    <w:rsid w:val="00F84C2D"/>
    <w:rsid w:val="00F84E6F"/>
    <w:rsid w:val="00F85882"/>
    <w:rsid w:val="00F85B56"/>
    <w:rsid w:val="00F87F13"/>
    <w:rsid w:val="00F87FB8"/>
    <w:rsid w:val="00F900A2"/>
    <w:rsid w:val="00F902BE"/>
    <w:rsid w:val="00F90924"/>
    <w:rsid w:val="00F91BAA"/>
    <w:rsid w:val="00F921BF"/>
    <w:rsid w:val="00F967DA"/>
    <w:rsid w:val="00F96CD6"/>
    <w:rsid w:val="00F96E89"/>
    <w:rsid w:val="00F96EA5"/>
    <w:rsid w:val="00F97604"/>
    <w:rsid w:val="00F97E56"/>
    <w:rsid w:val="00FA1ADF"/>
    <w:rsid w:val="00FA3D45"/>
    <w:rsid w:val="00FA41E7"/>
    <w:rsid w:val="00FA4935"/>
    <w:rsid w:val="00FA5701"/>
    <w:rsid w:val="00FA6280"/>
    <w:rsid w:val="00FA6F9B"/>
    <w:rsid w:val="00FB12FA"/>
    <w:rsid w:val="00FB1904"/>
    <w:rsid w:val="00FB26D3"/>
    <w:rsid w:val="00FB2DCC"/>
    <w:rsid w:val="00FB3190"/>
    <w:rsid w:val="00FB32F4"/>
    <w:rsid w:val="00FB33CC"/>
    <w:rsid w:val="00FB3B5C"/>
    <w:rsid w:val="00FB3C72"/>
    <w:rsid w:val="00FB3DAD"/>
    <w:rsid w:val="00FB4048"/>
    <w:rsid w:val="00FB41E4"/>
    <w:rsid w:val="00FB6DD6"/>
    <w:rsid w:val="00FB7D98"/>
    <w:rsid w:val="00FC0188"/>
    <w:rsid w:val="00FC048F"/>
    <w:rsid w:val="00FC08F4"/>
    <w:rsid w:val="00FC0DD1"/>
    <w:rsid w:val="00FC16DD"/>
    <w:rsid w:val="00FC1CD1"/>
    <w:rsid w:val="00FC1F7B"/>
    <w:rsid w:val="00FC253C"/>
    <w:rsid w:val="00FC3B6F"/>
    <w:rsid w:val="00FC43F9"/>
    <w:rsid w:val="00FC466A"/>
    <w:rsid w:val="00FC4BD9"/>
    <w:rsid w:val="00FC4D70"/>
    <w:rsid w:val="00FC6958"/>
    <w:rsid w:val="00FC6BC8"/>
    <w:rsid w:val="00FC6E41"/>
    <w:rsid w:val="00FC7043"/>
    <w:rsid w:val="00FC748D"/>
    <w:rsid w:val="00FC77B6"/>
    <w:rsid w:val="00FC7D35"/>
    <w:rsid w:val="00FD09BB"/>
    <w:rsid w:val="00FD16C1"/>
    <w:rsid w:val="00FD1714"/>
    <w:rsid w:val="00FD1E6F"/>
    <w:rsid w:val="00FD21DB"/>
    <w:rsid w:val="00FD21F7"/>
    <w:rsid w:val="00FD220C"/>
    <w:rsid w:val="00FD2C6F"/>
    <w:rsid w:val="00FD3038"/>
    <w:rsid w:val="00FD343D"/>
    <w:rsid w:val="00FD4BBB"/>
    <w:rsid w:val="00FD5869"/>
    <w:rsid w:val="00FD58EF"/>
    <w:rsid w:val="00FD5F30"/>
    <w:rsid w:val="00FD62A9"/>
    <w:rsid w:val="00FD6318"/>
    <w:rsid w:val="00FD6822"/>
    <w:rsid w:val="00FD71C8"/>
    <w:rsid w:val="00FD76D5"/>
    <w:rsid w:val="00FD7B82"/>
    <w:rsid w:val="00FE0E0B"/>
    <w:rsid w:val="00FE0E81"/>
    <w:rsid w:val="00FE10F7"/>
    <w:rsid w:val="00FE1CAE"/>
    <w:rsid w:val="00FE1F06"/>
    <w:rsid w:val="00FE2504"/>
    <w:rsid w:val="00FE2956"/>
    <w:rsid w:val="00FE2C49"/>
    <w:rsid w:val="00FE39F8"/>
    <w:rsid w:val="00FE3BD5"/>
    <w:rsid w:val="00FE41B7"/>
    <w:rsid w:val="00FE5B7C"/>
    <w:rsid w:val="00FE6331"/>
    <w:rsid w:val="00FE7026"/>
    <w:rsid w:val="00FE73D6"/>
    <w:rsid w:val="00FF0EFE"/>
    <w:rsid w:val="00FF32F6"/>
    <w:rsid w:val="00FF33E8"/>
    <w:rsid w:val="00FF35A8"/>
    <w:rsid w:val="00FF398D"/>
    <w:rsid w:val="00FF4307"/>
    <w:rsid w:val="00FF45A5"/>
    <w:rsid w:val="00FF5AE8"/>
    <w:rsid w:val="00FF5E88"/>
    <w:rsid w:val="00FF67C6"/>
    <w:rsid w:val="00FF68EF"/>
    <w:rsid w:val="00FF7C7B"/>
  </w:rsids>
  <m:mathPr>
    <m:mathFont m:val="Cambria Math"/>
    <m:brkBin m:val="before"/>
    <m:brkBinSub m:val="--"/>
    <m:smallFrac m:val="0"/>
    <m:dispDef m:val="0"/>
    <m:lMargin m:val="0"/>
    <m:rMargin m:val="0"/>
    <m:defJc m:val="centerGroup"/>
    <m:wrapRight/>
    <m:intLim m:val="subSup"/>
    <m:naryLim m:val="subSup"/>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36B8B2F1"/>
  <w15:docId w15:val="{9FF2E792-4F0C-47CA-987C-4BCCA7B2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A36"/>
    <w:pPr>
      <w:spacing w:before="240" w:after="60"/>
    </w:pPr>
    <w:rPr>
      <w:rFonts w:ascii="Arial" w:hAnsi="Arial"/>
      <w:szCs w:val="24"/>
      <w:lang w:val="en-US"/>
    </w:rPr>
  </w:style>
  <w:style w:type="paragraph" w:styleId="Heading1">
    <w:name w:val="heading 1"/>
    <w:aliases w:val="ECC Heading 1"/>
    <w:basedOn w:val="Normal"/>
    <w:next w:val="ECCParagraph"/>
    <w:link w:val="Heading1Char"/>
    <w:autoRedefine/>
    <w:uiPriority w:val="1"/>
    <w:qFormat/>
    <w:rsid w:val="00415C19"/>
    <w:pPr>
      <w:keepNext/>
      <w:pageBreakBefore/>
      <w:numPr>
        <w:numId w:val="1"/>
      </w:numPr>
      <w:spacing w:before="360" w:after="240"/>
      <w:ind w:left="431" w:hanging="431"/>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A55704"/>
    <w:pPr>
      <w:numPr>
        <w:ilvl w:val="1"/>
        <w:numId w:val="1"/>
      </w:numPr>
      <w:spacing w:before="360" w:after="200"/>
      <w:ind w:left="578" w:hanging="578"/>
      <w:outlineLvl w:val="1"/>
    </w:pPr>
    <w:rPr>
      <w:rFonts w:cs="Arial"/>
      <w:b/>
      <w:bCs/>
      <w:iCs/>
      <w:caps/>
      <w:szCs w:val="28"/>
    </w:rPr>
  </w:style>
  <w:style w:type="paragraph" w:styleId="Heading3">
    <w:name w:val="heading 3"/>
    <w:aliases w:val="ECC Heading 3"/>
    <w:basedOn w:val="Normal"/>
    <w:next w:val="ECCParagraph"/>
    <w:autoRedefine/>
    <w:qFormat/>
    <w:rsid w:val="00406659"/>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72A23"/>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D20E3B"/>
    <w:pPr>
      <w:numPr>
        <w:ilvl w:val="4"/>
        <w:numId w:val="1"/>
      </w:numPr>
      <w:outlineLvl w:val="4"/>
    </w:pPr>
    <w:rPr>
      <w:b/>
      <w:bCs/>
      <w:i/>
      <w:iCs/>
      <w:sz w:val="26"/>
      <w:szCs w:val="26"/>
    </w:rPr>
  </w:style>
  <w:style w:type="paragraph" w:styleId="Heading6">
    <w:name w:val="heading 6"/>
    <w:basedOn w:val="Normal"/>
    <w:next w:val="Normal"/>
    <w:qFormat/>
    <w:rsid w:val="00D20E3B"/>
    <w:pPr>
      <w:numPr>
        <w:ilvl w:val="5"/>
        <w:numId w:val="1"/>
      </w:numPr>
      <w:outlineLvl w:val="5"/>
    </w:pPr>
    <w:rPr>
      <w:b/>
      <w:bCs/>
      <w:sz w:val="22"/>
      <w:szCs w:val="22"/>
    </w:rPr>
  </w:style>
  <w:style w:type="paragraph" w:styleId="Heading7">
    <w:name w:val="heading 7"/>
    <w:basedOn w:val="Normal"/>
    <w:next w:val="Normal"/>
    <w:qFormat/>
    <w:rsid w:val="00D20E3B"/>
    <w:pPr>
      <w:numPr>
        <w:ilvl w:val="6"/>
        <w:numId w:val="1"/>
      </w:numPr>
      <w:outlineLvl w:val="6"/>
    </w:pPr>
    <w:rPr>
      <w:sz w:val="24"/>
    </w:rPr>
  </w:style>
  <w:style w:type="paragraph" w:styleId="Heading8">
    <w:name w:val="heading 8"/>
    <w:basedOn w:val="Normal"/>
    <w:next w:val="Normal"/>
    <w:qFormat/>
    <w:rsid w:val="00D20E3B"/>
    <w:pPr>
      <w:numPr>
        <w:ilvl w:val="7"/>
        <w:numId w:val="1"/>
      </w:numPr>
      <w:outlineLvl w:val="7"/>
    </w:pPr>
    <w:rPr>
      <w:i/>
      <w:iCs/>
      <w:sz w:val="24"/>
    </w:rPr>
  </w:style>
  <w:style w:type="paragraph" w:styleId="Heading9">
    <w:name w:val="heading 9"/>
    <w:basedOn w:val="Normal"/>
    <w:next w:val="Normal"/>
    <w:qFormat/>
    <w:rsid w:val="00D20E3B"/>
    <w:pPr>
      <w:numPr>
        <w:ilvl w:val="8"/>
        <w:numId w:val="1"/>
      </w:numPr>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qFormat/>
    <w:rsid w:val="00BA6500"/>
    <w:pPr>
      <w:spacing w:before="0" w:after="240"/>
      <w:jc w:val="both"/>
    </w:pPr>
    <w:rPr>
      <w:lang w:val="en-GB"/>
    </w:r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qFormat/>
    <w:rsid w:val="002209A7"/>
    <w:pPr>
      <w:numPr>
        <w:numId w:val="4"/>
      </w:numPr>
    </w:pPr>
  </w:style>
  <w:style w:type="paragraph" w:styleId="TOC1">
    <w:name w:val="toc 1"/>
    <w:basedOn w:val="Normal"/>
    <w:next w:val="Normal"/>
    <w:autoRedefine/>
    <w:uiPriority w:val="39"/>
    <w:rsid w:val="00F269DC"/>
    <w:pPr>
      <w:tabs>
        <w:tab w:val="left" w:pos="360"/>
        <w:tab w:val="right" w:leader="dot" w:pos="9629"/>
      </w:tabs>
      <w:spacing w:before="200"/>
    </w:pPr>
    <w:rPr>
      <w:b/>
      <w:caps/>
    </w:rPr>
  </w:style>
  <w:style w:type="character" w:styleId="Hyperlink">
    <w:name w:val="Hyperlink"/>
    <w:aliases w:val="ECC Hyperlink,CEO_Hyperlink,超级链接"/>
    <w:basedOn w:val="DefaultParagraphFont"/>
    <w:uiPriority w:val="99"/>
    <w:qFormat/>
    <w:rsid w:val="00A82384"/>
    <w:rPr>
      <w:color w:val="0000FF"/>
      <w:u w:val="single"/>
    </w:rPr>
  </w:style>
  <w:style w:type="paragraph" w:styleId="TOC2">
    <w:name w:val="toc 2"/>
    <w:basedOn w:val="Normal"/>
    <w:next w:val="Normal"/>
    <w:autoRedefine/>
    <w:uiPriority w:val="39"/>
    <w:rsid w:val="008F5D4D"/>
    <w:pPr>
      <w:tabs>
        <w:tab w:val="left" w:pos="900"/>
        <w:tab w:val="right" w:leader="dot" w:pos="9629"/>
      </w:tabs>
      <w:spacing w:before="60"/>
      <w:ind w:left="360"/>
    </w:pPr>
  </w:style>
  <w:style w:type="paragraph" w:styleId="TOC3">
    <w:name w:val="toc 3"/>
    <w:basedOn w:val="Normal"/>
    <w:next w:val="Normal"/>
    <w:autoRedefine/>
    <w:uiPriority w:val="39"/>
    <w:rsid w:val="003D360D"/>
    <w:pPr>
      <w:tabs>
        <w:tab w:val="left" w:pos="1440"/>
        <w:tab w:val="right" w:leader="dot" w:pos="9629"/>
      </w:tabs>
      <w:spacing w:before="60"/>
      <w:ind w:left="567"/>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BE7527"/>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3 Char,Footnote Text Char2 Char Char,Footnote Text Char Char Char1 Char Char,Footnote Text Char1 Char1 Char Char,Footnote Text Char Char Char2 Char,Footnote Text Char3,f"/>
    <w:basedOn w:val="Normal"/>
    <w:link w:val="FootnoteTextChar"/>
    <w:uiPriority w:val="99"/>
    <w:qFormat/>
    <w:rsid w:val="008935B9"/>
    <w:rPr>
      <w:szCs w:val="20"/>
    </w:rPr>
  </w:style>
  <w:style w:type="character" w:styleId="FootnoteReference">
    <w:name w:val="footnote reference"/>
    <w:aliases w:val="ECC Footnote number,ECC Footnote sign,Appel note de bas de p,Footnote symbol,Appel note de bas de p + (Asian) Batang,Black,Footnote Reference/,(NECG) Footnote Reference,Nota,Footnote,BVI fnr,SUPERS,(Footnote Reference),o"/>
    <w:basedOn w:val="DefaultParagraphFont"/>
    <w:uiPriority w:val="99"/>
    <w:qForma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5F721D"/>
    <w:pPr>
      <w:spacing w:before="60" w:after="6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4C36FE"/>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character" w:styleId="CommentReference">
    <w:name w:val="annotation reference"/>
    <w:basedOn w:val="DefaultParagraphFont"/>
    <w:uiPriority w:val="99"/>
    <w:semiHidden/>
    <w:unhideWhenUsed/>
    <w:rsid w:val="00C01069"/>
    <w:rPr>
      <w:sz w:val="16"/>
      <w:szCs w:val="16"/>
    </w:rPr>
  </w:style>
  <w:style w:type="paragraph" w:styleId="CommentText">
    <w:name w:val="annotation text"/>
    <w:basedOn w:val="Normal"/>
    <w:link w:val="CommentTextChar"/>
    <w:uiPriority w:val="99"/>
    <w:unhideWhenUsed/>
    <w:rsid w:val="00C01069"/>
    <w:rPr>
      <w:szCs w:val="20"/>
    </w:rPr>
  </w:style>
  <w:style w:type="character" w:customStyle="1" w:styleId="CommentTextChar">
    <w:name w:val="Comment Text Char"/>
    <w:basedOn w:val="DefaultParagraphFont"/>
    <w:link w:val="CommentText"/>
    <w:uiPriority w:val="99"/>
    <w:rsid w:val="00C01069"/>
    <w:rPr>
      <w:rFonts w:ascii="Arial" w:hAnsi="Arial"/>
      <w:lang w:val="en-US"/>
    </w:rPr>
  </w:style>
  <w:style w:type="paragraph" w:customStyle="1" w:styleId="NumberedList">
    <w:name w:val="Numbered List"/>
    <w:basedOn w:val="ECCParagraph"/>
    <w:rsid w:val="007F1E34"/>
    <w:pPr>
      <w:numPr>
        <w:numId w:val="10"/>
      </w:numPr>
      <w:spacing w:before="240" w:after="60"/>
    </w:pPr>
  </w:style>
  <w:style w:type="numbering" w:customStyle="1" w:styleId="ECCNumberedList">
    <w:name w:val="ECC Numbered List"/>
    <w:uiPriority w:val="99"/>
    <w:rsid w:val="00441280"/>
    <w:pPr>
      <w:numPr>
        <w:numId w:val="10"/>
      </w:numPr>
    </w:pPr>
  </w:style>
  <w:style w:type="paragraph" w:styleId="CommentSubject">
    <w:name w:val="annotation subject"/>
    <w:basedOn w:val="CommentText"/>
    <w:next w:val="CommentText"/>
    <w:link w:val="CommentSubjectChar"/>
    <w:uiPriority w:val="99"/>
    <w:semiHidden/>
    <w:unhideWhenUsed/>
    <w:rsid w:val="00EA6E1D"/>
    <w:rPr>
      <w:b/>
      <w:bCs/>
    </w:rPr>
  </w:style>
  <w:style w:type="character" w:customStyle="1" w:styleId="CommentSubjectChar">
    <w:name w:val="Comment Subject Char"/>
    <w:basedOn w:val="CommentTextChar"/>
    <w:link w:val="CommentSubject"/>
    <w:uiPriority w:val="99"/>
    <w:semiHidden/>
    <w:rsid w:val="00EA6E1D"/>
    <w:rPr>
      <w:rFonts w:ascii="Arial" w:hAnsi="Arial"/>
      <w:b/>
      <w:bCs/>
      <w:lang w:val="en-US"/>
    </w:rPr>
  </w:style>
  <w:style w:type="paragraph" w:customStyle="1" w:styleId="ECCBulletsLv1">
    <w:name w:val="ECC Bullets Lv1"/>
    <w:basedOn w:val="Normal"/>
    <w:qFormat/>
    <w:rsid w:val="00CA7D74"/>
    <w:pPr>
      <w:numPr>
        <w:numId w:val="11"/>
      </w:numPr>
      <w:tabs>
        <w:tab w:val="left" w:pos="340"/>
      </w:tabs>
      <w:spacing w:before="60"/>
      <w:jc w:val="both"/>
    </w:pPr>
    <w:rPr>
      <w:rFonts w:eastAsia="Calibri"/>
      <w:szCs w:val="22"/>
      <w:lang w:val="en-GB"/>
    </w:rPr>
  </w:style>
  <w:style w:type="paragraph" w:customStyle="1" w:styleId="ECCBulletsLv2">
    <w:name w:val="ECC Bullets Lv2"/>
    <w:basedOn w:val="ECCBulletsLv1"/>
    <w:link w:val="ECCBulletsLv2Zchn"/>
    <w:qFormat/>
    <w:rsid w:val="00CA7D74"/>
    <w:pPr>
      <w:tabs>
        <w:tab w:val="clear" w:pos="340"/>
        <w:tab w:val="left" w:pos="709"/>
      </w:tabs>
    </w:pPr>
  </w:style>
  <w:style w:type="character" w:customStyle="1" w:styleId="ECCBulletsLv2Zchn">
    <w:name w:val="ECC Bullets Lv2 Zchn"/>
    <w:basedOn w:val="DefaultParagraphFont"/>
    <w:link w:val="ECCBulletsLv2"/>
    <w:rsid w:val="00CA7D74"/>
    <w:rPr>
      <w:rFonts w:ascii="Arial" w:eastAsia="Calibri" w:hAnsi="Arial"/>
      <w:szCs w:val="22"/>
    </w:rPr>
  </w:style>
  <w:style w:type="paragraph" w:customStyle="1" w:styleId="ECCTabletext">
    <w:name w:val="ECC Table text"/>
    <w:basedOn w:val="Normal"/>
    <w:qFormat/>
    <w:rsid w:val="007A24FB"/>
    <w:pPr>
      <w:spacing w:before="60"/>
      <w:jc w:val="both"/>
    </w:pPr>
    <w:rPr>
      <w:rFonts w:eastAsia="Calibri"/>
      <w:szCs w:val="22"/>
      <w:lang w:val="en-GB"/>
    </w:rPr>
  </w:style>
  <w:style w:type="table" w:customStyle="1" w:styleId="ECCTable-redheader">
    <w:name w:val="ECC Table - red header"/>
    <w:basedOn w:val="TableNormal"/>
    <w:uiPriority w:val="99"/>
    <w:qFormat/>
    <w:rsid w:val="00CA7D74"/>
    <w:pPr>
      <w:spacing w:before="60" w:after="60"/>
      <w:jc w:val="both"/>
    </w:pPr>
    <w:rPr>
      <w:rFonts w:ascii="Arial" w:eastAsia="Calibri" w:hAnsi="Arial"/>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TableHeaderwhitefont">
    <w:name w:val="ECC Table Header white font"/>
    <w:qFormat/>
    <w:rsid w:val="00BE64D6"/>
    <w:pPr>
      <w:spacing w:before="120" w:after="120"/>
      <w:jc w:val="center"/>
    </w:pPr>
    <w:rPr>
      <w:rFonts w:ascii="Arial" w:eastAsia="Calibri" w:hAnsi="Arial"/>
      <w:bCs/>
      <w:color w:val="FFFFFF" w:themeColor="background1"/>
      <w:lang w:eastAsia="de-DE"/>
    </w:rPr>
  </w:style>
  <w:style w:type="character" w:customStyle="1" w:styleId="Heading1Char">
    <w:name w:val="Heading 1 Char"/>
    <w:aliases w:val="ECC Heading 1 Char"/>
    <w:basedOn w:val="DefaultParagraphFont"/>
    <w:link w:val="Heading1"/>
    <w:uiPriority w:val="1"/>
    <w:rsid w:val="00415C19"/>
    <w:rPr>
      <w:rFonts w:ascii="Arial" w:hAnsi="Arial" w:cs="Arial"/>
      <w:b/>
      <w:bCs/>
      <w:caps/>
      <w:color w:val="D2232A"/>
      <w:kern w:val="32"/>
      <w:szCs w:val="32"/>
    </w:rPr>
  </w:style>
  <w:style w:type="paragraph" w:customStyle="1" w:styleId="coverpageReporttitledescription">
    <w:name w:val="cover page 'Report title/description'"/>
    <w:rsid w:val="00CA7D74"/>
    <w:pPr>
      <w:keepLines/>
      <w:spacing w:before="1800" w:after="60" w:line="288" w:lineRule="auto"/>
      <w:ind w:left="3402"/>
      <w:contextualSpacing/>
      <w:jc w:val="both"/>
      <w:textboxTightWrap w:val="firstLineOnly"/>
    </w:pPr>
    <w:rPr>
      <w:rFonts w:ascii="Arial" w:hAnsi="Arial"/>
      <w:sz w:val="24"/>
      <w:lang w:val="da-DK"/>
    </w:rPr>
  </w:style>
  <w:style w:type="paragraph" w:customStyle="1" w:styleId="ECCEditorsNote">
    <w:name w:val="ECC Editor's Note"/>
    <w:next w:val="Normal"/>
    <w:qFormat/>
    <w:rsid w:val="00CA7D74"/>
    <w:pPr>
      <w:numPr>
        <w:numId w:val="12"/>
      </w:numPr>
      <w:shd w:val="solid" w:color="FFFF00" w:fill="auto"/>
      <w:spacing w:before="120" w:after="60"/>
      <w:jc w:val="both"/>
    </w:pPr>
    <w:rPr>
      <w:rFonts w:ascii="Arial" w:eastAsia="Calibri" w:hAnsi="Arial"/>
      <w:szCs w:val="22"/>
      <w:lang w:val="da-DK" w:eastAsia="de-DE"/>
    </w:rPr>
  </w:style>
  <w:style w:type="paragraph" w:customStyle="1" w:styleId="ECCReference">
    <w:name w:val="ECC Reference"/>
    <w:basedOn w:val="Normal"/>
    <w:qFormat/>
    <w:rsid w:val="00CA7D74"/>
    <w:pPr>
      <w:tabs>
        <w:tab w:val="num" w:pos="397"/>
      </w:tabs>
      <w:ind w:left="397" w:hanging="397"/>
      <w:jc w:val="both"/>
    </w:pPr>
    <w:rPr>
      <w:rFonts w:eastAsia="Calibri"/>
      <w:szCs w:val="22"/>
      <w:lang w:val="en-GB" w:eastAsia="ja-JP"/>
    </w:rPr>
  </w:style>
  <w:style w:type="character" w:customStyle="1" w:styleId="file-history-count">
    <w:name w:val="file-history-count"/>
    <w:basedOn w:val="DefaultParagraphFont"/>
    <w:rsid w:val="00CA7D74"/>
  </w:style>
  <w:style w:type="character" w:styleId="FollowedHyperlink">
    <w:name w:val="FollowedHyperlink"/>
    <w:basedOn w:val="DefaultParagraphFont"/>
    <w:uiPriority w:val="99"/>
    <w:semiHidden/>
    <w:unhideWhenUsed/>
    <w:rsid w:val="00CA7D74"/>
    <w:rPr>
      <w:color w:val="800080" w:themeColor="followedHyperlink"/>
      <w:u w:val="single"/>
    </w:rPr>
  </w:style>
  <w:style w:type="character" w:customStyle="1" w:styleId="ECCHLsubscript">
    <w:name w:val="ECC HL subscript"/>
    <w:uiPriority w:val="1"/>
    <w:qFormat/>
    <w:rsid w:val="00CA7D74"/>
    <w:rPr>
      <w:vertAlign w:val="subscript"/>
    </w:rPr>
  </w:style>
  <w:style w:type="table" w:customStyle="1" w:styleId="TableGrid0">
    <w:name w:val="TableGrid"/>
    <w:rsid w:val="00CA7D74"/>
    <w:rPr>
      <w:rFonts w:ascii="Calibri" w:hAnsi="Calibri"/>
      <w:sz w:val="22"/>
      <w:szCs w:val="22"/>
      <w:lang w:eastAsia="en-GB"/>
    </w:rPr>
    <w:tblPr>
      <w:tblCellMar>
        <w:top w:w="0" w:type="dxa"/>
        <w:left w:w="0" w:type="dxa"/>
        <w:bottom w:w="0" w:type="dxa"/>
        <w:right w:w="0" w:type="dxa"/>
      </w:tblCellMar>
    </w:tblPr>
  </w:style>
  <w:style w:type="paragraph" w:styleId="ListParagraph">
    <w:name w:val="List Paragraph"/>
    <w:basedOn w:val="Normal"/>
    <w:uiPriority w:val="1"/>
    <w:qFormat/>
    <w:rsid w:val="00CA7D74"/>
    <w:pPr>
      <w:ind w:left="720"/>
      <w:contextualSpacing/>
    </w:pPr>
  </w:style>
  <w:style w:type="character" w:customStyle="1" w:styleId="ECCHLorange">
    <w:name w:val="ECC HL orange"/>
    <w:basedOn w:val="DefaultParagraphFont"/>
    <w:uiPriority w:val="1"/>
    <w:qFormat/>
    <w:rsid w:val="00CA7D74"/>
    <w:rPr>
      <w:bdr w:val="none" w:sz="0" w:space="0" w:color="auto"/>
      <w:shd w:val="solid" w:color="FFC000" w:fill="auto"/>
    </w:rPr>
  </w:style>
  <w:style w:type="paragraph" w:styleId="PlainText">
    <w:name w:val="Plain Text"/>
    <w:basedOn w:val="Normal"/>
    <w:link w:val="PlainTextChar"/>
    <w:uiPriority w:val="99"/>
    <w:unhideWhenUsed/>
    <w:rsid w:val="00CA7D7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A7D74"/>
    <w:rPr>
      <w:rFonts w:ascii="Consolas" w:eastAsiaTheme="minorHAnsi" w:hAnsi="Consolas" w:cstheme="minorBidi"/>
      <w:sz w:val="21"/>
      <w:szCs w:val="21"/>
      <w:lang w:val="en-US"/>
    </w:rPr>
  </w:style>
  <w:style w:type="paragraph" w:styleId="Caption">
    <w:name w:val="caption"/>
    <w:aliases w:val="ECC Caption,Ca,Figure Lable,cap,cap1,cap2,cap11,Caption Char,Caption Char1 Char,cap Char Char1,Caption Char Char1 Char,cap Char2 Char,Caption Char C...,Légende-figure,Légende-figure Char,Beschrifubg,Beschriftung Char,label,captions,C"/>
    <w:basedOn w:val="Normal"/>
    <w:next w:val="Normal"/>
    <w:link w:val="CaptionChar1"/>
    <w:unhideWhenUsed/>
    <w:qFormat/>
    <w:rsid w:val="006431E7"/>
    <w:pPr>
      <w:spacing w:before="120" w:after="120"/>
      <w:jc w:val="center"/>
    </w:pPr>
    <w:rPr>
      <w:b/>
      <w:bCs/>
      <w:color w:val="D2232A"/>
      <w:sz w:val="18"/>
      <w:szCs w:val="18"/>
    </w:rPr>
  </w:style>
  <w:style w:type="paragraph" w:styleId="BodyText">
    <w:name w:val="Body Text"/>
    <w:basedOn w:val="Normal"/>
    <w:link w:val="BodyTextChar"/>
    <w:uiPriority w:val="1"/>
    <w:qFormat/>
    <w:rsid w:val="00CA7D74"/>
    <w:pPr>
      <w:widowControl w:val="0"/>
      <w:ind w:left="107"/>
    </w:pPr>
    <w:rPr>
      <w:rFonts w:ascii="Times New Roman" w:hAnsi="Times New Roman" w:cstheme="minorBidi"/>
      <w:sz w:val="24"/>
    </w:rPr>
  </w:style>
  <w:style w:type="character" w:customStyle="1" w:styleId="BodyTextChar">
    <w:name w:val="Body Text Char"/>
    <w:basedOn w:val="DefaultParagraphFont"/>
    <w:link w:val="BodyText"/>
    <w:uiPriority w:val="1"/>
    <w:rsid w:val="00CA7D74"/>
    <w:rPr>
      <w:rFonts w:cstheme="minorBidi"/>
      <w:sz w:val="24"/>
      <w:szCs w:val="24"/>
      <w:lang w:val="en-US"/>
    </w:rPr>
  </w:style>
  <w:style w:type="paragraph" w:customStyle="1" w:styleId="TableParagraph">
    <w:name w:val="Table Paragraph"/>
    <w:basedOn w:val="Normal"/>
    <w:uiPriority w:val="1"/>
    <w:qFormat/>
    <w:rsid w:val="00CA7D74"/>
    <w:pPr>
      <w:widowControl w:val="0"/>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CA7D74"/>
    <w:pPr>
      <w:spacing w:before="100" w:beforeAutospacing="1" w:after="100" w:afterAutospacing="1"/>
    </w:pPr>
    <w:rPr>
      <w:rFonts w:ascii="Times New Roman" w:eastAsiaTheme="minorEastAsia" w:hAnsi="Times New Roman"/>
      <w:sz w:val="24"/>
      <w:lang w:val="en-GB" w:eastAsia="en-GB"/>
    </w:rPr>
  </w:style>
  <w:style w:type="character" w:customStyle="1" w:styleId="FootnoteTextChar">
    <w:name w:val="Footnote Text Char"/>
    <w:aliases w:val="footnote text Char,ALTS FOOTNOTE Char,Footnote Text Char3 Char Char,Footnote Text Char2 Char Char Char,Footnote Text Char Char Char1 Char Char Char,Footnote Text Char1 Char1 Char Char Char,Footnote Text Char Char Char2 Char Char"/>
    <w:basedOn w:val="DefaultParagraphFont"/>
    <w:link w:val="FootnoteText"/>
    <w:uiPriority w:val="99"/>
    <w:rsid w:val="002B64BD"/>
    <w:rPr>
      <w:rFonts w:ascii="Arial" w:hAnsi="Arial"/>
      <w:lang w:val="en-US"/>
    </w:rPr>
  </w:style>
  <w:style w:type="paragraph" w:styleId="Revision">
    <w:name w:val="Revision"/>
    <w:hidden/>
    <w:uiPriority w:val="99"/>
    <w:semiHidden/>
    <w:rsid w:val="00290FD8"/>
    <w:rPr>
      <w:rFonts w:ascii="Arial" w:hAnsi="Arial"/>
      <w:szCs w:val="24"/>
      <w:lang w:val="en-US"/>
    </w:rPr>
  </w:style>
  <w:style w:type="character" w:customStyle="1" w:styleId="ECCHLbold">
    <w:name w:val="ECC HL bold"/>
    <w:basedOn w:val="Strong"/>
    <w:uiPriority w:val="1"/>
    <w:qFormat/>
    <w:rsid w:val="00C0754F"/>
    <w:rPr>
      <w:b/>
      <w:bCs/>
    </w:rPr>
  </w:style>
  <w:style w:type="character" w:styleId="Strong">
    <w:name w:val="Strong"/>
    <w:basedOn w:val="DefaultParagraphFont"/>
    <w:uiPriority w:val="22"/>
    <w:qFormat/>
    <w:rsid w:val="00C0754F"/>
    <w:rPr>
      <w:b/>
      <w:bCs/>
    </w:rPr>
  </w:style>
  <w:style w:type="paragraph" w:customStyle="1" w:styleId="ECCAnnex-heading1">
    <w:name w:val="ECC Annex - heading1"/>
    <w:basedOn w:val="Heading1"/>
    <w:next w:val="ECCParagraph"/>
    <w:rsid w:val="00746B43"/>
    <w:pPr>
      <w:numPr>
        <w:numId w:val="0"/>
      </w:numPr>
      <w:spacing w:before="400"/>
    </w:pPr>
  </w:style>
  <w:style w:type="character" w:customStyle="1" w:styleId="ECCHLcyan">
    <w:name w:val="ECC HL cyan"/>
    <w:basedOn w:val="DefaultParagraphFont"/>
    <w:uiPriority w:val="1"/>
    <w:rsid w:val="00D34156"/>
    <w:rPr>
      <w:bdr w:val="none" w:sz="0" w:space="0" w:color="auto" w:frame="1"/>
      <w:shd w:val="clear" w:color="auto" w:fill="00FFFF"/>
    </w:rPr>
  </w:style>
  <w:style w:type="paragraph" w:styleId="EndnoteText">
    <w:name w:val="endnote text"/>
    <w:basedOn w:val="Normal"/>
    <w:link w:val="EndnoteTextChar"/>
    <w:uiPriority w:val="99"/>
    <w:semiHidden/>
    <w:unhideWhenUsed/>
    <w:rsid w:val="00694EDA"/>
    <w:rPr>
      <w:szCs w:val="20"/>
    </w:rPr>
  </w:style>
  <w:style w:type="character" w:customStyle="1" w:styleId="EndnoteTextChar">
    <w:name w:val="Endnote Text Char"/>
    <w:basedOn w:val="DefaultParagraphFont"/>
    <w:link w:val="EndnoteText"/>
    <w:uiPriority w:val="99"/>
    <w:semiHidden/>
    <w:rsid w:val="00694EDA"/>
    <w:rPr>
      <w:rFonts w:ascii="Arial" w:hAnsi="Arial"/>
      <w:lang w:val="en-US"/>
    </w:rPr>
  </w:style>
  <w:style w:type="character" w:styleId="EndnoteReference">
    <w:name w:val="endnote reference"/>
    <w:basedOn w:val="DefaultParagraphFont"/>
    <w:uiPriority w:val="99"/>
    <w:semiHidden/>
    <w:unhideWhenUsed/>
    <w:rsid w:val="00694EDA"/>
    <w:rPr>
      <w:vertAlign w:val="superscript"/>
    </w:rPr>
  </w:style>
  <w:style w:type="character" w:customStyle="1" w:styleId="UnresolvedMention1">
    <w:name w:val="Unresolved Mention1"/>
    <w:basedOn w:val="DefaultParagraphFont"/>
    <w:uiPriority w:val="99"/>
    <w:semiHidden/>
    <w:unhideWhenUsed/>
    <w:rsid w:val="005E5B5D"/>
    <w:rPr>
      <w:color w:val="605E5C"/>
      <w:shd w:val="clear" w:color="auto" w:fill="E1DFDD"/>
    </w:rPr>
  </w:style>
  <w:style w:type="paragraph" w:customStyle="1" w:styleId="ECCParBulleted">
    <w:name w:val="ECC Par Bulleted"/>
    <w:basedOn w:val="Normal"/>
    <w:rsid w:val="00EE5A52"/>
    <w:pPr>
      <w:numPr>
        <w:numId w:val="13"/>
      </w:numPr>
      <w:spacing w:after="120"/>
      <w:jc w:val="both"/>
    </w:pPr>
    <w:rPr>
      <w:lang w:val="en-GB"/>
    </w:rPr>
  </w:style>
  <w:style w:type="table" w:customStyle="1" w:styleId="TableGrid1">
    <w:name w:val="TableGrid1"/>
    <w:rsid w:val="006C2C39"/>
    <w:rPr>
      <w:rFonts w:ascii="Calibri" w:hAnsi="Calibri"/>
      <w:sz w:val="24"/>
      <w:szCs w:val="24"/>
      <w:lang w:eastAsia="en-GB"/>
    </w:rPr>
    <w:tblPr>
      <w:tblCellMar>
        <w:top w:w="0" w:type="dxa"/>
        <w:left w:w="0" w:type="dxa"/>
        <w:bottom w:w="0" w:type="dxa"/>
        <w:right w:w="0" w:type="dxa"/>
      </w:tblCellMar>
    </w:tblPr>
  </w:style>
  <w:style w:type="character" w:customStyle="1" w:styleId="ECCHLgreen">
    <w:name w:val="ECC HL green"/>
    <w:basedOn w:val="DefaultParagraphFont"/>
    <w:uiPriority w:val="1"/>
    <w:qFormat/>
    <w:rsid w:val="00B6431E"/>
    <w:rPr>
      <w:bdr w:val="none" w:sz="0" w:space="0" w:color="auto"/>
      <w:shd w:val="solid" w:color="92D050" w:fill="auto"/>
      <w:lang w:val="en-GB"/>
    </w:rPr>
  </w:style>
  <w:style w:type="character" w:styleId="IntenseReference">
    <w:name w:val="Intense Reference"/>
    <w:aliases w:val="cover page 'Report No'"/>
    <w:basedOn w:val="DefaultParagraphFont"/>
    <w:qFormat/>
    <w:rsid w:val="00B6431E"/>
    <w:rPr>
      <w:b/>
      <w:bCs/>
      <w:caps w:val="0"/>
      <w:smallCaps w:val="0"/>
      <w:color w:val="632423" w:themeColor="accent2" w:themeShade="80"/>
      <w:spacing w:val="5"/>
      <w:u w:val="none"/>
      <w:bdr w:val="none" w:sz="0" w:space="0" w:color="auto"/>
      <w:vertAlign w:val="baseline"/>
    </w:rPr>
  </w:style>
  <w:style w:type="character" w:customStyle="1" w:styleId="CaptionChar1">
    <w:name w:val="Caption Char1"/>
    <w:aliases w:val="ECC Caption Char,Ca Char,Figure Lable Char,cap Char,cap1 Char,cap2 Char,cap11 Char,Caption Char Char,Caption Char1 Char Char,cap Char Char1 Char,Caption Char Char1 Char Char,cap Char2 Char Char,Caption Char C... Char,Légende-figure Char1"/>
    <w:link w:val="Caption"/>
    <w:qFormat/>
    <w:rsid w:val="006431E7"/>
    <w:rPr>
      <w:rFonts w:ascii="Arial" w:hAnsi="Arial"/>
      <w:b/>
      <w:bCs/>
      <w:color w:val="D2232A"/>
      <w:sz w:val="18"/>
      <w:szCs w:val="18"/>
      <w:lang w:val="en-US"/>
    </w:rPr>
  </w:style>
  <w:style w:type="paragraph" w:styleId="TOC5">
    <w:name w:val="toc 5"/>
    <w:basedOn w:val="Normal"/>
    <w:next w:val="Normal"/>
    <w:autoRedefine/>
    <w:uiPriority w:val="39"/>
    <w:unhideWhenUsed/>
    <w:rsid w:val="002C0899"/>
    <w:pPr>
      <w:spacing w:after="100"/>
      <w:ind w:left="960"/>
    </w:pPr>
    <w:rPr>
      <w:rFonts w:asciiTheme="minorHAnsi" w:eastAsiaTheme="minorEastAsia" w:hAnsiTheme="minorHAnsi" w:cstheme="minorBidi"/>
      <w:sz w:val="24"/>
      <w:lang w:val="de-DE" w:eastAsia="de-DE"/>
    </w:rPr>
  </w:style>
  <w:style w:type="paragraph" w:styleId="TOC6">
    <w:name w:val="toc 6"/>
    <w:basedOn w:val="Normal"/>
    <w:next w:val="Normal"/>
    <w:autoRedefine/>
    <w:uiPriority w:val="39"/>
    <w:unhideWhenUsed/>
    <w:rsid w:val="002C0899"/>
    <w:pPr>
      <w:spacing w:after="100"/>
      <w:ind w:left="1200"/>
    </w:pPr>
    <w:rPr>
      <w:rFonts w:asciiTheme="minorHAnsi" w:eastAsiaTheme="minorEastAsia" w:hAnsiTheme="minorHAnsi" w:cstheme="minorBidi"/>
      <w:sz w:val="24"/>
      <w:lang w:val="de-DE" w:eastAsia="de-DE"/>
    </w:rPr>
  </w:style>
  <w:style w:type="paragraph" w:styleId="TOC7">
    <w:name w:val="toc 7"/>
    <w:basedOn w:val="Normal"/>
    <w:next w:val="Normal"/>
    <w:autoRedefine/>
    <w:uiPriority w:val="39"/>
    <w:unhideWhenUsed/>
    <w:rsid w:val="002C0899"/>
    <w:pPr>
      <w:spacing w:after="100"/>
      <w:ind w:left="1440"/>
    </w:pPr>
    <w:rPr>
      <w:rFonts w:asciiTheme="minorHAnsi" w:eastAsiaTheme="minorEastAsia" w:hAnsiTheme="minorHAnsi" w:cstheme="minorBidi"/>
      <w:sz w:val="24"/>
      <w:lang w:val="de-DE" w:eastAsia="de-DE"/>
    </w:rPr>
  </w:style>
  <w:style w:type="paragraph" w:styleId="TOC8">
    <w:name w:val="toc 8"/>
    <w:basedOn w:val="Normal"/>
    <w:next w:val="Normal"/>
    <w:autoRedefine/>
    <w:uiPriority w:val="39"/>
    <w:unhideWhenUsed/>
    <w:rsid w:val="002C0899"/>
    <w:pPr>
      <w:spacing w:after="100"/>
      <w:ind w:left="1680"/>
    </w:pPr>
    <w:rPr>
      <w:rFonts w:asciiTheme="minorHAnsi" w:eastAsiaTheme="minorEastAsia" w:hAnsiTheme="minorHAnsi" w:cstheme="minorBidi"/>
      <w:sz w:val="24"/>
      <w:lang w:val="de-DE" w:eastAsia="de-DE"/>
    </w:rPr>
  </w:style>
  <w:style w:type="paragraph" w:styleId="TOC9">
    <w:name w:val="toc 9"/>
    <w:basedOn w:val="Normal"/>
    <w:next w:val="Normal"/>
    <w:autoRedefine/>
    <w:uiPriority w:val="39"/>
    <w:unhideWhenUsed/>
    <w:rsid w:val="002C0899"/>
    <w:pPr>
      <w:spacing w:after="100"/>
      <w:ind w:left="1920"/>
    </w:pPr>
    <w:rPr>
      <w:rFonts w:asciiTheme="minorHAnsi" w:eastAsiaTheme="minorEastAsia" w:hAnsiTheme="minorHAnsi" w:cstheme="minorBidi"/>
      <w:sz w:val="24"/>
      <w:lang w:val="de-DE" w:eastAsia="de-DE"/>
    </w:rPr>
  </w:style>
  <w:style w:type="character" w:customStyle="1" w:styleId="UnresolvedMention2">
    <w:name w:val="Unresolved Mention2"/>
    <w:basedOn w:val="DefaultParagraphFont"/>
    <w:uiPriority w:val="99"/>
    <w:semiHidden/>
    <w:unhideWhenUsed/>
    <w:rsid w:val="002C0899"/>
    <w:rPr>
      <w:color w:val="605E5C"/>
      <w:shd w:val="clear" w:color="auto" w:fill="E1DFDD"/>
    </w:rPr>
  </w:style>
  <w:style w:type="character" w:customStyle="1" w:styleId="ECCHLyellow">
    <w:name w:val="ECC HL yellow"/>
    <w:basedOn w:val="DefaultParagraphFont"/>
    <w:uiPriority w:val="1"/>
    <w:qFormat/>
    <w:rsid w:val="004B20DE"/>
    <w:rPr>
      <w:rFonts w:eastAsia="Calibri"/>
      <w:i w:val="0"/>
      <w:szCs w:val="22"/>
      <w:bdr w:val="none" w:sz="0" w:space="0" w:color="auto"/>
      <w:shd w:val="solid" w:color="FFFF00" w:fill="auto"/>
      <w:lang w:val="en-GB"/>
    </w:rPr>
  </w:style>
  <w:style w:type="character" w:customStyle="1" w:styleId="cf01">
    <w:name w:val="cf01"/>
    <w:basedOn w:val="DefaultParagraphFont"/>
    <w:rsid w:val="00492FC5"/>
    <w:rPr>
      <w:rFonts w:ascii="Segoe UI" w:hAnsi="Segoe UI" w:cs="Segoe UI" w:hint="default"/>
      <w:sz w:val="18"/>
      <w:szCs w:val="18"/>
    </w:rPr>
  </w:style>
  <w:style w:type="character" w:styleId="UnresolvedMention">
    <w:name w:val="Unresolved Mention"/>
    <w:basedOn w:val="DefaultParagraphFont"/>
    <w:uiPriority w:val="99"/>
    <w:semiHidden/>
    <w:unhideWhenUsed/>
    <w:rsid w:val="008A5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0788">
      <w:bodyDiv w:val="1"/>
      <w:marLeft w:val="0"/>
      <w:marRight w:val="0"/>
      <w:marTop w:val="0"/>
      <w:marBottom w:val="0"/>
      <w:divBdr>
        <w:top w:val="none" w:sz="0" w:space="0" w:color="auto"/>
        <w:left w:val="none" w:sz="0" w:space="0" w:color="auto"/>
        <w:bottom w:val="none" w:sz="0" w:space="0" w:color="auto"/>
        <w:right w:val="none" w:sz="0" w:space="0" w:color="auto"/>
      </w:divBdr>
    </w:div>
    <w:div w:id="40717726">
      <w:bodyDiv w:val="1"/>
      <w:marLeft w:val="0"/>
      <w:marRight w:val="0"/>
      <w:marTop w:val="0"/>
      <w:marBottom w:val="0"/>
      <w:divBdr>
        <w:top w:val="none" w:sz="0" w:space="0" w:color="auto"/>
        <w:left w:val="none" w:sz="0" w:space="0" w:color="auto"/>
        <w:bottom w:val="none" w:sz="0" w:space="0" w:color="auto"/>
        <w:right w:val="none" w:sz="0" w:space="0" w:color="auto"/>
      </w:divBdr>
    </w:div>
    <w:div w:id="97257895">
      <w:bodyDiv w:val="1"/>
      <w:marLeft w:val="0"/>
      <w:marRight w:val="0"/>
      <w:marTop w:val="0"/>
      <w:marBottom w:val="0"/>
      <w:divBdr>
        <w:top w:val="none" w:sz="0" w:space="0" w:color="auto"/>
        <w:left w:val="none" w:sz="0" w:space="0" w:color="auto"/>
        <w:bottom w:val="none" w:sz="0" w:space="0" w:color="auto"/>
        <w:right w:val="none" w:sz="0" w:space="0" w:color="auto"/>
      </w:divBdr>
    </w:div>
    <w:div w:id="118188289">
      <w:bodyDiv w:val="1"/>
      <w:marLeft w:val="0"/>
      <w:marRight w:val="0"/>
      <w:marTop w:val="0"/>
      <w:marBottom w:val="0"/>
      <w:divBdr>
        <w:top w:val="none" w:sz="0" w:space="0" w:color="auto"/>
        <w:left w:val="none" w:sz="0" w:space="0" w:color="auto"/>
        <w:bottom w:val="none" w:sz="0" w:space="0" w:color="auto"/>
        <w:right w:val="none" w:sz="0" w:space="0" w:color="auto"/>
      </w:divBdr>
    </w:div>
    <w:div w:id="382946930">
      <w:bodyDiv w:val="1"/>
      <w:marLeft w:val="0"/>
      <w:marRight w:val="0"/>
      <w:marTop w:val="0"/>
      <w:marBottom w:val="0"/>
      <w:divBdr>
        <w:top w:val="none" w:sz="0" w:space="0" w:color="auto"/>
        <w:left w:val="none" w:sz="0" w:space="0" w:color="auto"/>
        <w:bottom w:val="none" w:sz="0" w:space="0" w:color="auto"/>
        <w:right w:val="none" w:sz="0" w:space="0" w:color="auto"/>
      </w:divBdr>
    </w:div>
    <w:div w:id="491411328">
      <w:bodyDiv w:val="1"/>
      <w:marLeft w:val="0"/>
      <w:marRight w:val="0"/>
      <w:marTop w:val="0"/>
      <w:marBottom w:val="0"/>
      <w:divBdr>
        <w:top w:val="none" w:sz="0" w:space="0" w:color="auto"/>
        <w:left w:val="none" w:sz="0" w:space="0" w:color="auto"/>
        <w:bottom w:val="none" w:sz="0" w:space="0" w:color="auto"/>
        <w:right w:val="none" w:sz="0" w:space="0" w:color="auto"/>
      </w:divBdr>
    </w:div>
    <w:div w:id="733820609">
      <w:bodyDiv w:val="1"/>
      <w:marLeft w:val="0"/>
      <w:marRight w:val="0"/>
      <w:marTop w:val="0"/>
      <w:marBottom w:val="0"/>
      <w:divBdr>
        <w:top w:val="none" w:sz="0" w:space="0" w:color="auto"/>
        <w:left w:val="none" w:sz="0" w:space="0" w:color="auto"/>
        <w:bottom w:val="none" w:sz="0" w:space="0" w:color="auto"/>
        <w:right w:val="none" w:sz="0" w:space="0" w:color="auto"/>
      </w:divBdr>
    </w:div>
    <w:div w:id="748893852">
      <w:bodyDiv w:val="1"/>
      <w:marLeft w:val="0"/>
      <w:marRight w:val="0"/>
      <w:marTop w:val="0"/>
      <w:marBottom w:val="0"/>
      <w:divBdr>
        <w:top w:val="none" w:sz="0" w:space="0" w:color="auto"/>
        <w:left w:val="none" w:sz="0" w:space="0" w:color="auto"/>
        <w:bottom w:val="none" w:sz="0" w:space="0" w:color="auto"/>
        <w:right w:val="none" w:sz="0" w:space="0" w:color="auto"/>
      </w:divBdr>
    </w:div>
    <w:div w:id="845707052">
      <w:bodyDiv w:val="1"/>
      <w:marLeft w:val="0"/>
      <w:marRight w:val="0"/>
      <w:marTop w:val="0"/>
      <w:marBottom w:val="0"/>
      <w:divBdr>
        <w:top w:val="none" w:sz="0" w:space="0" w:color="auto"/>
        <w:left w:val="none" w:sz="0" w:space="0" w:color="auto"/>
        <w:bottom w:val="none" w:sz="0" w:space="0" w:color="auto"/>
        <w:right w:val="none" w:sz="0" w:space="0" w:color="auto"/>
      </w:divBdr>
    </w:div>
    <w:div w:id="1017385907">
      <w:bodyDiv w:val="1"/>
      <w:marLeft w:val="0"/>
      <w:marRight w:val="0"/>
      <w:marTop w:val="0"/>
      <w:marBottom w:val="0"/>
      <w:divBdr>
        <w:top w:val="none" w:sz="0" w:space="0" w:color="auto"/>
        <w:left w:val="none" w:sz="0" w:space="0" w:color="auto"/>
        <w:bottom w:val="none" w:sz="0" w:space="0" w:color="auto"/>
        <w:right w:val="none" w:sz="0" w:space="0" w:color="auto"/>
      </w:divBdr>
      <w:divsChild>
        <w:div w:id="1048724533">
          <w:marLeft w:val="0"/>
          <w:marRight w:val="0"/>
          <w:marTop w:val="0"/>
          <w:marBottom w:val="0"/>
          <w:divBdr>
            <w:top w:val="none" w:sz="0" w:space="0" w:color="auto"/>
            <w:left w:val="none" w:sz="0" w:space="0" w:color="auto"/>
            <w:bottom w:val="none" w:sz="0" w:space="0" w:color="auto"/>
            <w:right w:val="none" w:sz="0" w:space="0" w:color="auto"/>
          </w:divBdr>
          <w:divsChild>
            <w:div w:id="424814309">
              <w:marLeft w:val="0"/>
              <w:marRight w:val="0"/>
              <w:marTop w:val="0"/>
              <w:marBottom w:val="0"/>
              <w:divBdr>
                <w:top w:val="none" w:sz="0" w:space="0" w:color="auto"/>
                <w:left w:val="none" w:sz="0" w:space="0" w:color="auto"/>
                <w:bottom w:val="none" w:sz="0" w:space="0" w:color="auto"/>
                <w:right w:val="none" w:sz="0" w:space="0" w:color="auto"/>
              </w:divBdr>
              <w:divsChild>
                <w:div w:id="358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52576">
      <w:bodyDiv w:val="1"/>
      <w:marLeft w:val="0"/>
      <w:marRight w:val="0"/>
      <w:marTop w:val="0"/>
      <w:marBottom w:val="0"/>
      <w:divBdr>
        <w:top w:val="none" w:sz="0" w:space="0" w:color="auto"/>
        <w:left w:val="none" w:sz="0" w:space="0" w:color="auto"/>
        <w:bottom w:val="none" w:sz="0" w:space="0" w:color="auto"/>
        <w:right w:val="none" w:sz="0" w:space="0" w:color="auto"/>
      </w:divBdr>
      <w:divsChild>
        <w:div w:id="2029597281">
          <w:marLeft w:val="0"/>
          <w:marRight w:val="0"/>
          <w:marTop w:val="0"/>
          <w:marBottom w:val="0"/>
          <w:divBdr>
            <w:top w:val="none" w:sz="0" w:space="0" w:color="auto"/>
            <w:left w:val="none" w:sz="0" w:space="0" w:color="auto"/>
            <w:bottom w:val="none" w:sz="0" w:space="0" w:color="auto"/>
            <w:right w:val="none" w:sz="0" w:space="0" w:color="auto"/>
          </w:divBdr>
          <w:divsChild>
            <w:div w:id="911083367">
              <w:marLeft w:val="0"/>
              <w:marRight w:val="0"/>
              <w:marTop w:val="0"/>
              <w:marBottom w:val="0"/>
              <w:divBdr>
                <w:top w:val="none" w:sz="0" w:space="0" w:color="auto"/>
                <w:left w:val="none" w:sz="0" w:space="0" w:color="auto"/>
                <w:bottom w:val="none" w:sz="0" w:space="0" w:color="auto"/>
                <w:right w:val="none" w:sz="0" w:space="0" w:color="auto"/>
              </w:divBdr>
              <w:divsChild>
                <w:div w:id="18406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774">
      <w:bodyDiv w:val="1"/>
      <w:marLeft w:val="0"/>
      <w:marRight w:val="0"/>
      <w:marTop w:val="0"/>
      <w:marBottom w:val="0"/>
      <w:divBdr>
        <w:top w:val="none" w:sz="0" w:space="0" w:color="auto"/>
        <w:left w:val="none" w:sz="0" w:space="0" w:color="auto"/>
        <w:bottom w:val="none" w:sz="0" w:space="0" w:color="auto"/>
        <w:right w:val="none" w:sz="0" w:space="0" w:color="auto"/>
      </w:divBdr>
    </w:div>
    <w:div w:id="1421295770">
      <w:bodyDiv w:val="1"/>
      <w:marLeft w:val="0"/>
      <w:marRight w:val="0"/>
      <w:marTop w:val="0"/>
      <w:marBottom w:val="0"/>
      <w:divBdr>
        <w:top w:val="none" w:sz="0" w:space="0" w:color="auto"/>
        <w:left w:val="none" w:sz="0" w:space="0" w:color="auto"/>
        <w:bottom w:val="none" w:sz="0" w:space="0" w:color="auto"/>
        <w:right w:val="none" w:sz="0" w:space="0" w:color="auto"/>
      </w:divBdr>
    </w:div>
    <w:div w:id="1450469126">
      <w:bodyDiv w:val="1"/>
      <w:marLeft w:val="0"/>
      <w:marRight w:val="0"/>
      <w:marTop w:val="0"/>
      <w:marBottom w:val="0"/>
      <w:divBdr>
        <w:top w:val="none" w:sz="0" w:space="0" w:color="auto"/>
        <w:left w:val="none" w:sz="0" w:space="0" w:color="auto"/>
        <w:bottom w:val="none" w:sz="0" w:space="0" w:color="auto"/>
        <w:right w:val="none" w:sz="0" w:space="0" w:color="auto"/>
      </w:divBdr>
    </w:div>
    <w:div w:id="1487014784">
      <w:bodyDiv w:val="1"/>
      <w:marLeft w:val="0"/>
      <w:marRight w:val="0"/>
      <w:marTop w:val="0"/>
      <w:marBottom w:val="0"/>
      <w:divBdr>
        <w:top w:val="none" w:sz="0" w:space="0" w:color="auto"/>
        <w:left w:val="none" w:sz="0" w:space="0" w:color="auto"/>
        <w:bottom w:val="none" w:sz="0" w:space="0" w:color="auto"/>
        <w:right w:val="none" w:sz="0" w:space="0" w:color="auto"/>
      </w:divBdr>
    </w:div>
    <w:div w:id="1519545546">
      <w:bodyDiv w:val="1"/>
      <w:marLeft w:val="0"/>
      <w:marRight w:val="0"/>
      <w:marTop w:val="0"/>
      <w:marBottom w:val="0"/>
      <w:divBdr>
        <w:top w:val="none" w:sz="0" w:space="0" w:color="auto"/>
        <w:left w:val="none" w:sz="0" w:space="0" w:color="auto"/>
        <w:bottom w:val="none" w:sz="0" w:space="0" w:color="auto"/>
        <w:right w:val="none" w:sz="0" w:space="0" w:color="auto"/>
      </w:divBdr>
    </w:div>
    <w:div w:id="1552494981">
      <w:bodyDiv w:val="1"/>
      <w:marLeft w:val="0"/>
      <w:marRight w:val="0"/>
      <w:marTop w:val="0"/>
      <w:marBottom w:val="0"/>
      <w:divBdr>
        <w:top w:val="none" w:sz="0" w:space="0" w:color="auto"/>
        <w:left w:val="none" w:sz="0" w:space="0" w:color="auto"/>
        <w:bottom w:val="none" w:sz="0" w:space="0" w:color="auto"/>
        <w:right w:val="none" w:sz="0" w:space="0" w:color="auto"/>
      </w:divBdr>
    </w:div>
    <w:div w:id="1617714194">
      <w:bodyDiv w:val="1"/>
      <w:marLeft w:val="0"/>
      <w:marRight w:val="0"/>
      <w:marTop w:val="0"/>
      <w:marBottom w:val="0"/>
      <w:divBdr>
        <w:top w:val="none" w:sz="0" w:space="0" w:color="auto"/>
        <w:left w:val="none" w:sz="0" w:space="0" w:color="auto"/>
        <w:bottom w:val="none" w:sz="0" w:space="0" w:color="auto"/>
        <w:right w:val="none" w:sz="0" w:space="0" w:color="auto"/>
      </w:divBdr>
    </w:div>
    <w:div w:id="1624456918">
      <w:bodyDiv w:val="1"/>
      <w:marLeft w:val="0"/>
      <w:marRight w:val="0"/>
      <w:marTop w:val="0"/>
      <w:marBottom w:val="0"/>
      <w:divBdr>
        <w:top w:val="none" w:sz="0" w:space="0" w:color="auto"/>
        <w:left w:val="none" w:sz="0" w:space="0" w:color="auto"/>
        <w:bottom w:val="none" w:sz="0" w:space="0" w:color="auto"/>
        <w:right w:val="none" w:sz="0" w:space="0" w:color="auto"/>
      </w:divBdr>
      <w:divsChild>
        <w:div w:id="261039536">
          <w:marLeft w:val="0"/>
          <w:marRight w:val="0"/>
          <w:marTop w:val="0"/>
          <w:marBottom w:val="0"/>
          <w:divBdr>
            <w:top w:val="none" w:sz="0" w:space="0" w:color="auto"/>
            <w:left w:val="none" w:sz="0" w:space="0" w:color="auto"/>
            <w:bottom w:val="none" w:sz="0" w:space="0" w:color="auto"/>
            <w:right w:val="none" w:sz="0" w:space="0" w:color="auto"/>
          </w:divBdr>
        </w:div>
        <w:div w:id="466359196">
          <w:marLeft w:val="0"/>
          <w:marRight w:val="0"/>
          <w:marTop w:val="0"/>
          <w:marBottom w:val="0"/>
          <w:divBdr>
            <w:top w:val="none" w:sz="0" w:space="0" w:color="auto"/>
            <w:left w:val="none" w:sz="0" w:space="0" w:color="auto"/>
            <w:bottom w:val="none" w:sz="0" w:space="0" w:color="auto"/>
            <w:right w:val="none" w:sz="0" w:space="0" w:color="auto"/>
          </w:divBdr>
        </w:div>
        <w:div w:id="990133953">
          <w:marLeft w:val="0"/>
          <w:marRight w:val="0"/>
          <w:marTop w:val="0"/>
          <w:marBottom w:val="0"/>
          <w:divBdr>
            <w:top w:val="none" w:sz="0" w:space="0" w:color="auto"/>
            <w:left w:val="none" w:sz="0" w:space="0" w:color="auto"/>
            <w:bottom w:val="none" w:sz="0" w:space="0" w:color="auto"/>
            <w:right w:val="none" w:sz="0" w:space="0" w:color="auto"/>
          </w:divBdr>
        </w:div>
        <w:div w:id="1288853635">
          <w:marLeft w:val="0"/>
          <w:marRight w:val="0"/>
          <w:marTop w:val="0"/>
          <w:marBottom w:val="0"/>
          <w:divBdr>
            <w:top w:val="none" w:sz="0" w:space="0" w:color="auto"/>
            <w:left w:val="none" w:sz="0" w:space="0" w:color="auto"/>
            <w:bottom w:val="none" w:sz="0" w:space="0" w:color="auto"/>
            <w:right w:val="none" w:sz="0" w:space="0" w:color="auto"/>
          </w:divBdr>
        </w:div>
        <w:div w:id="1780879854">
          <w:marLeft w:val="0"/>
          <w:marRight w:val="0"/>
          <w:marTop w:val="0"/>
          <w:marBottom w:val="0"/>
          <w:divBdr>
            <w:top w:val="none" w:sz="0" w:space="0" w:color="auto"/>
            <w:left w:val="none" w:sz="0" w:space="0" w:color="auto"/>
            <w:bottom w:val="none" w:sz="0" w:space="0" w:color="auto"/>
            <w:right w:val="none" w:sz="0" w:space="0" w:color="auto"/>
          </w:divBdr>
        </w:div>
      </w:divsChild>
    </w:div>
    <w:div w:id="1819419579">
      <w:bodyDiv w:val="1"/>
      <w:marLeft w:val="0"/>
      <w:marRight w:val="0"/>
      <w:marTop w:val="0"/>
      <w:marBottom w:val="0"/>
      <w:divBdr>
        <w:top w:val="none" w:sz="0" w:space="0" w:color="auto"/>
        <w:left w:val="none" w:sz="0" w:space="0" w:color="auto"/>
        <w:bottom w:val="none" w:sz="0" w:space="0" w:color="auto"/>
        <w:right w:val="none" w:sz="0" w:space="0" w:color="auto"/>
      </w:divBdr>
    </w:div>
    <w:div w:id="1869177616">
      <w:bodyDiv w:val="1"/>
      <w:marLeft w:val="0"/>
      <w:marRight w:val="0"/>
      <w:marTop w:val="0"/>
      <w:marBottom w:val="0"/>
      <w:divBdr>
        <w:top w:val="none" w:sz="0" w:space="0" w:color="auto"/>
        <w:left w:val="none" w:sz="0" w:space="0" w:color="auto"/>
        <w:bottom w:val="none" w:sz="0" w:space="0" w:color="auto"/>
        <w:right w:val="none" w:sz="0" w:space="0" w:color="auto"/>
      </w:divBdr>
      <w:divsChild>
        <w:div w:id="1332217109">
          <w:marLeft w:val="0"/>
          <w:marRight w:val="0"/>
          <w:marTop w:val="0"/>
          <w:marBottom w:val="0"/>
          <w:divBdr>
            <w:top w:val="none" w:sz="0" w:space="0" w:color="auto"/>
            <w:left w:val="none" w:sz="0" w:space="0" w:color="auto"/>
            <w:bottom w:val="none" w:sz="0" w:space="0" w:color="auto"/>
            <w:right w:val="none" w:sz="0" w:space="0" w:color="auto"/>
          </w:divBdr>
          <w:divsChild>
            <w:div w:id="1455179032">
              <w:marLeft w:val="0"/>
              <w:marRight w:val="0"/>
              <w:marTop w:val="0"/>
              <w:marBottom w:val="0"/>
              <w:divBdr>
                <w:top w:val="none" w:sz="0" w:space="0" w:color="auto"/>
                <w:left w:val="none" w:sz="0" w:space="0" w:color="auto"/>
                <w:bottom w:val="none" w:sz="0" w:space="0" w:color="auto"/>
                <w:right w:val="none" w:sz="0" w:space="0" w:color="auto"/>
              </w:divBdr>
              <w:divsChild>
                <w:div w:id="6642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34350">
      <w:bodyDiv w:val="1"/>
      <w:marLeft w:val="0"/>
      <w:marRight w:val="0"/>
      <w:marTop w:val="0"/>
      <w:marBottom w:val="0"/>
      <w:divBdr>
        <w:top w:val="none" w:sz="0" w:space="0" w:color="auto"/>
        <w:left w:val="none" w:sz="0" w:space="0" w:color="auto"/>
        <w:bottom w:val="none" w:sz="0" w:space="0" w:color="auto"/>
        <w:right w:val="none" w:sz="0" w:space="0" w:color="auto"/>
      </w:divBdr>
      <w:divsChild>
        <w:div w:id="181669478">
          <w:marLeft w:val="0"/>
          <w:marRight w:val="0"/>
          <w:marTop w:val="0"/>
          <w:marBottom w:val="0"/>
          <w:divBdr>
            <w:top w:val="none" w:sz="0" w:space="0" w:color="auto"/>
            <w:left w:val="none" w:sz="0" w:space="0" w:color="auto"/>
            <w:bottom w:val="none" w:sz="0" w:space="0" w:color="auto"/>
            <w:right w:val="none" w:sz="0" w:space="0" w:color="auto"/>
          </w:divBdr>
          <w:divsChild>
            <w:div w:id="283850686">
              <w:marLeft w:val="0"/>
              <w:marRight w:val="0"/>
              <w:marTop w:val="0"/>
              <w:marBottom w:val="0"/>
              <w:divBdr>
                <w:top w:val="none" w:sz="0" w:space="0" w:color="auto"/>
                <w:left w:val="none" w:sz="0" w:space="0" w:color="auto"/>
                <w:bottom w:val="none" w:sz="0" w:space="0" w:color="auto"/>
                <w:right w:val="none" w:sz="0" w:space="0" w:color="auto"/>
              </w:divBdr>
              <w:divsChild>
                <w:div w:id="6043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3137">
      <w:bodyDiv w:val="1"/>
      <w:marLeft w:val="0"/>
      <w:marRight w:val="0"/>
      <w:marTop w:val="0"/>
      <w:marBottom w:val="0"/>
      <w:divBdr>
        <w:top w:val="none" w:sz="0" w:space="0" w:color="auto"/>
        <w:left w:val="none" w:sz="0" w:space="0" w:color="auto"/>
        <w:bottom w:val="none" w:sz="0" w:space="0" w:color="auto"/>
        <w:right w:val="none" w:sz="0" w:space="0" w:color="auto"/>
      </w:divBdr>
      <w:divsChild>
        <w:div w:id="125393736">
          <w:marLeft w:val="0"/>
          <w:marRight w:val="0"/>
          <w:marTop w:val="0"/>
          <w:marBottom w:val="0"/>
          <w:divBdr>
            <w:top w:val="none" w:sz="0" w:space="0" w:color="auto"/>
            <w:left w:val="none" w:sz="0" w:space="0" w:color="auto"/>
            <w:bottom w:val="none" w:sz="0" w:space="0" w:color="auto"/>
            <w:right w:val="none" w:sz="0" w:space="0" w:color="auto"/>
          </w:divBdr>
        </w:div>
        <w:div w:id="227814055">
          <w:marLeft w:val="0"/>
          <w:marRight w:val="0"/>
          <w:marTop w:val="0"/>
          <w:marBottom w:val="0"/>
          <w:divBdr>
            <w:top w:val="none" w:sz="0" w:space="0" w:color="auto"/>
            <w:left w:val="none" w:sz="0" w:space="0" w:color="auto"/>
            <w:bottom w:val="none" w:sz="0" w:space="0" w:color="auto"/>
            <w:right w:val="none" w:sz="0" w:space="0" w:color="auto"/>
          </w:divBdr>
        </w:div>
        <w:div w:id="411199268">
          <w:marLeft w:val="0"/>
          <w:marRight w:val="0"/>
          <w:marTop w:val="0"/>
          <w:marBottom w:val="0"/>
          <w:divBdr>
            <w:top w:val="none" w:sz="0" w:space="0" w:color="auto"/>
            <w:left w:val="none" w:sz="0" w:space="0" w:color="auto"/>
            <w:bottom w:val="none" w:sz="0" w:space="0" w:color="auto"/>
            <w:right w:val="none" w:sz="0" w:space="0" w:color="auto"/>
          </w:divBdr>
        </w:div>
        <w:div w:id="1266570412">
          <w:marLeft w:val="0"/>
          <w:marRight w:val="0"/>
          <w:marTop w:val="0"/>
          <w:marBottom w:val="0"/>
          <w:divBdr>
            <w:top w:val="none" w:sz="0" w:space="0" w:color="auto"/>
            <w:left w:val="none" w:sz="0" w:space="0" w:color="auto"/>
            <w:bottom w:val="none" w:sz="0" w:space="0" w:color="auto"/>
            <w:right w:val="none" w:sz="0" w:space="0" w:color="auto"/>
          </w:divBdr>
        </w:div>
        <w:div w:id="1859734300">
          <w:marLeft w:val="0"/>
          <w:marRight w:val="0"/>
          <w:marTop w:val="0"/>
          <w:marBottom w:val="0"/>
          <w:divBdr>
            <w:top w:val="none" w:sz="0" w:space="0" w:color="auto"/>
            <w:left w:val="none" w:sz="0" w:space="0" w:color="auto"/>
            <w:bottom w:val="none" w:sz="0" w:space="0" w:color="auto"/>
            <w:right w:val="none" w:sz="0" w:space="0" w:color="auto"/>
          </w:divBdr>
        </w:div>
      </w:divsChild>
    </w:div>
    <w:div w:id="2083528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CEPT%20Report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0FE42788A214EB75D5CAD861CD4C9" ma:contentTypeVersion="13" ma:contentTypeDescription="Create a new document." ma:contentTypeScope="" ma:versionID="aeb40d28a5c7fe3f7b85661d50f3de25">
  <xsd:schema xmlns:xsd="http://www.w3.org/2001/XMLSchema" xmlns:xs="http://www.w3.org/2001/XMLSchema" xmlns:p="http://schemas.microsoft.com/office/2006/metadata/properties" xmlns:ns3="dfce8ae1-1b37-48c2-896a-379da2c03a9f" xmlns:ns4="be1c5d49-d677-4461-a517-29476d1a2811" targetNamespace="http://schemas.microsoft.com/office/2006/metadata/properties" ma:root="true" ma:fieldsID="5f23b182c216a65bc94c9f93f4c0f7a0" ns3:_="" ns4:_="">
    <xsd:import namespace="dfce8ae1-1b37-48c2-896a-379da2c03a9f"/>
    <xsd:import namespace="be1c5d49-d677-4461-a517-29476d1a28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e8ae1-1b37-48c2-896a-379da2c03a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c5d49-d677-4461-a517-29476d1a281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75340-D028-47A2-B90C-169D8CDE7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e8ae1-1b37-48c2-896a-379da2c03a9f"/>
    <ds:schemaRef ds:uri="be1c5d49-d677-4461-a517-29476d1a2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6ABBB-D161-4664-8003-D12503BE7FB3}">
  <ds:schemaRefs>
    <ds:schemaRef ds:uri="http://schemas.openxmlformats.org/officeDocument/2006/bibliography"/>
  </ds:schemaRefs>
</ds:datastoreItem>
</file>

<file path=customXml/itemProps3.xml><?xml version="1.0" encoding="utf-8"?>
<ds:datastoreItem xmlns:ds="http://schemas.openxmlformats.org/officeDocument/2006/customXml" ds:itemID="{F642C065-51D5-42D9-B57B-B9B83B361CE1}">
  <ds:schemaRefs>
    <ds:schemaRef ds:uri="dfce8ae1-1b37-48c2-896a-379da2c03a9f"/>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be1c5d49-d677-4461-a517-29476d1a2811"/>
    <ds:schemaRef ds:uri="http://schemas.microsoft.com/office/2006/metadata/properties"/>
  </ds:schemaRefs>
</ds:datastoreItem>
</file>

<file path=customXml/itemProps4.xml><?xml version="1.0" encoding="utf-8"?>
<ds:datastoreItem xmlns:ds="http://schemas.openxmlformats.org/officeDocument/2006/customXml" ds:itemID="{CCE56A5D-4B2A-458C-985E-BA50A61393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Standard format - CEPT Report_June_2012</Template>
  <TotalTime>2</TotalTime>
  <Pages>48</Pages>
  <Words>18999</Words>
  <Characters>103546</Characters>
  <Application>Microsoft Office Word</Application>
  <DocSecurity>0</DocSecurity>
  <Lines>3340</Lines>
  <Paragraphs>1776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Draft CEPT Report B on WAS-RLAN at 6 GHz for PC</vt:lpstr>
      <vt:lpstr>Draft CEPT Report B on WAS-RLAN at 6 GHz for PC</vt:lpstr>
      <vt:lpstr>Draft CEPT Report B on WAS-RLAN at 6 GHz for PC</vt:lpstr>
    </vt:vector>
  </TitlesOfParts>
  <Manager/>
  <Company/>
  <LinksUpToDate>false</LinksUpToDate>
  <CharactersWithSpaces>120769</CharactersWithSpaces>
  <SharedDoc>false</SharedDoc>
  <HLinks>
    <vt:vector size="192" baseType="variant">
      <vt:variant>
        <vt:i4>589897</vt:i4>
      </vt:variant>
      <vt:variant>
        <vt:i4>466</vt:i4>
      </vt:variant>
      <vt:variant>
        <vt:i4>0</vt:i4>
      </vt:variant>
      <vt:variant>
        <vt:i4>5</vt:i4>
      </vt:variant>
      <vt:variant>
        <vt:lpwstr>https://docdb.cept.org/document/28577</vt:lpwstr>
      </vt:variant>
      <vt:variant>
        <vt:lpwstr/>
      </vt:variant>
      <vt:variant>
        <vt:i4>393289</vt:i4>
      </vt:variant>
      <vt:variant>
        <vt:i4>463</vt:i4>
      </vt:variant>
      <vt:variant>
        <vt:i4>0</vt:i4>
      </vt:variant>
      <vt:variant>
        <vt:i4>5</vt:i4>
      </vt:variant>
      <vt:variant>
        <vt:lpwstr>https://docdb.cept.org/document/28588</vt:lpwstr>
      </vt:variant>
      <vt:variant>
        <vt:lpwstr/>
      </vt:variant>
      <vt:variant>
        <vt:i4>524365</vt:i4>
      </vt:variant>
      <vt:variant>
        <vt:i4>460</vt:i4>
      </vt:variant>
      <vt:variant>
        <vt:i4>0</vt:i4>
      </vt:variant>
      <vt:variant>
        <vt:i4>5</vt:i4>
      </vt:variant>
      <vt:variant>
        <vt:lpwstr>https://docdb.cept.org/document/26187</vt:lpwstr>
      </vt:variant>
      <vt:variant>
        <vt:lpwstr/>
      </vt:variant>
      <vt:variant>
        <vt:i4>1441849</vt:i4>
      </vt:variant>
      <vt:variant>
        <vt:i4>197</vt:i4>
      </vt:variant>
      <vt:variant>
        <vt:i4>0</vt:i4>
      </vt:variant>
      <vt:variant>
        <vt:i4>5</vt:i4>
      </vt:variant>
      <vt:variant>
        <vt:lpwstr/>
      </vt:variant>
      <vt:variant>
        <vt:lpwstr>_Toc138334353</vt:lpwstr>
      </vt:variant>
      <vt:variant>
        <vt:i4>1441849</vt:i4>
      </vt:variant>
      <vt:variant>
        <vt:i4>191</vt:i4>
      </vt:variant>
      <vt:variant>
        <vt:i4>0</vt:i4>
      </vt:variant>
      <vt:variant>
        <vt:i4>5</vt:i4>
      </vt:variant>
      <vt:variant>
        <vt:lpwstr/>
      </vt:variant>
      <vt:variant>
        <vt:lpwstr>_Toc138334352</vt:lpwstr>
      </vt:variant>
      <vt:variant>
        <vt:i4>1441849</vt:i4>
      </vt:variant>
      <vt:variant>
        <vt:i4>185</vt:i4>
      </vt:variant>
      <vt:variant>
        <vt:i4>0</vt:i4>
      </vt:variant>
      <vt:variant>
        <vt:i4>5</vt:i4>
      </vt:variant>
      <vt:variant>
        <vt:lpwstr/>
      </vt:variant>
      <vt:variant>
        <vt:lpwstr>_Toc138334351</vt:lpwstr>
      </vt:variant>
      <vt:variant>
        <vt:i4>1441849</vt:i4>
      </vt:variant>
      <vt:variant>
        <vt:i4>179</vt:i4>
      </vt:variant>
      <vt:variant>
        <vt:i4>0</vt:i4>
      </vt:variant>
      <vt:variant>
        <vt:i4>5</vt:i4>
      </vt:variant>
      <vt:variant>
        <vt:lpwstr/>
      </vt:variant>
      <vt:variant>
        <vt:lpwstr>_Toc138334350</vt:lpwstr>
      </vt:variant>
      <vt:variant>
        <vt:i4>1507385</vt:i4>
      </vt:variant>
      <vt:variant>
        <vt:i4>173</vt:i4>
      </vt:variant>
      <vt:variant>
        <vt:i4>0</vt:i4>
      </vt:variant>
      <vt:variant>
        <vt:i4>5</vt:i4>
      </vt:variant>
      <vt:variant>
        <vt:lpwstr/>
      </vt:variant>
      <vt:variant>
        <vt:lpwstr>_Toc138334349</vt:lpwstr>
      </vt:variant>
      <vt:variant>
        <vt:i4>1507385</vt:i4>
      </vt:variant>
      <vt:variant>
        <vt:i4>167</vt:i4>
      </vt:variant>
      <vt:variant>
        <vt:i4>0</vt:i4>
      </vt:variant>
      <vt:variant>
        <vt:i4>5</vt:i4>
      </vt:variant>
      <vt:variant>
        <vt:lpwstr/>
      </vt:variant>
      <vt:variant>
        <vt:lpwstr>_Toc138334348</vt:lpwstr>
      </vt:variant>
      <vt:variant>
        <vt:i4>1507385</vt:i4>
      </vt:variant>
      <vt:variant>
        <vt:i4>161</vt:i4>
      </vt:variant>
      <vt:variant>
        <vt:i4>0</vt:i4>
      </vt:variant>
      <vt:variant>
        <vt:i4>5</vt:i4>
      </vt:variant>
      <vt:variant>
        <vt:lpwstr/>
      </vt:variant>
      <vt:variant>
        <vt:lpwstr>_Toc138334347</vt:lpwstr>
      </vt:variant>
      <vt:variant>
        <vt:i4>1507385</vt:i4>
      </vt:variant>
      <vt:variant>
        <vt:i4>155</vt:i4>
      </vt:variant>
      <vt:variant>
        <vt:i4>0</vt:i4>
      </vt:variant>
      <vt:variant>
        <vt:i4>5</vt:i4>
      </vt:variant>
      <vt:variant>
        <vt:lpwstr/>
      </vt:variant>
      <vt:variant>
        <vt:lpwstr>_Toc138334346</vt:lpwstr>
      </vt:variant>
      <vt:variant>
        <vt:i4>1507385</vt:i4>
      </vt:variant>
      <vt:variant>
        <vt:i4>149</vt:i4>
      </vt:variant>
      <vt:variant>
        <vt:i4>0</vt:i4>
      </vt:variant>
      <vt:variant>
        <vt:i4>5</vt:i4>
      </vt:variant>
      <vt:variant>
        <vt:lpwstr/>
      </vt:variant>
      <vt:variant>
        <vt:lpwstr>_Toc138334345</vt:lpwstr>
      </vt:variant>
      <vt:variant>
        <vt:i4>1507385</vt:i4>
      </vt:variant>
      <vt:variant>
        <vt:i4>143</vt:i4>
      </vt:variant>
      <vt:variant>
        <vt:i4>0</vt:i4>
      </vt:variant>
      <vt:variant>
        <vt:i4>5</vt:i4>
      </vt:variant>
      <vt:variant>
        <vt:lpwstr/>
      </vt:variant>
      <vt:variant>
        <vt:lpwstr>_Toc138334344</vt:lpwstr>
      </vt:variant>
      <vt:variant>
        <vt:i4>1507385</vt:i4>
      </vt:variant>
      <vt:variant>
        <vt:i4>137</vt:i4>
      </vt:variant>
      <vt:variant>
        <vt:i4>0</vt:i4>
      </vt:variant>
      <vt:variant>
        <vt:i4>5</vt:i4>
      </vt:variant>
      <vt:variant>
        <vt:lpwstr/>
      </vt:variant>
      <vt:variant>
        <vt:lpwstr>_Toc138334343</vt:lpwstr>
      </vt:variant>
      <vt:variant>
        <vt:i4>1507385</vt:i4>
      </vt:variant>
      <vt:variant>
        <vt:i4>131</vt:i4>
      </vt:variant>
      <vt:variant>
        <vt:i4>0</vt:i4>
      </vt:variant>
      <vt:variant>
        <vt:i4>5</vt:i4>
      </vt:variant>
      <vt:variant>
        <vt:lpwstr/>
      </vt:variant>
      <vt:variant>
        <vt:lpwstr>_Toc138334342</vt:lpwstr>
      </vt:variant>
      <vt:variant>
        <vt:i4>1507385</vt:i4>
      </vt:variant>
      <vt:variant>
        <vt:i4>125</vt:i4>
      </vt:variant>
      <vt:variant>
        <vt:i4>0</vt:i4>
      </vt:variant>
      <vt:variant>
        <vt:i4>5</vt:i4>
      </vt:variant>
      <vt:variant>
        <vt:lpwstr/>
      </vt:variant>
      <vt:variant>
        <vt:lpwstr>_Toc138334341</vt:lpwstr>
      </vt:variant>
      <vt:variant>
        <vt:i4>1507385</vt:i4>
      </vt:variant>
      <vt:variant>
        <vt:i4>119</vt:i4>
      </vt:variant>
      <vt:variant>
        <vt:i4>0</vt:i4>
      </vt:variant>
      <vt:variant>
        <vt:i4>5</vt:i4>
      </vt:variant>
      <vt:variant>
        <vt:lpwstr/>
      </vt:variant>
      <vt:variant>
        <vt:lpwstr>_Toc138334340</vt:lpwstr>
      </vt:variant>
      <vt:variant>
        <vt:i4>1048633</vt:i4>
      </vt:variant>
      <vt:variant>
        <vt:i4>113</vt:i4>
      </vt:variant>
      <vt:variant>
        <vt:i4>0</vt:i4>
      </vt:variant>
      <vt:variant>
        <vt:i4>5</vt:i4>
      </vt:variant>
      <vt:variant>
        <vt:lpwstr/>
      </vt:variant>
      <vt:variant>
        <vt:lpwstr>_Toc138334339</vt:lpwstr>
      </vt:variant>
      <vt:variant>
        <vt:i4>1048633</vt:i4>
      </vt:variant>
      <vt:variant>
        <vt:i4>107</vt:i4>
      </vt:variant>
      <vt:variant>
        <vt:i4>0</vt:i4>
      </vt:variant>
      <vt:variant>
        <vt:i4>5</vt:i4>
      </vt:variant>
      <vt:variant>
        <vt:lpwstr/>
      </vt:variant>
      <vt:variant>
        <vt:lpwstr>_Toc138334338</vt:lpwstr>
      </vt:variant>
      <vt:variant>
        <vt:i4>1048633</vt:i4>
      </vt:variant>
      <vt:variant>
        <vt:i4>101</vt:i4>
      </vt:variant>
      <vt:variant>
        <vt:i4>0</vt:i4>
      </vt:variant>
      <vt:variant>
        <vt:i4>5</vt:i4>
      </vt:variant>
      <vt:variant>
        <vt:lpwstr/>
      </vt:variant>
      <vt:variant>
        <vt:lpwstr>_Toc138334337</vt:lpwstr>
      </vt:variant>
      <vt:variant>
        <vt:i4>1048633</vt:i4>
      </vt:variant>
      <vt:variant>
        <vt:i4>95</vt:i4>
      </vt:variant>
      <vt:variant>
        <vt:i4>0</vt:i4>
      </vt:variant>
      <vt:variant>
        <vt:i4>5</vt:i4>
      </vt:variant>
      <vt:variant>
        <vt:lpwstr/>
      </vt:variant>
      <vt:variant>
        <vt:lpwstr>_Toc138334336</vt:lpwstr>
      </vt:variant>
      <vt:variant>
        <vt:i4>1048633</vt:i4>
      </vt:variant>
      <vt:variant>
        <vt:i4>89</vt:i4>
      </vt:variant>
      <vt:variant>
        <vt:i4>0</vt:i4>
      </vt:variant>
      <vt:variant>
        <vt:i4>5</vt:i4>
      </vt:variant>
      <vt:variant>
        <vt:lpwstr/>
      </vt:variant>
      <vt:variant>
        <vt:lpwstr>_Toc138334335</vt:lpwstr>
      </vt:variant>
      <vt:variant>
        <vt:i4>1048633</vt:i4>
      </vt:variant>
      <vt:variant>
        <vt:i4>83</vt:i4>
      </vt:variant>
      <vt:variant>
        <vt:i4>0</vt:i4>
      </vt:variant>
      <vt:variant>
        <vt:i4>5</vt:i4>
      </vt:variant>
      <vt:variant>
        <vt:lpwstr/>
      </vt:variant>
      <vt:variant>
        <vt:lpwstr>_Toc138334334</vt:lpwstr>
      </vt:variant>
      <vt:variant>
        <vt:i4>1048633</vt:i4>
      </vt:variant>
      <vt:variant>
        <vt:i4>77</vt:i4>
      </vt:variant>
      <vt:variant>
        <vt:i4>0</vt:i4>
      </vt:variant>
      <vt:variant>
        <vt:i4>5</vt:i4>
      </vt:variant>
      <vt:variant>
        <vt:lpwstr/>
      </vt:variant>
      <vt:variant>
        <vt:lpwstr>_Toc138334333</vt:lpwstr>
      </vt:variant>
      <vt:variant>
        <vt:i4>1048633</vt:i4>
      </vt:variant>
      <vt:variant>
        <vt:i4>71</vt:i4>
      </vt:variant>
      <vt:variant>
        <vt:i4>0</vt:i4>
      </vt:variant>
      <vt:variant>
        <vt:i4>5</vt:i4>
      </vt:variant>
      <vt:variant>
        <vt:lpwstr/>
      </vt:variant>
      <vt:variant>
        <vt:lpwstr>_Toc138334332</vt:lpwstr>
      </vt:variant>
      <vt:variant>
        <vt:i4>1048633</vt:i4>
      </vt:variant>
      <vt:variant>
        <vt:i4>65</vt:i4>
      </vt:variant>
      <vt:variant>
        <vt:i4>0</vt:i4>
      </vt:variant>
      <vt:variant>
        <vt:i4>5</vt:i4>
      </vt:variant>
      <vt:variant>
        <vt:lpwstr/>
      </vt:variant>
      <vt:variant>
        <vt:lpwstr>_Toc138334331</vt:lpwstr>
      </vt:variant>
      <vt:variant>
        <vt:i4>1048633</vt:i4>
      </vt:variant>
      <vt:variant>
        <vt:i4>59</vt:i4>
      </vt:variant>
      <vt:variant>
        <vt:i4>0</vt:i4>
      </vt:variant>
      <vt:variant>
        <vt:i4>5</vt:i4>
      </vt:variant>
      <vt:variant>
        <vt:lpwstr/>
      </vt:variant>
      <vt:variant>
        <vt:lpwstr>_Toc138334330</vt:lpwstr>
      </vt:variant>
      <vt:variant>
        <vt:i4>1114169</vt:i4>
      </vt:variant>
      <vt:variant>
        <vt:i4>53</vt:i4>
      </vt:variant>
      <vt:variant>
        <vt:i4>0</vt:i4>
      </vt:variant>
      <vt:variant>
        <vt:i4>5</vt:i4>
      </vt:variant>
      <vt:variant>
        <vt:lpwstr/>
      </vt:variant>
      <vt:variant>
        <vt:lpwstr>_Toc138334329</vt:lpwstr>
      </vt:variant>
      <vt:variant>
        <vt:i4>1114169</vt:i4>
      </vt:variant>
      <vt:variant>
        <vt:i4>47</vt:i4>
      </vt:variant>
      <vt:variant>
        <vt:i4>0</vt:i4>
      </vt:variant>
      <vt:variant>
        <vt:i4>5</vt:i4>
      </vt:variant>
      <vt:variant>
        <vt:lpwstr/>
      </vt:variant>
      <vt:variant>
        <vt:lpwstr>_Toc138334328</vt:lpwstr>
      </vt:variant>
      <vt:variant>
        <vt:i4>1114169</vt:i4>
      </vt:variant>
      <vt:variant>
        <vt:i4>41</vt:i4>
      </vt:variant>
      <vt:variant>
        <vt:i4>0</vt:i4>
      </vt:variant>
      <vt:variant>
        <vt:i4>5</vt:i4>
      </vt:variant>
      <vt:variant>
        <vt:lpwstr/>
      </vt:variant>
      <vt:variant>
        <vt:lpwstr>_Toc138334327</vt:lpwstr>
      </vt:variant>
      <vt:variant>
        <vt:i4>1114169</vt:i4>
      </vt:variant>
      <vt:variant>
        <vt:i4>35</vt:i4>
      </vt:variant>
      <vt:variant>
        <vt:i4>0</vt:i4>
      </vt:variant>
      <vt:variant>
        <vt:i4>5</vt:i4>
      </vt:variant>
      <vt:variant>
        <vt:lpwstr/>
      </vt:variant>
      <vt:variant>
        <vt:lpwstr>_Toc138334326</vt:lpwstr>
      </vt:variant>
      <vt:variant>
        <vt:i4>1114169</vt:i4>
      </vt:variant>
      <vt:variant>
        <vt:i4>29</vt:i4>
      </vt:variant>
      <vt:variant>
        <vt:i4>0</vt:i4>
      </vt:variant>
      <vt:variant>
        <vt:i4>5</vt:i4>
      </vt:variant>
      <vt:variant>
        <vt:lpwstr/>
      </vt:variant>
      <vt:variant>
        <vt:lpwstr>_Toc138334325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CEPT Report 86</dc:title>
  <dc:subject/>
  <dc:creator>ECC</dc:creator>
  <cp:keywords>CEPT Report 86</cp:keywords>
  <dc:description/>
  <cp:lastModifiedBy>ECO</cp:lastModifiedBy>
  <cp:revision>4</cp:revision>
  <cp:lastPrinted>2011-06-06T15:43:00Z</cp:lastPrinted>
  <dcterms:created xsi:type="dcterms:W3CDTF">2024-03-19T10:58:00Z</dcterms:created>
  <dcterms:modified xsi:type="dcterms:W3CDTF">2024-03-19T14:06:00Z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0x010100D150FE42788A214EB75D5CAD861CD4C9</vt:lpwstr>
  </property>
  <property fmtid="{D5CDD505-2E9C-101B-9397-08002B2CF9AE}" pid="3" name="MSIP_Label_5a50d26f-5c2c-4137-8396-1b24eb24286c_Enabled">
    <vt:lpwstr>true</vt:lpwstr>
  </property>
  <property fmtid="{D5CDD505-2E9C-101B-9397-08002B2CF9AE}" pid="4" name="MSIP_Label_5a50d26f-5c2c-4137-8396-1b24eb24286c_SetDate">
    <vt:lpwstr>2023-01-13T10:27:41Z</vt:lpwstr>
  </property>
  <property fmtid="{D5CDD505-2E9C-101B-9397-08002B2CF9AE}" pid="5" name="MSIP_Label_5a50d26f-5c2c-4137-8396-1b24eb24286c_Method">
    <vt:lpwstr>Privileged</vt:lpwstr>
  </property>
  <property fmtid="{D5CDD505-2E9C-101B-9397-08002B2CF9AE}" pid="6" name="MSIP_Label_5a50d26f-5c2c-4137-8396-1b24eb24286c_Name">
    <vt:lpwstr>5a50d26f-5c2c-4137-8396-1b24eb24286c</vt:lpwstr>
  </property>
  <property fmtid="{D5CDD505-2E9C-101B-9397-08002B2CF9AE}" pid="7" name="MSIP_Label_5a50d26f-5c2c-4137-8396-1b24eb24286c_SiteId">
    <vt:lpwstr>0af648de-310c-4068-8ae4-f9418bae24cc</vt:lpwstr>
  </property>
  <property fmtid="{D5CDD505-2E9C-101B-9397-08002B2CF9AE}" pid="8" name="MSIP_Label_5a50d26f-5c2c-4137-8396-1b24eb24286c_ActionId">
    <vt:lpwstr/>
  </property>
  <property fmtid="{D5CDD505-2E9C-101B-9397-08002B2CF9AE}" pid="9" name="MSIP_Label_5a50d26f-5c2c-4137-8396-1b24eb24286c_ContentBits">
    <vt:lpwstr>0</vt:lpwstr>
  </property>
</Properties>
</file>