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77777777" w:rsidR="006C03D0" w:rsidRPr="006A6CE1" w:rsidRDefault="006C03D0">
      <w:pPr>
        <w:rPr>
          <w:lang w:val="en-GB"/>
        </w:rPr>
      </w:pPr>
    </w:p>
    <w:p w14:paraId="462D9F13" w14:textId="77777777" w:rsidR="006C03D0" w:rsidRPr="006A6CE1" w:rsidRDefault="006C03D0" w:rsidP="006C03D0">
      <w:pPr>
        <w:jc w:val="center"/>
        <w:rPr>
          <w:lang w:val="en-GB"/>
        </w:rPr>
      </w:pPr>
    </w:p>
    <w:p w14:paraId="5F3C8720" w14:textId="77777777" w:rsidR="006C03D0" w:rsidRPr="006A6CE1" w:rsidRDefault="006C03D0" w:rsidP="006C03D0">
      <w:pPr>
        <w:jc w:val="center"/>
        <w:rPr>
          <w:lang w:val="en-GB"/>
        </w:rPr>
      </w:pPr>
    </w:p>
    <w:p w14:paraId="3018ADB1" w14:textId="77777777" w:rsidR="006C03D0" w:rsidRPr="006A6CE1" w:rsidRDefault="006C03D0" w:rsidP="006C03D0">
      <w:pPr>
        <w:rPr>
          <w:lang w:val="en-GB"/>
        </w:rPr>
      </w:pPr>
    </w:p>
    <w:p w14:paraId="3DCC3BB0" w14:textId="77777777" w:rsidR="006C03D0" w:rsidRPr="006A6CE1" w:rsidRDefault="006C03D0" w:rsidP="006C03D0">
      <w:pPr>
        <w:rPr>
          <w:lang w:val="en-GB"/>
        </w:rPr>
      </w:pPr>
    </w:p>
    <w:p w14:paraId="5F1AA75A" w14:textId="77777777" w:rsidR="006C03D0" w:rsidRPr="006A6CE1" w:rsidRDefault="007C6571" w:rsidP="006C03D0">
      <w:pPr>
        <w:jc w:val="center"/>
        <w:rPr>
          <w:b/>
          <w:sz w:val="24"/>
          <w:lang w:val="en-GB"/>
        </w:rPr>
      </w:pPr>
      <w:r w:rsidRPr="006A6CE1">
        <w:rPr>
          <w:b/>
          <w:noProof/>
          <w:sz w:val="24"/>
          <w:szCs w:val="20"/>
          <w:lang w:val="en-GB" w:eastAsia="da-DK"/>
        </w:rPr>
        <mc:AlternateContent>
          <mc:Choice Requires="wpg">
            <w:drawing>
              <wp:anchor distT="0" distB="0" distL="114300" distR="114300" simplePos="0" relativeHeight="251658240"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43138425" w:rsidR="001637FB" w:rsidRPr="00FE1795" w:rsidRDefault="001637FB"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43138425" w:rsidR="001637FB" w:rsidRPr="00FE1795" w:rsidRDefault="001637FB"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6A6CE1" w:rsidRDefault="006C03D0" w:rsidP="006C03D0">
      <w:pPr>
        <w:jc w:val="center"/>
        <w:rPr>
          <w:b/>
          <w:sz w:val="24"/>
          <w:lang w:val="en-GB"/>
        </w:rPr>
      </w:pPr>
    </w:p>
    <w:p w14:paraId="509D2032" w14:textId="77777777" w:rsidR="006C03D0" w:rsidRPr="006A6CE1" w:rsidRDefault="006C03D0" w:rsidP="006C03D0">
      <w:pPr>
        <w:jc w:val="center"/>
        <w:rPr>
          <w:b/>
          <w:sz w:val="24"/>
          <w:lang w:val="en-GB"/>
        </w:rPr>
      </w:pPr>
    </w:p>
    <w:p w14:paraId="36E90BA3" w14:textId="77777777" w:rsidR="006C03D0" w:rsidRPr="006A6CE1" w:rsidRDefault="006C03D0" w:rsidP="006C03D0">
      <w:pPr>
        <w:jc w:val="center"/>
        <w:rPr>
          <w:b/>
          <w:sz w:val="24"/>
          <w:lang w:val="en-GB"/>
        </w:rPr>
      </w:pPr>
    </w:p>
    <w:p w14:paraId="25702E27" w14:textId="77777777" w:rsidR="006C03D0" w:rsidRPr="006A6CE1" w:rsidRDefault="006C03D0" w:rsidP="006C03D0">
      <w:pPr>
        <w:jc w:val="center"/>
        <w:rPr>
          <w:b/>
          <w:sz w:val="24"/>
          <w:lang w:val="en-GB"/>
        </w:rPr>
      </w:pPr>
    </w:p>
    <w:p w14:paraId="5BA76203" w14:textId="77777777" w:rsidR="006C03D0" w:rsidRPr="006A6CE1" w:rsidRDefault="006C03D0" w:rsidP="006C03D0">
      <w:pPr>
        <w:jc w:val="center"/>
        <w:rPr>
          <w:b/>
          <w:sz w:val="24"/>
          <w:lang w:val="en-GB"/>
        </w:rPr>
      </w:pPr>
    </w:p>
    <w:p w14:paraId="3F67F0BF" w14:textId="77777777" w:rsidR="006C03D0" w:rsidRPr="006A6CE1" w:rsidRDefault="006C03D0" w:rsidP="006C03D0">
      <w:pPr>
        <w:jc w:val="center"/>
        <w:rPr>
          <w:b/>
          <w:sz w:val="24"/>
          <w:lang w:val="en-GB"/>
        </w:rPr>
      </w:pPr>
    </w:p>
    <w:p w14:paraId="118B9932" w14:textId="77777777" w:rsidR="006C03D0" w:rsidRPr="006A6CE1" w:rsidRDefault="006C03D0" w:rsidP="006C03D0">
      <w:pPr>
        <w:jc w:val="center"/>
        <w:rPr>
          <w:b/>
          <w:sz w:val="24"/>
          <w:lang w:val="en-GB"/>
        </w:rPr>
      </w:pPr>
    </w:p>
    <w:p w14:paraId="3380C36B" w14:textId="77777777" w:rsidR="006C03D0" w:rsidRPr="006A6CE1" w:rsidRDefault="006C03D0" w:rsidP="006C03D0">
      <w:pPr>
        <w:jc w:val="center"/>
        <w:rPr>
          <w:b/>
          <w:sz w:val="24"/>
          <w:lang w:val="en-GB"/>
        </w:rPr>
      </w:pPr>
    </w:p>
    <w:p w14:paraId="6DD5B8CF" w14:textId="77777777" w:rsidR="006C03D0" w:rsidRPr="006A6CE1" w:rsidRDefault="006C03D0" w:rsidP="006C03D0">
      <w:pPr>
        <w:jc w:val="center"/>
        <w:rPr>
          <w:b/>
          <w:sz w:val="24"/>
          <w:lang w:val="en-GB"/>
        </w:rPr>
      </w:pPr>
    </w:p>
    <w:p w14:paraId="4E3BC43C" w14:textId="77777777" w:rsidR="006C03D0" w:rsidRPr="006A6CE1" w:rsidRDefault="006C03D0" w:rsidP="006C03D0">
      <w:pPr>
        <w:rPr>
          <w:b/>
          <w:sz w:val="24"/>
          <w:lang w:val="en-GB"/>
        </w:rPr>
      </w:pPr>
    </w:p>
    <w:bookmarkStart w:id="0" w:name="_Hlk106106947"/>
    <w:p w14:paraId="784BE1A2" w14:textId="2481BE6D" w:rsidR="006C03D0" w:rsidRPr="006A6CE1" w:rsidRDefault="00A60EDB" w:rsidP="006C03D0">
      <w:pPr>
        <w:pStyle w:val="Reporttitledescription"/>
        <w:rPr>
          <w:color w:val="auto"/>
          <w:lang w:val="en-GB"/>
        </w:rPr>
      </w:pPr>
      <w:r>
        <w:rPr>
          <w:color w:val="auto"/>
          <w:lang w:val="en-GB"/>
        </w:rPr>
        <w:fldChar w:fldCharType="begin">
          <w:ffData>
            <w:name w:val="Text7"/>
            <w:enabled/>
            <w:calcOnExit w:val="0"/>
            <w:textInput>
              <w:default w:val="Technical characteristics, exemption from individual licensing and free circulation and use of specific radiodetermination applications in the frequency range 116-260 GHz"/>
            </w:textInput>
          </w:ffData>
        </w:fldChar>
      </w:r>
      <w:r>
        <w:rPr>
          <w:color w:val="auto"/>
          <w:lang w:val="en-GB"/>
        </w:rPr>
        <w:instrText xml:space="preserve"> </w:instrText>
      </w:r>
      <w:bookmarkStart w:id="1" w:name="Text7"/>
      <w:r>
        <w:rPr>
          <w:color w:val="auto"/>
          <w:lang w:val="en-GB"/>
        </w:rPr>
        <w:instrText xml:space="preserve">FORMTEXT </w:instrText>
      </w:r>
      <w:r>
        <w:rPr>
          <w:color w:val="auto"/>
          <w:lang w:val="en-GB"/>
        </w:rPr>
      </w:r>
      <w:r>
        <w:rPr>
          <w:color w:val="auto"/>
          <w:lang w:val="en-GB"/>
        </w:rPr>
        <w:fldChar w:fldCharType="separate"/>
      </w:r>
      <w:r>
        <w:rPr>
          <w:noProof/>
          <w:color w:val="auto"/>
          <w:lang w:val="en-GB"/>
        </w:rPr>
        <w:t>Technical characteristics, exemption from individual licensing and free circulation and use of specific radiodetermination applications in the frequency range 116-260 GHz</w:t>
      </w:r>
      <w:r>
        <w:rPr>
          <w:color w:val="auto"/>
          <w:lang w:val="en-GB"/>
        </w:rPr>
        <w:fldChar w:fldCharType="end"/>
      </w:r>
      <w:bookmarkEnd w:id="1"/>
    </w:p>
    <w:bookmarkEnd w:id="0"/>
    <w:p w14:paraId="121C0807" w14:textId="6819A5B4" w:rsidR="006C03D0" w:rsidRDefault="00FB6994" w:rsidP="006C03D0">
      <w:pPr>
        <w:pStyle w:val="Reporttitledescription"/>
        <w:rPr>
          <w:b/>
          <w:color w:val="auto"/>
          <w:sz w:val="18"/>
          <w:lang w:val="en-GB"/>
        </w:rPr>
      </w:pPr>
      <w:r w:rsidRPr="007C3DE3">
        <w:rPr>
          <w:b/>
          <w:color w:val="auto"/>
          <w:sz w:val="18"/>
          <w:lang w:val="en-GB"/>
        </w:rPr>
        <w:fldChar w:fldCharType="begin">
          <w:ffData>
            <w:name w:val="Text8"/>
            <w:enabled/>
            <w:calcOnExit w:val="0"/>
            <w:textInput>
              <w:default w:val="approved 18 November 2022"/>
            </w:textInput>
          </w:ffData>
        </w:fldChar>
      </w:r>
      <w:r w:rsidRPr="00061CC8">
        <w:rPr>
          <w:b/>
          <w:color w:val="auto"/>
          <w:sz w:val="18"/>
          <w:lang w:val="en-GB"/>
        </w:rPr>
        <w:instrText xml:space="preserve"> </w:instrText>
      </w:r>
      <w:bookmarkStart w:id="2" w:name="Text8"/>
      <w:r w:rsidRPr="00061CC8">
        <w:rPr>
          <w:b/>
          <w:color w:val="auto"/>
          <w:sz w:val="18"/>
          <w:lang w:val="en-GB"/>
        </w:rPr>
        <w:instrText xml:space="preserve">FORMTEXT </w:instrText>
      </w:r>
      <w:r w:rsidRPr="007C3DE3">
        <w:rPr>
          <w:b/>
          <w:color w:val="auto"/>
          <w:sz w:val="18"/>
          <w:lang w:val="en-GB"/>
        </w:rPr>
      </w:r>
      <w:r w:rsidRPr="007C3DE3">
        <w:rPr>
          <w:b/>
          <w:color w:val="auto"/>
          <w:sz w:val="18"/>
          <w:lang w:val="en-GB"/>
        </w:rPr>
        <w:fldChar w:fldCharType="separate"/>
      </w:r>
      <w:r w:rsidRPr="007C3DE3">
        <w:rPr>
          <w:b/>
          <w:noProof/>
          <w:color w:val="auto"/>
          <w:sz w:val="18"/>
          <w:lang w:val="en-GB"/>
        </w:rPr>
        <w:t>approved 18 November 2022</w:t>
      </w:r>
      <w:r w:rsidRPr="007C3DE3">
        <w:rPr>
          <w:b/>
          <w:color w:val="auto"/>
          <w:sz w:val="18"/>
          <w:lang w:val="en-GB"/>
        </w:rPr>
        <w:fldChar w:fldCharType="end"/>
      </w:r>
      <w:bookmarkEnd w:id="2"/>
    </w:p>
    <w:p w14:paraId="40514FE7" w14:textId="5FBA76D5" w:rsidR="008F5944" w:rsidRDefault="0043028F" w:rsidP="006C03D0">
      <w:pPr>
        <w:pStyle w:val="Lastupdated"/>
        <w:rPr>
          <w:color w:val="000000"/>
          <w:szCs w:val="18"/>
        </w:rPr>
      </w:pPr>
      <w:r w:rsidRPr="00B05535">
        <w:rPr>
          <w:b/>
          <w:szCs w:val="18"/>
        </w:rPr>
        <w:fldChar w:fldCharType="begin">
          <w:ffData>
            <w:name w:val="Text3"/>
            <w:enabled/>
            <w:calcOnExit w:val="0"/>
            <w:textInput>
              <w:default w:val="amended 8 March 2024"/>
            </w:textInput>
          </w:ffData>
        </w:fldChar>
      </w:r>
      <w:r w:rsidRPr="00B05535">
        <w:rPr>
          <w:b/>
          <w:szCs w:val="18"/>
        </w:rPr>
        <w:instrText xml:space="preserve"> </w:instrText>
      </w:r>
      <w:bookmarkStart w:id="3" w:name="Text3"/>
      <w:r w:rsidRPr="00B05535">
        <w:rPr>
          <w:b/>
          <w:szCs w:val="18"/>
        </w:rPr>
        <w:instrText xml:space="preserve">FORMTEXT </w:instrText>
      </w:r>
      <w:r w:rsidRPr="00B05535">
        <w:rPr>
          <w:b/>
          <w:szCs w:val="18"/>
        </w:rPr>
      </w:r>
      <w:r w:rsidRPr="00B05535">
        <w:rPr>
          <w:b/>
          <w:szCs w:val="18"/>
        </w:rPr>
        <w:fldChar w:fldCharType="separate"/>
      </w:r>
      <w:r w:rsidRPr="00B05535">
        <w:rPr>
          <w:b/>
          <w:noProof/>
          <w:szCs w:val="18"/>
        </w:rPr>
        <w:t>amended 8 March 2024</w:t>
      </w:r>
      <w:r w:rsidRPr="00B05535">
        <w:rPr>
          <w:b/>
          <w:szCs w:val="18"/>
        </w:rPr>
        <w:fldChar w:fldCharType="end"/>
      </w:r>
      <w:bookmarkEnd w:id="3"/>
      <w:r w:rsidR="00E2678B" w:rsidRPr="00E2678B">
        <w:rPr>
          <w:color w:val="000000"/>
          <w:szCs w:val="18"/>
        </w:rPr>
        <w:t xml:space="preserve"> </w:t>
      </w:r>
    </w:p>
    <w:p w14:paraId="5DD7FE12" w14:textId="6986934F" w:rsidR="006C03D0" w:rsidRPr="006A6CE1" w:rsidRDefault="00B0658A" w:rsidP="00377AF2">
      <w:pPr>
        <w:pStyle w:val="Heading1"/>
      </w:pPr>
      <w:r w:rsidRPr="006A6CE1">
        <w:lastRenderedPageBreak/>
        <w:t>EXPLANATORY MEMORANDUM</w:t>
      </w:r>
    </w:p>
    <w:p w14:paraId="423ADA9F" w14:textId="463F5237" w:rsidR="006C03D0" w:rsidRPr="006A6CE1" w:rsidRDefault="005F7AD5" w:rsidP="0094483F">
      <w:pPr>
        <w:pStyle w:val="Heading2"/>
        <w:rPr>
          <w:lang w:val="en-GB"/>
        </w:rPr>
      </w:pPr>
      <w:r w:rsidRPr="006A6CE1">
        <w:rPr>
          <w:lang w:val="en-GB"/>
        </w:rPr>
        <w:t>I</w:t>
      </w:r>
      <w:r w:rsidR="00F27BA0">
        <w:rPr>
          <w:lang w:val="en-GB"/>
        </w:rPr>
        <w:t>ntroduction</w:t>
      </w:r>
    </w:p>
    <w:p w14:paraId="72A4A5CE" w14:textId="3483C3D0" w:rsidR="00CD71E0" w:rsidRPr="006A6CE1" w:rsidRDefault="00CD71E0" w:rsidP="00414B83">
      <w:pPr>
        <w:spacing w:before="240" w:after="60"/>
        <w:jc w:val="both"/>
        <w:rPr>
          <w:lang w:val="en-GB"/>
        </w:rPr>
      </w:pPr>
      <w:r w:rsidRPr="006A6CE1">
        <w:rPr>
          <w:lang w:val="en-GB"/>
        </w:rPr>
        <w:t xml:space="preserve">The free circulation of radio products and the provision of equipment in Europe for radio determination and communication are only achievable if there are regulations harmonised throughout Europe regarding the availability of frequency bands, harmonised technical conditions, and procedures for cross-border usages. The main requirements for fulfilling these objectives for </w:t>
      </w:r>
      <w:r w:rsidR="00A60EDB">
        <w:rPr>
          <w:lang w:val="en-GB"/>
        </w:rPr>
        <w:t>specific</w:t>
      </w:r>
      <w:r w:rsidRPr="006A6CE1">
        <w:rPr>
          <w:lang w:val="en-GB"/>
        </w:rPr>
        <w:t xml:space="preserve"> radiodetermination devices are the Europe-wide availability of suitable frequency bands, harmonised technical conditions, and the implementation of national regulations.</w:t>
      </w:r>
    </w:p>
    <w:p w14:paraId="3179C83F" w14:textId="7FD8226D" w:rsidR="00CD71E0" w:rsidRPr="006A6CE1" w:rsidRDefault="00CD71E0" w:rsidP="00414B83">
      <w:pPr>
        <w:spacing w:before="240" w:after="60"/>
        <w:jc w:val="both"/>
        <w:rPr>
          <w:lang w:val="en-GB"/>
        </w:rPr>
      </w:pPr>
      <w:r w:rsidRPr="006A6CE1">
        <w:rPr>
          <w:lang w:val="en-GB"/>
        </w:rPr>
        <w:t>The readily available technologies in the frequency range 116</w:t>
      </w:r>
      <w:r w:rsidR="008B1766">
        <w:rPr>
          <w:lang w:val="en-GB"/>
        </w:rPr>
        <w:t>-</w:t>
      </w:r>
      <w:r w:rsidRPr="006A6CE1">
        <w:rPr>
          <w:lang w:val="en-GB"/>
        </w:rPr>
        <w:t xml:space="preserve">260 GHz provides appropriate sensor performance for a variety of different </w:t>
      </w:r>
      <w:r w:rsidR="008B1766">
        <w:rPr>
          <w:lang w:val="en-GB"/>
        </w:rPr>
        <w:t>specific radiodetermination</w:t>
      </w:r>
      <w:r w:rsidRPr="006A6CE1">
        <w:rPr>
          <w:lang w:val="en-GB"/>
        </w:rPr>
        <w:t xml:space="preserve"> applications, such as (refer to ETSI TR 103 498 </w:t>
      </w:r>
      <w:r w:rsidR="000E0229">
        <w:rPr>
          <w:lang w:val="en-GB"/>
        </w:rPr>
        <w:fldChar w:fldCharType="begin"/>
      </w:r>
      <w:r w:rsidR="000E0229">
        <w:rPr>
          <w:lang w:val="en-GB"/>
        </w:rPr>
        <w:instrText xml:space="preserve"> REF _Ref104294234 \r \h </w:instrText>
      </w:r>
      <w:r w:rsidR="000E0229">
        <w:rPr>
          <w:lang w:val="en-GB"/>
        </w:rPr>
      </w:r>
      <w:r w:rsidR="000E0229">
        <w:rPr>
          <w:lang w:val="en-GB"/>
        </w:rPr>
        <w:fldChar w:fldCharType="separate"/>
      </w:r>
      <w:r w:rsidR="000E0229">
        <w:rPr>
          <w:lang w:val="en-GB"/>
        </w:rPr>
        <w:t>[1]</w:t>
      </w:r>
      <w:r w:rsidR="000E0229">
        <w:rPr>
          <w:lang w:val="en-GB"/>
        </w:rPr>
        <w:fldChar w:fldCharType="end"/>
      </w:r>
      <w:r w:rsidR="00811B8D">
        <w:rPr>
          <w:lang w:val="en-GB"/>
        </w:rPr>
        <w:t>,</w:t>
      </w:r>
      <w:r w:rsidRPr="006A6CE1">
        <w:rPr>
          <w:lang w:val="en-GB"/>
        </w:rPr>
        <w:t xml:space="preserve"> clauses 5 and 6):</w:t>
      </w:r>
    </w:p>
    <w:p w14:paraId="2803EED5" w14:textId="77777777" w:rsidR="00CD71E0" w:rsidRPr="006A6CE1" w:rsidRDefault="00CD71E0" w:rsidP="003D4930">
      <w:pPr>
        <w:pStyle w:val="ECCBulletsLv1"/>
        <w:spacing w:after="60"/>
      </w:pPr>
      <w:r w:rsidRPr="006A6CE1">
        <w:t>Generic indoor surveillance radar;</w:t>
      </w:r>
    </w:p>
    <w:p w14:paraId="39EE21F8" w14:textId="77777777" w:rsidR="00CD71E0" w:rsidRPr="006A6CE1" w:rsidRDefault="00CD71E0" w:rsidP="003D4930">
      <w:pPr>
        <w:pStyle w:val="ECCBulletsLv1"/>
        <w:spacing w:after="60"/>
      </w:pPr>
      <w:r w:rsidRPr="006A6CE1">
        <w:t>Radiodetermination systems for industry automation (RDI);</w:t>
      </w:r>
    </w:p>
    <w:p w14:paraId="7F99F098" w14:textId="77777777" w:rsidR="00CD71E0" w:rsidRPr="006A6CE1" w:rsidRDefault="00CD71E0" w:rsidP="003D4930">
      <w:pPr>
        <w:pStyle w:val="ECCBulletsLv1"/>
        <w:spacing w:after="60"/>
      </w:pPr>
      <w:r w:rsidRPr="006A6CE1">
        <w:t>Level probing radar (LPR);</w:t>
      </w:r>
    </w:p>
    <w:p w14:paraId="4FAFFEB0" w14:textId="77777777" w:rsidR="00CD71E0" w:rsidRPr="006A6CE1" w:rsidRDefault="00CD71E0" w:rsidP="003D4930">
      <w:pPr>
        <w:pStyle w:val="ECCBulletsLv1"/>
        <w:spacing w:after="60"/>
      </w:pPr>
      <w:r w:rsidRPr="006A6CE1">
        <w:t>Contour determination and acquisition radar (CDR);</w:t>
      </w:r>
    </w:p>
    <w:p w14:paraId="2DCA8F5D" w14:textId="77777777" w:rsidR="00CD71E0" w:rsidRPr="0088688E" w:rsidRDefault="00CD71E0" w:rsidP="003D4930">
      <w:pPr>
        <w:pStyle w:val="ECCBulletsLv1"/>
        <w:spacing w:after="60"/>
      </w:pPr>
      <w:r w:rsidRPr="0088688E">
        <w:t>Tank level probing radar (TLPR);</w:t>
      </w:r>
    </w:p>
    <w:p w14:paraId="4EEAAC10" w14:textId="36EFD2F9" w:rsidR="00CD71E0" w:rsidRDefault="00CD71E0" w:rsidP="003D4930">
      <w:pPr>
        <w:pStyle w:val="ECCBulletsLv1"/>
        <w:spacing w:after="60"/>
        <w:ind w:left="357" w:hanging="357"/>
      </w:pPr>
      <w:r w:rsidRPr="006A6CE1">
        <w:t>Radiodetermination systems for industry automation in shielded environments (RDI-S)</w:t>
      </w:r>
      <w:r w:rsidR="00D32B93">
        <w:t>;</w:t>
      </w:r>
    </w:p>
    <w:p w14:paraId="4BC1FDC4" w14:textId="334FE368" w:rsidR="00D32B93" w:rsidRDefault="00D32B93" w:rsidP="003D4930">
      <w:pPr>
        <w:pStyle w:val="ECCBulletsLv1"/>
        <w:spacing w:after="60"/>
        <w:ind w:left="357" w:hanging="357"/>
      </w:pPr>
      <w:r>
        <w:t>Exterior vehicular radar</w:t>
      </w:r>
      <w:r w:rsidR="00CA08B7">
        <w:t xml:space="preserve"> (EVR)</w:t>
      </w:r>
      <w:r>
        <w:t>;</w:t>
      </w:r>
    </w:p>
    <w:p w14:paraId="7E3BD180" w14:textId="1EDDBB57" w:rsidR="004E2B08" w:rsidRPr="006A6CE1" w:rsidRDefault="00D32B93" w:rsidP="003D4930">
      <w:pPr>
        <w:pStyle w:val="ECCBulletsLv1"/>
        <w:spacing w:after="60"/>
        <w:ind w:left="357" w:hanging="357"/>
      </w:pPr>
      <w:r>
        <w:t>In-cabin vehicular radar</w:t>
      </w:r>
      <w:r w:rsidR="00CA08B7">
        <w:t xml:space="preserve"> (IVR)</w:t>
      </w:r>
      <w:r>
        <w:t>.</w:t>
      </w:r>
    </w:p>
    <w:p w14:paraId="631EADE9" w14:textId="21ADB713" w:rsidR="00CD71E0" w:rsidRPr="006A6CE1" w:rsidRDefault="00CD71E0" w:rsidP="003D4930">
      <w:pPr>
        <w:spacing w:before="240" w:after="60"/>
        <w:jc w:val="both"/>
        <w:rPr>
          <w:lang w:val="en-GB"/>
        </w:rPr>
      </w:pPr>
      <w:r w:rsidRPr="006A6CE1">
        <w:rPr>
          <w:lang w:val="en-GB"/>
        </w:rPr>
        <w:t xml:space="preserve">The above-mentioned measurement </w:t>
      </w:r>
      <w:r w:rsidR="0058226A">
        <w:rPr>
          <w:lang w:val="en-GB"/>
        </w:rPr>
        <w:t>applications</w:t>
      </w:r>
      <w:r w:rsidRPr="006A6CE1">
        <w:rPr>
          <w:lang w:val="en-GB"/>
        </w:rPr>
        <w:t xml:space="preserve"> are achievable with new spectrum designations for the mentioned </w:t>
      </w:r>
      <w:r w:rsidR="008B1766">
        <w:rPr>
          <w:lang w:val="en-GB"/>
        </w:rPr>
        <w:t>specific radiodetermination</w:t>
      </w:r>
      <w:r w:rsidRPr="006A6CE1">
        <w:rPr>
          <w:lang w:val="en-GB"/>
        </w:rPr>
        <w:t xml:space="preserve"> applications in the range above 116 GHz where larger modulation bandwidths can be realised and the interference potential towards other spectrum users is lower due to the higher free space loss, the higher indoor-outdoor attenuation of a building and the tendentially higher atmospheric attenuation.</w:t>
      </w:r>
    </w:p>
    <w:p w14:paraId="2B02C0C7" w14:textId="79146564" w:rsidR="00CD71E0" w:rsidRPr="006A6CE1" w:rsidRDefault="00CD71E0" w:rsidP="003D4930">
      <w:pPr>
        <w:spacing w:before="240" w:after="60"/>
        <w:jc w:val="both"/>
        <w:rPr>
          <w:lang w:val="en-GB"/>
        </w:rPr>
      </w:pPr>
      <w:r w:rsidRPr="006A6CE1">
        <w:rPr>
          <w:lang w:val="en-GB"/>
        </w:rPr>
        <w:t xml:space="preserve">This </w:t>
      </w:r>
      <w:r w:rsidR="00C214EB">
        <w:rPr>
          <w:lang w:val="en-GB"/>
        </w:rPr>
        <w:t>ECC D</w:t>
      </w:r>
      <w:r w:rsidRPr="006A6CE1">
        <w:rPr>
          <w:lang w:val="en-GB"/>
        </w:rPr>
        <w:t xml:space="preserve">ecision covers the radio regulatory aspects of operation of the aforementioned </w:t>
      </w:r>
      <w:r w:rsidR="00C214EB">
        <w:rPr>
          <w:lang w:val="en-GB"/>
        </w:rPr>
        <w:t>specific radiodetermination</w:t>
      </w:r>
      <w:r w:rsidRPr="006A6CE1">
        <w:rPr>
          <w:lang w:val="en-GB"/>
        </w:rPr>
        <w:t xml:space="preserve"> applications.</w:t>
      </w:r>
    </w:p>
    <w:p w14:paraId="00F5D803" w14:textId="71A596C0" w:rsidR="006C03D0" w:rsidRPr="006A6CE1" w:rsidRDefault="005F7AD5" w:rsidP="0094483F">
      <w:pPr>
        <w:pStyle w:val="Heading2"/>
        <w:rPr>
          <w:lang w:val="en-GB"/>
        </w:rPr>
      </w:pPr>
      <w:r w:rsidRPr="006A6CE1">
        <w:rPr>
          <w:lang w:val="en-GB"/>
        </w:rPr>
        <w:t>B</w:t>
      </w:r>
      <w:r w:rsidR="00F27BA0">
        <w:rPr>
          <w:lang w:val="en-GB"/>
        </w:rPr>
        <w:t>ackground</w:t>
      </w:r>
    </w:p>
    <w:p w14:paraId="23FC09CF" w14:textId="7B5CB179" w:rsidR="008365D7" w:rsidRPr="006A6CE1" w:rsidRDefault="008365D7" w:rsidP="00414B83">
      <w:pPr>
        <w:spacing w:before="240" w:after="60"/>
        <w:jc w:val="both"/>
        <w:rPr>
          <w:lang w:val="en-GB"/>
        </w:rPr>
      </w:pPr>
      <w:r w:rsidRPr="006A6CE1">
        <w:rPr>
          <w:lang w:val="en-GB"/>
        </w:rPr>
        <w:t>ETSI had developed and provided ECC with the TR 103 498 on “Radiodetermination applications within the frequency range 120</w:t>
      </w:r>
      <w:r w:rsidR="00C214EB">
        <w:rPr>
          <w:lang w:val="en-GB"/>
        </w:rPr>
        <w:t>-</w:t>
      </w:r>
      <w:r w:rsidRPr="006A6CE1">
        <w:rPr>
          <w:lang w:val="en-GB"/>
        </w:rPr>
        <w:t xml:space="preserve">260 GHz” </w:t>
      </w:r>
      <w:r w:rsidR="000E0229">
        <w:rPr>
          <w:lang w:val="en-GB"/>
        </w:rPr>
        <w:fldChar w:fldCharType="begin"/>
      </w:r>
      <w:r w:rsidR="000E0229">
        <w:rPr>
          <w:lang w:val="en-GB"/>
        </w:rPr>
        <w:instrText xml:space="preserve"> REF _Ref104294234 \r \h </w:instrText>
      </w:r>
      <w:r w:rsidR="000E0229">
        <w:rPr>
          <w:lang w:val="en-GB"/>
        </w:rPr>
      </w:r>
      <w:r w:rsidR="000E0229">
        <w:rPr>
          <w:lang w:val="en-GB"/>
        </w:rPr>
        <w:fldChar w:fldCharType="separate"/>
      </w:r>
      <w:r w:rsidR="00911570">
        <w:rPr>
          <w:lang w:val="en-GB"/>
        </w:rPr>
        <w:t>[1]</w:t>
      </w:r>
      <w:r w:rsidR="000E0229">
        <w:rPr>
          <w:lang w:val="en-GB"/>
        </w:rPr>
        <w:fldChar w:fldCharType="end"/>
      </w:r>
      <w:r w:rsidRPr="006A6CE1">
        <w:rPr>
          <w:lang w:val="en-GB"/>
        </w:rPr>
        <w:t xml:space="preserve">. This System Reference Document includes the description of a multiplicity of </w:t>
      </w:r>
      <w:r w:rsidR="00C214EB">
        <w:rPr>
          <w:lang w:val="en-GB"/>
        </w:rPr>
        <w:t>specific</w:t>
      </w:r>
      <w:r w:rsidRPr="006A6CE1">
        <w:rPr>
          <w:lang w:val="en-GB"/>
        </w:rPr>
        <w:t xml:space="preserve"> radiodetermination applications and the identification of suitable frequency bands in which they can be operated in the overall considered frequency range of 120</w:t>
      </w:r>
      <w:r w:rsidR="00B60F23">
        <w:rPr>
          <w:lang w:val="en-GB"/>
        </w:rPr>
        <w:t>-</w:t>
      </w:r>
      <w:r w:rsidRPr="006A6CE1">
        <w:rPr>
          <w:lang w:val="en-GB"/>
        </w:rPr>
        <w:t>260 GHz.</w:t>
      </w:r>
    </w:p>
    <w:p w14:paraId="171118A7" w14:textId="7EA7D6FC" w:rsidR="008365D7" w:rsidRPr="006A6CE1" w:rsidRDefault="008365D7" w:rsidP="00414B83">
      <w:pPr>
        <w:spacing w:before="240" w:after="60"/>
        <w:jc w:val="both"/>
        <w:rPr>
          <w:lang w:val="en-GB"/>
        </w:rPr>
      </w:pPr>
      <w:r w:rsidRPr="006A6CE1">
        <w:rPr>
          <w:lang w:val="en-GB"/>
        </w:rPr>
        <w:t xml:space="preserve">In order to assess potential interference from </w:t>
      </w:r>
      <w:r w:rsidR="008F22A7">
        <w:rPr>
          <w:lang w:val="en-GB"/>
        </w:rPr>
        <w:t>specific radiodetermination</w:t>
      </w:r>
      <w:r w:rsidRPr="006A6CE1">
        <w:rPr>
          <w:lang w:val="en-GB"/>
        </w:rPr>
        <w:t xml:space="preserve"> applications on the radiocommunication services in the frequency range 116</w:t>
      </w:r>
      <w:r w:rsidR="008F22A7">
        <w:rPr>
          <w:lang w:val="en-GB"/>
        </w:rPr>
        <w:t>-</w:t>
      </w:r>
      <w:r w:rsidRPr="006A6CE1">
        <w:rPr>
          <w:lang w:val="en-GB"/>
        </w:rPr>
        <w:t>260 GHz, coexistence stud</w:t>
      </w:r>
      <w:r w:rsidR="00D32B93">
        <w:rPr>
          <w:lang w:val="en-GB"/>
        </w:rPr>
        <w:t>ies</w:t>
      </w:r>
      <w:r w:rsidRPr="006A6CE1">
        <w:rPr>
          <w:lang w:val="en-GB"/>
        </w:rPr>
        <w:t xml:space="preserve"> ha</w:t>
      </w:r>
      <w:r w:rsidR="00D32B93">
        <w:rPr>
          <w:lang w:val="en-GB"/>
        </w:rPr>
        <w:t>ve</w:t>
      </w:r>
      <w:r w:rsidRPr="006A6CE1">
        <w:rPr>
          <w:lang w:val="en-GB"/>
        </w:rPr>
        <w:t xml:space="preserve"> been conducted which </w:t>
      </w:r>
      <w:r w:rsidR="00D32B93">
        <w:rPr>
          <w:lang w:val="en-GB"/>
        </w:rPr>
        <w:t>are</w:t>
      </w:r>
      <w:r w:rsidRPr="006A6CE1">
        <w:rPr>
          <w:lang w:val="en-GB"/>
        </w:rPr>
        <w:t xml:space="preserve"> contained in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911570">
        <w:rPr>
          <w:lang w:val="en-GB"/>
        </w:rPr>
        <w:t>[2]</w:t>
      </w:r>
      <w:r w:rsidR="000E0229">
        <w:rPr>
          <w:lang w:val="en-GB"/>
        </w:rPr>
        <w:fldChar w:fldCharType="end"/>
      </w:r>
      <w:r w:rsidR="00D32B93">
        <w:rPr>
          <w:lang w:val="en-GB"/>
        </w:rPr>
        <w:t xml:space="preserve"> and ECC Report 351 </w:t>
      </w:r>
      <w:r w:rsidR="00D32B93">
        <w:rPr>
          <w:lang w:val="en-GB"/>
        </w:rPr>
        <w:fldChar w:fldCharType="begin"/>
      </w:r>
      <w:r w:rsidR="00D32B93">
        <w:rPr>
          <w:lang w:val="en-GB"/>
        </w:rPr>
        <w:instrText xml:space="preserve"> REF _Ref129595648 \r \h </w:instrText>
      </w:r>
      <w:r w:rsidR="00D32B93">
        <w:rPr>
          <w:lang w:val="en-GB"/>
        </w:rPr>
      </w:r>
      <w:r w:rsidR="00D32B93">
        <w:rPr>
          <w:lang w:val="en-GB"/>
        </w:rPr>
        <w:fldChar w:fldCharType="separate"/>
      </w:r>
      <w:r w:rsidR="00911570">
        <w:rPr>
          <w:lang w:val="en-GB"/>
        </w:rPr>
        <w:t>[3]</w:t>
      </w:r>
      <w:r w:rsidR="00D32B93">
        <w:rPr>
          <w:lang w:val="en-GB"/>
        </w:rPr>
        <w:fldChar w:fldCharType="end"/>
      </w:r>
      <w:r w:rsidRPr="006A6CE1">
        <w:rPr>
          <w:lang w:val="en-GB"/>
        </w:rPr>
        <w:t>. It is worth to mention that the lower edge of the considered frequency band 116</w:t>
      </w:r>
      <w:r w:rsidR="008F22A7">
        <w:rPr>
          <w:lang w:val="en-GB"/>
        </w:rPr>
        <w:t>-</w:t>
      </w:r>
      <w:r w:rsidRPr="006A6CE1">
        <w:rPr>
          <w:lang w:val="en-GB"/>
        </w:rPr>
        <w:t>260 GHz has been changed from originally 120 GHz to 116 GHz during the transaction of the technical coexistence study in order to align with the frequency bands available in the USA for generic use (Code of Federal Regulations Title 47 Chapter I Subchapter A §15.258</w:t>
      </w:r>
      <w:r w:rsidR="00422566">
        <w:rPr>
          <w:lang w:val="en-GB"/>
        </w:rPr>
        <w:t xml:space="preserve"> </w:t>
      </w:r>
      <w:r w:rsidR="00422566">
        <w:rPr>
          <w:lang w:val="en-GB"/>
        </w:rPr>
        <w:fldChar w:fldCharType="begin"/>
      </w:r>
      <w:r w:rsidR="00422566">
        <w:rPr>
          <w:lang w:val="en-GB"/>
        </w:rPr>
        <w:instrText xml:space="preserve"> REF _Ref106114799 \r \h </w:instrText>
      </w:r>
      <w:r w:rsidR="00422566">
        <w:rPr>
          <w:lang w:val="en-GB"/>
        </w:rPr>
      </w:r>
      <w:r w:rsidR="00422566">
        <w:rPr>
          <w:lang w:val="en-GB"/>
        </w:rPr>
        <w:fldChar w:fldCharType="separate"/>
      </w:r>
      <w:r w:rsidR="00911570">
        <w:rPr>
          <w:lang w:val="en-GB"/>
        </w:rPr>
        <w:t>[6]</w:t>
      </w:r>
      <w:r w:rsidR="00422566">
        <w:rPr>
          <w:lang w:val="en-GB"/>
        </w:rPr>
        <w:fldChar w:fldCharType="end"/>
      </w:r>
      <w:r w:rsidRPr="006A6CE1">
        <w:rPr>
          <w:lang w:val="en-GB"/>
        </w:rPr>
        <w:t>).</w:t>
      </w:r>
    </w:p>
    <w:p w14:paraId="05EB78F7" w14:textId="4E032CBF" w:rsidR="008365D7" w:rsidRPr="006A6CE1" w:rsidRDefault="008365D7" w:rsidP="00414B83">
      <w:pPr>
        <w:spacing w:before="240" w:after="60"/>
        <w:jc w:val="both"/>
        <w:rPr>
          <w:lang w:val="en-GB"/>
        </w:rPr>
      </w:pPr>
      <w:r w:rsidRPr="006A6CE1">
        <w:rPr>
          <w:lang w:val="en-GB"/>
        </w:rPr>
        <w:t xml:space="preserve">The study in ECC Report 334 concluded that the following frequency bands may be used by the corresponding </w:t>
      </w:r>
      <w:r w:rsidR="008F22A7">
        <w:rPr>
          <w:lang w:val="en-GB"/>
        </w:rPr>
        <w:t>specific radiodetermination</w:t>
      </w:r>
      <w:r w:rsidRPr="006A6CE1">
        <w:rPr>
          <w:lang w:val="en-GB"/>
        </w:rPr>
        <w:t xml:space="preserve"> applications indicated below:</w:t>
      </w:r>
    </w:p>
    <w:p w14:paraId="358C5B58" w14:textId="0EB3F11F" w:rsidR="008365D7" w:rsidRPr="006A6CE1" w:rsidRDefault="008365D7" w:rsidP="003D4930">
      <w:pPr>
        <w:pStyle w:val="ECCBulletsLv1"/>
        <w:spacing w:after="60"/>
      </w:pPr>
      <w:r w:rsidRPr="006A6CE1">
        <w:t>Generic indoor surveillance radar in the bands 122.25</w:t>
      </w:r>
      <w:r w:rsidR="008F22A7">
        <w:t>-</w:t>
      </w:r>
      <w:r w:rsidRPr="006A6CE1">
        <w:t>130 GHz and 134</w:t>
      </w:r>
      <w:r w:rsidR="008F22A7">
        <w:t>-</w:t>
      </w:r>
      <w:r w:rsidRPr="006A6CE1">
        <w:t>148.5 GHz;</w:t>
      </w:r>
    </w:p>
    <w:p w14:paraId="649920F9" w14:textId="3D7C51F7" w:rsidR="008365D7" w:rsidRPr="006A6CE1" w:rsidRDefault="008365D7" w:rsidP="003D4930">
      <w:pPr>
        <w:pStyle w:val="ECCBulletsLv1"/>
        <w:spacing w:after="60"/>
      </w:pPr>
      <w:r w:rsidRPr="006A6CE1">
        <w:t>Radiodetermination systems for industry automation (RDI) in the bands 174.8</w:t>
      </w:r>
      <w:r w:rsidR="008F22A7">
        <w:t>-</w:t>
      </w:r>
      <w:r w:rsidRPr="006A6CE1">
        <w:t>182 GHz, 185</w:t>
      </w:r>
      <w:r w:rsidR="008F22A7">
        <w:t>-</w:t>
      </w:r>
      <w:r w:rsidRPr="006A6CE1">
        <w:t>190 GHz and 231.5</w:t>
      </w:r>
      <w:r w:rsidR="008F22A7">
        <w:t>-</w:t>
      </w:r>
      <w:r w:rsidRPr="006A6CE1">
        <w:t>250 GHz;</w:t>
      </w:r>
    </w:p>
    <w:p w14:paraId="6192E0C6" w14:textId="01B0EBEE" w:rsidR="008365D7" w:rsidRPr="006A6CE1" w:rsidRDefault="008365D7" w:rsidP="003D4930">
      <w:pPr>
        <w:pStyle w:val="ECCBulletsLv1"/>
        <w:spacing w:after="60"/>
      </w:pPr>
      <w:r w:rsidRPr="006A6CE1">
        <w:t>Level Probing Radar (LPR) and Tank level probing radar (TLPR) in the bands 116</w:t>
      </w:r>
      <w:r w:rsidR="008F22A7">
        <w:t>-</w:t>
      </w:r>
      <w:r w:rsidRPr="006A6CE1">
        <w:t>148.5 GHz, 167</w:t>
      </w:r>
      <w:r w:rsidR="0041521C">
        <w:t> </w:t>
      </w:r>
      <w:r w:rsidR="008F22A7">
        <w:t>-</w:t>
      </w:r>
      <w:r w:rsidR="0041521C">
        <w:t> </w:t>
      </w:r>
      <w:r w:rsidRPr="006A6CE1">
        <w:t>182 GHz and 231.5</w:t>
      </w:r>
      <w:r w:rsidR="008F22A7">
        <w:t>-</w:t>
      </w:r>
      <w:r w:rsidRPr="006A6CE1">
        <w:t>250 GHz;</w:t>
      </w:r>
    </w:p>
    <w:p w14:paraId="5AC5F07B" w14:textId="67792CB2" w:rsidR="008365D7" w:rsidRPr="006A6CE1" w:rsidRDefault="008365D7" w:rsidP="003D4930">
      <w:pPr>
        <w:pStyle w:val="ECCBulletsLv1"/>
        <w:spacing w:after="60"/>
      </w:pPr>
      <w:r w:rsidRPr="006A6CE1">
        <w:t>Contour determination and acquisition radar (CDR) in the bands 116</w:t>
      </w:r>
      <w:r w:rsidR="008F22A7">
        <w:t>-</w:t>
      </w:r>
      <w:r w:rsidRPr="006A6CE1">
        <w:t>148.5 GHz, 167</w:t>
      </w:r>
      <w:r w:rsidR="008F22A7">
        <w:t>-</w:t>
      </w:r>
      <w:r w:rsidRPr="006A6CE1">
        <w:t>182 GHz and 231.5</w:t>
      </w:r>
      <w:r w:rsidR="0041521C">
        <w:t> </w:t>
      </w:r>
      <w:r w:rsidR="008F22A7">
        <w:t>-</w:t>
      </w:r>
      <w:r w:rsidR="0041521C">
        <w:t> </w:t>
      </w:r>
      <w:r w:rsidRPr="006A6CE1">
        <w:t>250 GHz;</w:t>
      </w:r>
    </w:p>
    <w:p w14:paraId="76A795BE" w14:textId="12DE7336" w:rsidR="008365D7" w:rsidRPr="006A6CE1" w:rsidRDefault="008365D7" w:rsidP="003D4930">
      <w:pPr>
        <w:pStyle w:val="ECCBulletsLv1"/>
        <w:spacing w:after="60"/>
        <w:ind w:left="357" w:hanging="357"/>
      </w:pPr>
      <w:r w:rsidRPr="006A6CE1">
        <w:lastRenderedPageBreak/>
        <w:t>Radiodetermination systems for industry automation in shielded environments (RDI-S) in the band 116</w:t>
      </w:r>
      <w:r w:rsidR="008F22A7">
        <w:t>-</w:t>
      </w:r>
      <w:r w:rsidRPr="006A6CE1">
        <w:t>260 GHz.</w:t>
      </w:r>
    </w:p>
    <w:p w14:paraId="2C8C6D72" w14:textId="54AA846C" w:rsidR="008365D7" w:rsidRPr="006A6CE1" w:rsidRDefault="008365D7" w:rsidP="00006DA0">
      <w:pPr>
        <w:spacing w:before="240" w:after="60"/>
        <w:jc w:val="both"/>
        <w:rPr>
          <w:lang w:val="en-GB"/>
        </w:rPr>
      </w:pPr>
      <w:r w:rsidRPr="006A6CE1">
        <w:rPr>
          <w:lang w:val="en-GB"/>
        </w:rPr>
        <w:t xml:space="preserve">ECC </w:t>
      </w:r>
      <w:r w:rsidR="00967C66">
        <w:rPr>
          <w:lang w:val="en-GB"/>
        </w:rPr>
        <w:t>R</w:t>
      </w:r>
      <w:r w:rsidRPr="006A6CE1">
        <w:rPr>
          <w:lang w:val="en-GB"/>
        </w:rPr>
        <w:t>eport 334</w:t>
      </w:r>
      <w:r w:rsidR="00967C66">
        <w:rPr>
          <w:lang w:val="en-GB"/>
        </w:rPr>
        <w:t xml:space="preserve"> </w:t>
      </w:r>
      <w:r w:rsidR="00967C66">
        <w:rPr>
          <w:lang w:val="en-GB"/>
        </w:rPr>
        <w:fldChar w:fldCharType="begin"/>
      </w:r>
      <w:r w:rsidR="00967C66">
        <w:rPr>
          <w:lang w:val="en-GB"/>
        </w:rPr>
        <w:instrText xml:space="preserve"> REF _Ref106107545 \r \h </w:instrText>
      </w:r>
      <w:r w:rsidR="00967C66">
        <w:rPr>
          <w:lang w:val="en-GB"/>
        </w:rPr>
      </w:r>
      <w:r w:rsidR="00967C66">
        <w:rPr>
          <w:lang w:val="en-GB"/>
        </w:rPr>
        <w:fldChar w:fldCharType="separate"/>
      </w:r>
      <w:r w:rsidR="000B447F">
        <w:rPr>
          <w:lang w:val="en-GB"/>
        </w:rPr>
        <w:t>[2]</w:t>
      </w:r>
      <w:r w:rsidR="00967C66">
        <w:rPr>
          <w:lang w:val="en-GB"/>
        </w:rPr>
        <w:fldChar w:fldCharType="end"/>
      </w:r>
      <w:r w:rsidRPr="006A6CE1">
        <w:rPr>
          <w:lang w:val="en-GB"/>
        </w:rPr>
        <w:t xml:space="preserve"> also concluded that the operation of RDI-S in the band 116-260 GHz might require contiguous </w:t>
      </w:r>
      <w:r w:rsidR="0058226A">
        <w:rPr>
          <w:lang w:val="en-GB"/>
        </w:rPr>
        <w:t>spectrum</w:t>
      </w:r>
      <w:r w:rsidRPr="006A6CE1">
        <w:rPr>
          <w:lang w:val="en-GB"/>
        </w:rPr>
        <w:t xml:space="preserve"> of more than 32.5 GHz in some very specific cases</w:t>
      </w:r>
      <w:r w:rsidR="007300F7">
        <w:rPr>
          <w:lang w:val="en-GB"/>
        </w:rPr>
        <w:t>,</w:t>
      </w:r>
      <w:r w:rsidRPr="006A6CE1">
        <w:rPr>
          <w:lang w:val="en-GB"/>
        </w:rPr>
        <w:t xml:space="preserve"> that could only be realised if passive bands subject to RR No</w:t>
      </w:r>
      <w:r w:rsidR="00117106">
        <w:rPr>
          <w:lang w:val="en-GB"/>
        </w:rPr>
        <w:t>.</w:t>
      </w:r>
      <w:r w:rsidRPr="006A6CE1">
        <w:rPr>
          <w:lang w:val="en-GB"/>
        </w:rPr>
        <w:t xml:space="preserve"> 5.340 </w:t>
      </w:r>
      <w:r w:rsidR="00117106">
        <w:rPr>
          <w:lang w:val="en-GB"/>
        </w:rPr>
        <w:fldChar w:fldCharType="begin"/>
      </w:r>
      <w:r w:rsidR="00117106">
        <w:rPr>
          <w:lang w:val="en-GB"/>
        </w:rPr>
        <w:instrText xml:space="preserve"> REF _Ref111452895 \r \h </w:instrText>
      </w:r>
      <w:r w:rsidR="00117106">
        <w:rPr>
          <w:lang w:val="en-GB"/>
        </w:rPr>
      </w:r>
      <w:r w:rsidR="00117106">
        <w:rPr>
          <w:lang w:val="en-GB"/>
        </w:rPr>
        <w:fldChar w:fldCharType="separate"/>
      </w:r>
      <w:r w:rsidR="000B447F">
        <w:rPr>
          <w:lang w:val="en-GB"/>
        </w:rPr>
        <w:t>[7]</w:t>
      </w:r>
      <w:r w:rsidR="00117106">
        <w:rPr>
          <w:lang w:val="en-GB"/>
        </w:rPr>
        <w:fldChar w:fldCharType="end"/>
      </w:r>
      <w:r w:rsidR="00117106">
        <w:rPr>
          <w:lang w:val="en-GB"/>
        </w:rPr>
        <w:t xml:space="preserve"> </w:t>
      </w:r>
      <w:r w:rsidRPr="006A6CE1">
        <w:rPr>
          <w:lang w:val="en-GB"/>
        </w:rPr>
        <w:t>would be used. While RR No</w:t>
      </w:r>
      <w:r w:rsidR="00117106">
        <w:rPr>
          <w:lang w:val="en-GB"/>
        </w:rPr>
        <w:t>.</w:t>
      </w:r>
      <w:r w:rsidRPr="006A6CE1">
        <w:rPr>
          <w:lang w:val="en-GB"/>
        </w:rPr>
        <w:t xml:space="preserve"> 5.340 prohibits any emissions in these bands, an exception would be required for such cases under the conditions agreed by ECC </w:t>
      </w:r>
      <w:r w:rsidR="00117106">
        <w:rPr>
          <w:lang w:val="en-GB"/>
        </w:rPr>
        <w:t>P</w:t>
      </w:r>
      <w:r w:rsidRPr="006A6CE1">
        <w:rPr>
          <w:lang w:val="en-GB"/>
        </w:rPr>
        <w:t>lenary #52:</w:t>
      </w:r>
    </w:p>
    <w:p w14:paraId="224F754C" w14:textId="1BD1E464" w:rsidR="008365D7" w:rsidRPr="006A6CE1" w:rsidRDefault="008365D7" w:rsidP="00006DA0">
      <w:pPr>
        <w:pStyle w:val="ECCBulletsLv1"/>
        <w:spacing w:after="60"/>
        <w:ind w:left="340" w:hanging="340"/>
      </w:pPr>
      <w:r w:rsidRPr="006A6CE1">
        <w:t>Very specific type of applications (Type C, according to SRdoc ETSI TR 103 498</w:t>
      </w:r>
      <w:r w:rsidR="008C0CA2">
        <w:t xml:space="preserve"> </w:t>
      </w:r>
      <w:r w:rsidR="008C0CA2">
        <w:fldChar w:fldCharType="begin"/>
      </w:r>
      <w:r w:rsidR="008C0CA2">
        <w:instrText xml:space="preserve"> REF _Ref104294234 \r \h </w:instrText>
      </w:r>
      <w:r w:rsidR="008C0CA2">
        <w:fldChar w:fldCharType="separate"/>
      </w:r>
      <w:r w:rsidR="000B447F">
        <w:t>[1]</w:t>
      </w:r>
      <w:r w:rsidR="008C0CA2">
        <w:fldChar w:fldCharType="end"/>
      </w:r>
      <w:r w:rsidRPr="006A6CE1">
        <w:t>)</w:t>
      </w:r>
      <w:r w:rsidR="007300F7">
        <w:t>;</w:t>
      </w:r>
    </w:p>
    <w:p w14:paraId="5D53B801" w14:textId="16C93525" w:rsidR="008365D7" w:rsidRPr="006A6CE1" w:rsidRDefault="008365D7" w:rsidP="00006DA0">
      <w:pPr>
        <w:pStyle w:val="ECCBulletsLv1"/>
        <w:spacing w:after="60"/>
        <w:ind w:left="340" w:hanging="340"/>
      </w:pPr>
      <w:r w:rsidRPr="006A6CE1">
        <w:t>Very low number of devices</w:t>
      </w:r>
      <w:r w:rsidR="007300F7">
        <w:t>;</w:t>
      </w:r>
    </w:p>
    <w:p w14:paraId="6FC6DE92" w14:textId="7BAAF8B7" w:rsidR="008365D7" w:rsidRPr="006A6CE1" w:rsidRDefault="008365D7" w:rsidP="00006DA0">
      <w:pPr>
        <w:pStyle w:val="ECCBulletsLv1"/>
        <w:spacing w:after="60"/>
        <w:ind w:left="340" w:hanging="340"/>
      </w:pPr>
      <w:r w:rsidRPr="006A6CE1">
        <w:t>Shall not be understood as precedence for general allowance for using the bands covered by RR</w:t>
      </w:r>
      <w:r w:rsidR="00B34117">
        <w:t xml:space="preserve"> No. </w:t>
      </w:r>
      <w:r w:rsidRPr="006A6CE1">
        <w:t>5.340</w:t>
      </w:r>
      <w:r w:rsidR="007300F7">
        <w:t>;</w:t>
      </w:r>
    </w:p>
    <w:p w14:paraId="3B556992" w14:textId="77777777" w:rsidR="008365D7" w:rsidRPr="006A6CE1" w:rsidRDefault="008365D7" w:rsidP="00006DA0">
      <w:pPr>
        <w:pStyle w:val="ECCBulletsLv1"/>
        <w:spacing w:after="60"/>
        <w:ind w:left="357" w:hanging="357"/>
      </w:pPr>
      <w:r w:rsidRPr="006A6CE1">
        <w:t>Maintained to professional indoor applications (in shielded industrial environments) limited in numbers.</w:t>
      </w:r>
    </w:p>
    <w:p w14:paraId="273FE342" w14:textId="790F4A9C" w:rsidR="00D32B93" w:rsidRDefault="00D32B93" w:rsidP="00006DA0">
      <w:pPr>
        <w:spacing w:before="240" w:after="60"/>
        <w:jc w:val="both"/>
        <w:rPr>
          <w:lang w:val="en-GB"/>
        </w:rPr>
      </w:pPr>
      <w:r>
        <w:rPr>
          <w:lang w:val="en-GB"/>
        </w:rPr>
        <w:t xml:space="preserve">ECC Report 351 </w:t>
      </w:r>
      <w:r w:rsidR="007947FB">
        <w:rPr>
          <w:lang w:val="en-GB"/>
        </w:rPr>
        <w:fldChar w:fldCharType="begin"/>
      </w:r>
      <w:r w:rsidR="007947FB">
        <w:rPr>
          <w:lang w:val="en-GB"/>
        </w:rPr>
        <w:instrText xml:space="preserve"> REF _Ref129595648 \r \h </w:instrText>
      </w:r>
      <w:r w:rsidR="007947FB">
        <w:rPr>
          <w:lang w:val="en-GB"/>
        </w:rPr>
      </w:r>
      <w:r w:rsidR="007947FB">
        <w:rPr>
          <w:lang w:val="en-GB"/>
        </w:rPr>
        <w:fldChar w:fldCharType="separate"/>
      </w:r>
      <w:r w:rsidR="000B447F">
        <w:rPr>
          <w:lang w:val="en-GB"/>
        </w:rPr>
        <w:t>[3]</w:t>
      </w:r>
      <w:r w:rsidR="007947FB">
        <w:rPr>
          <w:lang w:val="en-GB"/>
        </w:rPr>
        <w:fldChar w:fldCharType="end"/>
      </w:r>
      <w:r w:rsidR="006847E6">
        <w:rPr>
          <w:lang w:val="en-GB"/>
        </w:rPr>
        <w:t xml:space="preserve"> </w:t>
      </w:r>
      <w:r>
        <w:rPr>
          <w:lang w:val="en-GB"/>
        </w:rPr>
        <w:t xml:space="preserve">built upon the work from ECC Report 334 to further investigate vehicular </w:t>
      </w:r>
      <w:r w:rsidR="00CA08B7">
        <w:rPr>
          <w:lang w:val="en-GB"/>
        </w:rPr>
        <w:t>radio determination applications. The following frequency bands may be used by the corresponding specific vehicular radiodetermination applications indicated below:</w:t>
      </w:r>
    </w:p>
    <w:p w14:paraId="0D9A59EB" w14:textId="30A200C4" w:rsidR="00CA08B7" w:rsidRDefault="00CA08B7" w:rsidP="00006DA0">
      <w:pPr>
        <w:pStyle w:val="ListParagraph"/>
        <w:numPr>
          <w:ilvl w:val="0"/>
          <w:numId w:val="29"/>
        </w:numPr>
        <w:spacing w:before="60" w:after="60"/>
        <w:ind w:left="357" w:hanging="357"/>
        <w:contextualSpacing w:val="0"/>
        <w:jc w:val="both"/>
        <w:rPr>
          <w:lang w:val="en-GB"/>
        </w:rPr>
      </w:pPr>
      <w:r>
        <w:rPr>
          <w:lang w:val="en-GB"/>
        </w:rPr>
        <w:t xml:space="preserve">Exterior vehicular radar (EVR) in the bands </w:t>
      </w:r>
      <w:r w:rsidRPr="00CA08B7">
        <w:rPr>
          <w:lang w:val="en-GB"/>
        </w:rPr>
        <w:t>122.25</w:t>
      </w:r>
      <w:r>
        <w:rPr>
          <w:lang w:val="en-GB"/>
        </w:rPr>
        <w:t>-</w:t>
      </w:r>
      <w:r w:rsidRPr="00CA08B7">
        <w:rPr>
          <w:lang w:val="en-GB"/>
        </w:rPr>
        <w:t>130 GHz</w:t>
      </w:r>
      <w:r>
        <w:rPr>
          <w:lang w:val="en-GB"/>
        </w:rPr>
        <w:t xml:space="preserve">, </w:t>
      </w:r>
      <w:r w:rsidRPr="00CA08B7">
        <w:rPr>
          <w:lang w:val="en-GB"/>
        </w:rPr>
        <w:t>134</w:t>
      </w:r>
      <w:r>
        <w:rPr>
          <w:lang w:val="en-GB"/>
        </w:rPr>
        <w:t>-</w:t>
      </w:r>
      <w:r w:rsidRPr="00CA08B7">
        <w:rPr>
          <w:lang w:val="en-GB"/>
        </w:rPr>
        <w:t>141 GHz</w:t>
      </w:r>
      <w:r>
        <w:rPr>
          <w:lang w:val="en-GB"/>
        </w:rPr>
        <w:t xml:space="preserve"> and </w:t>
      </w:r>
      <w:r w:rsidRPr="00CA08B7">
        <w:rPr>
          <w:lang w:val="en-GB"/>
        </w:rPr>
        <w:t>141</w:t>
      </w:r>
      <w:r>
        <w:rPr>
          <w:lang w:val="en-GB"/>
        </w:rPr>
        <w:t>-</w:t>
      </w:r>
      <w:r w:rsidRPr="00CA08B7">
        <w:rPr>
          <w:lang w:val="en-GB"/>
        </w:rPr>
        <w:t>148.5 GHz</w:t>
      </w:r>
      <w:r w:rsidR="006847E6">
        <w:rPr>
          <w:lang w:val="en-GB"/>
        </w:rPr>
        <w:t>;</w:t>
      </w:r>
    </w:p>
    <w:p w14:paraId="495A8847" w14:textId="7FC091A6" w:rsidR="00CA08B7" w:rsidRPr="00CA08B7" w:rsidRDefault="00CA08B7" w:rsidP="00006DA0">
      <w:pPr>
        <w:pStyle w:val="ListParagraph"/>
        <w:numPr>
          <w:ilvl w:val="0"/>
          <w:numId w:val="29"/>
        </w:numPr>
        <w:spacing w:before="60" w:after="60"/>
        <w:ind w:left="357" w:hanging="357"/>
        <w:contextualSpacing w:val="0"/>
        <w:jc w:val="both"/>
        <w:rPr>
          <w:lang w:val="en-GB"/>
        </w:rPr>
      </w:pPr>
      <w:r>
        <w:rPr>
          <w:lang w:val="en-GB"/>
        </w:rPr>
        <w:t xml:space="preserve">In-cabin vehicular radar (IVR) in the bands </w:t>
      </w:r>
      <w:r w:rsidRPr="00CA08B7">
        <w:rPr>
          <w:lang w:val="en-GB"/>
        </w:rPr>
        <w:t>122.25</w:t>
      </w:r>
      <w:r>
        <w:rPr>
          <w:lang w:val="en-GB"/>
        </w:rPr>
        <w:t>-</w:t>
      </w:r>
      <w:r w:rsidRPr="00CA08B7">
        <w:rPr>
          <w:lang w:val="en-GB"/>
        </w:rPr>
        <w:t>130 GHz</w:t>
      </w:r>
      <w:r>
        <w:rPr>
          <w:lang w:val="en-GB"/>
        </w:rPr>
        <w:t xml:space="preserve">, </w:t>
      </w:r>
      <w:r w:rsidRPr="00CA08B7">
        <w:rPr>
          <w:lang w:val="en-GB"/>
        </w:rPr>
        <w:t>134</w:t>
      </w:r>
      <w:r>
        <w:rPr>
          <w:lang w:val="en-GB"/>
        </w:rPr>
        <w:t>-</w:t>
      </w:r>
      <w:r w:rsidRPr="00CA08B7">
        <w:rPr>
          <w:lang w:val="en-GB"/>
        </w:rPr>
        <w:t>148.5 GHz</w:t>
      </w:r>
      <w:r w:rsidR="009A13D1">
        <w:rPr>
          <w:lang w:val="en-GB"/>
        </w:rPr>
        <w:t>.</w:t>
      </w:r>
    </w:p>
    <w:p w14:paraId="56BFDA7B" w14:textId="55BBF8AD" w:rsidR="008365D7" w:rsidRPr="006A6CE1" w:rsidRDefault="008365D7" w:rsidP="00006DA0">
      <w:pPr>
        <w:spacing w:before="240" w:after="60"/>
        <w:jc w:val="both"/>
        <w:rPr>
          <w:lang w:val="en-GB"/>
        </w:rPr>
      </w:pPr>
      <w:r w:rsidRPr="006A6CE1">
        <w:rPr>
          <w:lang w:val="en-GB"/>
        </w:rPr>
        <w:t xml:space="preserve">An agreed regulatory approach is required to ensure that the spectrum used by </w:t>
      </w:r>
      <w:r w:rsidR="00B34117">
        <w:rPr>
          <w:lang w:val="en-GB"/>
        </w:rPr>
        <w:t>specific</w:t>
      </w:r>
      <w:r w:rsidRPr="006A6CE1">
        <w:rPr>
          <w:lang w:val="en-GB"/>
        </w:rPr>
        <w:t xml:space="preserve"> radiodetermination applications in the frequency range 116</w:t>
      </w:r>
      <w:r w:rsidR="00B34117">
        <w:rPr>
          <w:lang w:val="en-GB"/>
        </w:rPr>
        <w:t>-</w:t>
      </w:r>
      <w:r w:rsidRPr="006A6CE1">
        <w:rPr>
          <w:lang w:val="en-GB"/>
        </w:rPr>
        <w:t>260 GHz can be accessed in any national territory, provided that the systems conform to the agreed power limits, spectrum access and installation requirements in order not to cause harmful interference to the radiocommunication services.</w:t>
      </w:r>
    </w:p>
    <w:p w14:paraId="192D95B9" w14:textId="14CCC00E" w:rsidR="008365D7" w:rsidRPr="006A6CE1" w:rsidRDefault="008365D7" w:rsidP="00006DA0">
      <w:pPr>
        <w:spacing w:before="240" w:after="60"/>
        <w:jc w:val="both"/>
        <w:rPr>
          <w:lang w:val="en-GB"/>
        </w:rPr>
      </w:pPr>
      <w:r w:rsidRPr="006A6CE1">
        <w:rPr>
          <w:lang w:val="en-GB"/>
        </w:rPr>
        <w:t xml:space="preserve">The designation of harmonised frequency bands forms the basis for the free circulation and cross-border use of </w:t>
      </w:r>
      <w:r w:rsidR="00B34117">
        <w:rPr>
          <w:lang w:val="en-GB"/>
        </w:rPr>
        <w:t>specific</w:t>
      </w:r>
      <w:r w:rsidRPr="006A6CE1">
        <w:rPr>
          <w:lang w:val="en-GB"/>
        </w:rPr>
        <w:t xml:space="preserve"> radiodetermination applications within Europe.</w:t>
      </w:r>
    </w:p>
    <w:p w14:paraId="4AA9108E" w14:textId="0CB9321C" w:rsidR="00B4584C" w:rsidRPr="006A6CE1" w:rsidRDefault="00B4584C" w:rsidP="0094483F">
      <w:pPr>
        <w:pStyle w:val="Heading2"/>
        <w:rPr>
          <w:lang w:val="en-GB"/>
        </w:rPr>
      </w:pPr>
      <w:r w:rsidRPr="006A6CE1">
        <w:rPr>
          <w:lang w:val="en-GB"/>
        </w:rPr>
        <w:t>Requirement for an ECC Decision</w:t>
      </w:r>
    </w:p>
    <w:p w14:paraId="48353274" w14:textId="77777777" w:rsidR="007119DC" w:rsidRPr="006A6CE1" w:rsidRDefault="007119DC" w:rsidP="00006DA0">
      <w:pPr>
        <w:spacing w:before="240" w:after="60"/>
        <w:jc w:val="both"/>
        <w:rPr>
          <w:lang w:val="en-GB"/>
        </w:rPr>
      </w:pPr>
      <w:r w:rsidRPr="006A6CE1">
        <w:rPr>
          <w:lang w:val="en-GB"/>
        </w:rPr>
        <w:t>The allocation or designation of frequency bands for use by a radiocommunication service or an application, respectively, under specified conditions in CEPT administrations is laid down by laws, secondary legislations or administrative measures. ECC Decisions are required to regulate the radio spectrum in order to allow free circulation and use of equipment throughout Europe. The free circulation and cross-border use of the radio equipment will be greatly assisted when all CEPT administrations exempt the same categories of radio equipment from individual licensing and by applying harmonised criteria.</w:t>
      </w:r>
    </w:p>
    <w:p w14:paraId="4A10B207" w14:textId="6D8A58C9" w:rsidR="00B4584C" w:rsidRPr="006A6CE1" w:rsidRDefault="007119DC" w:rsidP="00006DA0">
      <w:pPr>
        <w:spacing w:before="240" w:after="60"/>
        <w:jc w:val="both"/>
        <w:rPr>
          <w:lang w:val="en-GB"/>
        </w:rPr>
      </w:pPr>
      <w:r w:rsidRPr="006A6CE1">
        <w:rPr>
          <w:lang w:val="en-GB"/>
        </w:rPr>
        <w:t>Europe</w:t>
      </w:r>
      <w:r w:rsidR="007300F7">
        <w:rPr>
          <w:lang w:val="en-GB"/>
        </w:rPr>
        <w:t>-</w:t>
      </w:r>
      <w:r w:rsidRPr="006A6CE1">
        <w:rPr>
          <w:lang w:val="en-GB"/>
        </w:rPr>
        <w:t>wide harmonisation of the frequency bands and conditions for use supports the proper implementation of the Radio Equipment Directive 2014/53/EU</w:t>
      </w:r>
      <w:r w:rsidR="000D4901">
        <w:rPr>
          <w:lang w:val="en-GB"/>
        </w:rPr>
        <w:t xml:space="preserve"> </w:t>
      </w:r>
      <w:r w:rsidR="000D4901">
        <w:rPr>
          <w:lang w:val="en-GB"/>
        </w:rPr>
        <w:fldChar w:fldCharType="begin"/>
      </w:r>
      <w:r w:rsidR="000D4901">
        <w:rPr>
          <w:lang w:val="en-GB"/>
        </w:rPr>
        <w:instrText xml:space="preserve"> REF _Ref67311624 \n \h </w:instrText>
      </w:r>
      <w:r w:rsidR="000D4901">
        <w:rPr>
          <w:lang w:val="en-GB"/>
        </w:rPr>
      </w:r>
      <w:r w:rsidR="000D4901">
        <w:rPr>
          <w:lang w:val="en-GB"/>
        </w:rPr>
        <w:fldChar w:fldCharType="separate"/>
      </w:r>
      <w:r w:rsidR="00F32EDC">
        <w:rPr>
          <w:lang w:val="en-GB"/>
        </w:rPr>
        <w:t>[4]</w:t>
      </w:r>
      <w:r w:rsidR="000D4901">
        <w:rPr>
          <w:lang w:val="en-GB"/>
        </w:rPr>
        <w:fldChar w:fldCharType="end"/>
      </w:r>
      <w:r w:rsidR="007300F7">
        <w:rPr>
          <w:lang w:val="en-GB"/>
        </w:rPr>
        <w:t>.</w:t>
      </w:r>
      <w:r w:rsidRPr="006A6CE1">
        <w:rPr>
          <w:lang w:val="en-GB"/>
        </w:rPr>
        <w:t xml:space="preserve"> A commitment by CEPT administrations to implement this ECC Decision will provide a clear indication that the frequency bands required for </w:t>
      </w:r>
      <w:r w:rsidR="007A6970">
        <w:rPr>
          <w:lang w:val="en-GB"/>
        </w:rPr>
        <w:t>specific</w:t>
      </w:r>
      <w:r w:rsidRPr="006A6CE1">
        <w:rPr>
          <w:lang w:val="en-GB"/>
        </w:rPr>
        <w:t xml:space="preserve"> radiodetermination applications within the frequency range 116</w:t>
      </w:r>
      <w:r w:rsidR="007A6970">
        <w:rPr>
          <w:lang w:val="en-GB"/>
        </w:rPr>
        <w:t>-</w:t>
      </w:r>
      <w:r w:rsidRPr="006A6CE1">
        <w:rPr>
          <w:lang w:val="en-GB"/>
        </w:rPr>
        <w:t>260 GHz are available on a European basis.</w:t>
      </w:r>
    </w:p>
    <w:p w14:paraId="106338B2" w14:textId="289432AD" w:rsidR="006C03D0" w:rsidRPr="006A6CE1" w:rsidRDefault="005F7AD5" w:rsidP="00377AF2">
      <w:pPr>
        <w:pStyle w:val="Heading1"/>
      </w:pPr>
      <w:r w:rsidRPr="006A6CE1">
        <w:lastRenderedPageBreak/>
        <w:t>ECC Decision</w:t>
      </w:r>
      <w:r w:rsidR="00975A68" w:rsidRPr="006A6CE1">
        <w:t xml:space="preserve"> </w:t>
      </w:r>
      <w:r w:rsidRPr="006A6CE1">
        <w:t>o</w:t>
      </w:r>
      <w:r w:rsidRPr="006847E6">
        <w:t>f</w:t>
      </w:r>
      <w:r w:rsidR="00A8085A" w:rsidRPr="006847E6">
        <w:t xml:space="preserve"> </w:t>
      </w:r>
      <w:r w:rsidR="0088101E" w:rsidRPr="006847E6">
        <w:t>18 november</w:t>
      </w:r>
      <w:r w:rsidR="00A8085A" w:rsidRPr="006847E6">
        <w:t xml:space="preserve"> </w:t>
      </w:r>
      <w:r w:rsidR="00867378" w:rsidRPr="006847E6">
        <w:t>2022</w:t>
      </w:r>
      <w:r w:rsidR="00A8085A" w:rsidRPr="006A6CE1">
        <w:t xml:space="preserve"> </w:t>
      </w:r>
      <w:r w:rsidRPr="006A6CE1">
        <w:t>on</w:t>
      </w:r>
      <w:r w:rsidR="00A8085A" w:rsidRPr="006A6CE1">
        <w:t xml:space="preserve"> </w:t>
      </w:r>
      <w:r w:rsidR="00A26275" w:rsidRPr="006A6CE1">
        <w:t xml:space="preserve">the harmonised frequency bands, technical characteristics, exemption from individual licensing and free circulation and use of </w:t>
      </w:r>
      <w:r w:rsidR="00EA297D">
        <w:t>specific</w:t>
      </w:r>
      <w:r w:rsidR="00A26275" w:rsidRPr="006A6CE1">
        <w:t xml:space="preserve"> radiodetermination applications in the frequency range 116</w:t>
      </w:r>
      <w:r w:rsidR="00377AF2">
        <w:t> </w:t>
      </w:r>
      <w:r w:rsidR="00A26275" w:rsidRPr="006A6CE1">
        <w:t>-</w:t>
      </w:r>
      <w:r w:rsidR="00377AF2">
        <w:t> </w:t>
      </w:r>
      <w:r w:rsidR="00A26275" w:rsidRPr="006A6CE1">
        <w:t>260</w:t>
      </w:r>
      <w:r w:rsidR="00A60789">
        <w:t> </w:t>
      </w:r>
      <w:r w:rsidR="00A26275" w:rsidRPr="006A6CE1">
        <w:t>GHz</w:t>
      </w:r>
      <w:r w:rsidR="0088101E">
        <w:t xml:space="preserve"> (</w:t>
      </w:r>
      <w:r w:rsidR="0088101E" w:rsidRPr="0088101E">
        <w:t>ECC Decision (22)03</w:t>
      </w:r>
      <w:r w:rsidR="0088101E">
        <w:t>)</w:t>
      </w:r>
      <w:r w:rsidR="006847E6">
        <w:t xml:space="preserve">, amended </w:t>
      </w:r>
      <w:r w:rsidR="0043028F">
        <w:t>8 March 2024</w:t>
      </w:r>
    </w:p>
    <w:p w14:paraId="4982C866" w14:textId="20F802A3" w:rsidR="006C03D0" w:rsidRPr="006A6CE1" w:rsidRDefault="005F7AD5" w:rsidP="006C03D0">
      <w:pPr>
        <w:pStyle w:val="ECCParagraph"/>
      </w:pPr>
      <w:r w:rsidRPr="006A6CE1">
        <w:t>“The European Conference of Postal and Telecommunications Administrations,</w:t>
      </w:r>
    </w:p>
    <w:p w14:paraId="394ED2B0" w14:textId="714389E8" w:rsidR="006C03D0" w:rsidRPr="006A6CE1" w:rsidRDefault="005F7AD5" w:rsidP="006C03D0">
      <w:pPr>
        <w:pStyle w:val="ECCParagraph"/>
        <w:rPr>
          <w:i/>
          <w:color w:val="D2232A"/>
        </w:rPr>
      </w:pPr>
      <w:r w:rsidRPr="006A6CE1">
        <w:rPr>
          <w:i/>
          <w:color w:val="D2232A"/>
        </w:rPr>
        <w:t>considering</w:t>
      </w:r>
    </w:p>
    <w:p w14:paraId="12AF0D08" w14:textId="4A5ABE80" w:rsidR="00AD14F6" w:rsidRPr="006A6CE1" w:rsidRDefault="00985385"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every state has sovereignty on its territory and on the radio spectrum;</w:t>
      </w:r>
    </w:p>
    <w:p w14:paraId="164B1323" w14:textId="514FD7AD" w:rsidR="00960AD2" w:rsidRPr="006A6CE1" w:rsidRDefault="00960AD2"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harmonised conditions across CEPT/EU help to establish an effective single market for these </w:t>
      </w:r>
      <w:r w:rsidR="00DC723E">
        <w:rPr>
          <w:lang w:val="en-GB"/>
        </w:rPr>
        <w:t xml:space="preserve">specific radiodetermination </w:t>
      </w:r>
      <w:r w:rsidRPr="006A6CE1">
        <w:rPr>
          <w:lang w:val="en-GB"/>
        </w:rPr>
        <w:t>applications, with consequent economies of scale and benefits to th</w:t>
      </w:r>
      <w:r w:rsidR="008D7906">
        <w:rPr>
          <w:lang w:val="en-GB"/>
        </w:rPr>
        <w:t>is</w:t>
      </w:r>
      <w:r w:rsidRPr="006A6CE1">
        <w:rPr>
          <w:lang w:val="en-GB"/>
        </w:rPr>
        <w:t xml:space="preserve"> industry in Europe, and avoid difficulties in enforcing divergent national regulations;</w:t>
      </w:r>
    </w:p>
    <w:p w14:paraId="31AE6983" w14:textId="04682E94"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issue of compatibility of </w:t>
      </w:r>
      <w:r w:rsidR="00E81B49">
        <w:rPr>
          <w:lang w:val="en-GB"/>
        </w:rPr>
        <w:t>specific radiodetermination</w:t>
      </w:r>
      <w:r w:rsidRPr="006A6CE1">
        <w:rPr>
          <w:lang w:val="en-GB"/>
        </w:rPr>
        <w:t xml:space="preserve"> applications in the frequency range 116</w:t>
      </w:r>
      <w:r w:rsidR="00656235">
        <w:rPr>
          <w:lang w:val="en-GB"/>
        </w:rPr>
        <w:t>-</w:t>
      </w:r>
      <w:r w:rsidRPr="006A6CE1">
        <w:rPr>
          <w:lang w:val="en-GB"/>
        </w:rPr>
        <w:t>260 GHz with other radio equipment is the responsibility of the relevant national authorities;</w:t>
      </w:r>
    </w:p>
    <w:p w14:paraId="41082063" w14:textId="7844B561"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coexistence stud</w:t>
      </w:r>
      <w:r w:rsidR="00146FB5">
        <w:rPr>
          <w:lang w:val="en-GB"/>
        </w:rPr>
        <w:t>ies</w:t>
      </w:r>
      <w:r w:rsidRPr="006A6CE1">
        <w:rPr>
          <w:lang w:val="en-GB"/>
        </w:rPr>
        <w:t xml:space="preserve"> considering </w:t>
      </w:r>
      <w:r w:rsidR="00656235">
        <w:rPr>
          <w:lang w:val="en-GB"/>
        </w:rPr>
        <w:t>specific</w:t>
      </w:r>
      <w:r w:rsidRPr="006A6CE1">
        <w:rPr>
          <w:lang w:val="en-GB"/>
        </w:rPr>
        <w:t xml:space="preserve"> radiodetermination applications in the frequency range 116</w:t>
      </w:r>
      <w:r w:rsidR="00656235">
        <w:rPr>
          <w:lang w:val="en-GB"/>
        </w:rPr>
        <w:t>-</w:t>
      </w:r>
      <w:r w:rsidRPr="006A6CE1">
        <w:rPr>
          <w:lang w:val="en-GB"/>
        </w:rPr>
        <w:t>260 GHz and radiocommunication services (Radio Astronomy Service (RAS), Fixed Service (FS), Earth Exploration Satellite Service (EESS) passive and Amateur Service) operating in the same frequency bands and in adjacent bands ha</w:t>
      </w:r>
      <w:r w:rsidR="00146FB5">
        <w:rPr>
          <w:lang w:val="en-GB"/>
        </w:rPr>
        <w:t>ve</w:t>
      </w:r>
      <w:r w:rsidRPr="006A6CE1">
        <w:rPr>
          <w:lang w:val="en-GB"/>
        </w:rPr>
        <w:t xml:space="preserve"> been conducted by ECC and that the results of th</w:t>
      </w:r>
      <w:r w:rsidR="00146FB5">
        <w:rPr>
          <w:lang w:val="en-GB"/>
        </w:rPr>
        <w:t>ese</w:t>
      </w:r>
      <w:r w:rsidRPr="006A6CE1">
        <w:rPr>
          <w:lang w:val="en-GB"/>
        </w:rPr>
        <w:t xml:space="preserve"> </w:t>
      </w:r>
      <w:r w:rsidR="00146FB5" w:rsidRPr="006A6CE1">
        <w:rPr>
          <w:lang w:val="en-GB"/>
        </w:rPr>
        <w:t>stud</w:t>
      </w:r>
      <w:r w:rsidR="00146FB5">
        <w:rPr>
          <w:lang w:val="en-GB"/>
        </w:rPr>
        <w:t>ies</w:t>
      </w:r>
      <w:r w:rsidR="00146FB5" w:rsidRPr="006A6CE1">
        <w:rPr>
          <w:lang w:val="en-GB"/>
        </w:rPr>
        <w:t xml:space="preserve"> </w:t>
      </w:r>
      <w:r w:rsidRPr="006A6CE1">
        <w:rPr>
          <w:lang w:val="en-GB"/>
        </w:rPr>
        <w:t xml:space="preserve">are contained in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F32EDC">
        <w:rPr>
          <w:lang w:val="en-GB"/>
        </w:rPr>
        <w:t>[2]</w:t>
      </w:r>
      <w:r w:rsidR="000E0229">
        <w:rPr>
          <w:lang w:val="en-GB"/>
        </w:rPr>
        <w:fldChar w:fldCharType="end"/>
      </w:r>
      <w:r w:rsidR="00146FB5">
        <w:rPr>
          <w:lang w:val="en-GB"/>
        </w:rPr>
        <w:t xml:space="preserve"> and ECC Report 351 </w:t>
      </w:r>
      <w:r w:rsidR="00146FB5">
        <w:rPr>
          <w:lang w:val="en-GB"/>
        </w:rPr>
        <w:fldChar w:fldCharType="begin"/>
      </w:r>
      <w:r w:rsidR="00146FB5">
        <w:rPr>
          <w:lang w:val="en-GB"/>
        </w:rPr>
        <w:instrText xml:space="preserve"> REF _Ref129595648 \r \h </w:instrText>
      </w:r>
      <w:r w:rsidR="00146FB5">
        <w:rPr>
          <w:lang w:val="en-GB"/>
        </w:rPr>
      </w:r>
      <w:r w:rsidR="00146FB5">
        <w:rPr>
          <w:lang w:val="en-GB"/>
        </w:rPr>
        <w:fldChar w:fldCharType="separate"/>
      </w:r>
      <w:r w:rsidR="00146FB5">
        <w:rPr>
          <w:lang w:val="en-GB"/>
        </w:rPr>
        <w:t>[3]</w:t>
      </w:r>
      <w:r w:rsidR="00146FB5">
        <w:rPr>
          <w:lang w:val="en-GB"/>
        </w:rPr>
        <w:fldChar w:fldCharType="end"/>
      </w:r>
      <w:r w:rsidRPr="006A6CE1">
        <w:rPr>
          <w:lang w:val="en-GB"/>
        </w:rPr>
        <w:t>;</w:t>
      </w:r>
    </w:p>
    <w:p w14:paraId="44B09881" w14:textId="6F5525CE"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that administrations can define exclusion</w:t>
      </w:r>
      <w:r w:rsidR="00146FB5">
        <w:rPr>
          <w:lang w:val="en-GB"/>
        </w:rPr>
        <w:t xml:space="preserve"> and coordination</w:t>
      </w:r>
      <w:r w:rsidRPr="006A6CE1">
        <w:rPr>
          <w:lang w:val="en-GB"/>
        </w:rPr>
        <w:t xml:space="preserve"> zones to protect the Radio Astronomy Service (RAS) on a national level;</w:t>
      </w:r>
    </w:p>
    <w:p w14:paraId="45D0CC60" w14:textId="7EEF31DC"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ECC Report 334 </w:t>
      </w:r>
      <w:r w:rsidR="000E0229">
        <w:rPr>
          <w:lang w:val="en-GB"/>
        </w:rPr>
        <w:fldChar w:fldCharType="begin"/>
      </w:r>
      <w:r w:rsidR="000E0229">
        <w:rPr>
          <w:lang w:val="en-GB"/>
        </w:rPr>
        <w:instrText xml:space="preserve"> REF _Ref104294281 \r \h </w:instrText>
      </w:r>
      <w:r w:rsidR="000E0229">
        <w:rPr>
          <w:lang w:val="en-GB"/>
        </w:rPr>
      </w:r>
      <w:r w:rsidR="000E0229">
        <w:rPr>
          <w:lang w:val="en-GB"/>
        </w:rPr>
        <w:fldChar w:fldCharType="separate"/>
      </w:r>
      <w:r w:rsidR="000E0229">
        <w:rPr>
          <w:lang w:val="en-GB"/>
        </w:rPr>
        <w:t>[2]</w:t>
      </w:r>
      <w:r w:rsidR="000E0229">
        <w:rPr>
          <w:lang w:val="en-GB"/>
        </w:rPr>
        <w:fldChar w:fldCharType="end"/>
      </w:r>
      <w:r w:rsidRPr="006A6CE1">
        <w:rPr>
          <w:lang w:val="en-GB"/>
        </w:rPr>
        <w:t xml:space="preserve"> </w:t>
      </w:r>
      <w:r w:rsidR="0044437B">
        <w:rPr>
          <w:lang w:val="en-GB"/>
        </w:rPr>
        <w:t xml:space="preserve">and ECC Report 351 </w:t>
      </w:r>
      <w:r w:rsidR="0044437B">
        <w:rPr>
          <w:lang w:val="en-GB"/>
        </w:rPr>
        <w:fldChar w:fldCharType="begin"/>
      </w:r>
      <w:r w:rsidR="0044437B">
        <w:rPr>
          <w:lang w:val="en-GB"/>
        </w:rPr>
        <w:instrText xml:space="preserve"> REF _Ref129595648 \r \h </w:instrText>
      </w:r>
      <w:r w:rsidR="0044437B">
        <w:rPr>
          <w:lang w:val="en-GB"/>
        </w:rPr>
      </w:r>
      <w:r w:rsidR="0044437B">
        <w:rPr>
          <w:lang w:val="en-GB"/>
        </w:rPr>
        <w:fldChar w:fldCharType="separate"/>
      </w:r>
      <w:r w:rsidR="0044437B">
        <w:rPr>
          <w:lang w:val="en-GB"/>
        </w:rPr>
        <w:t>[3]</w:t>
      </w:r>
      <w:r w:rsidR="0044437B">
        <w:rPr>
          <w:lang w:val="en-GB"/>
        </w:rPr>
        <w:fldChar w:fldCharType="end"/>
      </w:r>
      <w:r w:rsidR="0044437B">
        <w:rPr>
          <w:lang w:val="en-GB"/>
        </w:rPr>
        <w:t xml:space="preserve"> </w:t>
      </w:r>
      <w:r w:rsidRPr="006A6CE1">
        <w:rPr>
          <w:lang w:val="en-GB"/>
        </w:rPr>
        <w:t xml:space="preserve">recommend implementing exclusion zones around the radio astronomy stations NOEMA and IRAM-30 m for certain </w:t>
      </w:r>
      <w:r w:rsidR="00002410">
        <w:rPr>
          <w:lang w:val="en-GB"/>
        </w:rPr>
        <w:t>specific</w:t>
      </w:r>
      <w:r w:rsidRPr="006A6CE1">
        <w:rPr>
          <w:lang w:val="en-GB"/>
        </w:rPr>
        <w:t xml:space="preserve"> radiodetermination applications, as shown in </w:t>
      </w:r>
      <w:r w:rsidRPr="006A6CE1">
        <w:rPr>
          <w:lang w:val="en-GB"/>
        </w:rPr>
        <w:fldChar w:fldCharType="begin"/>
      </w:r>
      <w:r w:rsidRPr="006A6CE1">
        <w:rPr>
          <w:lang w:val="en-GB"/>
        </w:rPr>
        <w:instrText xml:space="preserve"> REF _Ref66370646 \h </w:instrText>
      </w:r>
      <w:r w:rsidRPr="006A6CE1">
        <w:rPr>
          <w:lang w:val="en-GB"/>
        </w:rPr>
      </w:r>
      <w:r w:rsidRPr="006A6CE1">
        <w:rPr>
          <w:lang w:val="en-GB"/>
        </w:rPr>
        <w:fldChar w:fldCharType="separate"/>
      </w:r>
      <w:r w:rsidR="00750A31" w:rsidRPr="006A6CE1">
        <w:rPr>
          <w:lang w:val="en-GB"/>
        </w:rPr>
        <w:t>Table </w:t>
      </w:r>
      <w:r w:rsidR="00750A31">
        <w:rPr>
          <w:noProof/>
          <w:lang w:val="en-GB"/>
        </w:rPr>
        <w:t>1</w:t>
      </w:r>
      <w:r w:rsidRPr="006A6CE1">
        <w:rPr>
          <w:lang w:val="en-GB"/>
        </w:rPr>
        <w:fldChar w:fldCharType="end"/>
      </w:r>
      <w:r w:rsidRPr="006A6CE1">
        <w:rPr>
          <w:lang w:val="en-GB"/>
        </w:rPr>
        <w:t xml:space="preserve"> in </w:t>
      </w:r>
      <w:r w:rsidR="0064566E">
        <w:rPr>
          <w:lang w:val="en-GB"/>
        </w:rPr>
        <w:fldChar w:fldCharType="begin"/>
      </w:r>
      <w:r w:rsidR="0064566E">
        <w:rPr>
          <w:lang w:val="en-GB"/>
        </w:rPr>
        <w:instrText xml:space="preserve"> REF _Ref104294402 \r \h </w:instrText>
      </w:r>
      <w:r w:rsidR="0064566E">
        <w:rPr>
          <w:lang w:val="en-GB"/>
        </w:rPr>
      </w:r>
      <w:r w:rsidR="0064566E">
        <w:rPr>
          <w:lang w:val="en-GB"/>
        </w:rPr>
        <w:fldChar w:fldCharType="separate"/>
      </w:r>
      <w:r w:rsidR="0064566E">
        <w:rPr>
          <w:lang w:val="en-GB"/>
        </w:rPr>
        <w:t>A</w:t>
      </w:r>
      <w:r w:rsidR="009E7A5A">
        <w:rPr>
          <w:lang w:val="en-GB"/>
        </w:rPr>
        <w:t>nnex</w:t>
      </w:r>
      <w:r w:rsidR="0064566E">
        <w:rPr>
          <w:lang w:val="en-GB"/>
        </w:rPr>
        <w:t xml:space="preserve"> 1</w:t>
      </w:r>
      <w:r w:rsidR="0064566E">
        <w:rPr>
          <w:lang w:val="en-GB"/>
        </w:rPr>
        <w:fldChar w:fldCharType="end"/>
      </w:r>
      <w:r w:rsidRPr="006A6CE1">
        <w:rPr>
          <w:lang w:val="en-GB"/>
        </w:rPr>
        <w:t xml:space="preserve"> for the protection of the Radio Astronomy Service (RAS);</w:t>
      </w:r>
    </w:p>
    <w:p w14:paraId="26E7DA72" w14:textId="2C391497" w:rsidR="0029571E" w:rsidRPr="006A6CE1" w:rsidRDefault="0029571E"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w:t>
      </w:r>
      <w:r w:rsidR="00002410">
        <w:rPr>
          <w:lang w:val="en-GB"/>
        </w:rPr>
        <w:t>specific</w:t>
      </w:r>
      <w:r w:rsidRPr="006A6CE1">
        <w:rPr>
          <w:lang w:val="en-GB"/>
        </w:rPr>
        <w:t xml:space="preserve"> radiodetermination applications,</w:t>
      </w:r>
    </w:p>
    <w:p w14:paraId="3881816D" w14:textId="4BCE6EF6"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Radiodetermination systems for industry automation (RDI),</w:t>
      </w:r>
    </w:p>
    <w:p w14:paraId="3516CCF9" w14:textId="4983A770"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Level Probing Radar (LPR),</w:t>
      </w:r>
    </w:p>
    <w:p w14:paraId="5ABB45E2" w14:textId="07F9BAAE" w:rsidR="0029571E" w:rsidRPr="0088688E" w:rsidRDefault="0029571E" w:rsidP="000F490F">
      <w:pPr>
        <w:pStyle w:val="NumberedList"/>
        <w:numPr>
          <w:ilvl w:val="0"/>
          <w:numId w:val="14"/>
        </w:numPr>
        <w:tabs>
          <w:tab w:val="clear" w:pos="397"/>
          <w:tab w:val="num" w:pos="851"/>
          <w:tab w:val="num" w:pos="1134"/>
        </w:tabs>
        <w:spacing w:before="120" w:after="120"/>
        <w:ind w:left="851" w:hanging="284"/>
      </w:pPr>
      <w:r w:rsidRPr="0088688E">
        <w:t>Tank level probing radar (TLPR),</w:t>
      </w:r>
    </w:p>
    <w:p w14:paraId="127B4C54" w14:textId="1F4441D8"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Contour determination and acquisition radar (CDR),</w:t>
      </w:r>
    </w:p>
    <w:p w14:paraId="189EAD60" w14:textId="1AD62603" w:rsidR="0029571E" w:rsidRPr="006A6CE1" w:rsidRDefault="0029571E" w:rsidP="000F490F">
      <w:pPr>
        <w:pStyle w:val="NumberedList"/>
        <w:numPr>
          <w:ilvl w:val="0"/>
          <w:numId w:val="14"/>
        </w:numPr>
        <w:tabs>
          <w:tab w:val="clear" w:pos="397"/>
          <w:tab w:val="num" w:pos="851"/>
          <w:tab w:val="num" w:pos="1134"/>
        </w:tabs>
        <w:spacing w:before="120" w:after="120"/>
        <w:ind w:left="851" w:hanging="284"/>
      </w:pPr>
      <w:r w:rsidRPr="006A6CE1">
        <w:t>Radiodetermination systems for industry automation in shielded environments (RDI-S),</w:t>
      </w:r>
    </w:p>
    <w:p w14:paraId="2932FEFD" w14:textId="3885FFCA" w:rsidR="00BF3190" w:rsidRPr="006A6CE1" w:rsidRDefault="00BF3190" w:rsidP="00BF3190">
      <w:pPr>
        <w:pStyle w:val="ECCParagraph"/>
        <w:ind w:left="567"/>
      </w:pPr>
      <w:r w:rsidRPr="006A6CE1">
        <w:t>are identified as applications for industrial use appearing with relatively small quantities mainly in industrial areas and are installed, operated and maintained by trained personnel, which provides confidence for proper implementation of the required regulatory provisions;</w:t>
      </w:r>
    </w:p>
    <w:p w14:paraId="1E19B53F" w14:textId="24D7A3CC" w:rsidR="0029571E"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 manufacturers of </w:t>
      </w:r>
      <w:r w:rsidR="00002410">
        <w:rPr>
          <w:lang w:val="en-GB"/>
        </w:rPr>
        <w:t>specific radiodetermination</w:t>
      </w:r>
      <w:r w:rsidRPr="006A6CE1">
        <w:rPr>
          <w:lang w:val="en-GB"/>
        </w:rPr>
        <w:t xml:space="preserve"> applications will be required to make relevant provisions in the design of devices and the content of installation manuals (and any respective training material) to achieve the proper implementation of objectives and details of the regulatory requirements set out in this ECC Decision;</w:t>
      </w:r>
    </w:p>
    <w:p w14:paraId="4A4E4F4A" w14:textId="6E1D7FFE"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there is an industry and user requirement for harmonised usage conditions for the use of radio equipment throughout Europe for </w:t>
      </w:r>
      <w:r w:rsidR="00002410">
        <w:rPr>
          <w:lang w:val="en-GB"/>
        </w:rPr>
        <w:t>specific radiodetermination</w:t>
      </w:r>
      <w:r w:rsidRPr="006A6CE1">
        <w:rPr>
          <w:lang w:val="en-GB"/>
        </w:rPr>
        <w:t xml:space="preserve"> applications in the frequency range 116</w:t>
      </w:r>
      <w:r w:rsidR="00002410">
        <w:rPr>
          <w:lang w:val="en-GB"/>
        </w:rPr>
        <w:t>-</w:t>
      </w:r>
      <w:r w:rsidRPr="006A6CE1">
        <w:rPr>
          <w:lang w:val="en-GB"/>
        </w:rPr>
        <w:t>260 GHz;</w:t>
      </w:r>
    </w:p>
    <w:p w14:paraId="793912F9" w14:textId="0C70B2A9"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it would be desirable for administrations to have common regulations at their disposal in order to control free </w:t>
      </w:r>
      <w:r w:rsidRPr="006A6CE1">
        <w:rPr>
          <w:spacing w:val="-2"/>
          <w:lang w:val="en-GB"/>
        </w:rPr>
        <w:t xml:space="preserve">carriage and use of </w:t>
      </w:r>
      <w:r w:rsidR="00002410">
        <w:rPr>
          <w:lang w:val="en-GB"/>
        </w:rPr>
        <w:t>specific radiodetermination</w:t>
      </w:r>
      <w:r w:rsidRPr="006A6CE1">
        <w:rPr>
          <w:spacing w:val="-2"/>
          <w:lang w:val="en-GB"/>
        </w:rPr>
        <w:t xml:space="preserve"> applications in the frequency range 116</w:t>
      </w:r>
      <w:r w:rsidR="00002410">
        <w:rPr>
          <w:spacing w:val="-2"/>
          <w:lang w:val="en-GB"/>
        </w:rPr>
        <w:t>-</w:t>
      </w:r>
      <w:r w:rsidRPr="006A6CE1">
        <w:rPr>
          <w:spacing w:val="-2"/>
          <w:lang w:val="en-GB"/>
        </w:rPr>
        <w:t>260 GHz throughout Europe</w:t>
      </w:r>
      <w:r w:rsidRPr="006A6CE1">
        <w:rPr>
          <w:lang w:val="en-GB"/>
        </w:rPr>
        <w:t>;</w:t>
      </w:r>
    </w:p>
    <w:p w14:paraId="35273D56" w14:textId="7E1887B6" w:rsidR="00002410" w:rsidRPr="006A6CE1" w:rsidRDefault="00002410" w:rsidP="00002410">
      <w:pPr>
        <w:pStyle w:val="ListParagraph"/>
        <w:numPr>
          <w:ilvl w:val="0"/>
          <w:numId w:val="13"/>
        </w:numPr>
        <w:tabs>
          <w:tab w:val="left" w:pos="567"/>
        </w:tabs>
        <w:spacing w:after="240"/>
        <w:ind w:left="567" w:hanging="567"/>
        <w:contextualSpacing w:val="0"/>
        <w:jc w:val="both"/>
        <w:rPr>
          <w:lang w:val="en-GB"/>
        </w:rPr>
      </w:pPr>
      <w:bookmarkStart w:id="4" w:name="_Ref100058971"/>
      <w:r w:rsidRPr="006A6CE1">
        <w:rPr>
          <w:lang w:val="en-GB"/>
        </w:rPr>
        <w:lastRenderedPageBreak/>
        <w:t xml:space="preserve">that RR No. 5.340 states that “all emissions are prohibited” in a number of </w:t>
      </w:r>
      <w:r>
        <w:rPr>
          <w:lang w:val="en-GB"/>
        </w:rPr>
        <w:t xml:space="preserve">frequency </w:t>
      </w:r>
      <w:r w:rsidRPr="006A6CE1">
        <w:rPr>
          <w:lang w:val="en-GB"/>
        </w:rPr>
        <w:t>bands allocated to EESS (passive), RAS and SRS (passive), including the bands 114.25-116 GHz, 148.5-151.5 GHz, 164</w:t>
      </w:r>
      <w:r w:rsidR="00A80FD0">
        <w:rPr>
          <w:lang w:val="en-GB"/>
        </w:rPr>
        <w:t> </w:t>
      </w:r>
      <w:r w:rsidRPr="006A6CE1">
        <w:rPr>
          <w:lang w:val="en-GB"/>
        </w:rPr>
        <w:t>-</w:t>
      </w:r>
      <w:r w:rsidR="00A80FD0">
        <w:rPr>
          <w:lang w:val="en-GB"/>
        </w:rPr>
        <w:t> </w:t>
      </w:r>
      <w:r w:rsidRPr="006A6CE1">
        <w:rPr>
          <w:lang w:val="en-GB"/>
        </w:rPr>
        <w:t>167 GHz, 182-185 GHz, 190-191.8 GHz, 200-209 GHz, 226-231.5 GHz, 250-252 GHz;</w:t>
      </w:r>
    </w:p>
    <w:p w14:paraId="050DD81A" w14:textId="3958CD38"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this designation for RDI-S does not establish precedence for generic consent to use the passive bands covered by RR No. 5.340 </w:t>
      </w:r>
      <w:r w:rsidR="00C25817">
        <w:rPr>
          <w:lang w:val="en-GB"/>
        </w:rPr>
        <w:fldChar w:fldCharType="begin"/>
      </w:r>
      <w:r w:rsidR="00C25817">
        <w:rPr>
          <w:lang w:val="en-GB"/>
        </w:rPr>
        <w:instrText xml:space="preserve"> REF _Ref111452895 \r \h </w:instrText>
      </w:r>
      <w:r w:rsidR="00C25817">
        <w:rPr>
          <w:lang w:val="en-GB"/>
        </w:rPr>
      </w:r>
      <w:r w:rsidR="00C25817">
        <w:rPr>
          <w:lang w:val="en-GB"/>
        </w:rPr>
        <w:fldChar w:fldCharType="separate"/>
      </w:r>
      <w:r w:rsidR="00F32EDC">
        <w:rPr>
          <w:lang w:val="en-GB"/>
        </w:rPr>
        <w:t>[7]</w:t>
      </w:r>
      <w:r w:rsidR="00C25817">
        <w:rPr>
          <w:lang w:val="en-GB"/>
        </w:rPr>
        <w:fldChar w:fldCharType="end"/>
      </w:r>
      <w:r w:rsidR="00C25817">
        <w:rPr>
          <w:lang w:val="en-GB"/>
        </w:rPr>
        <w:t xml:space="preserve"> </w:t>
      </w:r>
      <w:r w:rsidRPr="006A6CE1">
        <w:rPr>
          <w:lang w:val="en-GB"/>
        </w:rPr>
        <w:t>by any active application and is considered as an exception;</w:t>
      </w:r>
      <w:bookmarkEnd w:id="4"/>
    </w:p>
    <w:p w14:paraId="28373F6E" w14:textId="64B95AFB" w:rsidR="006F4B2D" w:rsidRDefault="007D6959" w:rsidP="00C01D98">
      <w:pPr>
        <w:pStyle w:val="ListParagraph"/>
        <w:numPr>
          <w:ilvl w:val="0"/>
          <w:numId w:val="13"/>
        </w:numPr>
        <w:tabs>
          <w:tab w:val="left" w:pos="567"/>
        </w:tabs>
        <w:spacing w:after="240"/>
        <w:ind w:left="567" w:hanging="567"/>
        <w:contextualSpacing w:val="0"/>
        <w:jc w:val="both"/>
        <w:rPr>
          <w:lang w:val="en-GB"/>
        </w:rPr>
      </w:pPr>
      <w:r>
        <w:rPr>
          <w:lang w:val="en-GB"/>
        </w:rPr>
        <w:t>that</w:t>
      </w:r>
      <w:r w:rsidR="00DC2976">
        <w:rPr>
          <w:lang w:val="en-GB"/>
        </w:rPr>
        <w:t>,</w:t>
      </w:r>
      <w:r>
        <w:rPr>
          <w:lang w:val="en-GB"/>
        </w:rPr>
        <w:t xml:space="preserve"> </w:t>
      </w:r>
      <w:r w:rsidRPr="006A6CE1">
        <w:t xml:space="preserve">for tracking and monitoring purposes, manufacturers placing RDI-S equipment to the market that might use the passive bands covered by RR No. 5.340 </w:t>
      </w:r>
      <w:r>
        <w:t>are encouraged</w:t>
      </w:r>
      <w:r w:rsidRPr="006A6CE1">
        <w:t xml:space="preserve"> </w:t>
      </w:r>
      <w:r>
        <w:t xml:space="preserve">to </w:t>
      </w:r>
      <w:r w:rsidRPr="006A6CE1">
        <w:t xml:space="preserve">inform the Office about such use with the information </w:t>
      </w:r>
      <w:r>
        <w:t>listed</w:t>
      </w:r>
      <w:r w:rsidRPr="006A6CE1">
        <w:t xml:space="preserve"> in </w:t>
      </w:r>
      <w:r>
        <w:fldChar w:fldCharType="begin"/>
      </w:r>
      <w:r>
        <w:instrText xml:space="preserve"> REF _Ref104294902 \r \h </w:instrText>
      </w:r>
      <w:r>
        <w:fldChar w:fldCharType="separate"/>
      </w:r>
      <w:r>
        <w:t>A</w:t>
      </w:r>
      <w:r w:rsidR="001963BC">
        <w:t xml:space="preserve">nnex </w:t>
      </w:r>
      <w:r>
        <w:t>3</w:t>
      </w:r>
      <w:r>
        <w:fldChar w:fldCharType="end"/>
      </w:r>
      <w:r w:rsidRPr="006A6CE1">
        <w:t>;</w:t>
      </w:r>
    </w:p>
    <w:p w14:paraId="685AF1F9" w14:textId="1AC25504" w:rsidR="00ED5EA0" w:rsidRPr="006A6CE1" w:rsidRDefault="00ED5EA0" w:rsidP="00B149F6">
      <w:pPr>
        <w:pStyle w:val="ListParagraph"/>
        <w:numPr>
          <w:ilvl w:val="0"/>
          <w:numId w:val="13"/>
        </w:numPr>
        <w:tabs>
          <w:tab w:val="left" w:pos="567"/>
        </w:tabs>
        <w:spacing w:after="240"/>
        <w:ind w:left="567" w:hanging="567"/>
        <w:contextualSpacing w:val="0"/>
        <w:jc w:val="both"/>
        <w:rPr>
          <w:lang w:val="en-GB"/>
        </w:rPr>
      </w:pPr>
      <w:r w:rsidRPr="006A6CE1">
        <w:rPr>
          <w:lang w:val="en-GB"/>
        </w:rPr>
        <w:t>that ETSI is developing the European Standard EN 305 550-2 “Short Range Devices (SRD) to be used in the 40</w:t>
      </w:r>
      <w:r w:rsidR="00C25817">
        <w:rPr>
          <w:lang w:val="en-GB"/>
        </w:rPr>
        <w:t>-</w:t>
      </w:r>
      <w:r w:rsidRPr="006A6CE1">
        <w:rPr>
          <w:lang w:val="en-GB"/>
        </w:rPr>
        <w:t>260 GHz frequency range, Harmonised Standard for access to radio spectrum Part 2: radiodetermination for industrial applications”</w:t>
      </w:r>
      <w:r w:rsidR="00C25817">
        <w:rPr>
          <w:lang w:val="en-GB"/>
        </w:rPr>
        <w:t xml:space="preserve"> </w:t>
      </w:r>
      <w:r w:rsidR="00C25817">
        <w:rPr>
          <w:lang w:val="en-GB"/>
        </w:rPr>
        <w:fldChar w:fldCharType="begin"/>
      </w:r>
      <w:r w:rsidR="00C25817">
        <w:rPr>
          <w:lang w:val="en-GB"/>
        </w:rPr>
        <w:instrText xml:space="preserve"> REF _Ref111457250 \r \h </w:instrText>
      </w:r>
      <w:r w:rsidR="00C25817">
        <w:rPr>
          <w:lang w:val="en-GB"/>
        </w:rPr>
      </w:r>
      <w:r w:rsidR="00C25817">
        <w:rPr>
          <w:lang w:val="en-GB"/>
        </w:rPr>
        <w:fldChar w:fldCharType="separate"/>
      </w:r>
      <w:r w:rsidR="00F32EDC">
        <w:rPr>
          <w:lang w:val="en-GB"/>
        </w:rPr>
        <w:t>[8]</w:t>
      </w:r>
      <w:r w:rsidR="00C25817">
        <w:rPr>
          <w:lang w:val="en-GB"/>
        </w:rPr>
        <w:fldChar w:fldCharType="end"/>
      </w:r>
      <w:r w:rsidRPr="006A6CE1">
        <w:rPr>
          <w:lang w:val="en-GB"/>
        </w:rPr>
        <w:t xml:space="preserve">, which includes the </w:t>
      </w:r>
      <w:r w:rsidR="00C25817">
        <w:rPr>
          <w:lang w:val="en-GB"/>
        </w:rPr>
        <w:t>specific radiodetermination</w:t>
      </w:r>
      <w:r w:rsidRPr="006A6CE1">
        <w:rPr>
          <w:lang w:val="en-GB"/>
        </w:rPr>
        <w:t xml:space="preserve"> applications in the frequency range 116</w:t>
      </w:r>
      <w:r w:rsidR="00C25817">
        <w:rPr>
          <w:lang w:val="en-GB"/>
        </w:rPr>
        <w:t>-</w:t>
      </w:r>
      <w:r w:rsidRPr="006A6CE1">
        <w:rPr>
          <w:lang w:val="en-GB"/>
        </w:rPr>
        <w:t>260 GHz subject of this ECC Decision;</w:t>
      </w:r>
    </w:p>
    <w:p w14:paraId="76CA4B44" w14:textId="68EEC957" w:rsidR="00ED5EA0" w:rsidRPr="006A6CE1" w:rsidRDefault="00ED5EA0" w:rsidP="00C01D98">
      <w:pPr>
        <w:pStyle w:val="ListParagraph"/>
        <w:numPr>
          <w:ilvl w:val="0"/>
          <w:numId w:val="13"/>
        </w:numPr>
        <w:tabs>
          <w:tab w:val="left" w:pos="567"/>
        </w:tabs>
        <w:spacing w:after="240"/>
        <w:ind w:left="567" w:hanging="567"/>
        <w:contextualSpacing w:val="0"/>
        <w:jc w:val="both"/>
        <w:rPr>
          <w:lang w:val="en-GB"/>
        </w:rPr>
      </w:pPr>
      <w:r w:rsidRPr="006A6CE1">
        <w:rPr>
          <w:lang w:val="en-GB"/>
        </w:rPr>
        <w:t xml:space="preserve">that changes of the protection of radio astronomy sites (RAS) in </w:t>
      </w:r>
      <w:r w:rsidR="0064566E">
        <w:rPr>
          <w:lang w:val="en-GB"/>
        </w:rPr>
        <w:fldChar w:fldCharType="begin"/>
      </w:r>
      <w:r w:rsidR="0064566E">
        <w:rPr>
          <w:lang w:val="en-GB"/>
        </w:rPr>
        <w:instrText xml:space="preserve"> REF _Ref104294402 \r \h </w:instrText>
      </w:r>
      <w:r w:rsidR="0064566E">
        <w:rPr>
          <w:lang w:val="en-GB"/>
        </w:rPr>
      </w:r>
      <w:r w:rsidR="0064566E">
        <w:rPr>
          <w:lang w:val="en-GB"/>
        </w:rPr>
        <w:fldChar w:fldCharType="separate"/>
      </w:r>
      <w:r w:rsidR="0064566E">
        <w:rPr>
          <w:lang w:val="en-GB"/>
        </w:rPr>
        <w:t>A</w:t>
      </w:r>
      <w:r w:rsidR="001963BC">
        <w:rPr>
          <w:lang w:val="en-GB"/>
        </w:rPr>
        <w:t xml:space="preserve">nnex </w:t>
      </w:r>
      <w:r w:rsidR="0064566E">
        <w:rPr>
          <w:lang w:val="en-GB"/>
        </w:rPr>
        <w:t>1</w:t>
      </w:r>
      <w:r w:rsidR="0064566E">
        <w:rPr>
          <w:lang w:val="en-GB"/>
        </w:rPr>
        <w:fldChar w:fldCharType="end"/>
      </w:r>
      <w:r w:rsidRPr="006A6CE1">
        <w:rPr>
          <w:lang w:val="en-GB"/>
        </w:rPr>
        <w:t xml:space="preserve"> will be visible by means of this Decision as well as ETSI EN 305 550-2 and subsequently be implemented under the responsibility of the individual application manufacturer;</w:t>
      </w:r>
    </w:p>
    <w:p w14:paraId="58A619C2" w14:textId="4F16DAED" w:rsidR="00E65E22" w:rsidRPr="006A6CE1" w:rsidRDefault="00E65E22" w:rsidP="00C01D98">
      <w:pPr>
        <w:pStyle w:val="ECCParagraph"/>
        <w:numPr>
          <w:ilvl w:val="0"/>
          <w:numId w:val="13"/>
        </w:numPr>
        <w:ind w:left="567" w:hanging="567"/>
      </w:pPr>
      <w:r w:rsidRPr="006A6CE1">
        <w:t>that in EU/EFTA countries the radio equipment that is under the scope of this Decision shall comply with the R</w:t>
      </w:r>
      <w:r w:rsidR="00A115A1" w:rsidRPr="006A6CE1">
        <w:t xml:space="preserve">adio </w:t>
      </w:r>
      <w:r w:rsidRPr="006A6CE1">
        <w:t>E</w:t>
      </w:r>
      <w:r w:rsidR="00A115A1" w:rsidRPr="006A6CE1">
        <w:t>quipment</w:t>
      </w:r>
      <w:r w:rsidR="000D5DD3" w:rsidRPr="006A6CE1">
        <w:t xml:space="preserve"> (RE)</w:t>
      </w:r>
      <w:r w:rsidRPr="006A6CE1">
        <w:t xml:space="preserve"> Directive</w:t>
      </w:r>
      <w:r w:rsidR="006E7A19">
        <w:t>. C</w:t>
      </w:r>
      <w:r w:rsidRPr="006A6CE1">
        <w:t>onformity with the essential requirements of the RE Directive may be demonstrated by compliance with the applicable harmonised European standard(s)</w:t>
      </w:r>
      <w:r w:rsidR="00D34AE4" w:rsidRPr="006A6CE1">
        <w:t xml:space="preserve">, cited in the Official Journal (OJ) of the European Union, </w:t>
      </w:r>
      <w:r w:rsidRPr="006A6CE1">
        <w:t>or by using the other conformity assessment procedures set out in the RE Directive</w:t>
      </w:r>
      <w:r w:rsidR="00644CC0" w:rsidRPr="006A6CE1">
        <w:t>;</w:t>
      </w:r>
    </w:p>
    <w:p w14:paraId="7737141F" w14:textId="2F12458C" w:rsidR="006C03D0" w:rsidRPr="006A6CE1" w:rsidRDefault="005F7AD5" w:rsidP="006C03D0">
      <w:pPr>
        <w:pStyle w:val="ECCParagraph"/>
        <w:rPr>
          <w:color w:val="D2232A"/>
        </w:rPr>
      </w:pPr>
      <w:r w:rsidRPr="006A6CE1">
        <w:rPr>
          <w:i/>
          <w:color w:val="D2232A"/>
        </w:rPr>
        <w:t>DECIDES</w:t>
      </w:r>
    </w:p>
    <w:p w14:paraId="234EE311" w14:textId="093E316D" w:rsidR="00A60DFA" w:rsidRPr="006A6CE1" w:rsidRDefault="00A60DFA" w:rsidP="009229D3">
      <w:pPr>
        <w:pStyle w:val="NumberedList"/>
      </w:pPr>
      <w:r w:rsidRPr="006A6CE1">
        <w:t xml:space="preserve">that the purpose of this ECC Decision is to harmonise the usage conditions for the </w:t>
      </w:r>
      <w:r w:rsidR="00717887">
        <w:t xml:space="preserve">following </w:t>
      </w:r>
      <w:r w:rsidR="00873B22">
        <w:t>specific radiodetermination</w:t>
      </w:r>
      <w:r w:rsidRPr="006A6CE1">
        <w:t xml:space="preserve"> applications</w:t>
      </w:r>
      <w:r w:rsidR="00717887">
        <w:t xml:space="preserve"> </w:t>
      </w:r>
      <w:r w:rsidR="00717887" w:rsidRPr="006A6CE1">
        <w:t>which operate in dedicated bands in the frequency range 116</w:t>
      </w:r>
      <w:r w:rsidR="00873B22">
        <w:t>-</w:t>
      </w:r>
      <w:r w:rsidR="00717887" w:rsidRPr="006A6CE1">
        <w:t>260 GHz</w:t>
      </w:r>
      <w:r w:rsidRPr="006A6CE1">
        <w:t>:</w:t>
      </w:r>
    </w:p>
    <w:p w14:paraId="2289B94F" w14:textId="11BB06AB" w:rsidR="00A60DFA" w:rsidRPr="006A6CE1" w:rsidRDefault="00A60DFA" w:rsidP="00C34309">
      <w:pPr>
        <w:pStyle w:val="NumberedList"/>
        <w:numPr>
          <w:ilvl w:val="0"/>
          <w:numId w:val="14"/>
        </w:numPr>
        <w:tabs>
          <w:tab w:val="clear" w:pos="397"/>
          <w:tab w:val="num" w:pos="709"/>
        </w:tabs>
        <w:spacing w:before="120" w:after="120"/>
        <w:ind w:left="709" w:hanging="283"/>
      </w:pPr>
      <w:r w:rsidRPr="006A6CE1">
        <w:t>Generic indoor surveillance radar</w:t>
      </w:r>
      <w:r w:rsidR="00E700A3">
        <w:t>;</w:t>
      </w:r>
    </w:p>
    <w:p w14:paraId="1896C3E6" w14:textId="11F5912F" w:rsidR="00A60DFA" w:rsidRPr="006A6CE1" w:rsidRDefault="00A60DFA" w:rsidP="00C34309">
      <w:pPr>
        <w:pStyle w:val="NumberedList"/>
        <w:numPr>
          <w:ilvl w:val="0"/>
          <w:numId w:val="14"/>
        </w:numPr>
        <w:tabs>
          <w:tab w:val="clear" w:pos="397"/>
          <w:tab w:val="num" w:pos="709"/>
        </w:tabs>
        <w:spacing w:before="120" w:after="120"/>
        <w:ind w:left="709" w:hanging="283"/>
      </w:pPr>
      <w:r w:rsidRPr="006A6CE1">
        <w:t>Radiodetermination systems for industry automation (RDI)</w:t>
      </w:r>
      <w:r w:rsidR="001963BC">
        <w:t>;</w:t>
      </w:r>
    </w:p>
    <w:p w14:paraId="6AE60ADF" w14:textId="14CF6C3A" w:rsidR="00A60DFA" w:rsidRPr="006A6CE1" w:rsidRDefault="00A60DFA" w:rsidP="00C34309">
      <w:pPr>
        <w:pStyle w:val="NumberedList"/>
        <w:numPr>
          <w:ilvl w:val="0"/>
          <w:numId w:val="14"/>
        </w:numPr>
        <w:tabs>
          <w:tab w:val="clear" w:pos="397"/>
          <w:tab w:val="num" w:pos="709"/>
        </w:tabs>
        <w:spacing w:before="120" w:after="120"/>
        <w:ind w:left="709" w:hanging="283"/>
      </w:pPr>
      <w:r w:rsidRPr="006A6CE1">
        <w:t>Level probing radar (LPR)</w:t>
      </w:r>
      <w:r w:rsidR="00E700A3">
        <w:t>;</w:t>
      </w:r>
    </w:p>
    <w:p w14:paraId="163BEF52" w14:textId="7477B0BA" w:rsidR="00A60DFA" w:rsidRPr="0088688E" w:rsidRDefault="00A60DFA" w:rsidP="00C34309">
      <w:pPr>
        <w:pStyle w:val="NumberedList"/>
        <w:numPr>
          <w:ilvl w:val="0"/>
          <w:numId w:val="14"/>
        </w:numPr>
        <w:tabs>
          <w:tab w:val="clear" w:pos="397"/>
          <w:tab w:val="num" w:pos="709"/>
        </w:tabs>
        <w:spacing w:before="120" w:after="120"/>
        <w:ind w:left="709" w:hanging="283"/>
      </w:pPr>
      <w:r w:rsidRPr="0088688E">
        <w:t>Tank level probing radar (TLPR)</w:t>
      </w:r>
      <w:r w:rsidR="002C1121" w:rsidRPr="0088688E">
        <w:t>;</w:t>
      </w:r>
    </w:p>
    <w:p w14:paraId="1458DC42" w14:textId="2EC3D099" w:rsidR="00A60DFA" w:rsidRPr="006A6CE1" w:rsidRDefault="00A60DFA" w:rsidP="00C34309">
      <w:pPr>
        <w:pStyle w:val="NumberedList"/>
        <w:numPr>
          <w:ilvl w:val="0"/>
          <w:numId w:val="14"/>
        </w:numPr>
        <w:tabs>
          <w:tab w:val="clear" w:pos="397"/>
          <w:tab w:val="num" w:pos="709"/>
        </w:tabs>
        <w:spacing w:before="120" w:after="120"/>
        <w:ind w:left="709" w:hanging="283"/>
      </w:pPr>
      <w:r w:rsidRPr="006A6CE1">
        <w:t>Contour determination and acquisition radar (CDR)</w:t>
      </w:r>
      <w:r w:rsidR="002C1121">
        <w:t>;</w:t>
      </w:r>
    </w:p>
    <w:p w14:paraId="4F11D608" w14:textId="77777777" w:rsidR="0044437B" w:rsidRDefault="00A60DFA" w:rsidP="00C34309">
      <w:pPr>
        <w:pStyle w:val="NumberedList"/>
        <w:numPr>
          <w:ilvl w:val="0"/>
          <w:numId w:val="14"/>
        </w:numPr>
        <w:tabs>
          <w:tab w:val="clear" w:pos="397"/>
          <w:tab w:val="num" w:pos="709"/>
        </w:tabs>
        <w:spacing w:before="120" w:after="120"/>
        <w:ind w:left="709" w:hanging="283"/>
      </w:pPr>
      <w:r w:rsidRPr="006A6CE1">
        <w:t>Radiodetermination systems for industry automation in shielded environments (RDI-S)</w:t>
      </w:r>
      <w:r w:rsidR="0044437B">
        <w:t>;</w:t>
      </w:r>
    </w:p>
    <w:p w14:paraId="4A077502" w14:textId="77777777" w:rsidR="0044437B" w:rsidRDefault="0044437B" w:rsidP="00C34309">
      <w:pPr>
        <w:pStyle w:val="NumberedList"/>
        <w:numPr>
          <w:ilvl w:val="0"/>
          <w:numId w:val="14"/>
        </w:numPr>
        <w:tabs>
          <w:tab w:val="clear" w:pos="397"/>
          <w:tab w:val="num" w:pos="709"/>
        </w:tabs>
        <w:spacing w:before="120" w:after="120"/>
        <w:ind w:left="709" w:hanging="283"/>
      </w:pPr>
      <w:r>
        <w:t>Exterior vehicular radar (EVR);</w:t>
      </w:r>
    </w:p>
    <w:p w14:paraId="30067DAF" w14:textId="2C4449E1" w:rsidR="00A60DFA" w:rsidRPr="006A6CE1" w:rsidRDefault="0044437B" w:rsidP="00C34309">
      <w:pPr>
        <w:pStyle w:val="NumberedList"/>
        <w:numPr>
          <w:ilvl w:val="0"/>
          <w:numId w:val="14"/>
        </w:numPr>
        <w:tabs>
          <w:tab w:val="clear" w:pos="397"/>
          <w:tab w:val="num" w:pos="709"/>
        </w:tabs>
        <w:spacing w:before="120" w:after="120"/>
        <w:ind w:left="709" w:hanging="283"/>
      </w:pPr>
      <w:r>
        <w:t>In-cabin vehicular radar (IVR)</w:t>
      </w:r>
      <w:r w:rsidR="00F2799F">
        <w:t>;</w:t>
      </w:r>
    </w:p>
    <w:p w14:paraId="013FF9D8" w14:textId="3B63C98E" w:rsidR="00573D61" w:rsidRPr="006A6CE1" w:rsidRDefault="00573D61" w:rsidP="009229D3">
      <w:pPr>
        <w:pStyle w:val="NumberedList"/>
      </w:pPr>
      <w:r w:rsidRPr="006A6CE1">
        <w:t xml:space="preserve">that CEPT administrations shall designate the </w:t>
      </w:r>
      <w:r w:rsidR="00873B22">
        <w:t xml:space="preserve">frequency </w:t>
      </w:r>
      <w:r w:rsidRPr="006A6CE1">
        <w:t>bands:</w:t>
      </w:r>
    </w:p>
    <w:p w14:paraId="66875F23" w14:textId="1C87681A" w:rsidR="00573D61" w:rsidRPr="006A6CE1" w:rsidRDefault="00573D61" w:rsidP="00C34309">
      <w:pPr>
        <w:pStyle w:val="NumberedList"/>
        <w:numPr>
          <w:ilvl w:val="0"/>
          <w:numId w:val="14"/>
        </w:numPr>
        <w:tabs>
          <w:tab w:val="clear" w:pos="397"/>
          <w:tab w:val="num" w:pos="709"/>
        </w:tabs>
        <w:spacing w:before="120" w:after="120"/>
        <w:ind w:left="709" w:hanging="283"/>
      </w:pPr>
      <w:r w:rsidRPr="006A6CE1">
        <w:t>122.25</w:t>
      </w:r>
      <w:r w:rsidR="00F1159F">
        <w:t>-</w:t>
      </w:r>
      <w:r w:rsidRPr="006A6CE1">
        <w:t>130 GHz and 134</w:t>
      </w:r>
      <w:r w:rsidR="00F1159F">
        <w:t>-</w:t>
      </w:r>
      <w:r w:rsidRPr="006A6CE1">
        <w:t xml:space="preserve">148.5 GHz </w:t>
      </w:r>
      <w:r w:rsidR="001D58E6">
        <w:t>for</w:t>
      </w:r>
      <w:r w:rsidRPr="006A6CE1">
        <w:t xml:space="preserve"> generic indoor surveillance radar</w:t>
      </w:r>
      <w:r w:rsidR="00686ECB">
        <w:t>, exterior vehicular radar (EVR) and in-cabin vehicular radar (IVR)</w:t>
      </w:r>
      <w:r w:rsidR="002C1121">
        <w:t>;</w:t>
      </w:r>
    </w:p>
    <w:p w14:paraId="6EB59BB6" w14:textId="0ED222A8" w:rsidR="00573D61" w:rsidRPr="006A6CE1" w:rsidRDefault="00573D61" w:rsidP="00C34309">
      <w:pPr>
        <w:pStyle w:val="NumberedList"/>
        <w:numPr>
          <w:ilvl w:val="0"/>
          <w:numId w:val="14"/>
        </w:numPr>
        <w:tabs>
          <w:tab w:val="clear" w:pos="397"/>
          <w:tab w:val="num" w:pos="709"/>
        </w:tabs>
        <w:spacing w:before="120" w:after="120"/>
        <w:ind w:left="709" w:hanging="283"/>
        <w:jc w:val="left"/>
      </w:pPr>
      <w:r w:rsidRPr="006A6CE1">
        <w:t>174.8</w:t>
      </w:r>
      <w:r w:rsidR="00F1159F">
        <w:t>-</w:t>
      </w:r>
      <w:r w:rsidRPr="006A6CE1">
        <w:t>182 GHz, 185</w:t>
      </w:r>
      <w:r w:rsidR="00F1159F">
        <w:t>-</w:t>
      </w:r>
      <w:r w:rsidRPr="006A6CE1">
        <w:t>190 GHz and 231.5</w:t>
      </w:r>
      <w:r w:rsidR="00F1159F">
        <w:t>-</w:t>
      </w:r>
      <w:r w:rsidRPr="006A6CE1">
        <w:t xml:space="preserve">250 GHz </w:t>
      </w:r>
      <w:r w:rsidR="001D58E6">
        <w:t>for</w:t>
      </w:r>
      <w:r w:rsidRPr="006A6CE1">
        <w:t xml:space="preserve"> radiodetermination systems for industry automation (RDI)</w:t>
      </w:r>
      <w:r w:rsidR="002C1121">
        <w:t>;</w:t>
      </w:r>
    </w:p>
    <w:p w14:paraId="04F3DE7E" w14:textId="52D304E5" w:rsidR="00573D61" w:rsidRPr="006A6CE1" w:rsidRDefault="00573D61" w:rsidP="00C34309">
      <w:pPr>
        <w:pStyle w:val="NumberedList"/>
        <w:numPr>
          <w:ilvl w:val="0"/>
          <w:numId w:val="14"/>
        </w:numPr>
        <w:tabs>
          <w:tab w:val="clear" w:pos="397"/>
          <w:tab w:val="num" w:pos="709"/>
        </w:tabs>
        <w:spacing w:before="120" w:after="120"/>
        <w:ind w:left="709" w:hanging="283"/>
      </w:pPr>
      <w:r w:rsidRPr="006A6CE1">
        <w:t>116</w:t>
      </w:r>
      <w:r w:rsidR="00F1159F">
        <w:t>-</w:t>
      </w:r>
      <w:r w:rsidRPr="006A6CE1">
        <w:t>148.5 GHz, 167</w:t>
      </w:r>
      <w:r w:rsidR="00F1159F">
        <w:t>-</w:t>
      </w:r>
      <w:r w:rsidRPr="006A6CE1">
        <w:t>182 GHz and 231.5</w:t>
      </w:r>
      <w:r w:rsidR="00F1159F">
        <w:t>-</w:t>
      </w:r>
      <w:r w:rsidRPr="006A6CE1">
        <w:t xml:space="preserve">250 GHz </w:t>
      </w:r>
      <w:r w:rsidR="001D58E6">
        <w:t>for</w:t>
      </w:r>
      <w:r w:rsidRPr="006A6CE1">
        <w:t xml:space="preserve"> level probing radar (LPR), tank level probing radar (TLPR) and contour determination and acquisition radar (CDR)</w:t>
      </w:r>
      <w:r w:rsidR="00F70F2D">
        <w:t>;</w:t>
      </w:r>
    </w:p>
    <w:p w14:paraId="0C84DD8E" w14:textId="750B1CE8" w:rsidR="00A02955" w:rsidRPr="006A6CE1" w:rsidRDefault="00A02955" w:rsidP="00A60EDB">
      <w:pPr>
        <w:pStyle w:val="NumberedList"/>
      </w:pPr>
      <w:r w:rsidRPr="006A6CE1">
        <w:t xml:space="preserve">that CEPT administrations shall also designate the </w:t>
      </w:r>
      <w:r w:rsidR="00C955B7">
        <w:t xml:space="preserve">frequency </w:t>
      </w:r>
      <w:r w:rsidRPr="006A6CE1">
        <w:t>band 116</w:t>
      </w:r>
      <w:r w:rsidR="00C955B7">
        <w:t>-</w:t>
      </w:r>
      <w:r w:rsidRPr="006A6CE1">
        <w:t xml:space="preserve">260 GHz band for radiodetermination systems for industry automation in shielded environments (RDI-S), </w:t>
      </w:r>
      <w:r w:rsidR="00312CC2">
        <w:t>noting</w:t>
      </w:r>
      <w:r w:rsidRPr="006A6CE1">
        <w:t xml:space="preserve"> that any overlapping usage within the bands covered by RR No. 5.340 shall </w:t>
      </w:r>
      <w:r w:rsidR="00A55019" w:rsidRPr="006A6CE1">
        <w:t>be on an exceptional basis whe</w:t>
      </w:r>
      <w:r w:rsidR="00A55019">
        <w:t>n</w:t>
      </w:r>
      <w:r w:rsidR="00A55019" w:rsidRPr="006A6CE1">
        <w:t xml:space="preserve"> contiguous bandwidth is necessary for proper operation, taking into account </w:t>
      </w:r>
      <w:r w:rsidR="00A55019" w:rsidRPr="00312CC2">
        <w:rPr>
          <w:i/>
        </w:rPr>
        <w:t xml:space="preserve">considering </w:t>
      </w:r>
      <w:r w:rsidR="00BB2FD0">
        <w:rPr>
          <w:i/>
        </w:rPr>
        <w:t>k</w:t>
      </w:r>
      <w:r w:rsidR="00C955B7" w:rsidRPr="00722141">
        <w:rPr>
          <w:i/>
        </w:rPr>
        <w:t xml:space="preserve">, </w:t>
      </w:r>
      <w:r w:rsidR="00BB2FD0">
        <w:rPr>
          <w:i/>
        </w:rPr>
        <w:t>l</w:t>
      </w:r>
      <w:r w:rsidR="00C955B7" w:rsidRPr="00722141">
        <w:rPr>
          <w:i/>
        </w:rPr>
        <w:t xml:space="preserve">, and </w:t>
      </w:r>
      <w:r w:rsidR="00BB2FD0">
        <w:rPr>
          <w:i/>
        </w:rPr>
        <w:t>m</w:t>
      </w:r>
      <w:r w:rsidR="00A55019" w:rsidRPr="00312CC2">
        <w:rPr>
          <w:i/>
        </w:rPr>
        <w:t>)</w:t>
      </w:r>
      <w:r w:rsidR="00A55019">
        <w:t>;</w:t>
      </w:r>
    </w:p>
    <w:p w14:paraId="74461572" w14:textId="21857D7F" w:rsidR="00FC376C" w:rsidRDefault="00FC376C" w:rsidP="00FC376C">
      <w:pPr>
        <w:pStyle w:val="NumberedList"/>
      </w:pPr>
      <w:r w:rsidRPr="00AE3292">
        <w:t xml:space="preserve">that the above mentioned </w:t>
      </w:r>
      <w:r w:rsidR="00C955B7">
        <w:t>specific radiodetermination</w:t>
      </w:r>
      <w:r w:rsidRPr="00AE3292">
        <w:t xml:space="preserve"> applications shall comply with the technical requirements specified in </w:t>
      </w:r>
      <w:r>
        <w:fldChar w:fldCharType="begin"/>
      </w:r>
      <w:r>
        <w:instrText xml:space="preserve"> REF _Ref82078078 \r \h </w:instrText>
      </w:r>
      <w:r>
        <w:fldChar w:fldCharType="separate"/>
      </w:r>
      <w:r>
        <w:t>A</w:t>
      </w:r>
      <w:r w:rsidR="00AB3FF7">
        <w:t>nnex</w:t>
      </w:r>
      <w:r>
        <w:t xml:space="preserve"> 2</w:t>
      </w:r>
      <w:r>
        <w:fldChar w:fldCharType="end"/>
      </w:r>
      <w:r w:rsidRPr="00AE3292">
        <w:t>;</w:t>
      </w:r>
    </w:p>
    <w:p w14:paraId="5AF5B3A4" w14:textId="50BE6797" w:rsidR="00796287" w:rsidRPr="006A6CE1" w:rsidRDefault="00796287" w:rsidP="009229D3">
      <w:pPr>
        <w:pStyle w:val="NumberedList"/>
      </w:pPr>
      <w:r w:rsidRPr="006A6CE1">
        <w:lastRenderedPageBreak/>
        <w:t>that</w:t>
      </w:r>
      <w:r w:rsidR="008B09ED">
        <w:t>,</w:t>
      </w:r>
      <w:r w:rsidRPr="006A6CE1">
        <w:t xml:space="preserve"> subject to </w:t>
      </w:r>
      <w:r w:rsidRPr="00D42B15">
        <w:rPr>
          <w:i/>
        </w:rPr>
        <w:t xml:space="preserve">decides </w:t>
      </w:r>
      <w:r w:rsidR="008C6CD5">
        <w:rPr>
          <w:i/>
        </w:rPr>
        <w:t>8</w:t>
      </w:r>
      <w:r w:rsidRPr="006A6CE1">
        <w:t xml:space="preserve"> (RAS exclusion zone implementation) and </w:t>
      </w:r>
      <w:r w:rsidRPr="00D42B15">
        <w:rPr>
          <w:i/>
        </w:rPr>
        <w:t xml:space="preserve">decides </w:t>
      </w:r>
      <w:r w:rsidR="0027651E">
        <w:rPr>
          <w:i/>
        </w:rPr>
        <w:t>4</w:t>
      </w:r>
      <w:r w:rsidRPr="006A6CE1">
        <w:t xml:space="preserve"> (technical requirements), CEPT administrations shall permit free circulation and use of </w:t>
      </w:r>
      <w:r w:rsidR="00C955B7">
        <w:t>specific</w:t>
      </w:r>
      <w:r w:rsidRPr="006A6CE1">
        <w:t xml:space="preserve"> radiodetermination applications in the frequency range 116</w:t>
      </w:r>
      <w:r w:rsidR="00C955B7">
        <w:t>-</w:t>
      </w:r>
      <w:r w:rsidRPr="006A6CE1">
        <w:t>260 GHz;</w:t>
      </w:r>
    </w:p>
    <w:p w14:paraId="11142E8B" w14:textId="3398EBC4" w:rsidR="00796287" w:rsidRPr="006A6CE1" w:rsidRDefault="00796287" w:rsidP="009229D3">
      <w:pPr>
        <w:pStyle w:val="NumberedList"/>
      </w:pPr>
      <w:r w:rsidRPr="006A6CE1">
        <w:t>that</w:t>
      </w:r>
      <w:r w:rsidR="008B09ED">
        <w:t xml:space="preserve">, subject to </w:t>
      </w:r>
      <w:r w:rsidR="008B09ED">
        <w:rPr>
          <w:i/>
        </w:rPr>
        <w:t xml:space="preserve">decides </w:t>
      </w:r>
      <w:r w:rsidR="0027651E">
        <w:rPr>
          <w:i/>
        </w:rPr>
        <w:t>4</w:t>
      </w:r>
      <w:r w:rsidR="00FC376C">
        <w:t>,</w:t>
      </w:r>
      <w:r w:rsidRPr="006A6CE1">
        <w:t xml:space="preserve"> CEPT administrations shall exempt from individual licensing the </w:t>
      </w:r>
      <w:r w:rsidR="00C955B7">
        <w:t>specific</w:t>
      </w:r>
      <w:r w:rsidRPr="006A6CE1">
        <w:t xml:space="preserve"> radiodetermination applications permitted under this ECC Decision;</w:t>
      </w:r>
    </w:p>
    <w:p w14:paraId="20677870" w14:textId="0C9984DD" w:rsidR="00796287" w:rsidRPr="006A6CE1" w:rsidRDefault="00796287" w:rsidP="009229D3">
      <w:pPr>
        <w:pStyle w:val="NumberedList"/>
      </w:pPr>
      <w:r w:rsidRPr="006A6CE1">
        <w:t xml:space="preserve">that </w:t>
      </w:r>
      <w:r w:rsidR="00C955B7">
        <w:t>specific</w:t>
      </w:r>
      <w:r w:rsidRPr="006A6CE1">
        <w:t xml:space="preserve"> radiodetermination applications permitted under this ECC Decision operate on a non-interference and non-protected basis;</w:t>
      </w:r>
    </w:p>
    <w:p w14:paraId="4519BBEE" w14:textId="788AD0C6" w:rsidR="00796287" w:rsidRPr="006A6CE1" w:rsidRDefault="00796287" w:rsidP="009229D3">
      <w:pPr>
        <w:pStyle w:val="NumberedList"/>
      </w:pPr>
      <w:bookmarkStart w:id="5" w:name="_Ref100065868"/>
      <w:r w:rsidRPr="006A6CE1">
        <w:t xml:space="preserve">that </w:t>
      </w:r>
      <w:r w:rsidR="00C955B7">
        <w:t>specific</w:t>
      </w:r>
      <w:r w:rsidRPr="006A6CE1">
        <w:t xml:space="preserve"> radiodetermination applications permitted under this ECC Decision shall not be installed and operated inside a</w:t>
      </w:r>
      <w:r w:rsidR="00254AFA">
        <w:t xml:space="preserve"> RAS</w:t>
      </w:r>
      <w:r w:rsidRPr="006A6CE1">
        <w:t xml:space="preserve"> exclusion zone included in </w:t>
      </w:r>
      <w:r w:rsidR="00094E55">
        <w:fldChar w:fldCharType="begin"/>
      </w:r>
      <w:r w:rsidR="00094E55">
        <w:instrText xml:space="preserve"> REF _Ref104294402 \r \h </w:instrText>
      </w:r>
      <w:r w:rsidR="00094E55">
        <w:fldChar w:fldCharType="separate"/>
      </w:r>
      <w:r w:rsidR="00094E55">
        <w:t>A</w:t>
      </w:r>
      <w:r w:rsidR="00AB3FF7">
        <w:t>nnex</w:t>
      </w:r>
      <w:r w:rsidR="00094E55">
        <w:t xml:space="preserve"> 1</w:t>
      </w:r>
      <w:r w:rsidR="00094E55">
        <w:fldChar w:fldCharType="end"/>
      </w:r>
      <w:r w:rsidRPr="006A6CE1">
        <w:t>;</w:t>
      </w:r>
      <w:bookmarkEnd w:id="5"/>
    </w:p>
    <w:p w14:paraId="24FFB0EF" w14:textId="79129153" w:rsidR="00796287" w:rsidRPr="006A6CE1" w:rsidRDefault="00796287" w:rsidP="009229D3">
      <w:pPr>
        <w:pStyle w:val="NumberedList"/>
      </w:pPr>
      <w:bookmarkStart w:id="6" w:name="_Ref100059334"/>
      <w:r w:rsidRPr="006A6CE1">
        <w:t xml:space="preserve">that any request for update of the information on radio astronomy sites in </w:t>
      </w:r>
      <w:r w:rsidR="00094E55">
        <w:fldChar w:fldCharType="begin"/>
      </w:r>
      <w:r w:rsidR="00094E55">
        <w:instrText xml:space="preserve"> REF _Ref104294402 \r \h </w:instrText>
      </w:r>
      <w:r w:rsidR="00094E55">
        <w:fldChar w:fldCharType="separate"/>
      </w:r>
      <w:r w:rsidR="00094E55">
        <w:t>A</w:t>
      </w:r>
      <w:r w:rsidR="00AB3FF7">
        <w:t>nnex</w:t>
      </w:r>
      <w:r w:rsidR="00094E55">
        <w:t xml:space="preserve"> 1</w:t>
      </w:r>
      <w:r w:rsidR="00094E55">
        <w:fldChar w:fldCharType="end"/>
      </w:r>
      <w:r w:rsidRPr="006A6CE1">
        <w:t xml:space="preserve"> (new RAS sites or withdrawal of RAS sites, exclusion zones) shall be notified by administrations to the Office;</w:t>
      </w:r>
      <w:bookmarkEnd w:id="6"/>
    </w:p>
    <w:p w14:paraId="20EF9993" w14:textId="2721749E" w:rsidR="00796287" w:rsidRPr="00D11849" w:rsidRDefault="00796287" w:rsidP="009229D3">
      <w:pPr>
        <w:pStyle w:val="NumberedList"/>
      </w:pPr>
      <w:bookmarkStart w:id="7" w:name="_Ref100059352"/>
      <w:r w:rsidRPr="006A6CE1">
        <w:t xml:space="preserve">that changes of protection of radio astronomy sites in </w:t>
      </w:r>
      <w:r w:rsidR="00CC3EEA">
        <w:fldChar w:fldCharType="begin"/>
      </w:r>
      <w:r w:rsidR="00CC3EEA">
        <w:instrText xml:space="preserve"> REF _Ref104294402 \r \h </w:instrText>
      </w:r>
      <w:r w:rsidR="00CC3EEA">
        <w:fldChar w:fldCharType="separate"/>
      </w:r>
      <w:r w:rsidR="00CC3EEA">
        <w:t>A</w:t>
      </w:r>
      <w:r w:rsidR="00AB3FF7">
        <w:t>nnex</w:t>
      </w:r>
      <w:r w:rsidR="00CC3EEA">
        <w:t xml:space="preserve"> 1</w:t>
      </w:r>
      <w:r w:rsidR="00CC3EEA">
        <w:fldChar w:fldCharType="end"/>
      </w:r>
      <w:r w:rsidRPr="006A6CE1">
        <w:t xml:space="preserve"> shall be effective to </w:t>
      </w:r>
      <w:r w:rsidR="00C955B7">
        <w:t>specific</w:t>
      </w:r>
      <w:r w:rsidRPr="006A6CE1">
        <w:t xml:space="preserve"> radiodetermination </w:t>
      </w:r>
      <w:r w:rsidR="000410CB">
        <w:t>devices</w:t>
      </w:r>
      <w:r w:rsidRPr="006A6CE1">
        <w:t xml:space="preserve"> in 116</w:t>
      </w:r>
      <w:r w:rsidR="00C955B7">
        <w:t>-</w:t>
      </w:r>
      <w:r w:rsidRPr="006A6CE1">
        <w:t xml:space="preserve">260 GHz within a timeframe of not more than 12 months after the publication of the specified </w:t>
      </w:r>
      <w:r w:rsidRPr="00D11849">
        <w:t>exclusion zones;</w:t>
      </w:r>
      <w:bookmarkEnd w:id="7"/>
    </w:p>
    <w:p w14:paraId="299AF321" w14:textId="5F925CA3" w:rsidR="00713DBA" w:rsidRPr="00D11849" w:rsidRDefault="00713DBA" w:rsidP="009229D3">
      <w:pPr>
        <w:pStyle w:val="NumberedList"/>
      </w:pPr>
      <w:r w:rsidRPr="00D11849">
        <w:t xml:space="preserve">that this Decision enters into force on </w:t>
      </w:r>
      <w:r w:rsidR="00383C76">
        <w:t>8 March 2024</w:t>
      </w:r>
      <w:r w:rsidRPr="00D11849">
        <w:t>;</w:t>
      </w:r>
    </w:p>
    <w:p w14:paraId="386E0976" w14:textId="14C549B2" w:rsidR="00713DBA" w:rsidRPr="00D11849" w:rsidRDefault="00D90B0A" w:rsidP="009229D3">
      <w:pPr>
        <w:pStyle w:val="NumberedList"/>
      </w:pPr>
      <w:r w:rsidRPr="00D11849">
        <w:t>that the preferred</w:t>
      </w:r>
      <w:r w:rsidR="00713DBA" w:rsidRPr="00D11849">
        <w:t xml:space="preserve"> date for implementation of this Decision shall be </w:t>
      </w:r>
      <w:r w:rsidR="00383C76">
        <w:t>8 September 2024</w:t>
      </w:r>
      <w:r w:rsidR="00713DBA" w:rsidRPr="00D11849">
        <w:t>;</w:t>
      </w:r>
    </w:p>
    <w:p w14:paraId="706DD0DA" w14:textId="6FA8FF36" w:rsidR="006C03D0" w:rsidRPr="006A6CE1" w:rsidRDefault="00972BF8" w:rsidP="00272645">
      <w:pPr>
        <w:pStyle w:val="NumberedList"/>
      </w:pPr>
      <w:r w:rsidRPr="006A6CE1">
        <w:t xml:space="preserve">that CEPT administrations should inform the Office about the national implementation of this Decision by updating their national implementation information in relation to the entry for </w:t>
      </w:r>
      <w:r w:rsidR="00466B2C">
        <w:t>specific</w:t>
      </w:r>
      <w:r w:rsidRPr="006A6CE1">
        <w:t xml:space="preserve"> radiodetermination applications in the frequency range 116 to 260 GHz in ERC Recommendation 70-03, </w:t>
      </w:r>
      <w:r w:rsidR="00CD7D29">
        <w:t>a</w:t>
      </w:r>
      <w:r w:rsidRPr="006A6CE1">
        <w:t xml:space="preserve">nnex 6 </w:t>
      </w:r>
      <w:r w:rsidR="00551E65">
        <w:fldChar w:fldCharType="begin"/>
      </w:r>
      <w:r w:rsidR="00551E65">
        <w:instrText xml:space="preserve"> REF _Ref104296410 \r \h </w:instrText>
      </w:r>
      <w:r w:rsidR="00551E65">
        <w:fldChar w:fldCharType="separate"/>
      </w:r>
      <w:r w:rsidR="00F32EDC">
        <w:t>[5]</w:t>
      </w:r>
      <w:r w:rsidR="00551E65">
        <w:fldChar w:fldCharType="end"/>
      </w:r>
      <w:r w:rsidRPr="006A6CE1">
        <w:t>.”</w:t>
      </w:r>
    </w:p>
    <w:p w14:paraId="3FF224FF" w14:textId="77777777" w:rsidR="001C46EA" w:rsidRPr="006A6CE1" w:rsidRDefault="001C46EA" w:rsidP="00272645">
      <w:pPr>
        <w:pStyle w:val="ECCParagraph"/>
        <w:ind w:left="397" w:hanging="397"/>
      </w:pPr>
    </w:p>
    <w:p w14:paraId="47821065" w14:textId="69A019B8" w:rsidR="001C46EA" w:rsidRPr="006A6CE1" w:rsidRDefault="001C46EA" w:rsidP="00D90B0A">
      <w:pPr>
        <w:pStyle w:val="ECCParagraph"/>
        <w:keepNext/>
        <w:rPr>
          <w:i/>
          <w:color w:val="D2232A"/>
        </w:rPr>
      </w:pPr>
      <w:r w:rsidRPr="006A6CE1">
        <w:rPr>
          <w:i/>
          <w:color w:val="D2232A"/>
        </w:rPr>
        <w:t>Note:</w:t>
      </w:r>
    </w:p>
    <w:p w14:paraId="63BBD0A6" w14:textId="21C054CE" w:rsidR="001C46EA" w:rsidRPr="006A6CE1" w:rsidRDefault="001C46EA" w:rsidP="00D90B0A">
      <w:pPr>
        <w:pStyle w:val="ECCParagraph"/>
        <w:keepNext/>
      </w:pPr>
      <w:r w:rsidRPr="006A6CE1">
        <w:rPr>
          <w:i/>
          <w:szCs w:val="20"/>
        </w:rPr>
        <w:t>Please check the Office documentation database</w:t>
      </w:r>
      <w:r w:rsidR="003F3883" w:rsidRPr="006A6CE1">
        <w:rPr>
          <w:i/>
          <w:szCs w:val="20"/>
        </w:rPr>
        <w:t xml:space="preserve"> </w:t>
      </w:r>
      <w:hyperlink r:id="rId8" w:history="1">
        <w:r w:rsidR="008C570F" w:rsidRPr="006A6CE1">
          <w:rPr>
            <w:rStyle w:val="Hyperlink"/>
            <w:i/>
            <w:szCs w:val="20"/>
          </w:rPr>
          <w:t>https://docdb.cept.org/</w:t>
        </w:r>
      </w:hyperlink>
      <w:r w:rsidRPr="006A6CE1">
        <w:rPr>
          <w:i/>
          <w:szCs w:val="20"/>
        </w:rPr>
        <w:t xml:space="preserve"> for the </w:t>
      </w:r>
      <w:proofErr w:type="gramStart"/>
      <w:r w:rsidRPr="006A6CE1">
        <w:rPr>
          <w:i/>
          <w:szCs w:val="20"/>
        </w:rPr>
        <w:t>up to date</w:t>
      </w:r>
      <w:proofErr w:type="gramEnd"/>
      <w:r w:rsidRPr="006A6CE1">
        <w:rPr>
          <w:i/>
          <w:szCs w:val="20"/>
        </w:rPr>
        <w:t xml:space="preserve"> implementation </w:t>
      </w:r>
      <w:r w:rsidR="001C1ECD" w:rsidRPr="006A6CE1">
        <w:rPr>
          <w:i/>
          <w:szCs w:val="20"/>
        </w:rPr>
        <w:t xml:space="preserve">status </w:t>
      </w:r>
      <w:r w:rsidRPr="006A6CE1">
        <w:rPr>
          <w:i/>
          <w:szCs w:val="20"/>
        </w:rPr>
        <w:t xml:space="preserve">of this </w:t>
      </w:r>
      <w:smartTag w:uri="urn:schemas-microsoft-com:office:smarttags" w:element="stockticker">
        <w:r w:rsidRPr="006A6CE1">
          <w:rPr>
            <w:i/>
            <w:szCs w:val="20"/>
          </w:rPr>
          <w:t>ECC</w:t>
        </w:r>
      </w:smartTag>
      <w:r w:rsidRPr="006A6CE1">
        <w:rPr>
          <w:i/>
          <w:szCs w:val="20"/>
        </w:rPr>
        <w:t xml:space="preserve"> Decision</w:t>
      </w:r>
      <w:bookmarkStart w:id="8" w:name="_Hlk101027399"/>
      <w:r w:rsidR="002A571E" w:rsidRPr="006A6CE1">
        <w:rPr>
          <w:i/>
          <w:szCs w:val="20"/>
        </w:rPr>
        <w:t>, as well as for the CEPT deliverables in the list of references</w:t>
      </w:r>
      <w:bookmarkEnd w:id="8"/>
      <w:r w:rsidRPr="006A6CE1">
        <w:rPr>
          <w:i/>
          <w:szCs w:val="20"/>
        </w:rPr>
        <w:t>.</w:t>
      </w:r>
    </w:p>
    <w:p w14:paraId="10F313C9" w14:textId="77777777" w:rsidR="006C03D0" w:rsidRPr="006A6CE1" w:rsidRDefault="006C03D0" w:rsidP="006C03D0">
      <w:pPr>
        <w:pStyle w:val="ECCParagraph"/>
      </w:pPr>
    </w:p>
    <w:p w14:paraId="5A4B036C" w14:textId="10A257F0" w:rsidR="00CB677D" w:rsidRPr="001B346E" w:rsidRDefault="009376C6" w:rsidP="0059230E">
      <w:pPr>
        <w:pStyle w:val="ECCAnnexheading1"/>
        <w:rPr>
          <w:lang w:val="en-GB"/>
        </w:rPr>
      </w:pPr>
      <w:bookmarkStart w:id="9" w:name="_Ref104294402"/>
      <w:bookmarkStart w:id="10" w:name="_Hlk101027480"/>
      <w:bookmarkStart w:id="11" w:name="_Toc380059620"/>
      <w:bookmarkStart w:id="12" w:name="_Toc380059762"/>
      <w:bookmarkStart w:id="13" w:name="_Toc396383876"/>
      <w:bookmarkStart w:id="14" w:name="_Toc396917309"/>
      <w:bookmarkStart w:id="15" w:name="_Toc396917420"/>
      <w:bookmarkStart w:id="16" w:name="_Toc396917640"/>
      <w:bookmarkStart w:id="17" w:name="_Toc396917655"/>
      <w:bookmarkStart w:id="18" w:name="_Toc396917760"/>
      <w:bookmarkStart w:id="19" w:name="_Toc79649515"/>
      <w:bookmarkStart w:id="20" w:name="_Toc79649516"/>
      <w:bookmarkStart w:id="21" w:name="_Toc280099660"/>
      <w:r w:rsidRPr="001B346E">
        <w:rPr>
          <w:lang w:val="en-GB"/>
        </w:rPr>
        <w:lastRenderedPageBreak/>
        <w:t>Protection of radio astronomy service (RAS) sites</w:t>
      </w:r>
      <w:bookmarkEnd w:id="9"/>
    </w:p>
    <w:bookmarkEnd w:id="10"/>
    <w:p w14:paraId="0C9FDC2F" w14:textId="6B03E5B9" w:rsidR="009376C6" w:rsidRPr="006A6CE1" w:rsidRDefault="009376C6" w:rsidP="0028329F">
      <w:pPr>
        <w:spacing w:after="240"/>
        <w:jc w:val="both"/>
        <w:rPr>
          <w:lang w:val="en-GB"/>
        </w:rPr>
      </w:pPr>
      <w:r w:rsidRPr="006A6CE1">
        <w:rPr>
          <w:highlight w:val="yellow"/>
          <w:lang w:val="en-GB"/>
        </w:rPr>
        <w:fldChar w:fldCharType="begin"/>
      </w:r>
      <w:r w:rsidRPr="006A6CE1">
        <w:rPr>
          <w:lang w:val="en-GB"/>
        </w:rPr>
        <w:instrText xml:space="preserve"> REF _Ref66370646 \h </w:instrText>
      </w:r>
      <w:r w:rsidRPr="006A6CE1">
        <w:rPr>
          <w:highlight w:val="yellow"/>
          <w:lang w:val="en-GB"/>
        </w:rPr>
      </w:r>
      <w:r w:rsidRPr="006A6CE1">
        <w:rPr>
          <w:highlight w:val="yellow"/>
          <w:lang w:val="en-GB"/>
        </w:rPr>
        <w:fldChar w:fldCharType="separate"/>
      </w:r>
      <w:r w:rsidR="00750A31" w:rsidRPr="006A6CE1">
        <w:rPr>
          <w:lang w:val="en-GB"/>
        </w:rPr>
        <w:t>Table </w:t>
      </w:r>
      <w:r w:rsidR="00750A31">
        <w:rPr>
          <w:noProof/>
          <w:lang w:val="en-GB"/>
        </w:rPr>
        <w:t>1</w:t>
      </w:r>
      <w:r w:rsidRPr="006A6CE1">
        <w:rPr>
          <w:highlight w:val="yellow"/>
          <w:lang w:val="en-GB"/>
        </w:rPr>
        <w:fldChar w:fldCharType="end"/>
      </w:r>
      <w:r w:rsidRPr="006A6CE1">
        <w:rPr>
          <w:lang w:val="en-GB"/>
        </w:rPr>
        <w:t xml:space="preserve"> lists the RAS stations in </w:t>
      </w:r>
      <w:r w:rsidRPr="00A81979">
        <w:rPr>
          <w:lang w:val="en-GB"/>
        </w:rPr>
        <w:t>CEPT member countries operatin</w:t>
      </w:r>
      <w:r w:rsidRPr="006A6CE1">
        <w:rPr>
          <w:lang w:val="en-GB"/>
        </w:rPr>
        <w:t>g in the range 116</w:t>
      </w:r>
      <w:r w:rsidR="00466B2C">
        <w:rPr>
          <w:lang w:val="en-GB"/>
        </w:rPr>
        <w:t>-</w:t>
      </w:r>
      <w:r w:rsidRPr="006A6CE1">
        <w:rPr>
          <w:lang w:val="en-GB"/>
        </w:rPr>
        <w:t xml:space="preserve">260 GHz. The related exclusion zones to be implemented by different </w:t>
      </w:r>
      <w:r w:rsidR="00466B2C">
        <w:rPr>
          <w:lang w:val="en-GB"/>
        </w:rPr>
        <w:t>specific</w:t>
      </w:r>
      <w:r w:rsidRPr="006A6CE1">
        <w:rPr>
          <w:lang w:val="en-GB"/>
        </w:rPr>
        <w:t xml:space="preserve"> radiodetermination applications can be extracted from </w:t>
      </w:r>
      <w:r w:rsidRPr="006A6CE1">
        <w:rPr>
          <w:highlight w:val="yellow"/>
          <w:lang w:val="en-GB"/>
        </w:rPr>
        <w:fldChar w:fldCharType="begin"/>
      </w:r>
      <w:r w:rsidRPr="006A6CE1">
        <w:rPr>
          <w:lang w:val="en-GB"/>
        </w:rPr>
        <w:instrText xml:space="preserve"> REF _Ref82009764 \h </w:instrText>
      </w:r>
      <w:r w:rsidRPr="006A6CE1">
        <w:rPr>
          <w:highlight w:val="yellow"/>
          <w:lang w:val="en-GB"/>
        </w:rPr>
      </w:r>
      <w:r w:rsidRPr="006A6CE1">
        <w:rPr>
          <w:highlight w:val="yellow"/>
          <w:lang w:val="en-GB"/>
        </w:rPr>
        <w:fldChar w:fldCharType="separate"/>
      </w:r>
      <w:r w:rsidR="00750A31" w:rsidRPr="006A6CE1">
        <w:rPr>
          <w:lang w:val="en-GB"/>
        </w:rPr>
        <w:t>Table </w:t>
      </w:r>
      <w:r w:rsidR="00750A31">
        <w:rPr>
          <w:noProof/>
          <w:lang w:val="en-GB"/>
        </w:rPr>
        <w:t>2</w:t>
      </w:r>
      <w:r w:rsidRPr="006A6CE1">
        <w:rPr>
          <w:highlight w:val="yellow"/>
          <w:lang w:val="en-GB"/>
        </w:rPr>
        <w:fldChar w:fldCharType="end"/>
      </w:r>
      <w:r w:rsidRPr="006A6CE1">
        <w:rPr>
          <w:lang w:val="en-GB"/>
        </w:rPr>
        <w:t>.</w:t>
      </w:r>
    </w:p>
    <w:p w14:paraId="6BCEA321" w14:textId="3C8D8FE5" w:rsidR="009376C6" w:rsidRPr="006A6CE1" w:rsidRDefault="009376C6" w:rsidP="009376C6">
      <w:pPr>
        <w:pStyle w:val="Caption"/>
        <w:rPr>
          <w:lang w:val="en-GB"/>
        </w:rPr>
      </w:pPr>
      <w:bookmarkStart w:id="22" w:name="_Ref66370646"/>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1</w:t>
      </w:r>
      <w:r w:rsidRPr="006A6CE1">
        <w:rPr>
          <w:lang w:val="en-GB"/>
        </w:rPr>
        <w:fldChar w:fldCharType="end"/>
      </w:r>
      <w:bookmarkEnd w:id="22"/>
      <w:r w:rsidRPr="006A6CE1">
        <w:rPr>
          <w:lang w:val="en-GB"/>
        </w:rPr>
        <w:t xml:space="preserve">: </w:t>
      </w:r>
      <w:r w:rsidRPr="006A6CE1">
        <w:rPr>
          <w:rFonts w:eastAsia="Calibri"/>
          <w:lang w:val="en-GB"/>
        </w:rPr>
        <w:t>European radio astronomy observatories</w:t>
      </w:r>
      <w:r w:rsidRPr="006A6CE1">
        <w:rPr>
          <w:lang w:val="en-GB"/>
        </w:rPr>
        <w:t xml:space="preserve"> operating in the frequency range 116</w:t>
      </w:r>
      <w:r w:rsidR="00466B2C">
        <w:rPr>
          <w:lang w:val="en-GB"/>
        </w:rPr>
        <w:t>-</w:t>
      </w:r>
      <w:r w:rsidRPr="006A6CE1">
        <w:rPr>
          <w:lang w:val="en-GB"/>
        </w:rPr>
        <w:t>260 GHz</w:t>
      </w:r>
    </w:p>
    <w:tbl>
      <w:tblPr>
        <w:tblStyle w:val="ECCTable-redheader"/>
        <w:tblW w:w="0" w:type="auto"/>
        <w:tblInd w:w="0" w:type="dxa"/>
        <w:tblLook w:val="04A0" w:firstRow="1" w:lastRow="0" w:firstColumn="1" w:lastColumn="0" w:noHBand="0" w:noVBand="1"/>
      </w:tblPr>
      <w:tblGrid>
        <w:gridCol w:w="1628"/>
        <w:gridCol w:w="2620"/>
        <w:gridCol w:w="1701"/>
        <w:gridCol w:w="1843"/>
      </w:tblGrid>
      <w:tr w:rsidR="009376C6" w:rsidRPr="006A6CE1" w14:paraId="1BFFC8BC" w14:textId="77777777" w:rsidTr="00F61D46">
        <w:trPr>
          <w:cnfStyle w:val="100000000000" w:firstRow="1" w:lastRow="0" w:firstColumn="0" w:lastColumn="0" w:oddVBand="0" w:evenVBand="0" w:oddHBand="0" w:evenHBand="0" w:firstRowFirstColumn="0" w:firstRowLastColumn="0" w:lastRowFirstColumn="0" w:lastRowLastColumn="0"/>
        </w:trPr>
        <w:tc>
          <w:tcPr>
            <w:tcW w:w="1628" w:type="dxa"/>
          </w:tcPr>
          <w:p w14:paraId="715521B2" w14:textId="43DCC2B8" w:rsidR="009376C6" w:rsidRPr="006A6CE1" w:rsidRDefault="009376C6" w:rsidP="00F502A1">
            <w:pPr>
              <w:pStyle w:val="ECCTableHeaderwhitefont"/>
              <w:spacing w:before="0" w:after="0"/>
              <w:rPr>
                <w:lang w:val="en-GB"/>
              </w:rPr>
            </w:pPr>
            <w:r w:rsidRPr="006A6CE1">
              <w:rPr>
                <w:lang w:val="en-GB"/>
              </w:rPr>
              <w:t>Country</w:t>
            </w:r>
            <w:r w:rsidR="00C77FB1">
              <w:rPr>
                <w:lang w:val="en-GB"/>
              </w:rPr>
              <w:t xml:space="preserve"> </w:t>
            </w:r>
            <w:r w:rsidRPr="006A6CE1">
              <w:rPr>
                <w:lang w:val="en-GB"/>
              </w:rPr>
              <w:t xml:space="preserve">/ </w:t>
            </w:r>
            <w:r w:rsidR="00466B2C">
              <w:rPr>
                <w:lang w:val="en-GB"/>
              </w:rPr>
              <w:t>a</w:t>
            </w:r>
            <w:r w:rsidRPr="006A6CE1">
              <w:rPr>
                <w:lang w:val="en-GB"/>
              </w:rPr>
              <w:t>dministration</w:t>
            </w:r>
          </w:p>
        </w:tc>
        <w:tc>
          <w:tcPr>
            <w:tcW w:w="2620" w:type="dxa"/>
          </w:tcPr>
          <w:p w14:paraId="69FA9B7A" w14:textId="77777777" w:rsidR="009376C6" w:rsidRPr="006A6CE1" w:rsidRDefault="009376C6" w:rsidP="00F502A1">
            <w:pPr>
              <w:pStyle w:val="ECCTableHeaderwhitefont"/>
              <w:spacing w:before="0" w:after="0"/>
              <w:rPr>
                <w:lang w:val="en-GB"/>
              </w:rPr>
            </w:pPr>
            <w:r w:rsidRPr="006A6CE1">
              <w:rPr>
                <w:lang w:val="en-GB"/>
              </w:rPr>
              <w:t>Observatory name and location</w:t>
            </w:r>
          </w:p>
        </w:tc>
        <w:tc>
          <w:tcPr>
            <w:tcW w:w="1701" w:type="dxa"/>
          </w:tcPr>
          <w:p w14:paraId="4E2B943A" w14:textId="77777777" w:rsidR="009376C6" w:rsidRPr="006A6CE1" w:rsidRDefault="009376C6" w:rsidP="00F502A1">
            <w:pPr>
              <w:pStyle w:val="ECCTableHeaderwhitefont"/>
              <w:spacing w:before="120" w:after="0"/>
              <w:rPr>
                <w:lang w:val="en-GB"/>
              </w:rPr>
            </w:pPr>
            <w:r w:rsidRPr="006A6CE1">
              <w:rPr>
                <w:lang w:val="en-GB"/>
              </w:rPr>
              <w:t>Geographic</w:t>
            </w:r>
          </w:p>
          <w:p w14:paraId="78E2470A" w14:textId="77777777" w:rsidR="009376C6" w:rsidRPr="006A6CE1" w:rsidRDefault="009376C6" w:rsidP="00F502A1">
            <w:pPr>
              <w:pStyle w:val="ECCTableHeaderwhitefont"/>
              <w:spacing w:before="0"/>
              <w:rPr>
                <w:lang w:val="en-GB"/>
              </w:rPr>
            </w:pPr>
            <w:r w:rsidRPr="006A6CE1">
              <w:rPr>
                <w:lang w:val="en-GB"/>
              </w:rPr>
              <w:t>Latitude</w:t>
            </w:r>
          </w:p>
        </w:tc>
        <w:tc>
          <w:tcPr>
            <w:tcW w:w="1843" w:type="dxa"/>
          </w:tcPr>
          <w:p w14:paraId="1BCC3FE6" w14:textId="77777777" w:rsidR="009376C6" w:rsidRPr="006A6CE1" w:rsidRDefault="009376C6" w:rsidP="00F502A1">
            <w:pPr>
              <w:pStyle w:val="ECCTableHeaderwhitefont"/>
              <w:spacing w:before="120" w:after="0"/>
              <w:rPr>
                <w:lang w:val="en-GB"/>
              </w:rPr>
            </w:pPr>
            <w:r w:rsidRPr="006A6CE1">
              <w:rPr>
                <w:lang w:val="en-GB"/>
              </w:rPr>
              <w:t>Geographic</w:t>
            </w:r>
          </w:p>
          <w:p w14:paraId="05BC1860" w14:textId="77777777" w:rsidR="009376C6" w:rsidRPr="006A6CE1" w:rsidRDefault="009376C6" w:rsidP="00F502A1">
            <w:pPr>
              <w:pStyle w:val="ECCTableHeaderwhitefont"/>
              <w:spacing w:before="0"/>
              <w:rPr>
                <w:lang w:val="en-GB"/>
              </w:rPr>
            </w:pPr>
            <w:r w:rsidRPr="006A6CE1">
              <w:rPr>
                <w:lang w:val="en-GB"/>
              </w:rPr>
              <w:t>Longitude</w:t>
            </w:r>
          </w:p>
        </w:tc>
      </w:tr>
      <w:tr w:rsidR="009376C6" w:rsidRPr="006A6CE1" w14:paraId="09EE7C58" w14:textId="77777777" w:rsidTr="00F61D46">
        <w:tc>
          <w:tcPr>
            <w:tcW w:w="1628" w:type="dxa"/>
          </w:tcPr>
          <w:p w14:paraId="3EC48E11" w14:textId="77777777" w:rsidR="009376C6" w:rsidRPr="006A6CE1" w:rsidRDefault="009376C6" w:rsidP="00F61D46">
            <w:pPr>
              <w:pStyle w:val="ECCTabletext"/>
            </w:pPr>
            <w:r w:rsidRPr="006A6CE1">
              <w:t>France</w:t>
            </w:r>
          </w:p>
        </w:tc>
        <w:tc>
          <w:tcPr>
            <w:tcW w:w="2620" w:type="dxa"/>
          </w:tcPr>
          <w:p w14:paraId="158AFDBE" w14:textId="77777777" w:rsidR="009376C6" w:rsidRPr="006A6CE1" w:rsidRDefault="009376C6" w:rsidP="00F61D46">
            <w:pPr>
              <w:pStyle w:val="ECCTabletext"/>
            </w:pPr>
            <w:r w:rsidRPr="006A6CE1">
              <w:t>NOEMA, Plateau de Bure</w:t>
            </w:r>
          </w:p>
        </w:tc>
        <w:tc>
          <w:tcPr>
            <w:tcW w:w="1701" w:type="dxa"/>
          </w:tcPr>
          <w:p w14:paraId="10351427" w14:textId="77777777" w:rsidR="009376C6" w:rsidRPr="006A6CE1" w:rsidRDefault="009376C6" w:rsidP="00F61D46">
            <w:pPr>
              <w:pStyle w:val="ECCTabletext"/>
            </w:pPr>
            <w:r w:rsidRPr="006A6CE1">
              <w:t>44°38'02" N</w:t>
            </w:r>
          </w:p>
        </w:tc>
        <w:tc>
          <w:tcPr>
            <w:tcW w:w="1843" w:type="dxa"/>
          </w:tcPr>
          <w:p w14:paraId="5F52E380" w14:textId="77777777" w:rsidR="009376C6" w:rsidRPr="006A6CE1" w:rsidRDefault="009376C6" w:rsidP="00F61D46">
            <w:pPr>
              <w:pStyle w:val="ECCTabletext"/>
            </w:pPr>
            <w:r w:rsidRPr="006A6CE1">
              <w:t>05°54'28" E</w:t>
            </w:r>
          </w:p>
        </w:tc>
      </w:tr>
      <w:tr w:rsidR="009376C6" w:rsidRPr="006A6CE1" w14:paraId="08D3484B" w14:textId="77777777" w:rsidTr="00F61D46">
        <w:tc>
          <w:tcPr>
            <w:tcW w:w="1628" w:type="dxa"/>
          </w:tcPr>
          <w:p w14:paraId="1D250374" w14:textId="77777777" w:rsidR="009376C6" w:rsidRPr="006A6CE1" w:rsidRDefault="009376C6" w:rsidP="00F61D46">
            <w:pPr>
              <w:pStyle w:val="ECCTabletext"/>
            </w:pPr>
            <w:r w:rsidRPr="006A6CE1">
              <w:t>Spain</w:t>
            </w:r>
          </w:p>
        </w:tc>
        <w:tc>
          <w:tcPr>
            <w:tcW w:w="2620" w:type="dxa"/>
          </w:tcPr>
          <w:p w14:paraId="3002378F" w14:textId="4153BABF" w:rsidR="009376C6" w:rsidRPr="006A6CE1" w:rsidRDefault="009376C6" w:rsidP="00F61D46">
            <w:pPr>
              <w:pStyle w:val="ECCTabletext"/>
            </w:pPr>
            <w:r w:rsidRPr="006A6CE1">
              <w:t>IRAM</w:t>
            </w:r>
            <w:r w:rsidR="00D66D88">
              <w:t xml:space="preserve"> </w:t>
            </w:r>
            <w:r w:rsidRPr="006A6CE1">
              <w:t>30 m, Pico Veleta</w:t>
            </w:r>
          </w:p>
        </w:tc>
        <w:tc>
          <w:tcPr>
            <w:tcW w:w="1701" w:type="dxa"/>
          </w:tcPr>
          <w:p w14:paraId="601A2830" w14:textId="77777777" w:rsidR="009376C6" w:rsidRPr="006A6CE1" w:rsidRDefault="009376C6" w:rsidP="00F61D46">
            <w:pPr>
              <w:pStyle w:val="ECCTabletext"/>
            </w:pPr>
            <w:r w:rsidRPr="006A6CE1">
              <w:t>37°04'06" N</w:t>
            </w:r>
          </w:p>
        </w:tc>
        <w:tc>
          <w:tcPr>
            <w:tcW w:w="1843" w:type="dxa"/>
          </w:tcPr>
          <w:p w14:paraId="66849EF7" w14:textId="77777777" w:rsidR="009376C6" w:rsidRPr="006A6CE1" w:rsidRDefault="009376C6" w:rsidP="00F61D46">
            <w:pPr>
              <w:pStyle w:val="ECCTabletext"/>
            </w:pPr>
            <w:r w:rsidRPr="006A6CE1">
              <w:t>03°23'55" W</w:t>
            </w:r>
          </w:p>
        </w:tc>
      </w:tr>
    </w:tbl>
    <w:p w14:paraId="2C892191" w14:textId="7F8906D6" w:rsidR="009376C6" w:rsidRPr="006A6CE1" w:rsidRDefault="009376C6" w:rsidP="009376C6">
      <w:pPr>
        <w:pStyle w:val="Caption"/>
        <w:rPr>
          <w:lang w:val="en-GB"/>
        </w:rPr>
      </w:pPr>
      <w:bookmarkStart w:id="23" w:name="_Ref82009764"/>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2</w:t>
      </w:r>
      <w:r w:rsidRPr="006A6CE1">
        <w:rPr>
          <w:lang w:val="en-GB"/>
        </w:rPr>
        <w:fldChar w:fldCharType="end"/>
      </w:r>
      <w:bookmarkEnd w:id="23"/>
      <w:r w:rsidRPr="006A6CE1">
        <w:rPr>
          <w:lang w:val="en-GB"/>
        </w:rPr>
        <w:t xml:space="preserve">: </w:t>
      </w:r>
      <w:r w:rsidRPr="006A6CE1">
        <w:rPr>
          <w:rFonts w:eastAsia="Calibri"/>
          <w:lang w:val="en-GB"/>
        </w:rPr>
        <w:t xml:space="preserve">Exclusion zones around RAS sites to be implemented by different </w:t>
      </w:r>
      <w:r w:rsidR="00466B2C">
        <w:rPr>
          <w:rFonts w:eastAsia="Calibri"/>
          <w:lang w:val="en-GB"/>
        </w:rPr>
        <w:t>specific</w:t>
      </w:r>
      <w:r w:rsidRPr="006A6CE1">
        <w:rPr>
          <w:rFonts w:eastAsia="Calibri"/>
          <w:lang w:val="en-GB"/>
        </w:rPr>
        <w:t xml:space="preserve"> radiodetermination applications</w:t>
      </w:r>
    </w:p>
    <w:tbl>
      <w:tblPr>
        <w:tblStyle w:val="ECCTable-redheader"/>
        <w:tblW w:w="5000" w:type="pct"/>
        <w:tblInd w:w="0" w:type="dxa"/>
        <w:tblLook w:val="04A0" w:firstRow="1" w:lastRow="0" w:firstColumn="1" w:lastColumn="0" w:noHBand="0" w:noVBand="1"/>
      </w:tblPr>
      <w:tblGrid>
        <w:gridCol w:w="5868"/>
        <w:gridCol w:w="3761"/>
      </w:tblGrid>
      <w:tr w:rsidR="009376C6" w:rsidRPr="00C07026" w14:paraId="61D33723" w14:textId="77777777" w:rsidTr="004A3EA7">
        <w:trPr>
          <w:cnfStyle w:val="100000000000" w:firstRow="1" w:lastRow="0" w:firstColumn="0" w:lastColumn="0" w:oddVBand="0" w:evenVBand="0" w:oddHBand="0" w:evenHBand="0" w:firstRowFirstColumn="0" w:firstRowLastColumn="0" w:lastRowFirstColumn="0" w:lastRowLastColumn="0"/>
        </w:trPr>
        <w:tc>
          <w:tcPr>
            <w:tcW w:w="3047" w:type="pct"/>
          </w:tcPr>
          <w:p w14:paraId="23D9739F" w14:textId="2E6BE344" w:rsidR="009376C6" w:rsidRPr="006A6CE1" w:rsidRDefault="00466B2C" w:rsidP="00CD7D29">
            <w:pPr>
              <w:pStyle w:val="ECCTableHeaderwhitefont"/>
              <w:spacing w:before="120" w:after="120"/>
              <w:rPr>
                <w:lang w:val="en-GB"/>
              </w:rPr>
            </w:pPr>
            <w:r>
              <w:rPr>
                <w:lang w:val="en-GB"/>
              </w:rPr>
              <w:t>Specific radiodetermination</w:t>
            </w:r>
            <w:r w:rsidR="009376C6" w:rsidRPr="006A6CE1">
              <w:rPr>
                <w:lang w:val="en-GB"/>
              </w:rPr>
              <w:t xml:space="preserve"> application</w:t>
            </w:r>
            <w:r w:rsidR="00D3176C">
              <w:rPr>
                <w:lang w:val="en-GB"/>
              </w:rPr>
              <w:t>s</w:t>
            </w:r>
          </w:p>
        </w:tc>
        <w:tc>
          <w:tcPr>
            <w:tcW w:w="1953" w:type="pct"/>
          </w:tcPr>
          <w:p w14:paraId="68355A39" w14:textId="77777777" w:rsidR="009376C6" w:rsidRPr="00C07026" w:rsidRDefault="009376C6" w:rsidP="00CD7D29">
            <w:pPr>
              <w:pStyle w:val="ECCTableHeaderwhitefont"/>
              <w:spacing w:before="120" w:after="120"/>
              <w:rPr>
                <w:lang w:val="fr-FR"/>
              </w:rPr>
            </w:pPr>
            <w:r w:rsidRPr="00C07026">
              <w:rPr>
                <w:lang w:val="fr-FR"/>
              </w:rPr>
              <w:t>Exclusion zone around RAS site</w:t>
            </w:r>
          </w:p>
        </w:tc>
      </w:tr>
      <w:tr w:rsidR="00C230E8" w:rsidRPr="006A6CE1" w14:paraId="716116BF" w14:textId="77777777" w:rsidTr="004A3EA7">
        <w:tc>
          <w:tcPr>
            <w:tcW w:w="3047" w:type="pct"/>
          </w:tcPr>
          <w:p w14:paraId="341D6FFB" w14:textId="4ADE7FD5" w:rsidR="00C230E8" w:rsidRPr="006A6CE1" w:rsidRDefault="00C230E8" w:rsidP="00293BDE">
            <w:pPr>
              <w:pStyle w:val="ECCTabletext"/>
              <w:jc w:val="left"/>
            </w:pPr>
            <w:r w:rsidRPr="00C230E8">
              <w:t>Hand</w:t>
            </w:r>
            <w:r w:rsidR="00AB5C2F">
              <w:t>-</w:t>
            </w:r>
            <w:r w:rsidRPr="00C230E8">
              <w:t>held/mobile generic indoor surveillance radar</w:t>
            </w:r>
          </w:p>
        </w:tc>
        <w:tc>
          <w:tcPr>
            <w:tcW w:w="1953" w:type="pct"/>
          </w:tcPr>
          <w:p w14:paraId="685DCBD2" w14:textId="5C3D1F13" w:rsidR="00C230E8" w:rsidRPr="006A6CE1" w:rsidRDefault="00C230E8" w:rsidP="00F61D46">
            <w:pPr>
              <w:pStyle w:val="ECCBulletsLv1"/>
              <w:numPr>
                <w:ilvl w:val="0"/>
                <w:numId w:val="0"/>
              </w:numPr>
              <w:ind w:left="360" w:hanging="360"/>
            </w:pPr>
            <w:r w:rsidRPr="00C230E8">
              <w:t>1.6</w:t>
            </w:r>
            <w:r w:rsidR="0049195F">
              <w:t> </w:t>
            </w:r>
            <w:r w:rsidRPr="00C230E8">
              <w:t>km</w:t>
            </w:r>
          </w:p>
        </w:tc>
      </w:tr>
      <w:tr w:rsidR="009376C6" w:rsidRPr="006A6CE1" w14:paraId="68FA5489" w14:textId="77777777" w:rsidTr="004A3EA7">
        <w:tc>
          <w:tcPr>
            <w:tcW w:w="3047" w:type="pct"/>
          </w:tcPr>
          <w:p w14:paraId="7EF73245" w14:textId="2C0B3CCB" w:rsidR="009376C6" w:rsidRPr="006A6CE1" w:rsidRDefault="00C230E8" w:rsidP="00293BDE">
            <w:pPr>
              <w:pStyle w:val="ECCTabletext"/>
              <w:jc w:val="left"/>
            </w:pPr>
            <w:r>
              <w:t>Fixed g</w:t>
            </w:r>
            <w:r w:rsidR="009376C6" w:rsidRPr="006A6CE1">
              <w:t>eneric indoor surveillance radar</w:t>
            </w:r>
          </w:p>
        </w:tc>
        <w:tc>
          <w:tcPr>
            <w:tcW w:w="1953" w:type="pct"/>
          </w:tcPr>
          <w:p w14:paraId="6C508B3B" w14:textId="4627F0D7" w:rsidR="009376C6" w:rsidRPr="006A6CE1" w:rsidRDefault="00C230E8" w:rsidP="00F61D46">
            <w:pPr>
              <w:pStyle w:val="ECCBulletsLv1"/>
              <w:numPr>
                <w:ilvl w:val="0"/>
                <w:numId w:val="0"/>
              </w:numPr>
              <w:ind w:left="360" w:hanging="360"/>
            </w:pPr>
            <w:r>
              <w:t>10.7</w:t>
            </w:r>
            <w:r w:rsidR="009376C6" w:rsidRPr="006A6CE1">
              <w:t> km</w:t>
            </w:r>
          </w:p>
        </w:tc>
      </w:tr>
      <w:tr w:rsidR="009376C6" w:rsidRPr="006A6CE1" w14:paraId="1506E900" w14:textId="77777777" w:rsidTr="004A3EA7">
        <w:tc>
          <w:tcPr>
            <w:tcW w:w="3047" w:type="pct"/>
          </w:tcPr>
          <w:p w14:paraId="668A0095" w14:textId="77777777" w:rsidR="009376C6" w:rsidRPr="006A6CE1" w:rsidRDefault="009376C6" w:rsidP="00293BDE">
            <w:pPr>
              <w:pStyle w:val="ECCTabletext"/>
              <w:jc w:val="left"/>
            </w:pPr>
            <w:r w:rsidRPr="006A6CE1">
              <w:t>Radiodetermination systems for industry automation (RDI)</w:t>
            </w:r>
          </w:p>
        </w:tc>
        <w:tc>
          <w:tcPr>
            <w:tcW w:w="1953" w:type="pct"/>
          </w:tcPr>
          <w:p w14:paraId="574534C9" w14:textId="77777777" w:rsidR="009376C6" w:rsidRPr="006A6CE1" w:rsidRDefault="009376C6" w:rsidP="00F61D46">
            <w:pPr>
              <w:pStyle w:val="ECCBulletsLv1"/>
              <w:numPr>
                <w:ilvl w:val="0"/>
                <w:numId w:val="0"/>
              </w:numPr>
              <w:ind w:left="360" w:hanging="360"/>
            </w:pPr>
            <w:r w:rsidRPr="006A6CE1">
              <w:t>20.0 km</w:t>
            </w:r>
          </w:p>
        </w:tc>
      </w:tr>
      <w:tr w:rsidR="009376C6" w:rsidRPr="006A6CE1" w14:paraId="0B7A2CC0" w14:textId="77777777" w:rsidTr="004A3EA7">
        <w:tc>
          <w:tcPr>
            <w:tcW w:w="3047" w:type="pct"/>
          </w:tcPr>
          <w:p w14:paraId="452560A5" w14:textId="77777777" w:rsidR="009376C6" w:rsidRPr="006A6CE1" w:rsidRDefault="009376C6" w:rsidP="00293BDE">
            <w:pPr>
              <w:pStyle w:val="ECCTabletext"/>
              <w:jc w:val="left"/>
            </w:pPr>
            <w:r w:rsidRPr="006A6CE1">
              <w:t>Level Probing Radar (LPR)</w:t>
            </w:r>
          </w:p>
        </w:tc>
        <w:tc>
          <w:tcPr>
            <w:tcW w:w="1953" w:type="pct"/>
          </w:tcPr>
          <w:p w14:paraId="45F963E5" w14:textId="77777777" w:rsidR="009376C6" w:rsidRPr="006A6CE1" w:rsidRDefault="009376C6" w:rsidP="00F61D46">
            <w:pPr>
              <w:pStyle w:val="ECCBulletsLv1"/>
              <w:numPr>
                <w:ilvl w:val="0"/>
                <w:numId w:val="0"/>
              </w:numPr>
              <w:ind w:left="360" w:hanging="360"/>
            </w:pPr>
            <w:r w:rsidRPr="006A6CE1">
              <w:t>13.0 km</w:t>
            </w:r>
          </w:p>
        </w:tc>
      </w:tr>
      <w:tr w:rsidR="009376C6" w:rsidRPr="006A6CE1" w14:paraId="3E5EF2C1" w14:textId="77777777" w:rsidTr="004A3EA7">
        <w:tc>
          <w:tcPr>
            <w:tcW w:w="3047" w:type="pct"/>
          </w:tcPr>
          <w:p w14:paraId="69136C15" w14:textId="77777777" w:rsidR="009376C6" w:rsidRPr="006A6CE1" w:rsidRDefault="009376C6" w:rsidP="00293BDE">
            <w:pPr>
              <w:pStyle w:val="ECCTabletext"/>
              <w:jc w:val="left"/>
            </w:pPr>
            <w:r w:rsidRPr="006A6CE1">
              <w:t>Contour determination and acquisition radar (CDR)</w:t>
            </w:r>
          </w:p>
        </w:tc>
        <w:tc>
          <w:tcPr>
            <w:tcW w:w="1953" w:type="pct"/>
          </w:tcPr>
          <w:p w14:paraId="29265386" w14:textId="77777777" w:rsidR="009376C6" w:rsidRPr="006A6CE1" w:rsidRDefault="009376C6" w:rsidP="00F61D46">
            <w:pPr>
              <w:pStyle w:val="ECCBulletsLv1"/>
              <w:numPr>
                <w:ilvl w:val="0"/>
                <w:numId w:val="0"/>
              </w:numPr>
              <w:ind w:left="360" w:hanging="360"/>
            </w:pPr>
            <w:r w:rsidRPr="006A6CE1">
              <w:t>20.0 km</w:t>
            </w:r>
          </w:p>
        </w:tc>
      </w:tr>
      <w:tr w:rsidR="009376C6" w:rsidRPr="006A6CE1" w14:paraId="5526311D" w14:textId="77777777" w:rsidTr="004A3EA7">
        <w:tc>
          <w:tcPr>
            <w:tcW w:w="3047" w:type="pct"/>
          </w:tcPr>
          <w:p w14:paraId="5B939CFE" w14:textId="77777777" w:rsidR="009376C6" w:rsidRPr="006A6CE1" w:rsidRDefault="009376C6" w:rsidP="00293BDE">
            <w:pPr>
              <w:pStyle w:val="ECCTabletext"/>
              <w:jc w:val="left"/>
            </w:pPr>
            <w:r w:rsidRPr="006A6CE1">
              <w:t>Radiodetermination systems for industry automation in shielded environments (RDI-S)</w:t>
            </w:r>
          </w:p>
        </w:tc>
        <w:tc>
          <w:tcPr>
            <w:tcW w:w="1953" w:type="pct"/>
          </w:tcPr>
          <w:p w14:paraId="48FAB608" w14:textId="77777777" w:rsidR="009376C6" w:rsidRPr="006A6CE1" w:rsidRDefault="009376C6" w:rsidP="00F61D46">
            <w:pPr>
              <w:pStyle w:val="ECCBulletsLv1"/>
              <w:numPr>
                <w:ilvl w:val="0"/>
                <w:numId w:val="0"/>
              </w:numPr>
              <w:ind w:left="360" w:hanging="360"/>
            </w:pPr>
            <w:r w:rsidRPr="006A6CE1">
              <w:t>13.2 km</w:t>
            </w:r>
          </w:p>
        </w:tc>
      </w:tr>
      <w:tr w:rsidR="00686ECB" w:rsidRPr="006A6CE1" w14:paraId="769415D0" w14:textId="77777777" w:rsidTr="004A3EA7">
        <w:tc>
          <w:tcPr>
            <w:tcW w:w="3047" w:type="pct"/>
          </w:tcPr>
          <w:p w14:paraId="0E5CB16A" w14:textId="467D097D" w:rsidR="00686ECB" w:rsidRPr="006A6CE1" w:rsidRDefault="00686ECB" w:rsidP="00293BDE">
            <w:pPr>
              <w:pStyle w:val="ECCTabletext"/>
            </w:pPr>
            <w:r>
              <w:t>Exterior vehicular radar (EVR)</w:t>
            </w:r>
            <w:r w:rsidR="00E9182B">
              <w:t xml:space="preserve"> (Note 1)</w:t>
            </w:r>
          </w:p>
        </w:tc>
        <w:tc>
          <w:tcPr>
            <w:tcW w:w="1953" w:type="pct"/>
          </w:tcPr>
          <w:p w14:paraId="150EDF2A" w14:textId="0D116461" w:rsidR="00686ECB" w:rsidRPr="006A6CE1" w:rsidRDefault="00686ECB" w:rsidP="00F61D46">
            <w:pPr>
              <w:pStyle w:val="ECCBulletsLv1"/>
              <w:numPr>
                <w:ilvl w:val="0"/>
                <w:numId w:val="0"/>
              </w:numPr>
              <w:ind w:left="360" w:hanging="360"/>
            </w:pPr>
            <w:r>
              <w:t>3.0 km</w:t>
            </w:r>
          </w:p>
        </w:tc>
      </w:tr>
      <w:tr w:rsidR="00686ECB" w:rsidRPr="006A6CE1" w14:paraId="131CC3FF" w14:textId="77777777" w:rsidTr="004A3EA7">
        <w:tc>
          <w:tcPr>
            <w:tcW w:w="3047" w:type="pct"/>
          </w:tcPr>
          <w:p w14:paraId="218B391B" w14:textId="201B1C5B" w:rsidR="00686ECB" w:rsidRDefault="00686ECB" w:rsidP="00293BDE">
            <w:pPr>
              <w:pStyle w:val="ECCTabletext"/>
            </w:pPr>
            <w:r>
              <w:t>In-cabin vehicular radar (IVR)</w:t>
            </w:r>
          </w:p>
        </w:tc>
        <w:tc>
          <w:tcPr>
            <w:tcW w:w="1953" w:type="pct"/>
          </w:tcPr>
          <w:p w14:paraId="751A758E" w14:textId="7C4EE20D" w:rsidR="00686ECB" w:rsidRDefault="00686ECB" w:rsidP="00F61D46">
            <w:pPr>
              <w:pStyle w:val="ECCBulletsLv1"/>
              <w:numPr>
                <w:ilvl w:val="0"/>
                <w:numId w:val="0"/>
              </w:numPr>
              <w:ind w:left="360" w:hanging="360"/>
            </w:pPr>
            <w:r>
              <w:t>3.0 km</w:t>
            </w:r>
          </w:p>
        </w:tc>
      </w:tr>
      <w:tr w:rsidR="009D4ABD" w:rsidRPr="006A6CE1" w14:paraId="71B47A7B" w14:textId="77777777" w:rsidTr="009D4ABD">
        <w:tc>
          <w:tcPr>
            <w:tcW w:w="5000" w:type="pct"/>
            <w:gridSpan w:val="2"/>
          </w:tcPr>
          <w:p w14:paraId="52F3E567" w14:textId="175404FE" w:rsidR="009D4ABD" w:rsidRDefault="009D4ABD" w:rsidP="00FB1932">
            <w:pPr>
              <w:pStyle w:val="ECCTablenote"/>
            </w:pPr>
            <w:r>
              <w:t xml:space="preserve">Note 1: </w:t>
            </w:r>
            <w:r w:rsidRPr="00D01A2C">
              <w:t>Additional coordination zones are required for exterior vehicular radar applications. Administrations can define these at a national level.</w:t>
            </w:r>
            <w:r w:rsidR="00E9182B">
              <w:t xml:space="preserve"> </w:t>
            </w:r>
            <w:r w:rsidR="00E9182B" w:rsidRPr="0088688E">
              <w:t>A possible framework is suggested in ECC Report 351</w:t>
            </w:r>
            <w:r w:rsidR="00581895">
              <w:t xml:space="preserve">, </w:t>
            </w:r>
            <w:r w:rsidR="00F502A1">
              <w:t>A</w:t>
            </w:r>
            <w:r w:rsidR="00581895">
              <w:t>nnex 3</w:t>
            </w:r>
            <w:r w:rsidR="00E9182B" w:rsidRPr="0088688E">
              <w:t>.</w:t>
            </w:r>
          </w:p>
        </w:tc>
      </w:tr>
    </w:tbl>
    <w:p w14:paraId="35370811" w14:textId="77777777" w:rsidR="009376C6" w:rsidRPr="006A6CE1" w:rsidRDefault="009376C6" w:rsidP="0028329F">
      <w:pPr>
        <w:jc w:val="both"/>
        <w:rPr>
          <w:lang w:val="en-GB"/>
        </w:rPr>
      </w:pPr>
    </w:p>
    <w:p w14:paraId="60C9C45C" w14:textId="3A5DDD84" w:rsidR="00D62732" w:rsidRPr="00F6789A" w:rsidRDefault="00CD3047" w:rsidP="0059230E">
      <w:pPr>
        <w:pStyle w:val="ECCAnnexheading1"/>
        <w:rPr>
          <w:lang w:val="en-GB"/>
        </w:rPr>
      </w:pPr>
      <w:bookmarkStart w:id="24" w:name="_Ref82078078"/>
      <w:r w:rsidRPr="00F6789A">
        <w:rPr>
          <w:lang w:val="en-GB"/>
        </w:rPr>
        <w:lastRenderedPageBreak/>
        <w:t>General technical requirements for radiodetermination applications in the frequency range 116</w:t>
      </w:r>
      <w:r w:rsidR="00C96D79" w:rsidRPr="00F6789A">
        <w:rPr>
          <w:lang w:val="en-GB"/>
        </w:rPr>
        <w:t>-</w:t>
      </w:r>
      <w:r w:rsidRPr="00F6789A">
        <w:rPr>
          <w:lang w:val="en-GB"/>
        </w:rPr>
        <w:t xml:space="preserve">260 GHz using </w:t>
      </w:r>
      <w:r w:rsidR="00C96D79" w:rsidRPr="00F6789A">
        <w:rPr>
          <w:lang w:val="en-GB"/>
        </w:rPr>
        <w:t>specific radiodetermination</w:t>
      </w:r>
      <w:r w:rsidRPr="00F6789A">
        <w:rPr>
          <w:lang w:val="en-GB"/>
        </w:rPr>
        <w:t xml:space="preserve"> technology</w:t>
      </w:r>
      <w:bookmarkEnd w:id="24"/>
    </w:p>
    <w:p w14:paraId="46807B72" w14:textId="41F4F26E" w:rsidR="002278D9" w:rsidRPr="006A6CE1" w:rsidRDefault="002278D9" w:rsidP="002278D9">
      <w:pPr>
        <w:pStyle w:val="ECCAnnexheading2"/>
        <w:rPr>
          <w:lang w:val="en-GB"/>
        </w:rPr>
      </w:pPr>
      <w:bookmarkStart w:id="25" w:name="_Ref82075484"/>
      <w:r w:rsidRPr="006A6CE1">
        <w:rPr>
          <w:lang w:val="en-GB"/>
        </w:rPr>
        <w:t>Technical requirements for generic indoor surveillance radar</w:t>
      </w:r>
    </w:p>
    <w:bookmarkEnd w:id="25"/>
    <w:p w14:paraId="094A3C3F" w14:textId="77777777" w:rsidR="002278D9" w:rsidRPr="006A6CE1" w:rsidRDefault="002278D9" w:rsidP="001B6D15">
      <w:pPr>
        <w:jc w:val="both"/>
        <w:rPr>
          <w:lang w:val="en-GB"/>
        </w:rPr>
      </w:pPr>
      <w:r w:rsidRPr="006A6CE1">
        <w:rPr>
          <w:lang w:val="en-GB"/>
        </w:rPr>
        <w:t>Generic indoor surveillance radars are used for measuring and determining physical characteristics like presence, distance, velocity or material properties of a target object. The generic indoor surveillance radar application is intended for private indoor use and has been divided into the two subcategories hand-held/mobile and fixed generic indoor surveillance radar. Devices falling under the hand-held/mobile category are portable and moveable inside the building, whereas fixed generic indoor surveillance radars shall remain in a permanently fixed position.</w:t>
      </w:r>
    </w:p>
    <w:p w14:paraId="7FF5F5C1" w14:textId="03269FA2" w:rsidR="002278D9" w:rsidRPr="006A6CE1" w:rsidRDefault="002278D9" w:rsidP="002278D9">
      <w:pPr>
        <w:pStyle w:val="Caption"/>
        <w:rPr>
          <w:lang w:val="en-GB"/>
        </w:rPr>
      </w:pPr>
      <w:bookmarkStart w:id="26" w:name="_Ref82073980"/>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3</w:t>
      </w:r>
      <w:r w:rsidRPr="006A6CE1">
        <w:rPr>
          <w:lang w:val="en-GB"/>
        </w:rPr>
        <w:fldChar w:fldCharType="end"/>
      </w:r>
      <w:bookmarkEnd w:id="26"/>
      <w:r w:rsidRPr="006A6CE1">
        <w:rPr>
          <w:lang w:val="en-GB"/>
        </w:rPr>
        <w:t>: Technical requirements for hand</w:t>
      </w:r>
      <w:r w:rsidR="00581895">
        <w:rPr>
          <w:lang w:val="en-GB"/>
        </w:rPr>
        <w:t>-</w:t>
      </w:r>
      <w:r w:rsidRPr="006A6CE1">
        <w:rPr>
          <w:lang w:val="en-GB"/>
        </w:rPr>
        <w:t>held/mobile generic indoor surveillance radar in the designated bands</w:t>
      </w:r>
    </w:p>
    <w:tbl>
      <w:tblPr>
        <w:tblStyle w:val="ECCTable-redheader"/>
        <w:tblW w:w="9776" w:type="dxa"/>
        <w:tblInd w:w="0" w:type="dxa"/>
        <w:tblLook w:val="04A0" w:firstRow="1" w:lastRow="0" w:firstColumn="1" w:lastColumn="0" w:noHBand="0" w:noVBand="1"/>
      </w:tblPr>
      <w:tblGrid>
        <w:gridCol w:w="1555"/>
        <w:gridCol w:w="1275"/>
        <w:gridCol w:w="1843"/>
        <w:gridCol w:w="1418"/>
        <w:gridCol w:w="2391"/>
        <w:gridCol w:w="1294"/>
      </w:tblGrid>
      <w:tr w:rsidR="002278D9" w:rsidRPr="006A6CE1" w14:paraId="7EFEC04F" w14:textId="77777777" w:rsidTr="00802A5C">
        <w:trPr>
          <w:cnfStyle w:val="100000000000" w:firstRow="1" w:lastRow="0" w:firstColumn="0" w:lastColumn="0" w:oddVBand="0" w:evenVBand="0" w:oddHBand="0" w:evenHBand="0" w:firstRowFirstColumn="0" w:firstRowLastColumn="0" w:lastRowFirstColumn="0" w:lastRowLastColumn="0"/>
        </w:trPr>
        <w:tc>
          <w:tcPr>
            <w:tcW w:w="1555" w:type="dxa"/>
            <w:tcBorders>
              <w:bottom w:val="single" w:sz="4" w:space="0" w:color="FFFFFF" w:themeColor="background1"/>
            </w:tcBorders>
          </w:tcPr>
          <w:p w14:paraId="19E1E826" w14:textId="77777777" w:rsidR="002278D9" w:rsidRPr="006A6CE1" w:rsidRDefault="002278D9" w:rsidP="000F490F">
            <w:pPr>
              <w:pStyle w:val="ECCTableHeaderwhitefont"/>
              <w:spacing w:before="120"/>
              <w:rPr>
                <w:lang w:val="en-GB"/>
              </w:rPr>
            </w:pPr>
            <w:r w:rsidRPr="006A6CE1">
              <w:rPr>
                <w:lang w:val="en-GB"/>
              </w:rPr>
              <w:t>Designated frequency band</w:t>
            </w:r>
          </w:p>
        </w:tc>
        <w:tc>
          <w:tcPr>
            <w:tcW w:w="1275" w:type="dxa"/>
            <w:tcBorders>
              <w:bottom w:val="single" w:sz="4" w:space="0" w:color="FFFFFF" w:themeColor="background1"/>
            </w:tcBorders>
          </w:tcPr>
          <w:p w14:paraId="0A93B72D" w14:textId="525C7BBD" w:rsidR="002278D9" w:rsidRPr="006A6CE1" w:rsidRDefault="002278D9" w:rsidP="000F490F">
            <w:pPr>
              <w:pStyle w:val="ECCTableHeaderwhitefont"/>
              <w:spacing w:before="120"/>
              <w:rPr>
                <w:lang w:val="en-GB"/>
              </w:rPr>
            </w:pPr>
            <w:r w:rsidRPr="006A6CE1">
              <w:rPr>
                <w:lang w:val="en-GB"/>
              </w:rPr>
              <w:t>Maximum mean e.i.r.p</w:t>
            </w:r>
            <w:r w:rsidR="00E40CAD">
              <w:rPr>
                <w:lang w:val="en-GB"/>
              </w:rPr>
              <w:t>.</w:t>
            </w:r>
            <w:r w:rsidRPr="006A6CE1">
              <w:rPr>
                <w:lang w:val="en-GB"/>
              </w:rPr>
              <w:t xml:space="preserve"> (Note 1)</w:t>
            </w:r>
          </w:p>
        </w:tc>
        <w:tc>
          <w:tcPr>
            <w:tcW w:w="1843" w:type="dxa"/>
            <w:tcBorders>
              <w:bottom w:val="single" w:sz="4" w:space="0" w:color="FFFFFF" w:themeColor="background1"/>
            </w:tcBorders>
          </w:tcPr>
          <w:p w14:paraId="5FE6E3C1" w14:textId="77777777" w:rsidR="002278D9" w:rsidRPr="006A6CE1" w:rsidRDefault="002278D9" w:rsidP="000F490F">
            <w:pPr>
              <w:pStyle w:val="ECCTableHeaderwhitefont"/>
              <w:spacing w:before="120"/>
              <w:rPr>
                <w:lang w:val="en-GB"/>
              </w:rPr>
            </w:pPr>
            <w:r w:rsidRPr="006A6CE1">
              <w:rPr>
                <w:lang w:val="en-GB"/>
              </w:rPr>
              <w:t>Maximum mean e.i.r.p. spectral density (Note 2)</w:t>
            </w:r>
          </w:p>
        </w:tc>
        <w:tc>
          <w:tcPr>
            <w:tcW w:w="1418" w:type="dxa"/>
            <w:tcBorders>
              <w:bottom w:val="single" w:sz="4" w:space="0" w:color="FFFFFF" w:themeColor="background1"/>
            </w:tcBorders>
          </w:tcPr>
          <w:p w14:paraId="37BC5BF9" w14:textId="4103EE28" w:rsidR="002278D9" w:rsidRPr="006A6CE1" w:rsidRDefault="002278D9" w:rsidP="000F490F">
            <w:pPr>
              <w:pStyle w:val="ECCTableHeaderwhitefont"/>
              <w:spacing w:before="120"/>
              <w:rPr>
                <w:lang w:val="en-GB"/>
              </w:rPr>
            </w:pPr>
            <w:r w:rsidRPr="006A6CE1">
              <w:rPr>
                <w:lang w:val="en-GB"/>
              </w:rPr>
              <w:t>Maximum peak e.i.r.p</w:t>
            </w:r>
            <w:r w:rsidR="00E40CAD">
              <w:rPr>
                <w:lang w:val="en-GB"/>
              </w:rPr>
              <w:t>.</w:t>
            </w:r>
            <w:r w:rsidRPr="006A6CE1">
              <w:rPr>
                <w:lang w:val="en-GB"/>
              </w:rPr>
              <w:t xml:space="preserve"> (Note 5)</w:t>
            </w:r>
          </w:p>
        </w:tc>
        <w:tc>
          <w:tcPr>
            <w:tcW w:w="2391" w:type="dxa"/>
            <w:tcBorders>
              <w:bottom w:val="single" w:sz="4" w:space="0" w:color="FFFFFF" w:themeColor="background1"/>
            </w:tcBorders>
          </w:tcPr>
          <w:p w14:paraId="502138C5" w14:textId="77777777" w:rsidR="002278D9" w:rsidRPr="006A6CE1" w:rsidRDefault="002278D9" w:rsidP="000F490F">
            <w:pPr>
              <w:pStyle w:val="ECCTableHeaderwhitefont"/>
              <w:spacing w:before="120"/>
              <w:rPr>
                <w:lang w:val="en-GB"/>
              </w:rPr>
            </w:pPr>
            <w:r w:rsidRPr="006A6CE1">
              <w:rPr>
                <w:lang w:val="en-GB"/>
              </w:rPr>
              <w:t>Spectrum access and mitigation requirements (Note 3)</w:t>
            </w:r>
          </w:p>
        </w:tc>
        <w:tc>
          <w:tcPr>
            <w:tcW w:w="1294" w:type="dxa"/>
            <w:tcBorders>
              <w:bottom w:val="single" w:sz="4" w:space="0" w:color="FFFFFF" w:themeColor="background1"/>
            </w:tcBorders>
          </w:tcPr>
          <w:p w14:paraId="258BCB30" w14:textId="77777777" w:rsidR="002278D9" w:rsidRPr="006A6CE1" w:rsidRDefault="002278D9" w:rsidP="000F490F">
            <w:pPr>
              <w:pStyle w:val="ECCTableHeaderwhitefont"/>
              <w:spacing w:before="120" w:after="120"/>
              <w:rPr>
                <w:lang w:val="en-GB"/>
              </w:rPr>
            </w:pPr>
            <w:r w:rsidRPr="006A6CE1">
              <w:rPr>
                <w:lang w:val="en-GB"/>
              </w:rPr>
              <w:t>Minimum unwanted emissions attenuation (Note 4)</w:t>
            </w:r>
          </w:p>
        </w:tc>
      </w:tr>
      <w:tr w:rsidR="002278D9" w:rsidRPr="006A6CE1" w14:paraId="31041A71" w14:textId="77777777" w:rsidTr="00802A5C">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E2488AB" w14:textId="77777777" w:rsidR="002278D9" w:rsidRPr="00802A5C" w:rsidRDefault="002278D9" w:rsidP="00802A5C">
            <w:pPr>
              <w:pStyle w:val="ECCTableHeaderwhitefont"/>
              <w:rPr>
                <w:lang w:val="en-GB"/>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A9BC63D" w14:textId="77777777" w:rsidR="002278D9" w:rsidRPr="00802A5C" w:rsidRDefault="002278D9" w:rsidP="00802A5C">
            <w:pPr>
              <w:pStyle w:val="ECCTabletext"/>
              <w:jc w:val="center"/>
              <w:rPr>
                <w:b/>
                <w:bCs/>
                <w:color w:val="FFFFFF" w:themeColor="background1"/>
              </w:rPr>
            </w:pPr>
            <w:r w:rsidRPr="00802A5C">
              <w:rPr>
                <w:b/>
                <w:bCs/>
                <w:color w:val="FFFFFF" w:themeColor="background1"/>
              </w:rPr>
              <w:t>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510DBE4" w14:textId="77777777" w:rsidR="002278D9" w:rsidRPr="00802A5C" w:rsidRDefault="002278D9" w:rsidP="00802A5C">
            <w:pPr>
              <w:pStyle w:val="ECCTabletext"/>
              <w:jc w:val="center"/>
              <w:rPr>
                <w:b/>
                <w:bCs/>
                <w:color w:val="FFFFFF" w:themeColor="background1"/>
              </w:rPr>
            </w:pPr>
            <w:r w:rsidRPr="00802A5C">
              <w:rPr>
                <w:b/>
                <w:bCs/>
                <w:color w:val="FFFFFF" w:themeColor="background1"/>
              </w:rPr>
              <w:t>B</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2D0897A" w14:textId="77777777" w:rsidR="002278D9" w:rsidRPr="00802A5C" w:rsidRDefault="002278D9" w:rsidP="00802A5C">
            <w:pPr>
              <w:pStyle w:val="ECCTabletext"/>
              <w:jc w:val="center"/>
              <w:rPr>
                <w:b/>
                <w:bCs/>
                <w:color w:val="FFFFFF" w:themeColor="background1"/>
              </w:rPr>
            </w:pPr>
            <w:r w:rsidRPr="00802A5C">
              <w:rPr>
                <w:b/>
                <w:bCs/>
                <w:color w:val="FFFFFF" w:themeColor="background1"/>
              </w:rPr>
              <w:t>C</w:t>
            </w:r>
          </w:p>
        </w:tc>
        <w:tc>
          <w:tcPr>
            <w:tcW w:w="23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536EA61" w14:textId="77777777" w:rsidR="002278D9" w:rsidRPr="00802A5C" w:rsidRDefault="002278D9" w:rsidP="00802A5C">
            <w:pPr>
              <w:pStyle w:val="ECCTabletext"/>
              <w:jc w:val="center"/>
              <w:rPr>
                <w:b/>
                <w:bCs/>
                <w:color w:val="FFFFFF" w:themeColor="background1"/>
              </w:rPr>
            </w:pPr>
            <w:r w:rsidRPr="00802A5C">
              <w:rPr>
                <w:b/>
                <w:bCs/>
                <w:color w:val="FFFFFF" w:themeColor="background1"/>
              </w:rPr>
              <w:t>D</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6CA7C01" w14:textId="77777777" w:rsidR="002278D9" w:rsidRPr="00802A5C" w:rsidRDefault="002278D9" w:rsidP="00802A5C">
            <w:pPr>
              <w:pStyle w:val="ECCTabletext"/>
              <w:jc w:val="center"/>
              <w:rPr>
                <w:b/>
                <w:bCs/>
                <w:color w:val="FFFFFF" w:themeColor="background1"/>
              </w:rPr>
            </w:pPr>
            <w:r w:rsidRPr="00802A5C">
              <w:rPr>
                <w:b/>
                <w:bCs/>
                <w:color w:val="FFFFFF" w:themeColor="background1"/>
              </w:rPr>
              <w:t>E</w:t>
            </w:r>
          </w:p>
        </w:tc>
      </w:tr>
      <w:tr w:rsidR="002278D9" w:rsidRPr="006A6CE1" w14:paraId="42AB9123" w14:textId="77777777" w:rsidTr="00802A5C">
        <w:tc>
          <w:tcPr>
            <w:tcW w:w="1555" w:type="dxa"/>
            <w:tcBorders>
              <w:top w:val="single" w:sz="4" w:space="0" w:color="FFFFFF" w:themeColor="background1"/>
            </w:tcBorders>
          </w:tcPr>
          <w:p w14:paraId="05771FFF" w14:textId="31A2E160" w:rsidR="002278D9" w:rsidRPr="006A6CE1" w:rsidRDefault="002278D9" w:rsidP="00F61D46">
            <w:pPr>
              <w:pStyle w:val="ECCTabletext"/>
              <w:jc w:val="left"/>
            </w:pPr>
            <w:r w:rsidRPr="006A6CE1">
              <w:t>122.25</w:t>
            </w:r>
            <w:r w:rsidR="00A97110">
              <w:t>-</w:t>
            </w:r>
            <w:r w:rsidRPr="006A6CE1">
              <w:t>130 GHz</w:t>
            </w:r>
          </w:p>
        </w:tc>
        <w:tc>
          <w:tcPr>
            <w:tcW w:w="1275" w:type="dxa"/>
            <w:tcBorders>
              <w:top w:val="single" w:sz="4" w:space="0" w:color="FFFFFF" w:themeColor="background1"/>
            </w:tcBorders>
          </w:tcPr>
          <w:p w14:paraId="46131CEE" w14:textId="77777777" w:rsidR="002278D9" w:rsidRPr="006A6CE1" w:rsidRDefault="002278D9" w:rsidP="00F61D46">
            <w:pPr>
              <w:pStyle w:val="ECCTabletext"/>
              <w:jc w:val="left"/>
            </w:pPr>
            <w:r w:rsidRPr="006A6CE1">
              <w:t>10 dBm</w:t>
            </w:r>
          </w:p>
        </w:tc>
        <w:tc>
          <w:tcPr>
            <w:tcW w:w="1843" w:type="dxa"/>
            <w:tcBorders>
              <w:top w:val="single" w:sz="4" w:space="0" w:color="FFFFFF" w:themeColor="background1"/>
            </w:tcBorders>
          </w:tcPr>
          <w:p w14:paraId="66499F24" w14:textId="77777777" w:rsidR="002278D9" w:rsidRPr="006A6CE1" w:rsidRDefault="002278D9" w:rsidP="00F61D46">
            <w:pPr>
              <w:pStyle w:val="ECCTabletext"/>
              <w:jc w:val="left"/>
            </w:pPr>
            <w:r w:rsidRPr="006A6CE1">
              <w:t>-20 dBm/MHz</w:t>
            </w:r>
          </w:p>
        </w:tc>
        <w:tc>
          <w:tcPr>
            <w:tcW w:w="1418" w:type="dxa"/>
            <w:tcBorders>
              <w:top w:val="single" w:sz="4" w:space="0" w:color="FFFFFF" w:themeColor="background1"/>
            </w:tcBorders>
          </w:tcPr>
          <w:p w14:paraId="316B0943" w14:textId="77777777" w:rsidR="002278D9" w:rsidRPr="006A6CE1" w:rsidRDefault="002278D9" w:rsidP="00F61D46">
            <w:pPr>
              <w:pStyle w:val="ECCTabletext"/>
              <w:jc w:val="left"/>
            </w:pPr>
            <w:r w:rsidRPr="006A6CE1">
              <w:t>20 dBm</w:t>
            </w:r>
          </w:p>
        </w:tc>
        <w:tc>
          <w:tcPr>
            <w:tcW w:w="2391" w:type="dxa"/>
            <w:tcBorders>
              <w:top w:val="single" w:sz="4" w:space="0" w:color="FFFFFF" w:themeColor="background1"/>
            </w:tcBorders>
          </w:tcPr>
          <w:p w14:paraId="724F195E" w14:textId="77777777" w:rsidR="002278D9" w:rsidRPr="006A6CE1" w:rsidRDefault="002278D9" w:rsidP="00F61D46">
            <w:pPr>
              <w:pStyle w:val="ECCTabletext"/>
              <w:jc w:val="left"/>
            </w:pPr>
            <w:r w:rsidRPr="006A6CE1">
              <w:t>∑T</w:t>
            </w:r>
            <w:r w:rsidRPr="00802A5C">
              <w:rPr>
                <w:vertAlign w:val="subscript"/>
              </w:rPr>
              <w:t>meas</w:t>
            </w:r>
            <w:r w:rsidRPr="006A6CE1">
              <w:t xml:space="preserve"> ≤ 400 ms within Tobs = 1 s is equivalent to a maximum duty cycle of 40%</w:t>
            </w:r>
          </w:p>
        </w:tc>
        <w:tc>
          <w:tcPr>
            <w:tcW w:w="1294" w:type="dxa"/>
            <w:tcBorders>
              <w:top w:val="single" w:sz="4" w:space="0" w:color="FFFFFF" w:themeColor="background1"/>
            </w:tcBorders>
          </w:tcPr>
          <w:p w14:paraId="5F8D16AB" w14:textId="77777777" w:rsidR="002278D9" w:rsidRPr="006A6CE1" w:rsidRDefault="002278D9" w:rsidP="00F61D46">
            <w:pPr>
              <w:pStyle w:val="ECCTabletext"/>
              <w:jc w:val="left"/>
            </w:pPr>
            <w:r w:rsidRPr="006A6CE1">
              <w:t>20 dB</w:t>
            </w:r>
          </w:p>
        </w:tc>
      </w:tr>
      <w:tr w:rsidR="002278D9" w:rsidRPr="006A6CE1" w14:paraId="2198E4C0" w14:textId="77777777" w:rsidTr="00F61D46">
        <w:tc>
          <w:tcPr>
            <w:tcW w:w="1555" w:type="dxa"/>
          </w:tcPr>
          <w:p w14:paraId="4AEBBE96" w14:textId="50ACE4F5" w:rsidR="002278D9" w:rsidRPr="006A6CE1" w:rsidRDefault="002278D9" w:rsidP="00F61D46">
            <w:pPr>
              <w:pStyle w:val="ECCTabletext"/>
              <w:jc w:val="left"/>
            </w:pPr>
            <w:r w:rsidRPr="006A6CE1">
              <w:t>134</w:t>
            </w:r>
            <w:r w:rsidR="00A97110">
              <w:t>-</w:t>
            </w:r>
            <w:r w:rsidRPr="006A6CE1">
              <w:t>148.5 GHz</w:t>
            </w:r>
          </w:p>
        </w:tc>
        <w:tc>
          <w:tcPr>
            <w:tcW w:w="1275" w:type="dxa"/>
          </w:tcPr>
          <w:p w14:paraId="50FB5649" w14:textId="77777777" w:rsidR="002278D9" w:rsidRPr="006A6CE1" w:rsidRDefault="002278D9" w:rsidP="00F61D46">
            <w:pPr>
              <w:pStyle w:val="ECCTabletext"/>
              <w:jc w:val="left"/>
            </w:pPr>
            <w:r w:rsidRPr="006A6CE1">
              <w:t>10 dBm</w:t>
            </w:r>
          </w:p>
        </w:tc>
        <w:tc>
          <w:tcPr>
            <w:tcW w:w="1843" w:type="dxa"/>
          </w:tcPr>
          <w:p w14:paraId="552A0789" w14:textId="77777777" w:rsidR="002278D9" w:rsidRPr="006A6CE1" w:rsidRDefault="002278D9" w:rsidP="00F61D46">
            <w:pPr>
              <w:pStyle w:val="ECCTabletext"/>
              <w:jc w:val="left"/>
            </w:pPr>
            <w:r w:rsidRPr="006A6CE1">
              <w:t>-20 dBm/MHz</w:t>
            </w:r>
          </w:p>
        </w:tc>
        <w:tc>
          <w:tcPr>
            <w:tcW w:w="1418" w:type="dxa"/>
          </w:tcPr>
          <w:p w14:paraId="486FE484" w14:textId="77777777" w:rsidR="002278D9" w:rsidRPr="006A6CE1" w:rsidRDefault="002278D9" w:rsidP="00F61D46">
            <w:pPr>
              <w:pStyle w:val="ECCTabletext"/>
              <w:jc w:val="left"/>
            </w:pPr>
            <w:r w:rsidRPr="006A6CE1">
              <w:t>20 dBm</w:t>
            </w:r>
          </w:p>
        </w:tc>
        <w:tc>
          <w:tcPr>
            <w:tcW w:w="2391" w:type="dxa"/>
          </w:tcPr>
          <w:p w14:paraId="079E7C51" w14:textId="77777777" w:rsidR="002278D9" w:rsidRPr="006A6CE1" w:rsidRDefault="002278D9" w:rsidP="00F61D46">
            <w:pPr>
              <w:pStyle w:val="ECCTabletext"/>
              <w:jc w:val="left"/>
            </w:pPr>
            <w:r w:rsidRPr="006A6CE1">
              <w:t>∑T</w:t>
            </w:r>
            <w:r w:rsidRPr="00802A5C">
              <w:rPr>
                <w:vertAlign w:val="subscript"/>
              </w:rPr>
              <w:t>meas</w:t>
            </w:r>
            <w:r w:rsidRPr="006A6CE1">
              <w:t xml:space="preserve"> ≤ 400 ms within Tobs = 1 s is equivalent to a maximum duty cycle of 40%</w:t>
            </w:r>
          </w:p>
        </w:tc>
        <w:tc>
          <w:tcPr>
            <w:tcW w:w="1294" w:type="dxa"/>
          </w:tcPr>
          <w:p w14:paraId="6613D32A" w14:textId="77777777" w:rsidR="002278D9" w:rsidRPr="006A6CE1" w:rsidRDefault="002278D9" w:rsidP="00F61D46">
            <w:pPr>
              <w:pStyle w:val="ECCTabletext"/>
              <w:jc w:val="left"/>
            </w:pPr>
            <w:r w:rsidRPr="006A6CE1">
              <w:t>20 dB</w:t>
            </w:r>
          </w:p>
        </w:tc>
      </w:tr>
      <w:tr w:rsidR="002278D9" w:rsidRPr="006A6CE1" w14:paraId="58058F4E" w14:textId="77777777" w:rsidTr="00F61D46">
        <w:tc>
          <w:tcPr>
            <w:tcW w:w="9776" w:type="dxa"/>
            <w:gridSpan w:val="6"/>
          </w:tcPr>
          <w:p w14:paraId="018C6236" w14:textId="76F78F16" w:rsidR="002278D9" w:rsidRPr="006A6CE1" w:rsidRDefault="002278D9" w:rsidP="00FB1932">
            <w:pPr>
              <w:pStyle w:val="ECCTablenote"/>
            </w:pPr>
            <w:r w:rsidRPr="006A6CE1">
              <w:t>Note 1: Maximum mean e.i.r.p</w:t>
            </w:r>
            <w:r w:rsidR="00132413">
              <w:t>.</w:t>
            </w:r>
            <w:r w:rsidRPr="006A6CE1">
              <w:t xml:space="preserve"> within the OFR (see Note 4) and during T</w:t>
            </w:r>
            <w:r w:rsidRPr="006A6CE1">
              <w:rPr>
                <w:vertAlign w:val="subscript"/>
              </w:rPr>
              <w:t>meas</w:t>
            </w:r>
            <w:r w:rsidRPr="006A6CE1">
              <w:t xml:space="preserve"> (time when transmission is on).</w:t>
            </w:r>
          </w:p>
          <w:p w14:paraId="01A05789" w14:textId="77777777" w:rsidR="002278D9" w:rsidRPr="006A6CE1" w:rsidRDefault="002278D9" w:rsidP="00FB1932">
            <w:pPr>
              <w:pStyle w:val="ECCTablenote"/>
            </w:pPr>
            <w:r w:rsidRPr="006A6CE1">
              <w:t>Note 2: These limits should be measured with an RMS detector and averaging time of 1 ms.</w:t>
            </w:r>
          </w:p>
          <w:p w14:paraId="7F4AD2CC" w14:textId="442FFC3D" w:rsidR="002278D9" w:rsidRPr="006A6CE1" w:rsidRDefault="002278D9" w:rsidP="00FB1932">
            <w:pPr>
              <w:pStyle w:val="ECCTablenote"/>
            </w:pPr>
            <w:r w:rsidRPr="006A6CE1">
              <w:t>Note 3: The maximum duty cycle is not included in the maximum mean e.i.r.p</w:t>
            </w:r>
            <w:r w:rsidR="00661257">
              <w:t>.</w:t>
            </w:r>
            <w:r w:rsidRPr="006A6CE1">
              <w:t xml:space="preserve"> and maximum mean e.i.r.p. spectral density values. Consequently, these values must be reduced by 4 dB when averaging over the observation time T</w:t>
            </w:r>
            <w:r w:rsidRPr="006A6CE1">
              <w:rPr>
                <w:vertAlign w:val="subscript"/>
              </w:rPr>
              <w:t>obs</w:t>
            </w:r>
            <w:r w:rsidRPr="006A6CE1">
              <w:t xml:space="preserve"> = 1 s because of the inclusion of the maximum duty cycle of 40%.</w:t>
            </w:r>
          </w:p>
          <w:p w14:paraId="7485D201" w14:textId="72D6826E" w:rsidR="002278D9" w:rsidRPr="006A6CE1" w:rsidRDefault="002278D9" w:rsidP="00FB1932">
            <w:pPr>
              <w:pStyle w:val="ECCTablenote"/>
            </w:pPr>
            <w:r w:rsidRPr="006A6CE1">
              <w:t xml:space="preserve">Note 4: The operating frequency range (OFR) is defined over the 20 dB reduction of the </w:t>
            </w:r>
            <w:r w:rsidR="00683516"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4CD665A0" w14:textId="1E8F4A0A" w:rsidR="002278D9" w:rsidRPr="006A6CE1" w:rsidRDefault="002278D9" w:rsidP="00FB1932">
            <w:pPr>
              <w:pStyle w:val="ECCTablenote"/>
            </w:pPr>
            <w:r w:rsidRPr="006A6CE1">
              <w:t>Note 5: The max</w:t>
            </w:r>
            <w:r w:rsidR="00683516">
              <w:t>imum</w:t>
            </w:r>
            <w:r w:rsidRPr="006A6CE1">
              <w:t xml:space="preserve"> peak e.i.r.p. shall be measured/evaluated in 1 GHz bandwidth.</w:t>
            </w:r>
          </w:p>
        </w:tc>
      </w:tr>
    </w:tbl>
    <w:p w14:paraId="483EB951" w14:textId="77777777" w:rsidR="00DA173A" w:rsidRPr="006A6CE1" w:rsidRDefault="00DA173A">
      <w:pPr>
        <w:rPr>
          <w:b/>
          <w:bCs/>
          <w:color w:val="D2232A"/>
          <w:szCs w:val="20"/>
          <w:lang w:val="en-GB"/>
        </w:rPr>
      </w:pPr>
      <w:bookmarkStart w:id="27" w:name="_Ref82074015"/>
      <w:r w:rsidRPr="006A6CE1">
        <w:rPr>
          <w:lang w:val="en-GB"/>
        </w:rPr>
        <w:br w:type="page"/>
      </w:r>
    </w:p>
    <w:p w14:paraId="6857778E" w14:textId="58737612" w:rsidR="002278D9" w:rsidRPr="006A6CE1" w:rsidRDefault="002278D9" w:rsidP="002278D9">
      <w:pPr>
        <w:pStyle w:val="Caption"/>
        <w:rPr>
          <w:lang w:val="en-GB"/>
        </w:rPr>
      </w:pPr>
      <w:bookmarkStart w:id="28" w:name="_Ref106107080"/>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4</w:t>
      </w:r>
      <w:r w:rsidRPr="006A6CE1">
        <w:rPr>
          <w:lang w:val="en-GB"/>
        </w:rPr>
        <w:fldChar w:fldCharType="end"/>
      </w:r>
      <w:bookmarkEnd w:id="27"/>
      <w:bookmarkEnd w:id="28"/>
      <w:r w:rsidRPr="006A6CE1">
        <w:rPr>
          <w:lang w:val="en-GB"/>
        </w:rPr>
        <w:t>: Technical requirements for fixed generic indoor surveillance radar in the designated bands</w:t>
      </w:r>
    </w:p>
    <w:tbl>
      <w:tblPr>
        <w:tblStyle w:val="ECCTable-redheader"/>
        <w:tblW w:w="9776" w:type="dxa"/>
        <w:tblInd w:w="0" w:type="dxa"/>
        <w:tblLook w:val="04A0" w:firstRow="1" w:lastRow="0" w:firstColumn="1" w:lastColumn="0" w:noHBand="0" w:noVBand="1"/>
      </w:tblPr>
      <w:tblGrid>
        <w:gridCol w:w="1413"/>
        <w:gridCol w:w="1417"/>
        <w:gridCol w:w="1843"/>
        <w:gridCol w:w="1701"/>
        <w:gridCol w:w="2108"/>
        <w:gridCol w:w="1294"/>
      </w:tblGrid>
      <w:tr w:rsidR="002278D9" w:rsidRPr="006A6CE1" w14:paraId="43E85A9A" w14:textId="77777777" w:rsidTr="00802A5C">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FFFFFF" w:themeColor="background1"/>
              <w:left w:val="single" w:sz="4" w:space="0" w:color="FFFFFF" w:themeColor="background1"/>
              <w:bottom w:val="nil"/>
            </w:tcBorders>
          </w:tcPr>
          <w:p w14:paraId="7E9262B7" w14:textId="77777777" w:rsidR="002278D9" w:rsidRPr="006A6CE1" w:rsidRDefault="002278D9" w:rsidP="00F61D46">
            <w:pPr>
              <w:rPr>
                <w:lang w:val="en-GB"/>
              </w:rPr>
            </w:pPr>
            <w:r w:rsidRPr="006A6CE1">
              <w:rPr>
                <w:lang w:val="en-GB"/>
              </w:rPr>
              <w:t>Designated frequency band</w:t>
            </w:r>
          </w:p>
        </w:tc>
        <w:tc>
          <w:tcPr>
            <w:tcW w:w="0" w:type="dxa"/>
            <w:tcBorders>
              <w:bottom w:val="single" w:sz="4" w:space="0" w:color="FFFFFF" w:themeColor="background1"/>
            </w:tcBorders>
          </w:tcPr>
          <w:p w14:paraId="50E20868" w14:textId="53612F32" w:rsidR="002278D9" w:rsidRPr="006A6CE1" w:rsidRDefault="002278D9" w:rsidP="00F61D46">
            <w:pPr>
              <w:rPr>
                <w:lang w:val="en-GB"/>
              </w:rPr>
            </w:pPr>
            <w:r w:rsidRPr="006A6CE1">
              <w:rPr>
                <w:lang w:val="en-GB"/>
              </w:rPr>
              <w:t>Maximum mean e.i.r.p</w:t>
            </w:r>
            <w:r w:rsidR="00E40CAD">
              <w:rPr>
                <w:lang w:val="en-GB"/>
              </w:rPr>
              <w:t>.</w:t>
            </w:r>
            <w:r w:rsidRPr="006A6CE1">
              <w:rPr>
                <w:lang w:val="en-GB"/>
              </w:rPr>
              <w:t xml:space="preserve"> (Note 1)</w:t>
            </w:r>
          </w:p>
        </w:tc>
        <w:tc>
          <w:tcPr>
            <w:tcW w:w="0" w:type="dxa"/>
            <w:tcBorders>
              <w:bottom w:val="single" w:sz="4" w:space="0" w:color="FFFFFF" w:themeColor="background1"/>
            </w:tcBorders>
          </w:tcPr>
          <w:p w14:paraId="0A69566D" w14:textId="77777777" w:rsidR="002278D9" w:rsidRPr="006A6CE1" w:rsidRDefault="002278D9" w:rsidP="00F61D46">
            <w:pPr>
              <w:rPr>
                <w:lang w:val="en-GB"/>
              </w:rPr>
            </w:pPr>
            <w:r w:rsidRPr="006A6CE1">
              <w:rPr>
                <w:lang w:val="en-GB"/>
              </w:rPr>
              <w:t>Maximum mean e.i.r.p. spectral density (Note 2)</w:t>
            </w:r>
          </w:p>
        </w:tc>
        <w:tc>
          <w:tcPr>
            <w:tcW w:w="0" w:type="dxa"/>
            <w:tcBorders>
              <w:bottom w:val="single" w:sz="4" w:space="0" w:color="FFFFFF" w:themeColor="background1"/>
            </w:tcBorders>
          </w:tcPr>
          <w:p w14:paraId="06254282" w14:textId="03F46F5F" w:rsidR="002278D9" w:rsidRPr="006A6CE1" w:rsidRDefault="002278D9" w:rsidP="00F61D46">
            <w:pPr>
              <w:rPr>
                <w:lang w:val="en-GB"/>
              </w:rPr>
            </w:pPr>
            <w:r w:rsidRPr="006A6CE1">
              <w:rPr>
                <w:lang w:val="en-GB"/>
              </w:rPr>
              <w:t>Maximum peak e.i.r.p</w:t>
            </w:r>
            <w:r w:rsidR="00E40CAD">
              <w:rPr>
                <w:lang w:val="en-GB"/>
              </w:rPr>
              <w:t>.</w:t>
            </w:r>
            <w:r w:rsidRPr="006A6CE1">
              <w:rPr>
                <w:lang w:val="en-GB"/>
              </w:rPr>
              <w:t xml:space="preserve"> (Note 5)</w:t>
            </w:r>
          </w:p>
        </w:tc>
        <w:tc>
          <w:tcPr>
            <w:tcW w:w="0" w:type="dxa"/>
            <w:tcBorders>
              <w:bottom w:val="single" w:sz="4" w:space="0" w:color="FFFFFF" w:themeColor="background1"/>
            </w:tcBorders>
          </w:tcPr>
          <w:p w14:paraId="5E751D76" w14:textId="77777777" w:rsidR="002278D9" w:rsidRPr="006A6CE1" w:rsidRDefault="002278D9" w:rsidP="00F61D46">
            <w:pPr>
              <w:rPr>
                <w:lang w:val="en-GB"/>
              </w:rPr>
            </w:pPr>
            <w:r w:rsidRPr="006A6CE1">
              <w:rPr>
                <w:lang w:val="en-GB"/>
              </w:rPr>
              <w:t>Spectrum access and mitigation requirements (Note 3)</w:t>
            </w:r>
          </w:p>
        </w:tc>
        <w:tc>
          <w:tcPr>
            <w:tcW w:w="0" w:type="dxa"/>
            <w:tcBorders>
              <w:bottom w:val="single" w:sz="4" w:space="0" w:color="FFFFFF" w:themeColor="background1"/>
            </w:tcBorders>
          </w:tcPr>
          <w:p w14:paraId="4DF82676" w14:textId="77777777" w:rsidR="002278D9" w:rsidRPr="006A6CE1" w:rsidRDefault="002278D9" w:rsidP="00F61D46">
            <w:pPr>
              <w:rPr>
                <w:lang w:val="en-GB"/>
              </w:rPr>
            </w:pPr>
            <w:r w:rsidRPr="006A6CE1">
              <w:rPr>
                <w:lang w:val="en-GB"/>
              </w:rPr>
              <w:t>Minimum unwanted emissions attenuation (Note 4)</w:t>
            </w:r>
          </w:p>
        </w:tc>
      </w:tr>
      <w:tr w:rsidR="002278D9" w:rsidRPr="006A6CE1" w14:paraId="35704555" w14:textId="77777777" w:rsidTr="00802A5C">
        <w:tc>
          <w:tcPr>
            <w:tcW w:w="0" w:type="dxa"/>
            <w:tcBorders>
              <w:top w:val="nil"/>
              <w:left w:val="single" w:sz="4" w:space="0" w:color="FFFFFF" w:themeColor="background1"/>
              <w:bottom w:val="single" w:sz="4" w:space="0" w:color="FFFFFF" w:themeColor="background1"/>
              <w:right w:val="single" w:sz="4" w:space="0" w:color="FFFFFF" w:themeColor="background1"/>
            </w:tcBorders>
            <w:shd w:val="clear" w:color="auto" w:fill="D2232A"/>
          </w:tcPr>
          <w:p w14:paraId="43E8A8B3" w14:textId="77777777" w:rsidR="002278D9" w:rsidRPr="00802A5C" w:rsidRDefault="002278D9" w:rsidP="00802A5C">
            <w:pPr>
              <w:jc w:val="center"/>
              <w:rPr>
                <w:color w:val="FFFFFF" w:themeColor="background1"/>
                <w:lang w:val="en-GB"/>
              </w:rPr>
            </w:pP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9CC44D" w14:textId="77777777" w:rsidR="002278D9" w:rsidRPr="00802A5C" w:rsidRDefault="002278D9" w:rsidP="00802A5C">
            <w:pPr>
              <w:jc w:val="center"/>
              <w:rPr>
                <w:color w:val="FFFFFF" w:themeColor="background1"/>
                <w:lang w:val="en-GB"/>
              </w:rPr>
            </w:pPr>
            <w:r w:rsidRPr="00802A5C">
              <w:rPr>
                <w:b/>
                <w:bCs/>
                <w:color w:val="FFFFFF" w:themeColor="background1"/>
                <w:lang w:val="en-GB"/>
              </w:rPr>
              <w:t>A</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C239FAE" w14:textId="77777777" w:rsidR="002278D9" w:rsidRPr="00802A5C" w:rsidRDefault="002278D9" w:rsidP="00802A5C">
            <w:pPr>
              <w:jc w:val="center"/>
              <w:rPr>
                <w:color w:val="FFFFFF" w:themeColor="background1"/>
                <w:lang w:val="en-GB"/>
              </w:rPr>
            </w:pPr>
            <w:r w:rsidRPr="00802A5C">
              <w:rPr>
                <w:b/>
                <w:bCs/>
                <w:color w:val="FFFFFF" w:themeColor="background1"/>
                <w:lang w:val="en-GB"/>
              </w:rPr>
              <w:t>B</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DB1AAA9" w14:textId="77777777" w:rsidR="002278D9" w:rsidRPr="00802A5C" w:rsidRDefault="002278D9" w:rsidP="00802A5C">
            <w:pPr>
              <w:jc w:val="center"/>
              <w:rPr>
                <w:color w:val="FFFFFF" w:themeColor="background1"/>
                <w:lang w:val="en-GB"/>
              </w:rPr>
            </w:pPr>
            <w:r w:rsidRPr="00802A5C">
              <w:rPr>
                <w:b/>
                <w:bCs/>
                <w:color w:val="FFFFFF" w:themeColor="background1"/>
                <w:lang w:val="en-GB"/>
              </w:rPr>
              <w:t>C</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3ECBDB4" w14:textId="77777777" w:rsidR="002278D9" w:rsidRPr="00802A5C" w:rsidRDefault="002278D9" w:rsidP="00802A5C">
            <w:pPr>
              <w:jc w:val="center"/>
              <w:rPr>
                <w:color w:val="FFFFFF" w:themeColor="background1"/>
                <w:lang w:val="en-GB"/>
              </w:rPr>
            </w:pPr>
            <w:r w:rsidRPr="00802A5C">
              <w:rPr>
                <w:b/>
                <w:bCs/>
                <w:color w:val="FFFFFF" w:themeColor="background1"/>
                <w:lang w:val="en-GB"/>
              </w:rPr>
              <w:t>D</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3697F4" w14:textId="77777777" w:rsidR="002278D9" w:rsidRPr="00802A5C" w:rsidRDefault="002278D9" w:rsidP="00802A5C">
            <w:pPr>
              <w:jc w:val="center"/>
              <w:rPr>
                <w:color w:val="FFFFFF" w:themeColor="background1"/>
                <w:lang w:val="en-GB"/>
              </w:rPr>
            </w:pPr>
            <w:r w:rsidRPr="00802A5C">
              <w:rPr>
                <w:b/>
                <w:bCs/>
                <w:color w:val="FFFFFF" w:themeColor="background1"/>
                <w:lang w:val="en-GB"/>
              </w:rPr>
              <w:t>E</w:t>
            </w:r>
          </w:p>
        </w:tc>
      </w:tr>
      <w:tr w:rsidR="002278D9" w:rsidRPr="006A6CE1" w14:paraId="3BF77BA6" w14:textId="77777777" w:rsidTr="00802A5C">
        <w:tc>
          <w:tcPr>
            <w:tcW w:w="0" w:type="dxa"/>
            <w:tcBorders>
              <w:top w:val="single" w:sz="4" w:space="0" w:color="FFFFFF" w:themeColor="background1"/>
            </w:tcBorders>
          </w:tcPr>
          <w:p w14:paraId="2F20919E" w14:textId="13D876FB" w:rsidR="002278D9" w:rsidRPr="006A6CE1" w:rsidRDefault="002278D9" w:rsidP="00A866E9">
            <w:pPr>
              <w:jc w:val="left"/>
              <w:rPr>
                <w:lang w:val="en-GB"/>
              </w:rPr>
            </w:pPr>
            <w:r w:rsidRPr="006A6CE1">
              <w:rPr>
                <w:lang w:val="en-GB"/>
              </w:rPr>
              <w:t>122.25</w:t>
            </w:r>
            <w:r w:rsidR="00C03F8C">
              <w:rPr>
                <w:lang w:val="en-GB"/>
              </w:rPr>
              <w:t>-</w:t>
            </w:r>
            <w:r w:rsidRPr="006A6CE1">
              <w:rPr>
                <w:lang w:val="en-GB"/>
              </w:rPr>
              <w:t>130 GHz</w:t>
            </w:r>
          </w:p>
        </w:tc>
        <w:tc>
          <w:tcPr>
            <w:tcW w:w="0" w:type="dxa"/>
            <w:tcBorders>
              <w:top w:val="single" w:sz="4" w:space="0" w:color="FFFFFF" w:themeColor="background1"/>
            </w:tcBorders>
          </w:tcPr>
          <w:p w14:paraId="0F7F15AC" w14:textId="77777777" w:rsidR="002278D9" w:rsidRPr="006A6CE1" w:rsidRDefault="002278D9" w:rsidP="00A866E9">
            <w:pPr>
              <w:jc w:val="left"/>
              <w:rPr>
                <w:lang w:val="en-GB"/>
              </w:rPr>
            </w:pPr>
            <w:r w:rsidRPr="006A6CE1">
              <w:rPr>
                <w:lang w:val="en-GB"/>
              </w:rPr>
              <w:t xml:space="preserve">20 dBm and 12 dBm &gt; 0° </w:t>
            </w:r>
            <w:proofErr w:type="gramStart"/>
            <w:r w:rsidRPr="006A6CE1">
              <w:rPr>
                <w:lang w:val="en-GB"/>
              </w:rPr>
              <w:t>elevation</w:t>
            </w:r>
            <w:proofErr w:type="gramEnd"/>
          </w:p>
        </w:tc>
        <w:tc>
          <w:tcPr>
            <w:tcW w:w="0" w:type="dxa"/>
            <w:tcBorders>
              <w:top w:val="single" w:sz="4" w:space="0" w:color="FFFFFF" w:themeColor="background1"/>
            </w:tcBorders>
          </w:tcPr>
          <w:p w14:paraId="196F0E9A" w14:textId="77777777" w:rsidR="002278D9" w:rsidRPr="006A6CE1" w:rsidRDefault="002278D9" w:rsidP="00A866E9">
            <w:pPr>
              <w:jc w:val="left"/>
              <w:rPr>
                <w:lang w:val="en-GB"/>
              </w:rPr>
            </w:pPr>
            <w:r w:rsidRPr="006A6CE1">
              <w:rPr>
                <w:lang w:val="en-GB"/>
              </w:rPr>
              <w:t>-10 dBm/MHz and -18 dBm/MHz &gt; 0° elevation</w:t>
            </w:r>
          </w:p>
        </w:tc>
        <w:tc>
          <w:tcPr>
            <w:tcW w:w="0" w:type="dxa"/>
            <w:tcBorders>
              <w:top w:val="single" w:sz="4" w:space="0" w:color="FFFFFF" w:themeColor="background1"/>
            </w:tcBorders>
          </w:tcPr>
          <w:p w14:paraId="548FD660" w14:textId="77777777" w:rsidR="002278D9" w:rsidRPr="006A6CE1" w:rsidRDefault="002278D9" w:rsidP="00A866E9">
            <w:pPr>
              <w:jc w:val="left"/>
              <w:rPr>
                <w:lang w:val="en-GB"/>
              </w:rPr>
            </w:pPr>
            <w:r w:rsidRPr="006A6CE1">
              <w:rPr>
                <w:lang w:val="en-GB"/>
              </w:rPr>
              <w:t xml:space="preserve">30 dBm and 22 dBm &gt; 0° </w:t>
            </w:r>
            <w:proofErr w:type="gramStart"/>
            <w:r w:rsidRPr="006A6CE1">
              <w:rPr>
                <w:lang w:val="en-GB"/>
              </w:rPr>
              <w:t>elevation</w:t>
            </w:r>
            <w:proofErr w:type="gramEnd"/>
          </w:p>
        </w:tc>
        <w:tc>
          <w:tcPr>
            <w:tcW w:w="0" w:type="dxa"/>
            <w:tcBorders>
              <w:top w:val="single" w:sz="4" w:space="0" w:color="FFFFFF" w:themeColor="background1"/>
            </w:tcBorders>
          </w:tcPr>
          <w:p w14:paraId="2D201610" w14:textId="77777777" w:rsidR="002278D9" w:rsidRPr="006A6CE1" w:rsidRDefault="002278D9" w:rsidP="00A866E9">
            <w:pPr>
              <w:jc w:val="left"/>
              <w:rPr>
                <w:lang w:val="en-GB"/>
              </w:rPr>
            </w:pPr>
            <w:r w:rsidRPr="006A6CE1">
              <w:rPr>
                <w:lang w:val="en-GB"/>
              </w:rPr>
              <w:t>∑T</w:t>
            </w:r>
            <w:r w:rsidRPr="00802A5C">
              <w:rPr>
                <w:vertAlign w:val="subscript"/>
                <w:lang w:val="en-GB"/>
              </w:rPr>
              <w:t>meas</w:t>
            </w:r>
            <w:r w:rsidRPr="006A6CE1">
              <w:rPr>
                <w:lang w:val="en-GB"/>
              </w:rPr>
              <w:t xml:space="preserve"> ≤ 100 ms within Tobs = 1 s is equivalent to a maximum duty cycle of 10%</w:t>
            </w:r>
          </w:p>
        </w:tc>
        <w:tc>
          <w:tcPr>
            <w:tcW w:w="0" w:type="dxa"/>
            <w:tcBorders>
              <w:top w:val="single" w:sz="4" w:space="0" w:color="FFFFFF" w:themeColor="background1"/>
            </w:tcBorders>
          </w:tcPr>
          <w:p w14:paraId="42FB40F3" w14:textId="77777777" w:rsidR="002278D9" w:rsidRPr="006A6CE1" w:rsidRDefault="002278D9" w:rsidP="00A866E9">
            <w:pPr>
              <w:jc w:val="left"/>
              <w:rPr>
                <w:lang w:val="en-GB"/>
              </w:rPr>
            </w:pPr>
            <w:r w:rsidRPr="006A6CE1">
              <w:rPr>
                <w:lang w:val="en-GB"/>
              </w:rPr>
              <w:t>20 dB</w:t>
            </w:r>
          </w:p>
        </w:tc>
      </w:tr>
      <w:tr w:rsidR="002278D9" w:rsidRPr="006A6CE1" w14:paraId="6217F18E" w14:textId="77777777" w:rsidTr="00F61D46">
        <w:tc>
          <w:tcPr>
            <w:tcW w:w="1413" w:type="dxa"/>
          </w:tcPr>
          <w:p w14:paraId="204F7330" w14:textId="725924D7" w:rsidR="002278D9" w:rsidRPr="006A6CE1" w:rsidRDefault="002278D9" w:rsidP="00A866E9">
            <w:pPr>
              <w:jc w:val="left"/>
              <w:rPr>
                <w:lang w:val="en-GB"/>
              </w:rPr>
            </w:pPr>
            <w:r w:rsidRPr="006A6CE1">
              <w:rPr>
                <w:lang w:val="en-GB"/>
              </w:rPr>
              <w:t>134</w:t>
            </w:r>
            <w:r w:rsidR="00C03F8C">
              <w:rPr>
                <w:lang w:val="en-GB"/>
              </w:rPr>
              <w:t>-</w:t>
            </w:r>
            <w:r w:rsidRPr="006A6CE1">
              <w:rPr>
                <w:lang w:val="en-GB"/>
              </w:rPr>
              <w:t>148.5 GHz</w:t>
            </w:r>
          </w:p>
        </w:tc>
        <w:tc>
          <w:tcPr>
            <w:tcW w:w="1417" w:type="dxa"/>
          </w:tcPr>
          <w:p w14:paraId="2302B0C9" w14:textId="77777777" w:rsidR="002278D9" w:rsidRPr="006A6CE1" w:rsidRDefault="002278D9" w:rsidP="00A866E9">
            <w:pPr>
              <w:jc w:val="left"/>
              <w:rPr>
                <w:lang w:val="en-GB"/>
              </w:rPr>
            </w:pPr>
            <w:r w:rsidRPr="006A6CE1">
              <w:rPr>
                <w:lang w:val="en-GB"/>
              </w:rPr>
              <w:t xml:space="preserve">20 dBm and 12 dBm &gt; 0° </w:t>
            </w:r>
            <w:proofErr w:type="gramStart"/>
            <w:r w:rsidRPr="006A6CE1">
              <w:rPr>
                <w:lang w:val="en-GB"/>
              </w:rPr>
              <w:t>elevation</w:t>
            </w:r>
            <w:proofErr w:type="gramEnd"/>
          </w:p>
        </w:tc>
        <w:tc>
          <w:tcPr>
            <w:tcW w:w="1843" w:type="dxa"/>
          </w:tcPr>
          <w:p w14:paraId="3944D946" w14:textId="77777777" w:rsidR="002278D9" w:rsidRPr="006A6CE1" w:rsidRDefault="002278D9" w:rsidP="00A866E9">
            <w:pPr>
              <w:jc w:val="left"/>
              <w:rPr>
                <w:lang w:val="en-GB"/>
              </w:rPr>
            </w:pPr>
            <w:r w:rsidRPr="006A6CE1">
              <w:rPr>
                <w:lang w:val="en-GB"/>
              </w:rPr>
              <w:t>-10 dBm/MHz and -18 dBm/MHz &gt; 0° elevation</w:t>
            </w:r>
          </w:p>
        </w:tc>
        <w:tc>
          <w:tcPr>
            <w:tcW w:w="1701" w:type="dxa"/>
          </w:tcPr>
          <w:p w14:paraId="21502C7F" w14:textId="77777777" w:rsidR="002278D9" w:rsidRPr="006A6CE1" w:rsidRDefault="002278D9" w:rsidP="00A866E9">
            <w:pPr>
              <w:jc w:val="left"/>
              <w:rPr>
                <w:lang w:val="en-GB"/>
              </w:rPr>
            </w:pPr>
            <w:r w:rsidRPr="006A6CE1">
              <w:rPr>
                <w:lang w:val="en-GB"/>
              </w:rPr>
              <w:t xml:space="preserve">30 dBm and 22 dBm &gt; 0° </w:t>
            </w:r>
            <w:proofErr w:type="gramStart"/>
            <w:r w:rsidRPr="006A6CE1">
              <w:rPr>
                <w:lang w:val="en-GB"/>
              </w:rPr>
              <w:t>elevation</w:t>
            </w:r>
            <w:proofErr w:type="gramEnd"/>
          </w:p>
        </w:tc>
        <w:tc>
          <w:tcPr>
            <w:tcW w:w="2108" w:type="dxa"/>
          </w:tcPr>
          <w:p w14:paraId="1BC7C45A" w14:textId="77777777" w:rsidR="002278D9" w:rsidRPr="006A6CE1" w:rsidRDefault="002278D9" w:rsidP="00A866E9">
            <w:pPr>
              <w:jc w:val="left"/>
              <w:rPr>
                <w:lang w:val="en-GB"/>
              </w:rPr>
            </w:pPr>
            <w:r w:rsidRPr="006A6CE1">
              <w:rPr>
                <w:lang w:val="en-GB"/>
              </w:rPr>
              <w:t>∑T</w:t>
            </w:r>
            <w:r w:rsidRPr="00802A5C">
              <w:rPr>
                <w:vertAlign w:val="subscript"/>
                <w:lang w:val="en-GB"/>
              </w:rPr>
              <w:t>meas</w:t>
            </w:r>
            <w:r w:rsidRPr="006A6CE1">
              <w:rPr>
                <w:lang w:val="en-GB"/>
              </w:rPr>
              <w:t xml:space="preserve"> ≤ 100 ms within Tobs = 1 s is equivalent to a maximum duty cycle of 10%</w:t>
            </w:r>
          </w:p>
        </w:tc>
        <w:tc>
          <w:tcPr>
            <w:tcW w:w="1294" w:type="dxa"/>
          </w:tcPr>
          <w:p w14:paraId="59C47DB8" w14:textId="77777777" w:rsidR="002278D9" w:rsidRPr="006A6CE1" w:rsidRDefault="002278D9" w:rsidP="00A866E9">
            <w:pPr>
              <w:jc w:val="left"/>
              <w:rPr>
                <w:lang w:val="en-GB"/>
              </w:rPr>
            </w:pPr>
            <w:r w:rsidRPr="006A6CE1">
              <w:rPr>
                <w:lang w:val="en-GB"/>
              </w:rPr>
              <w:t>20 dB</w:t>
            </w:r>
          </w:p>
        </w:tc>
      </w:tr>
      <w:tr w:rsidR="002278D9" w:rsidRPr="006A6CE1" w14:paraId="6FDA2FA9" w14:textId="77777777" w:rsidTr="00F61D46">
        <w:tc>
          <w:tcPr>
            <w:tcW w:w="9776" w:type="dxa"/>
            <w:gridSpan w:val="6"/>
          </w:tcPr>
          <w:p w14:paraId="4B9ABC23" w14:textId="3179FB89" w:rsidR="002278D9" w:rsidRPr="006A6CE1" w:rsidRDefault="002278D9" w:rsidP="00FB1932">
            <w:pPr>
              <w:pStyle w:val="ECCTablenote"/>
            </w:pPr>
            <w:r w:rsidRPr="006A6CE1">
              <w:t>Note 1: Maximum mean e.i.r.p</w:t>
            </w:r>
            <w:r w:rsidR="00661257">
              <w:t>.</w:t>
            </w:r>
            <w:r w:rsidRPr="006A6CE1">
              <w:t xml:space="preserve"> within the OFR (see Note 4) and during T</w:t>
            </w:r>
            <w:r w:rsidRPr="006A6CE1">
              <w:rPr>
                <w:vertAlign w:val="subscript"/>
              </w:rPr>
              <w:t>meas</w:t>
            </w:r>
            <w:r w:rsidRPr="006A6CE1">
              <w:t xml:space="preserve"> (time when transmission is on).</w:t>
            </w:r>
          </w:p>
          <w:p w14:paraId="0A30659B" w14:textId="77777777" w:rsidR="002278D9" w:rsidRPr="006A6CE1" w:rsidRDefault="002278D9" w:rsidP="00FB1932">
            <w:pPr>
              <w:pStyle w:val="ECCTablenote"/>
            </w:pPr>
            <w:r w:rsidRPr="006A6CE1">
              <w:t>Note 2: These limits should be measured with an RMS detector and averaging time of 1 ms.</w:t>
            </w:r>
          </w:p>
          <w:p w14:paraId="7DB6AB72" w14:textId="7FEC9B9B" w:rsidR="002278D9" w:rsidRPr="006A6CE1" w:rsidRDefault="002278D9" w:rsidP="00FB1932">
            <w:pPr>
              <w:pStyle w:val="ECCTablenote"/>
            </w:pPr>
            <w:r w:rsidRPr="006A6CE1">
              <w:t>Note 3: The maximum duty cycle is not included in the maximum mean e.i.r.p</w:t>
            </w:r>
            <w:r w:rsidR="00661257">
              <w:t>.</w:t>
            </w:r>
            <w:r w:rsidRPr="006A6CE1">
              <w:t xml:space="preserve"> and maximum mean e.i.r.p. spectral density values. Consequently, these values must be reduced by </w:t>
            </w:r>
            <w:r w:rsidR="00683516">
              <w:t>10</w:t>
            </w:r>
            <w:r w:rsidRPr="006A6CE1">
              <w:t> dB when averaging over the observation time T</w:t>
            </w:r>
            <w:r w:rsidRPr="006A6CE1">
              <w:rPr>
                <w:vertAlign w:val="subscript"/>
              </w:rPr>
              <w:t>obs</w:t>
            </w:r>
            <w:r w:rsidRPr="006A6CE1">
              <w:t xml:space="preserve"> = 1 s because of the inclusion of the maximum duty cycle of 10%.</w:t>
            </w:r>
          </w:p>
          <w:p w14:paraId="63DC20D5" w14:textId="71E41B38" w:rsidR="002278D9" w:rsidRPr="006A6CE1" w:rsidRDefault="002278D9" w:rsidP="00FB1932">
            <w:pPr>
              <w:pStyle w:val="ECCTablenote"/>
            </w:pPr>
            <w:r w:rsidRPr="006A6CE1">
              <w:t xml:space="preserve">Note 4: The operating frequency range (OFR) is defined over the 20 dB reduction of the </w:t>
            </w:r>
            <w:r w:rsidR="00683516"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0EE4854A" w14:textId="6D5F23A8" w:rsidR="002278D9" w:rsidRPr="006A6CE1" w:rsidRDefault="002278D9" w:rsidP="00FB1932">
            <w:pPr>
              <w:pStyle w:val="ECCTablenote"/>
            </w:pPr>
            <w:r w:rsidRPr="006A6CE1">
              <w:t>Note 5: The max</w:t>
            </w:r>
            <w:r w:rsidR="00683516">
              <w:t>imum</w:t>
            </w:r>
            <w:r w:rsidRPr="006A6CE1">
              <w:t xml:space="preserve"> peak e.i.r.p. shall be measured/evaluated in 1 GHz bandwidth.</w:t>
            </w:r>
          </w:p>
        </w:tc>
      </w:tr>
    </w:tbl>
    <w:p w14:paraId="2063670C" w14:textId="77777777" w:rsidR="002278D9" w:rsidRPr="006A6CE1" w:rsidRDefault="002278D9" w:rsidP="007D0AB7">
      <w:pPr>
        <w:jc w:val="both"/>
        <w:rPr>
          <w:lang w:val="en-GB"/>
        </w:rPr>
      </w:pPr>
    </w:p>
    <w:p w14:paraId="20750C8E" w14:textId="77777777" w:rsidR="002278D9" w:rsidRPr="006A6CE1" w:rsidRDefault="002278D9" w:rsidP="007D0AB7">
      <w:pPr>
        <w:spacing w:after="120"/>
        <w:jc w:val="both"/>
        <w:rPr>
          <w:lang w:val="en-GB"/>
        </w:rPr>
      </w:pPr>
      <w:r w:rsidRPr="006A6CE1">
        <w:rPr>
          <w:lang w:val="en-GB"/>
        </w:rPr>
        <w:t>Additional requirements for generic indoor surveillance radars to allow licence-exempt use:</w:t>
      </w:r>
    </w:p>
    <w:p w14:paraId="456F6B38" w14:textId="53432B56" w:rsidR="002278D9" w:rsidRPr="006A6CE1" w:rsidRDefault="002278D9" w:rsidP="00C01D98">
      <w:pPr>
        <w:pStyle w:val="NumberedList"/>
        <w:numPr>
          <w:ilvl w:val="0"/>
          <w:numId w:val="18"/>
        </w:numPr>
        <w:spacing w:after="120"/>
      </w:pPr>
      <w:r w:rsidRPr="006A6CE1">
        <w:t>All generic indoor surveillance radars (hand</w:t>
      </w:r>
      <w:r w:rsidR="005849B4">
        <w:t>-</w:t>
      </w:r>
      <w:r w:rsidRPr="006A6CE1">
        <w:t>held/mobile and fixed) shall only be operated indoors (i.e. inside a building) or inside similarly shielded environments;</w:t>
      </w:r>
    </w:p>
    <w:p w14:paraId="5E710FB2" w14:textId="77777777" w:rsidR="002278D9" w:rsidRPr="006A6CE1" w:rsidRDefault="002278D9" w:rsidP="00C01D98">
      <w:pPr>
        <w:pStyle w:val="NumberedList"/>
        <w:numPr>
          <w:ilvl w:val="0"/>
          <w:numId w:val="18"/>
        </w:numPr>
        <w:spacing w:after="120"/>
      </w:pPr>
      <w:r w:rsidRPr="006A6CE1">
        <w:t>Fixed generic indoor surveillance radars shall be installed at a permanent fixed position indoors (i.e. inside a building) or inside similarly shielded environments;</w:t>
      </w:r>
    </w:p>
    <w:p w14:paraId="3273FD07" w14:textId="77777777" w:rsidR="002278D9" w:rsidRPr="006A6CE1" w:rsidRDefault="002278D9" w:rsidP="00C01D98">
      <w:pPr>
        <w:pStyle w:val="NumberedList"/>
        <w:numPr>
          <w:ilvl w:val="0"/>
          <w:numId w:val="18"/>
        </w:numPr>
        <w:spacing w:after="120"/>
      </w:pPr>
      <w:r w:rsidRPr="006A6CE1">
        <w:t>Users and installers have to ensure that fixed generic indoor surveillance radars, although installed inside a building, do not perform a function outside the building structure, such as for example the detection of persons outside the building (e.g. through-wall imaging);</w:t>
      </w:r>
    </w:p>
    <w:p w14:paraId="26BEB575" w14:textId="77777777" w:rsidR="002278D9" w:rsidRPr="006A6CE1" w:rsidRDefault="002278D9" w:rsidP="00C01D98">
      <w:pPr>
        <w:pStyle w:val="NumberedList"/>
        <w:numPr>
          <w:ilvl w:val="0"/>
          <w:numId w:val="18"/>
        </w:numPr>
        <w:spacing w:after="120"/>
      </w:pPr>
      <w:r w:rsidRPr="006A6CE1">
        <w:t>For fixed generic indoor surveillance radars, the mean e.i.r.p. above 0° elevation shall be limited to 12 dBm (8 dB below the maximum mean e.i.r.p. of 20 dBm);</w:t>
      </w:r>
    </w:p>
    <w:p w14:paraId="7D442104" w14:textId="77777777" w:rsidR="002278D9" w:rsidRPr="006A6CE1" w:rsidRDefault="002278D9" w:rsidP="00C01D98">
      <w:pPr>
        <w:pStyle w:val="NumberedList"/>
        <w:numPr>
          <w:ilvl w:val="0"/>
          <w:numId w:val="18"/>
        </w:numPr>
      </w:pPr>
      <w:r w:rsidRPr="006A6CE1">
        <w:t>The provider is required to inform the users and installers of fixed generic indoor surveillance radars about the installation requirements and additional special mounting instructions.</w:t>
      </w:r>
    </w:p>
    <w:p w14:paraId="5D6107AC" w14:textId="66BB99BC" w:rsidR="002278D9" w:rsidRPr="006A6CE1" w:rsidRDefault="00FC4EAD" w:rsidP="00645162">
      <w:pPr>
        <w:pStyle w:val="ECCAnnexheading2"/>
        <w:rPr>
          <w:lang w:val="en-GB"/>
        </w:rPr>
      </w:pPr>
      <w:bookmarkStart w:id="29" w:name="_Ref104294594"/>
      <w:r w:rsidRPr="006A6CE1">
        <w:rPr>
          <w:lang w:val="en-GB"/>
        </w:rPr>
        <w:t>Tech</w:t>
      </w:r>
      <w:r w:rsidR="007D0AB7" w:rsidRPr="006A6CE1">
        <w:rPr>
          <w:lang w:val="en-GB"/>
        </w:rPr>
        <w:t>nical requirements for radiodetermination systems for industry automation (RDI)</w:t>
      </w:r>
      <w:bookmarkEnd w:id="29"/>
    </w:p>
    <w:p w14:paraId="1264F748" w14:textId="77777777" w:rsidR="007D0AB7" w:rsidRPr="006A6CE1" w:rsidRDefault="007D0AB7" w:rsidP="007D0AB7">
      <w:pPr>
        <w:jc w:val="both"/>
        <w:rPr>
          <w:lang w:val="en-GB"/>
        </w:rPr>
      </w:pPr>
      <w:bookmarkStart w:id="30" w:name="_Ref65588156"/>
      <w:r w:rsidRPr="006A6CE1">
        <w:rPr>
          <w:lang w:val="en-GB"/>
        </w:rPr>
        <w:t>Radiodetermination systems for industry automation (RDI) are used for measuring and determining physical characteristics like presence, distance, velocity or material properties of a target object located primarily in open-air areas. The RDI application is intended for industrial automation purposes and professional use only.</w:t>
      </w:r>
    </w:p>
    <w:p w14:paraId="1889068D" w14:textId="77777777" w:rsidR="00BC3170" w:rsidRPr="006A6CE1" w:rsidRDefault="00BC3170">
      <w:pPr>
        <w:rPr>
          <w:b/>
          <w:bCs/>
          <w:color w:val="D2232A"/>
          <w:szCs w:val="20"/>
          <w:lang w:val="en-GB"/>
        </w:rPr>
      </w:pPr>
      <w:bookmarkStart w:id="31" w:name="_Ref97885202"/>
      <w:r w:rsidRPr="006A6CE1">
        <w:rPr>
          <w:lang w:val="en-GB"/>
        </w:rPr>
        <w:br w:type="page"/>
      </w:r>
    </w:p>
    <w:p w14:paraId="466F3509" w14:textId="0B451467" w:rsidR="007D0AB7" w:rsidRPr="006A6CE1" w:rsidRDefault="007D0AB7" w:rsidP="007D0AB7">
      <w:pPr>
        <w:pStyle w:val="Caption"/>
        <w:rPr>
          <w:lang w:val="en-GB"/>
        </w:rPr>
      </w:pPr>
      <w:bookmarkStart w:id="32" w:name="_Ref106107085"/>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5</w:t>
      </w:r>
      <w:r w:rsidRPr="006A6CE1">
        <w:rPr>
          <w:lang w:val="en-GB"/>
        </w:rPr>
        <w:fldChar w:fldCharType="end"/>
      </w:r>
      <w:bookmarkEnd w:id="30"/>
      <w:bookmarkEnd w:id="31"/>
      <w:bookmarkEnd w:id="32"/>
      <w:r w:rsidRPr="006A6CE1">
        <w:rPr>
          <w:lang w:val="en-GB"/>
        </w:rPr>
        <w:t>: Technical requirements for RDI devices in the designated bands</w:t>
      </w:r>
    </w:p>
    <w:tbl>
      <w:tblPr>
        <w:tblStyle w:val="ECCTable-redheader"/>
        <w:tblW w:w="5000" w:type="pct"/>
        <w:tblInd w:w="0" w:type="dxa"/>
        <w:tblLook w:val="04A0" w:firstRow="1" w:lastRow="0" w:firstColumn="1" w:lastColumn="0" w:noHBand="0" w:noVBand="1"/>
      </w:tblPr>
      <w:tblGrid>
        <w:gridCol w:w="1917"/>
        <w:gridCol w:w="1544"/>
        <w:gridCol w:w="2014"/>
        <w:gridCol w:w="1912"/>
        <w:gridCol w:w="2242"/>
      </w:tblGrid>
      <w:tr w:rsidR="007D0AB7" w:rsidRPr="006A6CE1" w14:paraId="5AF928A7" w14:textId="77777777" w:rsidTr="00802A5C">
        <w:trPr>
          <w:cnfStyle w:val="100000000000" w:firstRow="1" w:lastRow="0" w:firstColumn="0" w:lastColumn="0" w:oddVBand="0" w:evenVBand="0" w:oddHBand="0" w:evenHBand="0" w:firstRowFirstColumn="0" w:firstRowLastColumn="0" w:lastRowFirstColumn="0" w:lastRowLastColumn="0"/>
        </w:trPr>
        <w:tc>
          <w:tcPr>
            <w:tcW w:w="0" w:type="pct"/>
          </w:tcPr>
          <w:p w14:paraId="335276BB" w14:textId="77777777" w:rsidR="007D0AB7" w:rsidRPr="006A6CE1" w:rsidRDefault="007D0AB7" w:rsidP="00F61D46">
            <w:pPr>
              <w:pStyle w:val="ECCTableHeaderwhitefont"/>
              <w:rPr>
                <w:lang w:val="en-GB"/>
              </w:rPr>
            </w:pPr>
            <w:r w:rsidRPr="006A6CE1">
              <w:rPr>
                <w:lang w:val="en-GB"/>
              </w:rPr>
              <w:t>Designated frequency band</w:t>
            </w:r>
          </w:p>
        </w:tc>
        <w:tc>
          <w:tcPr>
            <w:tcW w:w="0" w:type="pct"/>
            <w:tcBorders>
              <w:top w:val="single" w:sz="4" w:space="0" w:color="FFFFFF" w:themeColor="background1"/>
              <w:bottom w:val="single" w:sz="4" w:space="0" w:color="FFFFFF" w:themeColor="background1"/>
            </w:tcBorders>
          </w:tcPr>
          <w:p w14:paraId="7DA1C350" w14:textId="77777777" w:rsidR="007D0AB7" w:rsidRPr="006A6CE1" w:rsidRDefault="007D0AB7" w:rsidP="00F61D46">
            <w:pPr>
              <w:pStyle w:val="ECCTableHeaderwhitefont"/>
              <w:rPr>
                <w:lang w:val="en-GB"/>
              </w:rPr>
            </w:pPr>
            <w:r w:rsidRPr="006A6CE1">
              <w:rPr>
                <w:lang w:val="en-GB"/>
              </w:rPr>
              <w:t>Maximum duty cycle</w:t>
            </w:r>
          </w:p>
        </w:tc>
        <w:tc>
          <w:tcPr>
            <w:tcW w:w="0" w:type="pct"/>
            <w:tcBorders>
              <w:top w:val="single" w:sz="4" w:space="0" w:color="FFFFFF" w:themeColor="background1"/>
              <w:bottom w:val="single" w:sz="4" w:space="0" w:color="FFFFFF" w:themeColor="background1"/>
            </w:tcBorders>
          </w:tcPr>
          <w:p w14:paraId="41CEDD08" w14:textId="77777777" w:rsidR="007D0AB7" w:rsidRPr="006A6CE1" w:rsidRDefault="007D0AB7" w:rsidP="00F61D46">
            <w:pPr>
              <w:pStyle w:val="ECCTableHeaderwhitefont"/>
              <w:rPr>
                <w:lang w:val="en-GB"/>
              </w:rPr>
            </w:pPr>
            <w:r w:rsidRPr="006A6CE1">
              <w:rPr>
                <w:lang w:val="en-GB"/>
              </w:rPr>
              <w:t>Maximum mean e.i.r.p. spectral density (Note 2)</w:t>
            </w:r>
          </w:p>
        </w:tc>
        <w:tc>
          <w:tcPr>
            <w:tcW w:w="0" w:type="pct"/>
            <w:tcBorders>
              <w:top w:val="single" w:sz="4" w:space="0" w:color="FFFFFF" w:themeColor="background1"/>
              <w:bottom w:val="single" w:sz="4" w:space="0" w:color="FFFFFF" w:themeColor="background1"/>
            </w:tcBorders>
          </w:tcPr>
          <w:p w14:paraId="3802573F" w14:textId="77777777" w:rsidR="007D0AB7" w:rsidRPr="006A6CE1" w:rsidRDefault="007D0AB7" w:rsidP="00F61D46">
            <w:pPr>
              <w:pStyle w:val="ECCTableHeaderwhitefont"/>
              <w:rPr>
                <w:lang w:val="en-GB"/>
              </w:rPr>
            </w:pPr>
            <w:r w:rsidRPr="006A6CE1">
              <w:rPr>
                <w:lang w:val="en-GB"/>
              </w:rPr>
              <w:t>Maximum peak e.i.r.p. (Note 3)</w:t>
            </w:r>
          </w:p>
        </w:tc>
        <w:tc>
          <w:tcPr>
            <w:tcW w:w="0" w:type="pct"/>
            <w:tcBorders>
              <w:top w:val="single" w:sz="4" w:space="0" w:color="FFFFFF" w:themeColor="background1"/>
              <w:bottom w:val="single" w:sz="4" w:space="0" w:color="FFFFFF" w:themeColor="background1"/>
              <w:right w:val="single" w:sz="4" w:space="0" w:color="FFFFFF" w:themeColor="background1"/>
            </w:tcBorders>
          </w:tcPr>
          <w:p w14:paraId="4CD9CF79" w14:textId="77777777" w:rsidR="007D0AB7" w:rsidRPr="006A6CE1" w:rsidRDefault="007D0AB7" w:rsidP="00D45429">
            <w:pPr>
              <w:pStyle w:val="ECCTableHeaderwhitefont"/>
              <w:spacing w:after="120"/>
              <w:rPr>
                <w:lang w:val="en-GB"/>
              </w:rPr>
            </w:pPr>
            <w:r w:rsidRPr="006A6CE1">
              <w:rPr>
                <w:lang w:val="en-GB"/>
              </w:rPr>
              <w:t>Minimum unwanted emissions attenuation (Note 1)</w:t>
            </w:r>
          </w:p>
        </w:tc>
      </w:tr>
      <w:tr w:rsidR="007D0AB7" w:rsidRPr="006A6CE1" w14:paraId="7784CD80" w14:textId="77777777" w:rsidTr="00802A5C">
        <w:tc>
          <w:tcPr>
            <w:tcW w:w="0" w:type="pct"/>
            <w:tcBorders>
              <w:right w:val="single" w:sz="4" w:space="0" w:color="FFFFFF" w:themeColor="background1"/>
            </w:tcBorders>
            <w:shd w:val="clear" w:color="auto" w:fill="D2232A"/>
          </w:tcPr>
          <w:p w14:paraId="23996463" w14:textId="77777777" w:rsidR="007D0AB7" w:rsidRPr="00C03F8C" w:rsidRDefault="007D0AB7" w:rsidP="00C03F8C">
            <w:pPr>
              <w:pStyle w:val="ECCTableHeaderwhitefont"/>
              <w:spacing w:before="0" w:after="0"/>
              <w:rPr>
                <w:lang w:val="en-GB"/>
              </w:rP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EACFC03" w14:textId="77777777" w:rsidR="007D0AB7" w:rsidRPr="00802A5C" w:rsidRDefault="007D0AB7" w:rsidP="00802A5C">
            <w:pPr>
              <w:pStyle w:val="ECCTabletext"/>
              <w:jc w:val="center"/>
              <w:rPr>
                <w:b/>
                <w:bCs/>
                <w:color w:val="FFFFFF" w:themeColor="background1"/>
              </w:rPr>
            </w:pPr>
            <w:r w:rsidRPr="00802A5C">
              <w:rPr>
                <w:b/>
                <w:bCs/>
                <w:color w:val="FFFFFF" w:themeColor="background1"/>
              </w:rPr>
              <w:t>A</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D4CD4F5" w14:textId="77777777" w:rsidR="007D0AB7" w:rsidRPr="00802A5C" w:rsidRDefault="007D0AB7" w:rsidP="00802A5C">
            <w:pPr>
              <w:pStyle w:val="ECCTabletext"/>
              <w:jc w:val="center"/>
              <w:rPr>
                <w:b/>
                <w:bCs/>
                <w:color w:val="FFFFFF" w:themeColor="background1"/>
              </w:rPr>
            </w:pPr>
            <w:r w:rsidRPr="00802A5C">
              <w:rPr>
                <w:b/>
                <w:bCs/>
                <w:color w:val="FFFFFF" w:themeColor="background1"/>
              </w:rPr>
              <w:t>B</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7929AFC" w14:textId="77777777" w:rsidR="007D0AB7" w:rsidRPr="00802A5C" w:rsidRDefault="007D0AB7" w:rsidP="00802A5C">
            <w:pPr>
              <w:pStyle w:val="ECCTabletext"/>
              <w:jc w:val="center"/>
              <w:rPr>
                <w:b/>
                <w:bCs/>
                <w:color w:val="FFFFFF" w:themeColor="background1"/>
              </w:rPr>
            </w:pPr>
            <w:r w:rsidRPr="00802A5C">
              <w:rPr>
                <w:b/>
                <w:bCs/>
                <w:color w:val="FFFFFF" w:themeColor="background1"/>
              </w:rPr>
              <w:t>C</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E50A988" w14:textId="77777777" w:rsidR="007D0AB7" w:rsidRPr="00802A5C" w:rsidRDefault="007D0AB7" w:rsidP="00802A5C">
            <w:pPr>
              <w:pStyle w:val="ECCTabletext"/>
              <w:jc w:val="center"/>
              <w:rPr>
                <w:b/>
                <w:bCs/>
                <w:color w:val="FFFFFF" w:themeColor="background1"/>
              </w:rPr>
            </w:pPr>
            <w:r w:rsidRPr="00802A5C">
              <w:rPr>
                <w:b/>
                <w:bCs/>
                <w:color w:val="FFFFFF" w:themeColor="background1"/>
              </w:rPr>
              <w:t>D</w:t>
            </w:r>
          </w:p>
        </w:tc>
      </w:tr>
      <w:tr w:rsidR="007D0AB7" w:rsidRPr="006A6CE1" w14:paraId="42B155F7" w14:textId="77777777" w:rsidTr="00802A5C">
        <w:tc>
          <w:tcPr>
            <w:tcW w:w="0" w:type="pct"/>
          </w:tcPr>
          <w:p w14:paraId="3CCC9485" w14:textId="2AC20F9E" w:rsidR="007D0AB7" w:rsidRPr="006A6CE1" w:rsidRDefault="007D0AB7" w:rsidP="00F61D46">
            <w:pPr>
              <w:pStyle w:val="ECCTabletext"/>
              <w:jc w:val="left"/>
            </w:pPr>
            <w:r w:rsidRPr="006A6CE1">
              <w:t>174.8</w:t>
            </w:r>
            <w:r w:rsidR="00C03F8C">
              <w:t>-</w:t>
            </w:r>
            <w:r w:rsidRPr="006A6CE1">
              <w:t>182 GHz</w:t>
            </w:r>
          </w:p>
        </w:tc>
        <w:tc>
          <w:tcPr>
            <w:tcW w:w="0" w:type="pct"/>
            <w:tcBorders>
              <w:top w:val="single" w:sz="4" w:space="0" w:color="FFFFFF" w:themeColor="background1"/>
            </w:tcBorders>
          </w:tcPr>
          <w:p w14:paraId="0F6A9740" w14:textId="77777777" w:rsidR="007D0AB7" w:rsidRPr="006A6CE1" w:rsidRDefault="007D0AB7" w:rsidP="00F61D46">
            <w:pPr>
              <w:pStyle w:val="ECCTabletext"/>
              <w:jc w:val="left"/>
            </w:pPr>
            <w:r w:rsidRPr="006A6CE1">
              <w:t>5%</w:t>
            </w:r>
          </w:p>
        </w:tc>
        <w:tc>
          <w:tcPr>
            <w:tcW w:w="0" w:type="pct"/>
            <w:tcBorders>
              <w:top w:val="single" w:sz="4" w:space="0" w:color="FFFFFF" w:themeColor="background1"/>
            </w:tcBorders>
          </w:tcPr>
          <w:p w14:paraId="07391911" w14:textId="77777777" w:rsidR="007D0AB7" w:rsidRPr="006A6CE1" w:rsidRDefault="007D0AB7" w:rsidP="00F61D46">
            <w:pPr>
              <w:pStyle w:val="ECCTabletext"/>
              <w:jc w:val="left"/>
            </w:pPr>
            <w:r w:rsidRPr="006A6CE1">
              <w:t>-13.8 dBm/MHz</w:t>
            </w:r>
          </w:p>
        </w:tc>
        <w:tc>
          <w:tcPr>
            <w:tcW w:w="0" w:type="pct"/>
            <w:tcBorders>
              <w:top w:val="single" w:sz="4" w:space="0" w:color="FFFFFF" w:themeColor="background1"/>
            </w:tcBorders>
          </w:tcPr>
          <w:p w14:paraId="34835819" w14:textId="77777777" w:rsidR="007D0AB7" w:rsidRPr="006A6CE1" w:rsidRDefault="007D0AB7" w:rsidP="00F61D46">
            <w:pPr>
              <w:pStyle w:val="ECCTabletext"/>
              <w:jc w:val="left"/>
            </w:pPr>
            <w:r w:rsidRPr="006A6CE1">
              <w:t>31 dBm</w:t>
            </w:r>
          </w:p>
        </w:tc>
        <w:tc>
          <w:tcPr>
            <w:tcW w:w="0" w:type="pct"/>
            <w:tcBorders>
              <w:top w:val="single" w:sz="4" w:space="0" w:color="FFFFFF" w:themeColor="background1"/>
            </w:tcBorders>
          </w:tcPr>
          <w:p w14:paraId="2DD79664" w14:textId="77777777" w:rsidR="007D0AB7" w:rsidRPr="006A6CE1" w:rsidRDefault="007D0AB7" w:rsidP="00F61D46">
            <w:pPr>
              <w:pStyle w:val="ECCTabletext"/>
              <w:jc w:val="left"/>
            </w:pPr>
            <w:r w:rsidRPr="006A6CE1">
              <w:t>20 dB</w:t>
            </w:r>
          </w:p>
        </w:tc>
      </w:tr>
      <w:tr w:rsidR="007D0AB7" w:rsidRPr="006A6CE1" w14:paraId="4BD03427" w14:textId="77777777" w:rsidTr="004A3EA7">
        <w:tc>
          <w:tcPr>
            <w:tcW w:w="995" w:type="pct"/>
          </w:tcPr>
          <w:p w14:paraId="283BC431" w14:textId="09189AFF" w:rsidR="007D0AB7" w:rsidRPr="006A6CE1" w:rsidRDefault="007D0AB7" w:rsidP="00F61D46">
            <w:pPr>
              <w:pStyle w:val="ECCTabletext"/>
              <w:jc w:val="left"/>
            </w:pPr>
            <w:r w:rsidRPr="006A6CE1">
              <w:t>185</w:t>
            </w:r>
            <w:r w:rsidR="00C03F8C">
              <w:t>-</w:t>
            </w:r>
            <w:r w:rsidRPr="006A6CE1">
              <w:t>190 GHz</w:t>
            </w:r>
          </w:p>
        </w:tc>
        <w:tc>
          <w:tcPr>
            <w:tcW w:w="802" w:type="pct"/>
          </w:tcPr>
          <w:p w14:paraId="17E24F04" w14:textId="77777777" w:rsidR="007D0AB7" w:rsidRPr="006A6CE1" w:rsidRDefault="007D0AB7" w:rsidP="00F61D46">
            <w:pPr>
              <w:pStyle w:val="ECCTabletext"/>
              <w:jc w:val="left"/>
            </w:pPr>
            <w:r w:rsidRPr="006A6CE1">
              <w:t>5%</w:t>
            </w:r>
          </w:p>
        </w:tc>
        <w:tc>
          <w:tcPr>
            <w:tcW w:w="1046" w:type="pct"/>
          </w:tcPr>
          <w:p w14:paraId="5FFDFD4E" w14:textId="573ADC72" w:rsidR="007D0AB7" w:rsidRPr="006A6CE1" w:rsidRDefault="007D0AB7" w:rsidP="00F61D46">
            <w:pPr>
              <w:pStyle w:val="ECCTabletext"/>
              <w:jc w:val="left"/>
            </w:pPr>
            <w:r w:rsidRPr="006A6CE1">
              <w:t>-13.</w:t>
            </w:r>
            <w:r w:rsidR="006072F0">
              <w:t>8</w:t>
            </w:r>
            <w:r w:rsidRPr="006A6CE1">
              <w:t> dBm/MHz</w:t>
            </w:r>
          </w:p>
        </w:tc>
        <w:tc>
          <w:tcPr>
            <w:tcW w:w="993" w:type="pct"/>
          </w:tcPr>
          <w:p w14:paraId="2DEB83A9" w14:textId="77777777" w:rsidR="007D0AB7" w:rsidRPr="006A6CE1" w:rsidRDefault="007D0AB7" w:rsidP="00F61D46">
            <w:pPr>
              <w:pStyle w:val="ECCTabletext"/>
              <w:jc w:val="left"/>
            </w:pPr>
            <w:r w:rsidRPr="006A6CE1">
              <w:t>31 dBm</w:t>
            </w:r>
          </w:p>
        </w:tc>
        <w:tc>
          <w:tcPr>
            <w:tcW w:w="1164" w:type="pct"/>
          </w:tcPr>
          <w:p w14:paraId="3F26BA91" w14:textId="77777777" w:rsidR="007D0AB7" w:rsidRPr="006A6CE1" w:rsidRDefault="007D0AB7" w:rsidP="00F61D46">
            <w:pPr>
              <w:pStyle w:val="ECCTabletext"/>
              <w:jc w:val="left"/>
            </w:pPr>
            <w:r w:rsidRPr="006A6CE1">
              <w:t>20 dB</w:t>
            </w:r>
          </w:p>
        </w:tc>
      </w:tr>
      <w:tr w:rsidR="007D0AB7" w:rsidRPr="006A6CE1" w14:paraId="65C6A73F" w14:textId="77777777" w:rsidTr="004A3EA7">
        <w:tc>
          <w:tcPr>
            <w:tcW w:w="995" w:type="pct"/>
          </w:tcPr>
          <w:p w14:paraId="0D6D9017" w14:textId="7014BD5C" w:rsidR="007D0AB7" w:rsidRPr="006A6CE1" w:rsidRDefault="007D0AB7" w:rsidP="00F61D46">
            <w:pPr>
              <w:pStyle w:val="ECCTabletext"/>
              <w:jc w:val="left"/>
            </w:pPr>
            <w:r w:rsidRPr="006A6CE1">
              <w:t>231.5</w:t>
            </w:r>
            <w:r w:rsidR="00C03F8C">
              <w:t>-</w:t>
            </w:r>
            <w:r w:rsidRPr="006A6CE1">
              <w:t>250 GHz</w:t>
            </w:r>
          </w:p>
        </w:tc>
        <w:tc>
          <w:tcPr>
            <w:tcW w:w="802" w:type="pct"/>
          </w:tcPr>
          <w:p w14:paraId="3F3D869E" w14:textId="77777777" w:rsidR="007D0AB7" w:rsidRPr="006A6CE1" w:rsidRDefault="007D0AB7" w:rsidP="00F61D46">
            <w:pPr>
              <w:pStyle w:val="ECCTabletext"/>
              <w:jc w:val="left"/>
            </w:pPr>
            <w:r w:rsidRPr="006A6CE1">
              <w:t>5%</w:t>
            </w:r>
          </w:p>
        </w:tc>
        <w:tc>
          <w:tcPr>
            <w:tcW w:w="1046" w:type="pct"/>
          </w:tcPr>
          <w:p w14:paraId="36622115" w14:textId="77777777" w:rsidR="007D0AB7" w:rsidRPr="006A6CE1" w:rsidRDefault="007D0AB7" w:rsidP="00F61D46">
            <w:pPr>
              <w:pStyle w:val="ECCTabletext"/>
              <w:jc w:val="left"/>
            </w:pPr>
            <w:r w:rsidRPr="006A6CE1">
              <w:t>-25.6 dBm/MHz</w:t>
            </w:r>
          </w:p>
        </w:tc>
        <w:tc>
          <w:tcPr>
            <w:tcW w:w="993" w:type="pct"/>
          </w:tcPr>
          <w:p w14:paraId="6D9BF99E" w14:textId="77777777" w:rsidR="007D0AB7" w:rsidRPr="006A6CE1" w:rsidRDefault="007D0AB7" w:rsidP="00F61D46">
            <w:pPr>
              <w:pStyle w:val="ECCTabletext"/>
              <w:jc w:val="left"/>
            </w:pPr>
            <w:r w:rsidRPr="006A6CE1">
              <w:t>31 dBm</w:t>
            </w:r>
          </w:p>
        </w:tc>
        <w:tc>
          <w:tcPr>
            <w:tcW w:w="1164" w:type="pct"/>
          </w:tcPr>
          <w:p w14:paraId="13C41E2F" w14:textId="77777777" w:rsidR="007D0AB7" w:rsidRPr="006A6CE1" w:rsidRDefault="007D0AB7" w:rsidP="00F61D46">
            <w:pPr>
              <w:pStyle w:val="ECCTabletext"/>
              <w:jc w:val="left"/>
            </w:pPr>
            <w:r w:rsidRPr="006A6CE1">
              <w:t>20 dB</w:t>
            </w:r>
          </w:p>
        </w:tc>
      </w:tr>
      <w:tr w:rsidR="007D0AB7" w:rsidRPr="006A6CE1" w14:paraId="2273AA19" w14:textId="77777777" w:rsidTr="004A3EA7">
        <w:tc>
          <w:tcPr>
            <w:tcW w:w="5000" w:type="pct"/>
            <w:gridSpan w:val="5"/>
          </w:tcPr>
          <w:p w14:paraId="110B023E" w14:textId="15A1B041" w:rsidR="007D0AB7" w:rsidRPr="006A6CE1" w:rsidRDefault="007D0AB7" w:rsidP="00FB1932">
            <w:pPr>
              <w:pStyle w:val="ECCTablenote"/>
            </w:pPr>
            <w:r w:rsidRPr="006A6CE1">
              <w:t xml:space="preserve">Note 1: The operating frequency range (OFR) is defined over the 20 dB reduction of the </w:t>
            </w:r>
            <w:r w:rsidR="006072F0"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6E61BCA4" w14:textId="77777777" w:rsidR="007D0AB7" w:rsidRPr="006A6CE1" w:rsidRDefault="007D0AB7" w:rsidP="00FB1932">
            <w:pPr>
              <w:pStyle w:val="ECCTablenote"/>
            </w:pPr>
            <w:r w:rsidRPr="006A6CE1">
              <w:t>Note 2: The maximum duty cycle of 5% is already included in this mean e.i.r.p. limit value. Consequently, the given maximum mean e.i.r.p. spectral density limit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p>
          <w:p w14:paraId="368EE1A8" w14:textId="4798795D" w:rsidR="007D0AB7" w:rsidRPr="006A6CE1" w:rsidRDefault="007D0AB7" w:rsidP="00FB1932">
            <w:pPr>
              <w:pStyle w:val="ECCTablenote"/>
            </w:pPr>
            <w:r w:rsidRPr="006A6CE1">
              <w:t>Note 3: The max</w:t>
            </w:r>
            <w:r w:rsidR="006072F0">
              <w:t>imum</w:t>
            </w:r>
            <w:r w:rsidRPr="006A6CE1">
              <w:t xml:space="preserve"> peak e.i.r.p. shall be measured/evaluated in 1 GHz bandwidth.</w:t>
            </w:r>
          </w:p>
        </w:tc>
      </w:tr>
    </w:tbl>
    <w:p w14:paraId="36328E5A" w14:textId="77777777" w:rsidR="007D0AB7" w:rsidRPr="006A6CE1" w:rsidRDefault="007D0AB7" w:rsidP="007D0AB7">
      <w:pPr>
        <w:jc w:val="both"/>
        <w:rPr>
          <w:lang w:val="en-GB"/>
        </w:rPr>
      </w:pPr>
    </w:p>
    <w:p w14:paraId="4A51402C" w14:textId="77777777" w:rsidR="007D0AB7" w:rsidRPr="006A6CE1" w:rsidRDefault="007D0AB7" w:rsidP="007D0AB7">
      <w:pPr>
        <w:spacing w:after="120"/>
        <w:jc w:val="both"/>
        <w:rPr>
          <w:lang w:val="en-GB"/>
        </w:rPr>
      </w:pPr>
      <w:r w:rsidRPr="006A6CE1">
        <w:rPr>
          <w:lang w:val="en-GB"/>
        </w:rPr>
        <w:t>Additional requirements for radiodetermination systems for industry automation (RDI) to allow licence-exempt use:</w:t>
      </w:r>
    </w:p>
    <w:p w14:paraId="2A17AF94" w14:textId="77777777" w:rsidR="007D0AB7" w:rsidRPr="006A6CE1" w:rsidRDefault="007D0AB7" w:rsidP="00C01D98">
      <w:pPr>
        <w:pStyle w:val="NumberedList"/>
        <w:numPr>
          <w:ilvl w:val="0"/>
          <w:numId w:val="19"/>
        </w:numPr>
        <w:spacing w:after="120"/>
      </w:pPr>
      <w:r w:rsidRPr="006A6CE1">
        <w:t>The operation of RDI sensors is envisaged for industrial purposes only;</w:t>
      </w:r>
    </w:p>
    <w:p w14:paraId="69B78134" w14:textId="77777777" w:rsidR="007D0AB7" w:rsidRPr="006A6CE1" w:rsidRDefault="007D0AB7" w:rsidP="00C01D98">
      <w:pPr>
        <w:pStyle w:val="NumberedList"/>
        <w:numPr>
          <w:ilvl w:val="0"/>
          <w:numId w:val="19"/>
        </w:numPr>
        <w:spacing w:after="120"/>
      </w:pPr>
      <w:r w:rsidRPr="006A6CE1">
        <w:t>Installation and maintenance of RDI equipment shall be performed by professionally trained personnel only;</w:t>
      </w:r>
    </w:p>
    <w:p w14:paraId="3FE489D2" w14:textId="77777777" w:rsidR="007D0AB7" w:rsidRPr="006A6CE1" w:rsidRDefault="007D0AB7" w:rsidP="00C01D98">
      <w:pPr>
        <w:pStyle w:val="NumberedList"/>
        <w:numPr>
          <w:ilvl w:val="0"/>
          <w:numId w:val="19"/>
        </w:numPr>
        <w:spacing w:after="120"/>
      </w:pPr>
      <w:r w:rsidRPr="006A6CE1">
        <w:t>RDI equipment shall not be marketed to private end customers;</w:t>
      </w:r>
    </w:p>
    <w:p w14:paraId="3D8826A4" w14:textId="77777777" w:rsidR="007D0AB7" w:rsidRPr="006A6CE1" w:rsidRDefault="007D0AB7" w:rsidP="00C01D98">
      <w:pPr>
        <w:pStyle w:val="NumberedList"/>
        <w:numPr>
          <w:ilvl w:val="0"/>
          <w:numId w:val="19"/>
        </w:numPr>
        <w:spacing w:after="120"/>
      </w:pPr>
      <w:r w:rsidRPr="006A6CE1">
        <w:t>Installers have to ensure that there are no unwanted obstacles in the main beam of the antenna in order to minimise unintentional reflections and scattering;</w:t>
      </w:r>
    </w:p>
    <w:p w14:paraId="2B3F23E4" w14:textId="77777777" w:rsidR="007D0AB7" w:rsidRPr="006A6CE1" w:rsidRDefault="007D0AB7" w:rsidP="00C01D98">
      <w:pPr>
        <w:pStyle w:val="NumberedList"/>
        <w:numPr>
          <w:ilvl w:val="0"/>
          <w:numId w:val="19"/>
        </w:numPr>
        <w:spacing w:after="120"/>
      </w:pPr>
      <w:r w:rsidRPr="006A6CE1">
        <w:t>Outdoor RDI sensors shall only be installed in heights from 0 m to 3 m above ground;</w:t>
      </w:r>
    </w:p>
    <w:p w14:paraId="3050B227" w14:textId="77777777" w:rsidR="007D0AB7" w:rsidRPr="006A6CE1" w:rsidRDefault="007D0AB7" w:rsidP="00C01D98">
      <w:pPr>
        <w:pStyle w:val="NumberedList"/>
        <w:numPr>
          <w:ilvl w:val="0"/>
          <w:numId w:val="19"/>
        </w:numPr>
        <w:spacing w:after="120"/>
        <w:rPr>
          <w:shd w:val="solid" w:color="FFFF00" w:fill="auto"/>
        </w:rPr>
      </w:pPr>
      <w:r w:rsidRPr="006A6CE1">
        <w:t>The provider is required to inform the users and installers of RDI equipment about the installation requirements and additional special mounting instructions;</w:t>
      </w:r>
    </w:p>
    <w:p w14:paraId="22CF5138" w14:textId="77777777" w:rsidR="007D0AB7" w:rsidRPr="006A6CE1" w:rsidRDefault="007D0AB7" w:rsidP="00C01D98">
      <w:pPr>
        <w:pStyle w:val="NumberedList"/>
        <w:numPr>
          <w:ilvl w:val="0"/>
          <w:numId w:val="19"/>
        </w:numPr>
        <w:spacing w:after="120"/>
      </w:pPr>
      <w:r w:rsidRPr="006A6CE1">
        <w:t>For RDI devices using an antenna gain smaller than 20 dBi, the maximum conducted peak output power shall be limited to 15 dBm.</w:t>
      </w:r>
    </w:p>
    <w:p w14:paraId="431D2886" w14:textId="7FC66F4A" w:rsidR="00645162" w:rsidRPr="006A6CE1" w:rsidRDefault="00BC3170" w:rsidP="00D314C3">
      <w:pPr>
        <w:pStyle w:val="ECCAnnexheading2"/>
        <w:rPr>
          <w:lang w:val="en-GB"/>
        </w:rPr>
      </w:pPr>
      <w:bookmarkStart w:id="33" w:name="_Ref104294631"/>
      <w:r w:rsidRPr="006A6CE1">
        <w:rPr>
          <w:lang w:val="en-GB"/>
        </w:rPr>
        <w:t>Technical requirements for Level Probing Radar (LPR)</w:t>
      </w:r>
      <w:bookmarkEnd w:id="33"/>
    </w:p>
    <w:p w14:paraId="3475E7F2" w14:textId="77777777" w:rsidR="00BC3170" w:rsidRPr="006A6CE1" w:rsidRDefault="00BC3170" w:rsidP="00BC3170">
      <w:pPr>
        <w:jc w:val="both"/>
        <w:rPr>
          <w:lang w:val="en-GB"/>
        </w:rPr>
      </w:pPr>
      <w:bookmarkStart w:id="34" w:name="_Ref65588720"/>
      <w:r w:rsidRPr="006A6CE1">
        <w:rPr>
          <w:lang w:val="en-GB"/>
        </w:rPr>
        <w:t xml:space="preserve">Level probing radars (LPR) are used for measuring and determining the distance to the surface of a target material (e.g. liquids and solids) located primarily </w:t>
      </w:r>
      <w:r w:rsidRPr="006A6CE1">
        <w:rPr>
          <w:rFonts w:eastAsiaTheme="minorHAnsi"/>
          <w:lang w:val="en-GB"/>
        </w:rPr>
        <w:t xml:space="preserve">in open-air areas or inside tanks with non-attenuating shells (e.g. plastic tanks) </w:t>
      </w:r>
      <w:r w:rsidRPr="006A6CE1">
        <w:rPr>
          <w:lang w:val="en-GB"/>
        </w:rPr>
        <w:t>and</w:t>
      </w:r>
      <w:r w:rsidRPr="006A6CE1">
        <w:rPr>
          <w:rFonts w:eastAsiaTheme="minorHAnsi"/>
          <w:lang w:val="en-GB"/>
        </w:rPr>
        <w:t xml:space="preserve"> thus indirectly the amount or volume of the available material. Furthermore, the measurement of other physical characteristics such as the velocity of the surface or </w:t>
      </w:r>
      <w:r w:rsidRPr="006A6CE1">
        <w:rPr>
          <w:lang w:val="en-GB"/>
        </w:rPr>
        <w:t>properties of</w:t>
      </w:r>
      <w:r w:rsidRPr="006A6CE1">
        <w:rPr>
          <w:rFonts w:eastAsiaTheme="minorHAnsi"/>
          <w:lang w:val="en-GB"/>
        </w:rPr>
        <w:t xml:space="preserve"> the target material is also provided.</w:t>
      </w:r>
      <w:r w:rsidRPr="006A6CE1">
        <w:rPr>
          <w:lang w:val="en-GB"/>
        </w:rPr>
        <w:t xml:space="preserve"> The LPR application is intended for industrial and professional use only.</w:t>
      </w:r>
    </w:p>
    <w:p w14:paraId="25523BE9" w14:textId="77777777" w:rsidR="00BC3170" w:rsidRPr="006A6CE1" w:rsidRDefault="00BC3170">
      <w:pPr>
        <w:rPr>
          <w:b/>
          <w:bCs/>
          <w:color w:val="D2232A"/>
          <w:szCs w:val="20"/>
          <w:lang w:val="en-GB"/>
        </w:rPr>
      </w:pPr>
      <w:r w:rsidRPr="006A6CE1">
        <w:rPr>
          <w:lang w:val="en-GB"/>
        </w:rPr>
        <w:br w:type="page"/>
      </w:r>
    </w:p>
    <w:p w14:paraId="2A4FF8DF" w14:textId="27383289" w:rsidR="00BC3170" w:rsidRPr="006A6CE1" w:rsidRDefault="00BC3170" w:rsidP="00BC3170">
      <w:pPr>
        <w:pStyle w:val="Caption"/>
        <w:rPr>
          <w:lang w:val="en-GB"/>
        </w:rPr>
      </w:pPr>
      <w:bookmarkStart w:id="35" w:name="_Ref106107087"/>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6</w:t>
      </w:r>
      <w:r w:rsidRPr="006A6CE1">
        <w:rPr>
          <w:lang w:val="en-GB"/>
        </w:rPr>
        <w:fldChar w:fldCharType="end"/>
      </w:r>
      <w:bookmarkEnd w:id="34"/>
      <w:bookmarkEnd w:id="35"/>
      <w:r w:rsidRPr="006A6CE1">
        <w:rPr>
          <w:lang w:val="en-GB"/>
        </w:rPr>
        <w:t>: Technical requirements for LPR devices in the designated bands</w:t>
      </w:r>
    </w:p>
    <w:tbl>
      <w:tblPr>
        <w:tblStyle w:val="ECCTable-redheader"/>
        <w:tblW w:w="5000" w:type="pct"/>
        <w:tblInd w:w="0" w:type="dxa"/>
        <w:tblLook w:val="04A0" w:firstRow="1" w:lastRow="0" w:firstColumn="1" w:lastColumn="0" w:noHBand="0" w:noVBand="1"/>
      </w:tblPr>
      <w:tblGrid>
        <w:gridCol w:w="1879"/>
        <w:gridCol w:w="1362"/>
        <w:gridCol w:w="2086"/>
        <w:gridCol w:w="1847"/>
        <w:gridCol w:w="2455"/>
      </w:tblGrid>
      <w:tr w:rsidR="00BC3170" w:rsidRPr="006A6CE1" w14:paraId="3FD69280" w14:textId="77777777" w:rsidTr="00802A5C">
        <w:trPr>
          <w:cnfStyle w:val="100000000000" w:firstRow="1" w:lastRow="0" w:firstColumn="0" w:lastColumn="0" w:oddVBand="0" w:evenVBand="0" w:oddHBand="0" w:evenHBand="0" w:firstRowFirstColumn="0" w:firstRowLastColumn="0" w:lastRowFirstColumn="0" w:lastRowLastColumn="0"/>
        </w:trPr>
        <w:tc>
          <w:tcPr>
            <w:tcW w:w="0" w:type="pct"/>
            <w:tcBorders>
              <w:top w:val="single" w:sz="4" w:space="0" w:color="FFFFFF" w:themeColor="background1"/>
              <w:left w:val="single" w:sz="4" w:space="0" w:color="FFFFFF" w:themeColor="background1"/>
              <w:bottom w:val="nil"/>
            </w:tcBorders>
          </w:tcPr>
          <w:p w14:paraId="590B4133" w14:textId="77777777" w:rsidR="00BC3170" w:rsidRPr="006A6CE1" w:rsidRDefault="00BC3170" w:rsidP="00F61D46">
            <w:pPr>
              <w:pStyle w:val="ECCTableHeaderwhitefont"/>
              <w:rPr>
                <w:lang w:val="en-GB"/>
              </w:rPr>
            </w:pPr>
            <w:r w:rsidRPr="006A6CE1">
              <w:rPr>
                <w:lang w:val="en-GB"/>
              </w:rPr>
              <w:t>Designated frequency band</w:t>
            </w:r>
          </w:p>
        </w:tc>
        <w:tc>
          <w:tcPr>
            <w:tcW w:w="0" w:type="pct"/>
            <w:tcBorders>
              <w:bottom w:val="single" w:sz="4" w:space="0" w:color="FFFFFF" w:themeColor="background1"/>
            </w:tcBorders>
          </w:tcPr>
          <w:p w14:paraId="1FD13897" w14:textId="77777777" w:rsidR="00BC3170" w:rsidRPr="006A6CE1" w:rsidRDefault="00BC3170" w:rsidP="00F61D46">
            <w:pPr>
              <w:pStyle w:val="ECCTableHeaderwhitefont"/>
              <w:rPr>
                <w:lang w:val="en-GB"/>
              </w:rPr>
            </w:pPr>
            <w:r w:rsidRPr="006A6CE1">
              <w:rPr>
                <w:lang w:val="en-GB"/>
              </w:rPr>
              <w:t>Maximum duty cycle</w:t>
            </w:r>
          </w:p>
        </w:tc>
        <w:tc>
          <w:tcPr>
            <w:tcW w:w="0" w:type="pct"/>
            <w:tcBorders>
              <w:bottom w:val="single" w:sz="4" w:space="0" w:color="FFFFFF" w:themeColor="background1"/>
            </w:tcBorders>
          </w:tcPr>
          <w:p w14:paraId="3874C462" w14:textId="77777777" w:rsidR="00BC3170" w:rsidRPr="006A6CE1" w:rsidRDefault="00BC3170" w:rsidP="00D45429">
            <w:pPr>
              <w:pStyle w:val="ECCTableHeaderwhitefont"/>
              <w:spacing w:before="120" w:after="120"/>
              <w:rPr>
                <w:lang w:val="en-GB"/>
              </w:rPr>
            </w:pPr>
            <w:r w:rsidRPr="006A6CE1">
              <w:rPr>
                <w:lang w:val="en-GB"/>
              </w:rPr>
              <w:t>Maximum mean e.i.r.p. spectral density (Note 2)</w:t>
            </w:r>
          </w:p>
        </w:tc>
        <w:tc>
          <w:tcPr>
            <w:tcW w:w="0" w:type="pct"/>
            <w:tcBorders>
              <w:bottom w:val="single" w:sz="4" w:space="0" w:color="FFFFFF" w:themeColor="background1"/>
            </w:tcBorders>
          </w:tcPr>
          <w:p w14:paraId="729EC109" w14:textId="77777777" w:rsidR="00BC3170" w:rsidRPr="006A6CE1" w:rsidRDefault="00BC3170" w:rsidP="00F61D46">
            <w:pPr>
              <w:pStyle w:val="ECCTableHeaderwhitefont"/>
              <w:rPr>
                <w:lang w:val="en-GB"/>
              </w:rPr>
            </w:pPr>
            <w:r w:rsidRPr="006A6CE1">
              <w:rPr>
                <w:lang w:val="en-GB"/>
              </w:rPr>
              <w:t>Maximum peak e.i.r.p. (Note 3)</w:t>
            </w:r>
          </w:p>
        </w:tc>
        <w:tc>
          <w:tcPr>
            <w:tcW w:w="0" w:type="pct"/>
            <w:tcBorders>
              <w:bottom w:val="single" w:sz="4" w:space="0" w:color="FFFFFF" w:themeColor="background1"/>
            </w:tcBorders>
          </w:tcPr>
          <w:p w14:paraId="4F606384" w14:textId="77777777" w:rsidR="00BC3170" w:rsidRPr="006A6CE1" w:rsidRDefault="00BC3170" w:rsidP="00D45429">
            <w:pPr>
              <w:pStyle w:val="ECCTableHeaderwhitefont"/>
              <w:spacing w:before="120" w:after="120"/>
              <w:rPr>
                <w:lang w:val="en-GB"/>
              </w:rPr>
            </w:pPr>
            <w:r w:rsidRPr="006A6CE1">
              <w:rPr>
                <w:lang w:val="en-GB"/>
              </w:rPr>
              <w:t>Minimum unwanted emissions attenuation (Note 1)</w:t>
            </w:r>
          </w:p>
        </w:tc>
      </w:tr>
      <w:tr w:rsidR="00BC3170" w:rsidRPr="006A6CE1" w14:paraId="0694D740" w14:textId="77777777" w:rsidTr="00802A5C">
        <w:tc>
          <w:tcPr>
            <w:tcW w:w="0" w:type="pct"/>
            <w:tcBorders>
              <w:top w:val="nil"/>
              <w:left w:val="single" w:sz="4" w:space="0" w:color="FFFFFF" w:themeColor="background1"/>
              <w:bottom w:val="single" w:sz="4" w:space="0" w:color="FFFFFF" w:themeColor="background1"/>
              <w:right w:val="single" w:sz="4" w:space="0" w:color="FFFFFF" w:themeColor="background1"/>
            </w:tcBorders>
            <w:shd w:val="clear" w:color="auto" w:fill="D2232A"/>
          </w:tcPr>
          <w:p w14:paraId="25BF0049" w14:textId="5DAE7FDA" w:rsidR="00BC3170" w:rsidRPr="00802A5C" w:rsidRDefault="00BC3170" w:rsidP="00802A5C">
            <w:pPr>
              <w:pStyle w:val="ECCTabletext"/>
              <w:jc w:val="center"/>
              <w:rPr>
                <w:b/>
                <w:bCs/>
                <w:color w:val="FFFFFF" w:themeColor="background1"/>
              </w:rPr>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B7AA472" w14:textId="77777777" w:rsidR="00BC3170" w:rsidRPr="00802A5C" w:rsidRDefault="00BC3170" w:rsidP="00802A5C">
            <w:pPr>
              <w:pStyle w:val="ECCTabletext"/>
              <w:jc w:val="center"/>
              <w:rPr>
                <w:b/>
                <w:bCs/>
                <w:color w:val="FFFFFF" w:themeColor="background1"/>
              </w:rPr>
            </w:pPr>
            <w:r w:rsidRPr="00802A5C">
              <w:rPr>
                <w:b/>
                <w:bCs/>
                <w:color w:val="FFFFFF" w:themeColor="background1"/>
              </w:rPr>
              <w:t>A</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B037E89" w14:textId="77777777" w:rsidR="00BC3170" w:rsidRPr="00802A5C" w:rsidRDefault="00BC3170" w:rsidP="00802A5C">
            <w:pPr>
              <w:pStyle w:val="ECCTabletext"/>
              <w:jc w:val="center"/>
              <w:rPr>
                <w:b/>
                <w:bCs/>
                <w:color w:val="FFFFFF" w:themeColor="background1"/>
              </w:rPr>
            </w:pPr>
            <w:r w:rsidRPr="00802A5C">
              <w:rPr>
                <w:b/>
                <w:bCs/>
                <w:color w:val="FFFFFF" w:themeColor="background1"/>
              </w:rPr>
              <w:t>B</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01A0E6E" w14:textId="77777777" w:rsidR="00BC3170" w:rsidRPr="00802A5C" w:rsidRDefault="00BC3170" w:rsidP="00802A5C">
            <w:pPr>
              <w:pStyle w:val="ECCTabletext"/>
              <w:jc w:val="center"/>
              <w:rPr>
                <w:b/>
                <w:bCs/>
                <w:color w:val="FFFFFF" w:themeColor="background1"/>
              </w:rPr>
            </w:pPr>
            <w:r w:rsidRPr="00802A5C">
              <w:rPr>
                <w:b/>
                <w:bCs/>
                <w:color w:val="FFFFFF" w:themeColor="background1"/>
              </w:rPr>
              <w:t>C</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2A888CC" w14:textId="77777777" w:rsidR="00BC3170" w:rsidRPr="00802A5C" w:rsidRDefault="00BC3170" w:rsidP="00802A5C">
            <w:pPr>
              <w:pStyle w:val="ECCTabletext"/>
              <w:jc w:val="center"/>
              <w:rPr>
                <w:b/>
                <w:bCs/>
                <w:color w:val="FFFFFF" w:themeColor="background1"/>
              </w:rPr>
            </w:pPr>
            <w:r w:rsidRPr="00802A5C">
              <w:rPr>
                <w:b/>
                <w:bCs/>
                <w:color w:val="FFFFFF" w:themeColor="background1"/>
              </w:rPr>
              <w:t>D</w:t>
            </w:r>
          </w:p>
        </w:tc>
      </w:tr>
      <w:tr w:rsidR="00BC3170" w:rsidRPr="006A6CE1" w14:paraId="256131C6" w14:textId="77777777" w:rsidTr="00802A5C">
        <w:tc>
          <w:tcPr>
            <w:tcW w:w="0" w:type="pct"/>
            <w:tcBorders>
              <w:top w:val="single" w:sz="4" w:space="0" w:color="FFFFFF" w:themeColor="background1"/>
            </w:tcBorders>
          </w:tcPr>
          <w:p w14:paraId="17125D43" w14:textId="0602502A" w:rsidR="00BC3170" w:rsidRPr="006A6CE1" w:rsidRDefault="00BC3170" w:rsidP="00F61D46">
            <w:pPr>
              <w:pStyle w:val="ECCTabletext"/>
              <w:jc w:val="left"/>
            </w:pPr>
            <w:r w:rsidRPr="006A6CE1">
              <w:t>116</w:t>
            </w:r>
            <w:r w:rsidR="00F526F5">
              <w:t>-</w:t>
            </w:r>
            <w:r w:rsidRPr="006A6CE1">
              <w:t>148.5 GHz</w:t>
            </w:r>
          </w:p>
        </w:tc>
        <w:tc>
          <w:tcPr>
            <w:tcW w:w="0" w:type="pct"/>
            <w:tcBorders>
              <w:top w:val="single" w:sz="4" w:space="0" w:color="FFFFFF" w:themeColor="background1"/>
            </w:tcBorders>
          </w:tcPr>
          <w:p w14:paraId="369090DB" w14:textId="77777777" w:rsidR="00BC3170" w:rsidRPr="006A6CE1" w:rsidRDefault="00BC3170" w:rsidP="00F61D46">
            <w:pPr>
              <w:pStyle w:val="ECCTabletext"/>
              <w:jc w:val="left"/>
            </w:pPr>
            <w:r w:rsidRPr="006A6CE1">
              <w:t>5%</w:t>
            </w:r>
          </w:p>
        </w:tc>
        <w:tc>
          <w:tcPr>
            <w:tcW w:w="0" w:type="pct"/>
            <w:tcBorders>
              <w:top w:val="single" w:sz="4" w:space="0" w:color="FFFFFF" w:themeColor="background1"/>
            </w:tcBorders>
          </w:tcPr>
          <w:p w14:paraId="63120044" w14:textId="77777777" w:rsidR="00BC3170" w:rsidRPr="006A6CE1" w:rsidRDefault="00BC3170" w:rsidP="00F61D46">
            <w:pPr>
              <w:pStyle w:val="ECCTabletext"/>
              <w:jc w:val="left"/>
            </w:pPr>
            <w:r w:rsidRPr="006A6CE1">
              <w:t>-8.0 dBm/MHz</w:t>
            </w:r>
          </w:p>
        </w:tc>
        <w:tc>
          <w:tcPr>
            <w:tcW w:w="0" w:type="pct"/>
            <w:tcBorders>
              <w:top w:val="single" w:sz="4" w:space="0" w:color="FFFFFF" w:themeColor="background1"/>
            </w:tcBorders>
          </w:tcPr>
          <w:p w14:paraId="44A12152" w14:textId="77777777" w:rsidR="00BC3170" w:rsidRPr="006A6CE1" w:rsidRDefault="00BC3170" w:rsidP="00F61D46">
            <w:pPr>
              <w:pStyle w:val="ECCTabletext"/>
              <w:jc w:val="left"/>
            </w:pPr>
            <w:r w:rsidRPr="006A6CE1">
              <w:t>37 dBm</w:t>
            </w:r>
          </w:p>
        </w:tc>
        <w:tc>
          <w:tcPr>
            <w:tcW w:w="0" w:type="pct"/>
            <w:tcBorders>
              <w:top w:val="single" w:sz="4" w:space="0" w:color="FFFFFF" w:themeColor="background1"/>
            </w:tcBorders>
          </w:tcPr>
          <w:p w14:paraId="748820DA" w14:textId="77777777" w:rsidR="00BC3170" w:rsidRPr="006A6CE1" w:rsidRDefault="00BC3170" w:rsidP="00F61D46">
            <w:pPr>
              <w:pStyle w:val="ECCTabletext"/>
              <w:jc w:val="left"/>
            </w:pPr>
            <w:r w:rsidRPr="006A6CE1">
              <w:t>20 dB</w:t>
            </w:r>
          </w:p>
        </w:tc>
      </w:tr>
      <w:tr w:rsidR="00BC3170" w:rsidRPr="006A6CE1" w14:paraId="1C883D2F" w14:textId="77777777" w:rsidTr="004A3EA7">
        <w:tc>
          <w:tcPr>
            <w:tcW w:w="976" w:type="pct"/>
          </w:tcPr>
          <w:p w14:paraId="1CBF4609" w14:textId="76F64F29" w:rsidR="00BC3170" w:rsidRPr="006A6CE1" w:rsidRDefault="00BC3170" w:rsidP="00F61D46">
            <w:pPr>
              <w:pStyle w:val="ECCTabletext"/>
              <w:jc w:val="left"/>
            </w:pPr>
            <w:r w:rsidRPr="006A6CE1">
              <w:t>167</w:t>
            </w:r>
            <w:r w:rsidR="00F526F5">
              <w:t>-</w:t>
            </w:r>
            <w:r w:rsidRPr="006A6CE1">
              <w:t>182 GHz</w:t>
            </w:r>
          </w:p>
        </w:tc>
        <w:tc>
          <w:tcPr>
            <w:tcW w:w="707" w:type="pct"/>
          </w:tcPr>
          <w:p w14:paraId="70EE7739" w14:textId="77777777" w:rsidR="00BC3170" w:rsidRPr="006A6CE1" w:rsidRDefault="00BC3170" w:rsidP="00F61D46">
            <w:pPr>
              <w:pStyle w:val="ECCTabletext"/>
              <w:jc w:val="left"/>
            </w:pPr>
            <w:r w:rsidRPr="006A6CE1">
              <w:t>5%</w:t>
            </w:r>
          </w:p>
        </w:tc>
        <w:tc>
          <w:tcPr>
            <w:tcW w:w="1083" w:type="pct"/>
          </w:tcPr>
          <w:p w14:paraId="0760A924" w14:textId="77777777" w:rsidR="00BC3170" w:rsidRPr="006A6CE1" w:rsidRDefault="00BC3170" w:rsidP="00F61D46">
            <w:pPr>
              <w:pStyle w:val="ECCTabletext"/>
              <w:jc w:val="left"/>
            </w:pPr>
            <w:r w:rsidRPr="006A6CE1">
              <w:t>-6.0 dBm/MHz</w:t>
            </w:r>
          </w:p>
        </w:tc>
        <w:tc>
          <w:tcPr>
            <w:tcW w:w="959" w:type="pct"/>
          </w:tcPr>
          <w:p w14:paraId="22457F0E" w14:textId="77777777" w:rsidR="00BC3170" w:rsidRPr="006A6CE1" w:rsidRDefault="00BC3170" w:rsidP="00F61D46">
            <w:pPr>
              <w:pStyle w:val="ECCTabletext"/>
              <w:jc w:val="left"/>
            </w:pPr>
            <w:r w:rsidRPr="006A6CE1">
              <w:t>37 dBm</w:t>
            </w:r>
          </w:p>
        </w:tc>
        <w:tc>
          <w:tcPr>
            <w:tcW w:w="1275" w:type="pct"/>
          </w:tcPr>
          <w:p w14:paraId="5F27FFAB" w14:textId="77777777" w:rsidR="00BC3170" w:rsidRPr="006A6CE1" w:rsidRDefault="00BC3170" w:rsidP="00F61D46">
            <w:pPr>
              <w:pStyle w:val="ECCTabletext"/>
              <w:jc w:val="left"/>
            </w:pPr>
            <w:r w:rsidRPr="006A6CE1">
              <w:t>20 dB</w:t>
            </w:r>
          </w:p>
        </w:tc>
      </w:tr>
      <w:tr w:rsidR="00BC3170" w:rsidRPr="006A6CE1" w14:paraId="5D4E7EAF" w14:textId="77777777" w:rsidTr="004A3EA7">
        <w:tc>
          <w:tcPr>
            <w:tcW w:w="976" w:type="pct"/>
          </w:tcPr>
          <w:p w14:paraId="319FE36E" w14:textId="3195EC1F" w:rsidR="00BC3170" w:rsidRPr="006A6CE1" w:rsidRDefault="00BC3170" w:rsidP="00F61D46">
            <w:pPr>
              <w:pStyle w:val="ECCTabletext"/>
              <w:jc w:val="left"/>
            </w:pPr>
            <w:r w:rsidRPr="006A6CE1">
              <w:t>231.5</w:t>
            </w:r>
            <w:r w:rsidR="00F526F5">
              <w:t>-</w:t>
            </w:r>
            <w:r w:rsidRPr="006A6CE1">
              <w:t>250 GHz</w:t>
            </w:r>
          </w:p>
        </w:tc>
        <w:tc>
          <w:tcPr>
            <w:tcW w:w="707" w:type="pct"/>
          </w:tcPr>
          <w:p w14:paraId="5DE4C502" w14:textId="77777777" w:rsidR="00BC3170" w:rsidRPr="006A6CE1" w:rsidRDefault="00BC3170" w:rsidP="00F61D46">
            <w:pPr>
              <w:pStyle w:val="ECCTabletext"/>
              <w:jc w:val="left"/>
            </w:pPr>
            <w:r w:rsidRPr="006A6CE1">
              <w:t>5%</w:t>
            </w:r>
          </w:p>
        </w:tc>
        <w:tc>
          <w:tcPr>
            <w:tcW w:w="1083" w:type="pct"/>
          </w:tcPr>
          <w:p w14:paraId="2C66B399" w14:textId="77777777" w:rsidR="00BC3170" w:rsidRPr="006A6CE1" w:rsidRDefault="00BC3170" w:rsidP="00F61D46">
            <w:pPr>
              <w:pStyle w:val="ECCTabletext"/>
              <w:jc w:val="left"/>
            </w:pPr>
            <w:r w:rsidRPr="006A6CE1">
              <w:t>-6.0 dBm/MHz</w:t>
            </w:r>
          </w:p>
        </w:tc>
        <w:tc>
          <w:tcPr>
            <w:tcW w:w="959" w:type="pct"/>
          </w:tcPr>
          <w:p w14:paraId="7B04AE33" w14:textId="77777777" w:rsidR="00BC3170" w:rsidRPr="006A6CE1" w:rsidRDefault="00BC3170" w:rsidP="00F61D46">
            <w:pPr>
              <w:pStyle w:val="ECCTabletext"/>
              <w:jc w:val="left"/>
            </w:pPr>
            <w:r w:rsidRPr="006A6CE1">
              <w:t>37 dBm</w:t>
            </w:r>
          </w:p>
        </w:tc>
        <w:tc>
          <w:tcPr>
            <w:tcW w:w="1275" w:type="pct"/>
          </w:tcPr>
          <w:p w14:paraId="7D9BCE83" w14:textId="77777777" w:rsidR="00BC3170" w:rsidRPr="006A6CE1" w:rsidRDefault="00BC3170" w:rsidP="00F61D46">
            <w:pPr>
              <w:pStyle w:val="ECCTabletext"/>
              <w:jc w:val="left"/>
            </w:pPr>
            <w:r w:rsidRPr="006A6CE1">
              <w:t>20 dB</w:t>
            </w:r>
          </w:p>
        </w:tc>
      </w:tr>
      <w:tr w:rsidR="00BC3170" w:rsidRPr="006A6CE1" w14:paraId="2B907EA8" w14:textId="77777777" w:rsidTr="004A3EA7">
        <w:tc>
          <w:tcPr>
            <w:tcW w:w="5000" w:type="pct"/>
            <w:gridSpan w:val="5"/>
          </w:tcPr>
          <w:p w14:paraId="275EEC99" w14:textId="4CB52E75" w:rsidR="00BC3170" w:rsidRPr="006A6CE1" w:rsidRDefault="00BC3170" w:rsidP="00FB1932">
            <w:pPr>
              <w:pStyle w:val="ECCTablenote"/>
            </w:pPr>
            <w:r w:rsidRPr="006A6CE1">
              <w:t xml:space="preserve">Note 1: The operating frequency range (OFR) is defined over the 20 dB reduction of the </w:t>
            </w:r>
            <w:r w:rsidR="006072F0"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7FA76812" w14:textId="77777777" w:rsidR="00BC3170" w:rsidRPr="006A6CE1" w:rsidRDefault="00BC3170" w:rsidP="00FB1932">
            <w:pPr>
              <w:pStyle w:val="ECCTablenote"/>
            </w:pPr>
            <w:r w:rsidRPr="006A6CE1">
              <w:t>Note 2: The duty cycle of 5% is already included in this mean e.i.r.p. limit value. Consequently, the given maximum mean e.i.r.p. spectral density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p>
          <w:p w14:paraId="5450671C" w14:textId="56E9E40B" w:rsidR="00BC3170" w:rsidRPr="006A6CE1" w:rsidRDefault="00BC3170" w:rsidP="00FB1932">
            <w:pPr>
              <w:pStyle w:val="ECCTablenote"/>
            </w:pPr>
            <w:r w:rsidRPr="006A6CE1">
              <w:t>Note 3: The max</w:t>
            </w:r>
            <w:r w:rsidR="006072F0">
              <w:t>imum</w:t>
            </w:r>
            <w:r w:rsidRPr="006A6CE1">
              <w:t xml:space="preserve"> peak e.i.r.p. shall be measured/evaluated in 1 GHz bandwidth.</w:t>
            </w:r>
          </w:p>
        </w:tc>
      </w:tr>
    </w:tbl>
    <w:p w14:paraId="6157B292" w14:textId="77777777" w:rsidR="00BC3170" w:rsidRPr="006A6CE1" w:rsidRDefault="00BC3170" w:rsidP="00D611BA">
      <w:pPr>
        <w:spacing w:before="240" w:after="60"/>
        <w:jc w:val="both"/>
        <w:rPr>
          <w:lang w:val="en-GB"/>
        </w:rPr>
      </w:pPr>
      <w:r w:rsidRPr="006A6CE1">
        <w:rPr>
          <w:lang w:val="en-GB"/>
        </w:rPr>
        <w:t>Additional requirements for level probing radars (LPR) to allow licence-exempt use:</w:t>
      </w:r>
    </w:p>
    <w:p w14:paraId="7C6A6613" w14:textId="77777777" w:rsidR="00BC3170" w:rsidRPr="006A6CE1" w:rsidRDefault="00BC3170" w:rsidP="00D611BA">
      <w:pPr>
        <w:pStyle w:val="NumberedList"/>
        <w:numPr>
          <w:ilvl w:val="0"/>
          <w:numId w:val="20"/>
        </w:numPr>
        <w:spacing w:before="60" w:after="60"/>
      </w:pPr>
      <w:r w:rsidRPr="006A6CE1">
        <w:t>The operation of LPR sensors is envisaged for industrial purposes only;</w:t>
      </w:r>
    </w:p>
    <w:p w14:paraId="18DADB58" w14:textId="77777777" w:rsidR="00BC3170" w:rsidRPr="006A6CE1" w:rsidRDefault="00BC3170" w:rsidP="00D611BA">
      <w:pPr>
        <w:pStyle w:val="NumberedList"/>
        <w:numPr>
          <w:ilvl w:val="0"/>
          <w:numId w:val="20"/>
        </w:numPr>
        <w:spacing w:before="60" w:after="60"/>
      </w:pPr>
      <w:r w:rsidRPr="006A6CE1">
        <w:t>Installation and maintenance of LPR equipment shall be performed by professionally trained individuals only;</w:t>
      </w:r>
    </w:p>
    <w:p w14:paraId="1F1D7CF0" w14:textId="77777777" w:rsidR="00BC3170" w:rsidRPr="006A6CE1" w:rsidRDefault="00BC3170" w:rsidP="00D611BA">
      <w:pPr>
        <w:pStyle w:val="NumberedList"/>
        <w:numPr>
          <w:ilvl w:val="0"/>
          <w:numId w:val="20"/>
        </w:numPr>
        <w:spacing w:before="60" w:after="60"/>
      </w:pPr>
      <w:r w:rsidRPr="006A6CE1">
        <w:t>LPR equipment shall not be marketed to private end customers;</w:t>
      </w:r>
    </w:p>
    <w:p w14:paraId="494EBEFB" w14:textId="77777777" w:rsidR="00BC3170" w:rsidRPr="006A6CE1" w:rsidRDefault="00BC3170" w:rsidP="00D611BA">
      <w:pPr>
        <w:pStyle w:val="NumberedList"/>
        <w:numPr>
          <w:ilvl w:val="0"/>
          <w:numId w:val="20"/>
        </w:numPr>
        <w:spacing w:before="60" w:after="60"/>
      </w:pPr>
      <w:r w:rsidRPr="006A6CE1">
        <w:t>Level probing radars are required to be installed at a permanent fixed position pointing in a downwards direction towards the ground. The equipment shall not operate while being moved, or while inside a moving container;</w:t>
      </w:r>
    </w:p>
    <w:p w14:paraId="6D017B12" w14:textId="77777777" w:rsidR="00BC3170" w:rsidRPr="006A6CE1" w:rsidRDefault="00BC3170" w:rsidP="00D611BA">
      <w:pPr>
        <w:pStyle w:val="NumberedList"/>
        <w:numPr>
          <w:ilvl w:val="0"/>
          <w:numId w:val="20"/>
        </w:numPr>
        <w:spacing w:before="60" w:after="60"/>
      </w:pPr>
      <w:r w:rsidRPr="006A6CE1">
        <w:t>Installers have to ensure that there are no unwanted obstacles in the main beam of the antenna in order to minimise unintentional reflections and scattering;</w:t>
      </w:r>
    </w:p>
    <w:p w14:paraId="6CDB6436" w14:textId="77777777" w:rsidR="00BC3170" w:rsidRPr="006A6CE1" w:rsidRDefault="00BC3170" w:rsidP="00D611BA">
      <w:pPr>
        <w:pStyle w:val="NumberedList"/>
        <w:numPr>
          <w:ilvl w:val="0"/>
          <w:numId w:val="20"/>
        </w:numPr>
        <w:spacing w:before="60" w:after="60"/>
      </w:pPr>
      <w:r w:rsidRPr="006A6CE1">
        <w:t>The provider is required to inform the users and installers of LPR equipment about the installation requirements and additional special mounting instructions;</w:t>
      </w:r>
    </w:p>
    <w:p w14:paraId="37A0636E" w14:textId="77777777" w:rsidR="00BC3170" w:rsidRPr="006A6CE1" w:rsidRDefault="00BC3170" w:rsidP="00D611BA">
      <w:pPr>
        <w:pStyle w:val="NumberedList"/>
        <w:numPr>
          <w:ilvl w:val="0"/>
          <w:numId w:val="20"/>
        </w:numPr>
        <w:spacing w:before="60" w:after="60"/>
      </w:pPr>
      <w:r w:rsidRPr="006A6CE1">
        <w:t>For LPR devices, the peak e.i.r.p. for elevations above 0° shall be limited to 0 dBm;</w:t>
      </w:r>
    </w:p>
    <w:p w14:paraId="1F133786" w14:textId="77777777" w:rsidR="00BC3170" w:rsidRPr="006A6CE1" w:rsidRDefault="00BC3170" w:rsidP="00D611BA">
      <w:pPr>
        <w:pStyle w:val="NumberedList"/>
        <w:numPr>
          <w:ilvl w:val="0"/>
          <w:numId w:val="20"/>
        </w:numPr>
        <w:spacing w:before="60" w:after="60"/>
      </w:pPr>
      <w:r w:rsidRPr="006A6CE1">
        <w:t>For LPR devices using an antenna gain smaller than 20 dBi, the maximum conducted peak output power shall be limited to 15 dBm.</w:t>
      </w:r>
    </w:p>
    <w:p w14:paraId="2FFF7EA1" w14:textId="174FE4E3" w:rsidR="00D314C3" w:rsidRPr="006A6CE1" w:rsidRDefault="0029409C" w:rsidP="0029409C">
      <w:pPr>
        <w:pStyle w:val="ECCAnnexheading2"/>
        <w:rPr>
          <w:lang w:val="en-GB"/>
        </w:rPr>
      </w:pPr>
      <w:bookmarkStart w:id="36" w:name="_Ref104294682"/>
      <w:r w:rsidRPr="006A6CE1">
        <w:rPr>
          <w:lang w:val="en-GB"/>
        </w:rPr>
        <w:t xml:space="preserve">Technical requirements for Contour </w:t>
      </w:r>
      <w:r w:rsidR="00F61D46" w:rsidRPr="006A6CE1">
        <w:rPr>
          <w:lang w:val="en-GB"/>
        </w:rPr>
        <w:t>Determination and acquisition Radar (CDR)</w:t>
      </w:r>
      <w:bookmarkEnd w:id="36"/>
    </w:p>
    <w:p w14:paraId="61BE124D" w14:textId="77777777" w:rsidR="00F61D46" w:rsidRPr="006A6CE1" w:rsidRDefault="00F61D46" w:rsidP="00D611BA">
      <w:pPr>
        <w:spacing w:before="240" w:after="60"/>
        <w:jc w:val="both"/>
        <w:rPr>
          <w:lang w:val="en-GB"/>
        </w:rPr>
      </w:pPr>
      <w:r w:rsidRPr="006A6CE1">
        <w:rPr>
          <w:lang w:val="en-GB"/>
        </w:rPr>
        <w:t xml:space="preserve">Contour determination and acquisition radars (CDR) are used for measuring and determining a plurality of distance values to the surface of a target material located primarily </w:t>
      </w:r>
      <w:r w:rsidRPr="006A6CE1">
        <w:rPr>
          <w:rFonts w:eastAsiaTheme="minorHAnsi"/>
          <w:lang w:val="en-GB"/>
        </w:rPr>
        <w:t>in open-air areas or inside tanks with non-attenuating shells (e.g. plastic tanks). The distance information is used to form a digital contour representation of the bulk material surface and can consequently be used to precisely determine the amount or volume of the available material in the respective measurement scenario.</w:t>
      </w:r>
      <w:r w:rsidRPr="006A6CE1">
        <w:rPr>
          <w:lang w:val="en-GB"/>
        </w:rPr>
        <w:t xml:space="preserve"> </w:t>
      </w:r>
      <w:r w:rsidRPr="006A6CE1">
        <w:rPr>
          <w:rFonts w:eastAsiaTheme="minorHAnsi"/>
          <w:lang w:val="en-GB"/>
        </w:rPr>
        <w:t xml:space="preserve">Furthermore, the measurement of other physical characteristics of the target surface is also provided. </w:t>
      </w:r>
      <w:r w:rsidRPr="006A6CE1">
        <w:rPr>
          <w:lang w:val="en-GB"/>
        </w:rPr>
        <w:t xml:space="preserve">The CDR application is intended for industrial and professional use only. </w:t>
      </w:r>
      <w:r w:rsidRPr="006A6CE1">
        <w:rPr>
          <w:rFonts w:eastAsiaTheme="minorHAnsi"/>
          <w:lang w:val="en-GB"/>
        </w:rPr>
        <w:t>CDR devices are classified into two categories:</w:t>
      </w:r>
    </w:p>
    <w:p w14:paraId="53D10C62" w14:textId="77777777" w:rsidR="00F61D46" w:rsidRPr="006A6CE1" w:rsidRDefault="00F61D46" w:rsidP="00D611BA">
      <w:pPr>
        <w:pStyle w:val="ECCBulletsLv1"/>
        <w:spacing w:after="60"/>
      </w:pPr>
      <w:r w:rsidRPr="006A6CE1">
        <w:t>mechanical- and phased-array CDR (M-CDR and PA-CDR);</w:t>
      </w:r>
    </w:p>
    <w:p w14:paraId="15D4E179" w14:textId="77777777" w:rsidR="00F61D46" w:rsidRPr="00C07026" w:rsidRDefault="00F61D46" w:rsidP="00D611BA">
      <w:pPr>
        <w:pStyle w:val="ECCBulletsLv1"/>
        <w:spacing w:after="60"/>
        <w:ind w:left="357" w:hanging="357"/>
        <w:rPr>
          <w:lang w:val="de-DE"/>
        </w:rPr>
      </w:pPr>
      <w:r w:rsidRPr="00C07026">
        <w:rPr>
          <w:lang w:val="de-DE"/>
        </w:rPr>
        <w:t>digital beamforming CDR (DBF-CDR).</w:t>
      </w:r>
    </w:p>
    <w:p w14:paraId="22DA9894" w14:textId="331A7548" w:rsidR="00F61D46" w:rsidRPr="006A6CE1" w:rsidRDefault="00F61D46" w:rsidP="00D611BA">
      <w:pPr>
        <w:spacing w:before="240" w:after="60"/>
        <w:jc w:val="both"/>
        <w:rPr>
          <w:rFonts w:eastAsiaTheme="minorHAnsi"/>
          <w:lang w:val="en-GB"/>
        </w:rPr>
      </w:pPr>
      <w:r w:rsidRPr="006A6CE1">
        <w:rPr>
          <w:rFonts w:eastAsiaTheme="minorHAnsi"/>
          <w:lang w:val="en-GB"/>
        </w:rPr>
        <w:t>This classification has been conducted based on the acquisition of the angular direction information which can be reali</w:t>
      </w:r>
      <w:r w:rsidR="001C5974">
        <w:rPr>
          <w:rFonts w:eastAsiaTheme="minorHAnsi"/>
          <w:lang w:val="en-GB"/>
        </w:rPr>
        <w:t>s</w:t>
      </w:r>
      <w:r w:rsidRPr="006A6CE1">
        <w:rPr>
          <w:rFonts w:eastAsiaTheme="minorHAnsi"/>
          <w:lang w:val="en-GB"/>
        </w:rPr>
        <w:t>ed by mechanical tilting of a single antenna (M-CDR) and/or by electronic beam steering using parallel operation of multiple antenna elements (PA-CDR). In case of a multiplexed operation of the multiple antenna elements a digital beamforming (DBF-CDR) receiver architecture is realised.</w:t>
      </w:r>
    </w:p>
    <w:p w14:paraId="4FEC640F" w14:textId="54DDCA54" w:rsidR="00F61D46" w:rsidRPr="006A6CE1" w:rsidRDefault="00F61D46" w:rsidP="00F61D46">
      <w:pPr>
        <w:pStyle w:val="Caption"/>
        <w:rPr>
          <w:lang w:val="en-GB"/>
        </w:rPr>
      </w:pPr>
      <w:bookmarkStart w:id="37" w:name="_Ref106107088"/>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7</w:t>
      </w:r>
      <w:r w:rsidRPr="006A6CE1">
        <w:rPr>
          <w:lang w:val="en-GB"/>
        </w:rPr>
        <w:fldChar w:fldCharType="end"/>
      </w:r>
      <w:bookmarkEnd w:id="37"/>
      <w:r w:rsidRPr="006A6CE1">
        <w:rPr>
          <w:lang w:val="en-GB"/>
        </w:rPr>
        <w:t>: Technical requirements for DBF-CDR devices in the designated bands</w:t>
      </w:r>
    </w:p>
    <w:tbl>
      <w:tblPr>
        <w:tblStyle w:val="ECCTable-redheader"/>
        <w:tblW w:w="5000" w:type="pct"/>
        <w:tblInd w:w="0" w:type="dxa"/>
        <w:tblLook w:val="04A0" w:firstRow="1" w:lastRow="0" w:firstColumn="1" w:lastColumn="0" w:noHBand="0" w:noVBand="1"/>
      </w:tblPr>
      <w:tblGrid>
        <w:gridCol w:w="1696"/>
        <w:gridCol w:w="1333"/>
        <w:gridCol w:w="1945"/>
        <w:gridCol w:w="2269"/>
        <w:gridCol w:w="2373"/>
        <w:gridCol w:w="13"/>
      </w:tblGrid>
      <w:tr w:rsidR="00206388" w:rsidRPr="006A6CE1" w14:paraId="6C671FA7" w14:textId="77777777" w:rsidTr="00697BE5">
        <w:trPr>
          <w:gridAfter w:val="1"/>
          <w:cnfStyle w:val="100000000000" w:firstRow="1" w:lastRow="0" w:firstColumn="0" w:lastColumn="0" w:oddVBand="0" w:evenVBand="0" w:oddHBand="0" w:evenHBand="0" w:firstRowFirstColumn="0" w:firstRowLastColumn="0" w:lastRowFirstColumn="0" w:lastRowLastColumn="0"/>
          <w:wAfter w:w="7" w:type="pct"/>
        </w:trPr>
        <w:tc>
          <w:tcPr>
            <w:tcW w:w="881" w:type="pct"/>
            <w:tcBorders>
              <w:top w:val="single" w:sz="4" w:space="0" w:color="FFFFFF" w:themeColor="background1"/>
              <w:left w:val="single" w:sz="4" w:space="0" w:color="FFFFFF" w:themeColor="background1"/>
              <w:bottom w:val="nil"/>
            </w:tcBorders>
          </w:tcPr>
          <w:p w14:paraId="3AC78065" w14:textId="77777777" w:rsidR="00F61D46" w:rsidRPr="006A6CE1" w:rsidRDefault="00F61D46" w:rsidP="005E2FC7">
            <w:pPr>
              <w:pStyle w:val="ECCTableHeaderwhitefont"/>
              <w:spacing w:before="120"/>
              <w:rPr>
                <w:lang w:val="en-GB"/>
              </w:rPr>
            </w:pPr>
            <w:r w:rsidRPr="006A6CE1">
              <w:rPr>
                <w:lang w:val="en-GB"/>
              </w:rPr>
              <w:t>Designated frequency band</w:t>
            </w:r>
          </w:p>
        </w:tc>
        <w:tc>
          <w:tcPr>
            <w:tcW w:w="692" w:type="pct"/>
            <w:tcBorders>
              <w:bottom w:val="single" w:sz="4" w:space="0" w:color="FFFFFF" w:themeColor="background1"/>
            </w:tcBorders>
          </w:tcPr>
          <w:p w14:paraId="12958094" w14:textId="77777777" w:rsidR="00F61D46" w:rsidRPr="006A6CE1" w:rsidRDefault="00F61D46" w:rsidP="00F61D46">
            <w:pPr>
              <w:pStyle w:val="ECCTableHeaderwhitefont"/>
              <w:rPr>
                <w:lang w:val="en-GB"/>
              </w:rPr>
            </w:pPr>
            <w:r w:rsidRPr="006A6CE1">
              <w:rPr>
                <w:lang w:val="en-GB"/>
              </w:rPr>
              <w:t>Maximum duty cycle</w:t>
            </w:r>
          </w:p>
        </w:tc>
        <w:tc>
          <w:tcPr>
            <w:tcW w:w="1010" w:type="pct"/>
            <w:tcBorders>
              <w:bottom w:val="single" w:sz="4" w:space="0" w:color="FFFFFF" w:themeColor="background1"/>
            </w:tcBorders>
          </w:tcPr>
          <w:p w14:paraId="0C727819" w14:textId="77777777" w:rsidR="00F61D46" w:rsidRPr="006A6CE1" w:rsidRDefault="00F61D46" w:rsidP="00D45429">
            <w:pPr>
              <w:pStyle w:val="ECCTableHeaderwhitefont"/>
              <w:spacing w:before="120" w:after="120"/>
              <w:rPr>
                <w:lang w:val="en-GB"/>
              </w:rPr>
            </w:pPr>
            <w:r w:rsidRPr="006A6CE1">
              <w:rPr>
                <w:lang w:val="en-GB"/>
              </w:rPr>
              <w:t>Maximum mean e.i.r.p. spectral density (Note 2)</w:t>
            </w:r>
          </w:p>
        </w:tc>
        <w:tc>
          <w:tcPr>
            <w:tcW w:w="1178" w:type="pct"/>
            <w:tcBorders>
              <w:bottom w:val="single" w:sz="4" w:space="0" w:color="FFFFFF" w:themeColor="background1"/>
            </w:tcBorders>
          </w:tcPr>
          <w:p w14:paraId="1E7611C1" w14:textId="77777777" w:rsidR="00F61D46" w:rsidRPr="006A6CE1" w:rsidRDefault="00F61D46" w:rsidP="00F61D46">
            <w:pPr>
              <w:pStyle w:val="ECCTableHeaderwhitefont"/>
              <w:rPr>
                <w:lang w:val="en-GB"/>
              </w:rPr>
            </w:pPr>
            <w:r w:rsidRPr="006A6CE1">
              <w:rPr>
                <w:lang w:val="en-GB"/>
              </w:rPr>
              <w:t>Maximum peak e.i.r.p. (Note 3)</w:t>
            </w:r>
          </w:p>
        </w:tc>
        <w:tc>
          <w:tcPr>
            <w:tcW w:w="1232" w:type="pct"/>
            <w:tcBorders>
              <w:bottom w:val="single" w:sz="4" w:space="0" w:color="FFFFFF" w:themeColor="background1"/>
            </w:tcBorders>
          </w:tcPr>
          <w:p w14:paraId="3293D535" w14:textId="77777777" w:rsidR="00F61D46" w:rsidRPr="006A6CE1" w:rsidRDefault="00F61D46" w:rsidP="00D45429">
            <w:pPr>
              <w:pStyle w:val="ECCTableHeaderwhitefont"/>
              <w:spacing w:before="120" w:after="120"/>
              <w:rPr>
                <w:lang w:val="en-GB"/>
              </w:rPr>
            </w:pPr>
            <w:r w:rsidRPr="006A6CE1">
              <w:rPr>
                <w:lang w:val="en-GB"/>
              </w:rPr>
              <w:t>Minimum unwanted emissions attenuation (Note 1)</w:t>
            </w:r>
          </w:p>
        </w:tc>
      </w:tr>
      <w:tr w:rsidR="00206388" w:rsidRPr="006A6CE1" w14:paraId="2B4A10BB" w14:textId="77777777" w:rsidTr="00697BE5">
        <w:trPr>
          <w:gridAfter w:val="1"/>
          <w:wAfter w:w="7" w:type="pct"/>
        </w:trPr>
        <w:tc>
          <w:tcPr>
            <w:tcW w:w="881" w:type="pct"/>
            <w:tcBorders>
              <w:top w:val="nil"/>
              <w:left w:val="single" w:sz="4" w:space="0" w:color="FFFFFF" w:themeColor="background1"/>
              <w:bottom w:val="single" w:sz="4" w:space="0" w:color="FFFFFF" w:themeColor="background1"/>
              <w:right w:val="single" w:sz="4" w:space="0" w:color="FFFFFF" w:themeColor="background1"/>
            </w:tcBorders>
            <w:shd w:val="clear" w:color="auto" w:fill="D2232A"/>
          </w:tcPr>
          <w:p w14:paraId="4B363BDC" w14:textId="77777777" w:rsidR="00F61D46" w:rsidRPr="00F526F5" w:rsidRDefault="00F61D46" w:rsidP="00F526F5">
            <w:pPr>
              <w:pStyle w:val="ECCTableHeaderwhitefont"/>
              <w:rPr>
                <w:lang w:val="en-GB"/>
              </w:rPr>
            </w:pPr>
          </w:p>
        </w:tc>
        <w:tc>
          <w:tcPr>
            <w:tcW w:w="6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AA339DD" w14:textId="77777777" w:rsidR="00F61D46" w:rsidRPr="00206388" w:rsidRDefault="00F61D46" w:rsidP="00206388">
            <w:pPr>
              <w:pStyle w:val="ECCTabletext"/>
              <w:jc w:val="center"/>
              <w:rPr>
                <w:b/>
                <w:bCs/>
                <w:color w:val="FFFFFF" w:themeColor="background1"/>
              </w:rPr>
            </w:pPr>
            <w:r w:rsidRPr="00206388">
              <w:rPr>
                <w:b/>
                <w:bCs/>
                <w:color w:val="FFFFFF" w:themeColor="background1"/>
              </w:rPr>
              <w:t>A</w:t>
            </w:r>
          </w:p>
        </w:tc>
        <w:tc>
          <w:tcPr>
            <w:tcW w:w="10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2EFD668" w14:textId="77777777" w:rsidR="00F61D46" w:rsidRPr="00206388" w:rsidRDefault="00F61D46" w:rsidP="00206388">
            <w:pPr>
              <w:pStyle w:val="ECCTabletext"/>
              <w:jc w:val="center"/>
              <w:rPr>
                <w:b/>
                <w:bCs/>
                <w:color w:val="FFFFFF" w:themeColor="background1"/>
              </w:rPr>
            </w:pPr>
            <w:r w:rsidRPr="00206388">
              <w:rPr>
                <w:b/>
                <w:bCs/>
                <w:color w:val="FFFFFF" w:themeColor="background1"/>
              </w:rPr>
              <w:t>B</w:t>
            </w:r>
          </w:p>
        </w:tc>
        <w:tc>
          <w:tcPr>
            <w:tcW w:w="11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6014F31" w14:textId="77777777" w:rsidR="00F61D46" w:rsidRPr="00206388" w:rsidRDefault="00F61D46" w:rsidP="00206388">
            <w:pPr>
              <w:pStyle w:val="ECCTabletext"/>
              <w:jc w:val="center"/>
              <w:rPr>
                <w:b/>
                <w:bCs/>
                <w:color w:val="FFFFFF" w:themeColor="background1"/>
              </w:rPr>
            </w:pPr>
            <w:r w:rsidRPr="00206388">
              <w:rPr>
                <w:b/>
                <w:bCs/>
                <w:color w:val="FFFFFF" w:themeColor="background1"/>
              </w:rPr>
              <w:t>C</w:t>
            </w:r>
          </w:p>
        </w:tc>
        <w:tc>
          <w:tcPr>
            <w:tcW w:w="12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B47C480" w14:textId="77777777" w:rsidR="00F61D46" w:rsidRPr="00206388" w:rsidRDefault="00F61D46" w:rsidP="00206388">
            <w:pPr>
              <w:pStyle w:val="ECCTabletext"/>
              <w:jc w:val="center"/>
              <w:rPr>
                <w:b/>
                <w:bCs/>
                <w:color w:val="FFFFFF" w:themeColor="background1"/>
              </w:rPr>
            </w:pPr>
            <w:r w:rsidRPr="00206388">
              <w:rPr>
                <w:b/>
                <w:bCs/>
                <w:color w:val="FFFFFF" w:themeColor="background1"/>
              </w:rPr>
              <w:t>D</w:t>
            </w:r>
          </w:p>
        </w:tc>
      </w:tr>
      <w:tr w:rsidR="00206388" w:rsidRPr="006A6CE1" w14:paraId="1322A2B9" w14:textId="77777777" w:rsidTr="00697BE5">
        <w:trPr>
          <w:gridAfter w:val="1"/>
          <w:wAfter w:w="7" w:type="pct"/>
        </w:trPr>
        <w:tc>
          <w:tcPr>
            <w:tcW w:w="881" w:type="pct"/>
            <w:tcBorders>
              <w:top w:val="single" w:sz="4" w:space="0" w:color="FFFFFF" w:themeColor="background1"/>
            </w:tcBorders>
          </w:tcPr>
          <w:p w14:paraId="5370B28B" w14:textId="12433146" w:rsidR="00F61D46" w:rsidRPr="006A6CE1" w:rsidRDefault="00F61D46" w:rsidP="00F61D46">
            <w:pPr>
              <w:pStyle w:val="ECCTabletext"/>
              <w:jc w:val="left"/>
            </w:pPr>
            <w:r w:rsidRPr="006A6CE1">
              <w:t>116</w:t>
            </w:r>
            <w:r w:rsidR="00F526F5">
              <w:t>-</w:t>
            </w:r>
            <w:r w:rsidRPr="006A6CE1">
              <w:t>148.5</w:t>
            </w:r>
            <w:r w:rsidR="00697BE5">
              <w:t xml:space="preserve"> </w:t>
            </w:r>
            <w:r w:rsidRPr="006A6CE1">
              <w:t>GHz</w:t>
            </w:r>
          </w:p>
        </w:tc>
        <w:tc>
          <w:tcPr>
            <w:tcW w:w="692" w:type="pct"/>
            <w:tcBorders>
              <w:top w:val="single" w:sz="4" w:space="0" w:color="FFFFFF" w:themeColor="background1"/>
            </w:tcBorders>
          </w:tcPr>
          <w:p w14:paraId="257E6BD2" w14:textId="77777777" w:rsidR="00F61D46" w:rsidRPr="006A6CE1" w:rsidRDefault="00F61D46" w:rsidP="00F61D46">
            <w:pPr>
              <w:pStyle w:val="ECCTabletext"/>
              <w:jc w:val="left"/>
            </w:pPr>
            <w:r w:rsidRPr="006A6CE1">
              <w:t>10%</w:t>
            </w:r>
          </w:p>
        </w:tc>
        <w:tc>
          <w:tcPr>
            <w:tcW w:w="1010" w:type="pct"/>
            <w:tcBorders>
              <w:top w:val="single" w:sz="4" w:space="0" w:color="FFFFFF" w:themeColor="background1"/>
            </w:tcBorders>
          </w:tcPr>
          <w:p w14:paraId="7DFB0B49" w14:textId="77777777" w:rsidR="00F61D46" w:rsidRPr="006A6CE1" w:rsidRDefault="00F61D46" w:rsidP="00F61D46">
            <w:pPr>
              <w:pStyle w:val="ECCTabletext"/>
              <w:jc w:val="left"/>
            </w:pPr>
            <w:r w:rsidRPr="006A6CE1">
              <w:t>-32.6 dBm/MHz</w:t>
            </w:r>
          </w:p>
        </w:tc>
        <w:tc>
          <w:tcPr>
            <w:tcW w:w="1178" w:type="pct"/>
            <w:tcBorders>
              <w:top w:val="single" w:sz="4" w:space="0" w:color="FFFFFF" w:themeColor="background1"/>
            </w:tcBorders>
            <w:shd w:val="clear" w:color="auto" w:fill="auto"/>
          </w:tcPr>
          <w:p w14:paraId="22ECF1F9" w14:textId="77777777" w:rsidR="00F61D46" w:rsidRPr="006A6CE1" w:rsidRDefault="00F61D46" w:rsidP="00F61D46">
            <w:pPr>
              <w:pStyle w:val="ECCTabletext"/>
              <w:jc w:val="left"/>
            </w:pPr>
            <w:r w:rsidRPr="006A6CE1">
              <w:t>15 dBm</w:t>
            </w:r>
          </w:p>
        </w:tc>
        <w:tc>
          <w:tcPr>
            <w:tcW w:w="1232" w:type="pct"/>
            <w:tcBorders>
              <w:top w:val="single" w:sz="4" w:space="0" w:color="FFFFFF" w:themeColor="background1"/>
            </w:tcBorders>
          </w:tcPr>
          <w:p w14:paraId="770B9A12" w14:textId="77777777" w:rsidR="00F61D46" w:rsidRPr="006A6CE1" w:rsidRDefault="00F61D46" w:rsidP="00F61D46">
            <w:pPr>
              <w:pStyle w:val="ECCTabletext"/>
              <w:jc w:val="left"/>
            </w:pPr>
            <w:r w:rsidRPr="006A6CE1">
              <w:t>20 dB</w:t>
            </w:r>
          </w:p>
        </w:tc>
      </w:tr>
      <w:tr w:rsidR="00697BE5" w:rsidRPr="006A6CE1" w14:paraId="21DBA486" w14:textId="77777777" w:rsidTr="00655EBB">
        <w:trPr>
          <w:gridAfter w:val="1"/>
          <w:wAfter w:w="7" w:type="pct"/>
        </w:trPr>
        <w:tc>
          <w:tcPr>
            <w:tcW w:w="881" w:type="pct"/>
          </w:tcPr>
          <w:p w14:paraId="32C94230" w14:textId="62E7DFCB" w:rsidR="00F61D46" w:rsidRPr="006A6CE1" w:rsidRDefault="00F61D46" w:rsidP="00F61D46">
            <w:pPr>
              <w:pStyle w:val="ECCTabletext"/>
              <w:jc w:val="left"/>
            </w:pPr>
            <w:r w:rsidRPr="006A6CE1">
              <w:t>167</w:t>
            </w:r>
            <w:r w:rsidR="00206388">
              <w:t>-</w:t>
            </w:r>
            <w:r w:rsidRPr="006A6CE1">
              <w:t>182 GHz</w:t>
            </w:r>
          </w:p>
        </w:tc>
        <w:tc>
          <w:tcPr>
            <w:tcW w:w="692" w:type="pct"/>
          </w:tcPr>
          <w:p w14:paraId="6DFD0101" w14:textId="77777777" w:rsidR="00F61D46" w:rsidRPr="006A6CE1" w:rsidRDefault="00F61D46" w:rsidP="00F61D46">
            <w:pPr>
              <w:pStyle w:val="ECCTabletext"/>
              <w:jc w:val="left"/>
            </w:pPr>
            <w:r w:rsidRPr="006A6CE1">
              <w:t>10%</w:t>
            </w:r>
          </w:p>
        </w:tc>
        <w:tc>
          <w:tcPr>
            <w:tcW w:w="1010" w:type="pct"/>
          </w:tcPr>
          <w:p w14:paraId="1E1C6DD7" w14:textId="77777777" w:rsidR="00F61D46" w:rsidRPr="006A6CE1" w:rsidRDefault="00F61D46" w:rsidP="00F61D46">
            <w:pPr>
              <w:pStyle w:val="ECCTabletext"/>
              <w:jc w:val="left"/>
            </w:pPr>
            <w:r w:rsidRPr="006A6CE1">
              <w:t>-29.0 dBm/MHz</w:t>
            </w:r>
          </w:p>
        </w:tc>
        <w:tc>
          <w:tcPr>
            <w:tcW w:w="1178" w:type="pct"/>
            <w:shd w:val="clear" w:color="auto" w:fill="auto"/>
          </w:tcPr>
          <w:p w14:paraId="43AE88ED" w14:textId="77777777" w:rsidR="00F61D46" w:rsidRPr="006A6CE1" w:rsidRDefault="00F61D46" w:rsidP="00F61D46">
            <w:pPr>
              <w:pStyle w:val="ECCTabletext"/>
              <w:jc w:val="left"/>
            </w:pPr>
            <w:r w:rsidRPr="006A6CE1">
              <w:t>15 dBm</w:t>
            </w:r>
          </w:p>
        </w:tc>
        <w:tc>
          <w:tcPr>
            <w:tcW w:w="1232" w:type="pct"/>
          </w:tcPr>
          <w:p w14:paraId="19C7D24D" w14:textId="77777777" w:rsidR="00F61D46" w:rsidRPr="006A6CE1" w:rsidRDefault="00F61D46" w:rsidP="00F61D46">
            <w:pPr>
              <w:pStyle w:val="ECCTabletext"/>
              <w:jc w:val="left"/>
            </w:pPr>
            <w:r w:rsidRPr="006A6CE1">
              <w:t>20 dB</w:t>
            </w:r>
          </w:p>
        </w:tc>
      </w:tr>
      <w:tr w:rsidR="00697BE5" w:rsidRPr="006A6CE1" w14:paraId="133A54BC" w14:textId="77777777" w:rsidTr="00655EBB">
        <w:trPr>
          <w:gridAfter w:val="1"/>
          <w:wAfter w:w="7" w:type="pct"/>
        </w:trPr>
        <w:tc>
          <w:tcPr>
            <w:tcW w:w="881" w:type="pct"/>
          </w:tcPr>
          <w:p w14:paraId="02436646" w14:textId="36C60CF8" w:rsidR="00F61D46" w:rsidRPr="006A6CE1" w:rsidRDefault="00F61D46" w:rsidP="00F61D46">
            <w:pPr>
              <w:pStyle w:val="ECCTabletext"/>
              <w:jc w:val="left"/>
            </w:pPr>
            <w:r w:rsidRPr="006A6CE1">
              <w:t>231.5</w:t>
            </w:r>
            <w:r w:rsidR="00206388">
              <w:t>-</w:t>
            </w:r>
            <w:r w:rsidRPr="006A6CE1">
              <w:t>250</w:t>
            </w:r>
            <w:r w:rsidR="00697BE5">
              <w:t xml:space="preserve"> </w:t>
            </w:r>
            <w:r w:rsidRPr="006A6CE1">
              <w:t>GHz</w:t>
            </w:r>
          </w:p>
        </w:tc>
        <w:tc>
          <w:tcPr>
            <w:tcW w:w="692" w:type="pct"/>
          </w:tcPr>
          <w:p w14:paraId="6EB74ABE" w14:textId="77777777" w:rsidR="00F61D46" w:rsidRPr="006A6CE1" w:rsidRDefault="00F61D46" w:rsidP="00F61D46">
            <w:pPr>
              <w:pStyle w:val="ECCTabletext"/>
              <w:jc w:val="left"/>
            </w:pPr>
            <w:r w:rsidRPr="006A6CE1">
              <w:t>10%</w:t>
            </w:r>
          </w:p>
        </w:tc>
        <w:tc>
          <w:tcPr>
            <w:tcW w:w="1010" w:type="pct"/>
          </w:tcPr>
          <w:p w14:paraId="08BB4787" w14:textId="77777777" w:rsidR="00F61D46" w:rsidRPr="006A6CE1" w:rsidRDefault="00F61D46" w:rsidP="00F61D46">
            <w:pPr>
              <w:pStyle w:val="ECCTabletext"/>
              <w:jc w:val="left"/>
            </w:pPr>
            <w:r w:rsidRPr="006A6CE1">
              <w:t>-23.0 dBm/MHz</w:t>
            </w:r>
          </w:p>
        </w:tc>
        <w:tc>
          <w:tcPr>
            <w:tcW w:w="1178" w:type="pct"/>
            <w:shd w:val="clear" w:color="auto" w:fill="auto"/>
          </w:tcPr>
          <w:p w14:paraId="13B3AAD6" w14:textId="77777777" w:rsidR="00F61D46" w:rsidRPr="006A6CE1" w:rsidRDefault="00F61D46" w:rsidP="00F61D46">
            <w:pPr>
              <w:pStyle w:val="ECCTabletext"/>
              <w:jc w:val="left"/>
            </w:pPr>
            <w:r w:rsidRPr="006A6CE1">
              <w:t>15 dBm</w:t>
            </w:r>
          </w:p>
        </w:tc>
        <w:tc>
          <w:tcPr>
            <w:tcW w:w="1232" w:type="pct"/>
          </w:tcPr>
          <w:p w14:paraId="6EAD8E55" w14:textId="77777777" w:rsidR="00F61D46" w:rsidRPr="006A6CE1" w:rsidRDefault="00F61D46" w:rsidP="00F61D46">
            <w:pPr>
              <w:pStyle w:val="ECCTabletext"/>
              <w:jc w:val="left"/>
            </w:pPr>
            <w:r w:rsidRPr="006A6CE1">
              <w:t>20 dB</w:t>
            </w:r>
          </w:p>
        </w:tc>
      </w:tr>
      <w:tr w:rsidR="00F61D46" w:rsidRPr="006A6CE1" w14:paraId="449E682A" w14:textId="77777777" w:rsidTr="00206388">
        <w:tc>
          <w:tcPr>
            <w:tcW w:w="5000" w:type="pct"/>
            <w:gridSpan w:val="6"/>
          </w:tcPr>
          <w:p w14:paraId="3FD15B88" w14:textId="39DEFACC" w:rsidR="00F61D46" w:rsidRPr="006A6CE1" w:rsidRDefault="00F61D46" w:rsidP="00FB1932">
            <w:pPr>
              <w:pStyle w:val="ECCTablenote"/>
            </w:pPr>
            <w:r w:rsidRPr="006A6CE1">
              <w:t xml:space="preserve">Note 1: The operating frequency range (OFR) is defined over the 20 dB reduction of the </w:t>
            </w:r>
            <w:r w:rsidR="004715A8" w:rsidRPr="00722141">
              <w:t>intentional transmission</w:t>
            </w:r>
            <w:r w:rsidRPr="006A6CE1">
              <w:t xml:space="preserve"> (</w:t>
            </w:r>
            <w:r w:rsidR="00A068F7">
              <w:t>“</w:t>
            </w:r>
            <w:r w:rsidRPr="006A6CE1">
              <w:t>20 dB bandwidth</w:t>
            </w:r>
            <w:r w:rsidR="00A068F7">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5DB142D3" w14:textId="77777777" w:rsidR="00F61D46" w:rsidRPr="006A6CE1" w:rsidRDefault="00F61D46" w:rsidP="00FB1932">
            <w:pPr>
              <w:pStyle w:val="ECCTablenote"/>
            </w:pPr>
            <w:r w:rsidRPr="006A6CE1">
              <w:t>Note 2: The duty cycle of 10% is already included in this mean e.i.r.p. value. Consequently, the given maximum mean e.i.r.p. spectral density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p>
          <w:p w14:paraId="745D915C" w14:textId="086CC638" w:rsidR="00F61D46" w:rsidRPr="006A6CE1" w:rsidRDefault="00F61D46" w:rsidP="00FB1932">
            <w:pPr>
              <w:pStyle w:val="ECCTablenote"/>
            </w:pPr>
            <w:r w:rsidRPr="006A6CE1">
              <w:t>Note 3: The max</w:t>
            </w:r>
            <w:r w:rsidR="004715A8">
              <w:t>imum</w:t>
            </w:r>
            <w:r w:rsidRPr="006A6CE1">
              <w:t xml:space="preserve"> peak e.i.r.p. shall be measured/evaluated in 1 GHz bandwidth.</w:t>
            </w:r>
          </w:p>
        </w:tc>
      </w:tr>
    </w:tbl>
    <w:p w14:paraId="3223BB58" w14:textId="68DA0F07" w:rsidR="00F61D46" w:rsidRPr="006A6CE1" w:rsidRDefault="00F61D46" w:rsidP="00F61D46">
      <w:pPr>
        <w:pStyle w:val="Caption"/>
        <w:rPr>
          <w:lang w:val="en-GB"/>
        </w:rPr>
      </w:pPr>
      <w:bookmarkStart w:id="38" w:name="_Ref65592335"/>
      <w:r w:rsidRPr="006A6CE1">
        <w:rPr>
          <w:lang w:val="en-GB"/>
        </w:rPr>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8</w:t>
      </w:r>
      <w:r w:rsidRPr="006A6CE1">
        <w:rPr>
          <w:lang w:val="en-GB"/>
        </w:rPr>
        <w:fldChar w:fldCharType="end"/>
      </w:r>
      <w:bookmarkEnd w:id="38"/>
      <w:r w:rsidRPr="006A6CE1">
        <w:rPr>
          <w:lang w:val="en-GB"/>
        </w:rPr>
        <w:t>: Technical requirements for M-CDR and PA-CDR devices in the designated bands</w:t>
      </w:r>
    </w:p>
    <w:tbl>
      <w:tblPr>
        <w:tblStyle w:val="ECCTable-redheader"/>
        <w:tblW w:w="8642" w:type="dxa"/>
        <w:tblInd w:w="0" w:type="dxa"/>
        <w:tblLook w:val="04A0" w:firstRow="1" w:lastRow="0" w:firstColumn="1" w:lastColumn="0" w:noHBand="0" w:noVBand="1"/>
      </w:tblPr>
      <w:tblGrid>
        <w:gridCol w:w="1669"/>
        <w:gridCol w:w="1233"/>
        <w:gridCol w:w="1891"/>
        <w:gridCol w:w="1751"/>
        <w:gridCol w:w="2098"/>
      </w:tblGrid>
      <w:tr w:rsidR="00F61D46" w:rsidRPr="006A6CE1" w14:paraId="1F8639A9" w14:textId="77777777" w:rsidTr="00206388">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FFFFFF" w:themeColor="background1"/>
              <w:left w:val="single" w:sz="4" w:space="0" w:color="FFFFFF" w:themeColor="background1"/>
              <w:bottom w:val="nil"/>
            </w:tcBorders>
          </w:tcPr>
          <w:p w14:paraId="1FD6E960" w14:textId="77777777" w:rsidR="00F61D46" w:rsidRPr="006A6CE1" w:rsidRDefault="00F61D46" w:rsidP="005E2FC7">
            <w:pPr>
              <w:pStyle w:val="ECCTableHeaderwhitefont"/>
              <w:spacing w:before="120"/>
              <w:rPr>
                <w:lang w:val="en-GB"/>
              </w:rPr>
            </w:pPr>
            <w:r w:rsidRPr="006A6CE1">
              <w:rPr>
                <w:lang w:val="en-GB"/>
              </w:rPr>
              <w:t>Designated frequency band</w:t>
            </w:r>
          </w:p>
        </w:tc>
        <w:tc>
          <w:tcPr>
            <w:tcW w:w="0" w:type="dxa"/>
            <w:tcBorders>
              <w:bottom w:val="single" w:sz="4" w:space="0" w:color="FFFFFF" w:themeColor="background1"/>
            </w:tcBorders>
          </w:tcPr>
          <w:p w14:paraId="12C3C984" w14:textId="77777777" w:rsidR="00F61D46" w:rsidRPr="006A6CE1" w:rsidRDefault="00F61D46" w:rsidP="00F61D46">
            <w:pPr>
              <w:pStyle w:val="ECCTableHeaderwhitefont"/>
              <w:rPr>
                <w:lang w:val="en-GB"/>
              </w:rPr>
            </w:pPr>
            <w:r w:rsidRPr="006A6CE1">
              <w:rPr>
                <w:lang w:val="en-GB"/>
              </w:rPr>
              <w:t>Maximum duty cycle</w:t>
            </w:r>
          </w:p>
        </w:tc>
        <w:tc>
          <w:tcPr>
            <w:tcW w:w="0" w:type="dxa"/>
            <w:tcBorders>
              <w:bottom w:val="single" w:sz="4" w:space="0" w:color="FFFFFF" w:themeColor="background1"/>
            </w:tcBorders>
          </w:tcPr>
          <w:p w14:paraId="7C1684EC" w14:textId="77777777" w:rsidR="00F61D46" w:rsidRPr="006A6CE1" w:rsidRDefault="00F61D46" w:rsidP="00D45429">
            <w:pPr>
              <w:pStyle w:val="ECCTableHeaderwhitefont"/>
              <w:spacing w:before="120" w:after="120"/>
              <w:rPr>
                <w:lang w:val="en-GB"/>
              </w:rPr>
            </w:pPr>
            <w:r w:rsidRPr="006A6CE1">
              <w:rPr>
                <w:lang w:val="en-GB"/>
              </w:rPr>
              <w:t>Maximum mean e.i.r.p. spectral density (Note 2)</w:t>
            </w:r>
          </w:p>
        </w:tc>
        <w:tc>
          <w:tcPr>
            <w:tcW w:w="0" w:type="dxa"/>
            <w:tcBorders>
              <w:bottom w:val="single" w:sz="4" w:space="0" w:color="FFFFFF" w:themeColor="background1"/>
            </w:tcBorders>
          </w:tcPr>
          <w:p w14:paraId="06F645E1" w14:textId="77777777" w:rsidR="00F61D46" w:rsidRPr="006A6CE1" w:rsidRDefault="00F61D46" w:rsidP="00F61D46">
            <w:pPr>
              <w:pStyle w:val="ECCTableHeaderwhitefont"/>
              <w:rPr>
                <w:lang w:val="en-GB"/>
              </w:rPr>
            </w:pPr>
            <w:r w:rsidRPr="006A6CE1">
              <w:rPr>
                <w:lang w:val="en-GB"/>
              </w:rPr>
              <w:t>Maximum peak e.i.r.p. (Note 3)</w:t>
            </w:r>
          </w:p>
        </w:tc>
        <w:tc>
          <w:tcPr>
            <w:tcW w:w="0" w:type="dxa"/>
            <w:tcBorders>
              <w:bottom w:val="single" w:sz="4" w:space="0" w:color="FFFFFF" w:themeColor="background1"/>
            </w:tcBorders>
          </w:tcPr>
          <w:p w14:paraId="30E36AD5" w14:textId="77777777" w:rsidR="00F61D46" w:rsidRPr="006A6CE1" w:rsidRDefault="00F61D46" w:rsidP="00D45429">
            <w:pPr>
              <w:pStyle w:val="ECCTableHeaderwhitefont"/>
              <w:spacing w:before="120" w:after="120"/>
              <w:rPr>
                <w:lang w:val="en-GB"/>
              </w:rPr>
            </w:pPr>
            <w:r w:rsidRPr="006A6CE1">
              <w:rPr>
                <w:lang w:val="en-GB"/>
              </w:rPr>
              <w:t>Minimum unwanted emissions attenuation (Note 1)</w:t>
            </w:r>
          </w:p>
        </w:tc>
      </w:tr>
      <w:tr w:rsidR="00F61D46" w:rsidRPr="006A6CE1" w14:paraId="62800ACC" w14:textId="77777777" w:rsidTr="00206388">
        <w:tc>
          <w:tcPr>
            <w:tcW w:w="0" w:type="dxa"/>
            <w:tcBorders>
              <w:top w:val="nil"/>
              <w:left w:val="single" w:sz="4" w:space="0" w:color="FFFFFF" w:themeColor="background1"/>
              <w:bottom w:val="single" w:sz="4" w:space="0" w:color="FFFFFF" w:themeColor="background1"/>
              <w:right w:val="single" w:sz="4" w:space="0" w:color="FFFFFF" w:themeColor="background1"/>
            </w:tcBorders>
            <w:shd w:val="clear" w:color="auto" w:fill="D2232A"/>
          </w:tcPr>
          <w:p w14:paraId="7B5EB86C" w14:textId="77777777" w:rsidR="00F61D46" w:rsidRPr="00F526F5" w:rsidRDefault="00F61D46" w:rsidP="00F526F5">
            <w:pPr>
              <w:pStyle w:val="ECCTableHeaderwhitefont"/>
              <w:rPr>
                <w:lang w:val="en-GB"/>
              </w:rPr>
            </w:pP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BD5F1A1" w14:textId="77777777" w:rsidR="00F61D46" w:rsidRPr="00206388" w:rsidRDefault="00F61D46" w:rsidP="00206388">
            <w:pPr>
              <w:pStyle w:val="ECCTabletext"/>
              <w:jc w:val="center"/>
              <w:rPr>
                <w:b/>
                <w:bCs/>
                <w:color w:val="FFFFFF" w:themeColor="background1"/>
              </w:rPr>
            </w:pPr>
            <w:r w:rsidRPr="00206388">
              <w:rPr>
                <w:b/>
                <w:bCs/>
                <w:color w:val="FFFFFF" w:themeColor="background1"/>
              </w:rPr>
              <w:t>A</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A3AAFE" w14:textId="77777777" w:rsidR="00F61D46" w:rsidRPr="00206388" w:rsidRDefault="00F61D46" w:rsidP="00206388">
            <w:pPr>
              <w:pStyle w:val="ECCTabletext"/>
              <w:jc w:val="center"/>
              <w:rPr>
                <w:b/>
                <w:bCs/>
                <w:color w:val="FFFFFF" w:themeColor="background1"/>
              </w:rPr>
            </w:pPr>
            <w:r w:rsidRPr="00206388">
              <w:rPr>
                <w:b/>
                <w:bCs/>
                <w:color w:val="FFFFFF" w:themeColor="background1"/>
              </w:rPr>
              <w:t>B</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6E3B5B3" w14:textId="77777777" w:rsidR="00F61D46" w:rsidRPr="00206388" w:rsidRDefault="00F61D46" w:rsidP="00206388">
            <w:pPr>
              <w:pStyle w:val="ECCTabletext"/>
              <w:jc w:val="center"/>
              <w:rPr>
                <w:b/>
                <w:bCs/>
                <w:color w:val="FFFFFF" w:themeColor="background1"/>
              </w:rPr>
            </w:pPr>
            <w:r w:rsidRPr="00206388">
              <w:rPr>
                <w:b/>
                <w:bCs/>
                <w:color w:val="FFFFFF" w:themeColor="background1"/>
              </w:rPr>
              <w:t>C</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8BE95A8" w14:textId="77777777" w:rsidR="00F61D46" w:rsidRPr="00206388" w:rsidRDefault="00F61D46" w:rsidP="00206388">
            <w:pPr>
              <w:pStyle w:val="ECCTabletext"/>
              <w:jc w:val="center"/>
              <w:rPr>
                <w:b/>
                <w:bCs/>
                <w:color w:val="FFFFFF" w:themeColor="background1"/>
              </w:rPr>
            </w:pPr>
            <w:r w:rsidRPr="00206388">
              <w:rPr>
                <w:b/>
                <w:bCs/>
                <w:color w:val="FFFFFF" w:themeColor="background1"/>
              </w:rPr>
              <w:t>D</w:t>
            </w:r>
          </w:p>
        </w:tc>
      </w:tr>
      <w:tr w:rsidR="00F61D46" w:rsidRPr="006A6CE1" w14:paraId="4A23E118" w14:textId="77777777" w:rsidTr="00206388">
        <w:tc>
          <w:tcPr>
            <w:tcW w:w="0" w:type="dxa"/>
            <w:tcBorders>
              <w:top w:val="single" w:sz="4" w:space="0" w:color="FFFFFF" w:themeColor="background1"/>
            </w:tcBorders>
          </w:tcPr>
          <w:p w14:paraId="652B19DC" w14:textId="3C942FAD" w:rsidR="00F61D46" w:rsidRPr="006A6CE1" w:rsidRDefault="00F61D46" w:rsidP="00F61D46">
            <w:pPr>
              <w:pStyle w:val="ECCTabletext"/>
              <w:jc w:val="left"/>
            </w:pPr>
            <w:r w:rsidRPr="006A6CE1">
              <w:t>116</w:t>
            </w:r>
            <w:r w:rsidR="00206388">
              <w:t>-</w:t>
            </w:r>
            <w:r w:rsidRPr="006A6CE1">
              <w:t>148.5 GHz</w:t>
            </w:r>
          </w:p>
        </w:tc>
        <w:tc>
          <w:tcPr>
            <w:tcW w:w="0" w:type="dxa"/>
            <w:tcBorders>
              <w:top w:val="single" w:sz="4" w:space="0" w:color="FFFFFF" w:themeColor="background1"/>
            </w:tcBorders>
          </w:tcPr>
          <w:p w14:paraId="418C0063" w14:textId="77777777" w:rsidR="00F61D46" w:rsidRPr="006A6CE1" w:rsidRDefault="00F61D46" w:rsidP="00F61D46">
            <w:pPr>
              <w:pStyle w:val="ECCTabletext"/>
              <w:jc w:val="left"/>
            </w:pPr>
            <w:r w:rsidRPr="006A6CE1">
              <w:t>10%</w:t>
            </w:r>
          </w:p>
        </w:tc>
        <w:tc>
          <w:tcPr>
            <w:tcW w:w="0" w:type="dxa"/>
            <w:tcBorders>
              <w:top w:val="single" w:sz="4" w:space="0" w:color="FFFFFF" w:themeColor="background1"/>
            </w:tcBorders>
            <w:shd w:val="clear" w:color="auto" w:fill="auto"/>
          </w:tcPr>
          <w:p w14:paraId="32F7AC49" w14:textId="77777777" w:rsidR="00F61D46" w:rsidRPr="006A6CE1" w:rsidRDefault="00F61D46" w:rsidP="00F61D46">
            <w:pPr>
              <w:rPr>
                <w:lang w:val="en-GB"/>
              </w:rPr>
            </w:pPr>
            <w:r w:rsidRPr="006A6CE1">
              <w:rPr>
                <w:lang w:val="en-GB"/>
              </w:rPr>
              <w:t>-12.0 dBm/MHz</w:t>
            </w:r>
          </w:p>
        </w:tc>
        <w:tc>
          <w:tcPr>
            <w:tcW w:w="0" w:type="dxa"/>
            <w:tcBorders>
              <w:top w:val="single" w:sz="4" w:space="0" w:color="FFFFFF" w:themeColor="background1"/>
            </w:tcBorders>
            <w:shd w:val="clear" w:color="auto" w:fill="auto"/>
          </w:tcPr>
          <w:p w14:paraId="62992996" w14:textId="77777777" w:rsidR="00F61D46" w:rsidRPr="006A6CE1" w:rsidRDefault="00F61D46" w:rsidP="00F61D46">
            <w:pPr>
              <w:pStyle w:val="ECCTabletext"/>
              <w:jc w:val="left"/>
            </w:pPr>
            <w:r w:rsidRPr="006A6CE1">
              <w:t>28.6 dBm</w:t>
            </w:r>
          </w:p>
        </w:tc>
        <w:tc>
          <w:tcPr>
            <w:tcW w:w="0" w:type="dxa"/>
            <w:tcBorders>
              <w:top w:val="single" w:sz="4" w:space="0" w:color="FFFFFF" w:themeColor="background1"/>
            </w:tcBorders>
          </w:tcPr>
          <w:p w14:paraId="28DD3AC2" w14:textId="77777777" w:rsidR="00F61D46" w:rsidRPr="006A6CE1" w:rsidRDefault="00F61D46" w:rsidP="00F61D46">
            <w:pPr>
              <w:pStyle w:val="ECCTabletext"/>
              <w:jc w:val="left"/>
            </w:pPr>
            <w:r w:rsidRPr="006A6CE1">
              <w:t>20 dB</w:t>
            </w:r>
          </w:p>
        </w:tc>
      </w:tr>
      <w:tr w:rsidR="00F61D46" w:rsidRPr="006A6CE1" w14:paraId="2EFDC5B3" w14:textId="77777777" w:rsidTr="00AC48D9">
        <w:tc>
          <w:tcPr>
            <w:tcW w:w="1669" w:type="dxa"/>
          </w:tcPr>
          <w:p w14:paraId="5D7F2D89" w14:textId="383D9822" w:rsidR="00F61D46" w:rsidRPr="006A6CE1" w:rsidRDefault="00F61D46" w:rsidP="00F61D46">
            <w:pPr>
              <w:pStyle w:val="ECCTabletext"/>
              <w:jc w:val="left"/>
            </w:pPr>
            <w:r w:rsidRPr="006A6CE1">
              <w:t>167</w:t>
            </w:r>
            <w:r w:rsidR="00206388">
              <w:t>-</w:t>
            </w:r>
            <w:r w:rsidRPr="006A6CE1">
              <w:t>182 GHz</w:t>
            </w:r>
          </w:p>
        </w:tc>
        <w:tc>
          <w:tcPr>
            <w:tcW w:w="1233" w:type="dxa"/>
          </w:tcPr>
          <w:p w14:paraId="7302B61C" w14:textId="77777777" w:rsidR="00F61D46" w:rsidRPr="006A6CE1" w:rsidRDefault="00F61D46" w:rsidP="00F61D46">
            <w:pPr>
              <w:pStyle w:val="ECCTabletext"/>
              <w:jc w:val="left"/>
            </w:pPr>
            <w:r w:rsidRPr="006A6CE1">
              <w:t>10%</w:t>
            </w:r>
          </w:p>
        </w:tc>
        <w:tc>
          <w:tcPr>
            <w:tcW w:w="1891" w:type="dxa"/>
            <w:shd w:val="clear" w:color="auto" w:fill="auto"/>
          </w:tcPr>
          <w:p w14:paraId="4A114C1A" w14:textId="77777777" w:rsidR="00F61D46" w:rsidRPr="006A6CE1" w:rsidRDefault="00F61D46" w:rsidP="00F61D46">
            <w:pPr>
              <w:rPr>
                <w:lang w:val="en-GB"/>
              </w:rPr>
            </w:pPr>
            <w:r w:rsidRPr="006A6CE1">
              <w:rPr>
                <w:lang w:val="en-GB"/>
              </w:rPr>
              <w:t>-9.0 dBm/MHz</w:t>
            </w:r>
          </w:p>
        </w:tc>
        <w:tc>
          <w:tcPr>
            <w:tcW w:w="1751" w:type="dxa"/>
            <w:shd w:val="clear" w:color="auto" w:fill="auto"/>
          </w:tcPr>
          <w:p w14:paraId="14A16C12" w14:textId="77777777" w:rsidR="00F61D46" w:rsidRPr="006A6CE1" w:rsidRDefault="00F61D46" w:rsidP="00F61D46">
            <w:pPr>
              <w:pStyle w:val="ECCTabletext"/>
              <w:jc w:val="left"/>
            </w:pPr>
            <w:r w:rsidRPr="006A6CE1">
              <w:t>34.6 dBm</w:t>
            </w:r>
          </w:p>
        </w:tc>
        <w:tc>
          <w:tcPr>
            <w:tcW w:w="2098" w:type="dxa"/>
          </w:tcPr>
          <w:p w14:paraId="0FBBB43A" w14:textId="77777777" w:rsidR="00F61D46" w:rsidRPr="006A6CE1" w:rsidRDefault="00F61D46" w:rsidP="00F61D46">
            <w:pPr>
              <w:pStyle w:val="ECCTabletext"/>
              <w:jc w:val="left"/>
            </w:pPr>
            <w:r w:rsidRPr="006A6CE1">
              <w:t>20 dB</w:t>
            </w:r>
          </w:p>
        </w:tc>
      </w:tr>
      <w:tr w:rsidR="00F61D46" w:rsidRPr="006A6CE1" w14:paraId="7134D80C" w14:textId="77777777" w:rsidTr="00AC48D9">
        <w:tc>
          <w:tcPr>
            <w:tcW w:w="1669" w:type="dxa"/>
          </w:tcPr>
          <w:p w14:paraId="58963972" w14:textId="20A0EC42" w:rsidR="00F61D46" w:rsidRPr="006A6CE1" w:rsidRDefault="00F61D46" w:rsidP="00F61D46">
            <w:pPr>
              <w:pStyle w:val="ECCTabletext"/>
              <w:jc w:val="left"/>
            </w:pPr>
            <w:r w:rsidRPr="006A6CE1">
              <w:t>231.5</w:t>
            </w:r>
            <w:r w:rsidR="00206388">
              <w:t>-</w:t>
            </w:r>
            <w:r w:rsidRPr="006A6CE1">
              <w:t>250 GHz</w:t>
            </w:r>
          </w:p>
        </w:tc>
        <w:tc>
          <w:tcPr>
            <w:tcW w:w="1233" w:type="dxa"/>
          </w:tcPr>
          <w:p w14:paraId="1626A6F4" w14:textId="77777777" w:rsidR="00F61D46" w:rsidRPr="006A6CE1" w:rsidRDefault="00F61D46" w:rsidP="00F61D46">
            <w:pPr>
              <w:pStyle w:val="ECCTabletext"/>
              <w:jc w:val="left"/>
            </w:pPr>
            <w:r w:rsidRPr="006A6CE1">
              <w:t>10%</w:t>
            </w:r>
          </w:p>
        </w:tc>
        <w:tc>
          <w:tcPr>
            <w:tcW w:w="1891" w:type="dxa"/>
            <w:shd w:val="clear" w:color="auto" w:fill="auto"/>
          </w:tcPr>
          <w:p w14:paraId="63DF9EA1" w14:textId="77777777" w:rsidR="00F61D46" w:rsidRPr="006A6CE1" w:rsidRDefault="00F61D46" w:rsidP="00F61D46">
            <w:pPr>
              <w:rPr>
                <w:lang w:val="en-GB"/>
              </w:rPr>
            </w:pPr>
            <w:r w:rsidRPr="006A6CE1">
              <w:rPr>
                <w:lang w:val="en-GB"/>
              </w:rPr>
              <w:t>-6.0 dBm/MHz</w:t>
            </w:r>
          </w:p>
        </w:tc>
        <w:tc>
          <w:tcPr>
            <w:tcW w:w="1751" w:type="dxa"/>
            <w:shd w:val="clear" w:color="auto" w:fill="auto"/>
          </w:tcPr>
          <w:p w14:paraId="14D564FA" w14:textId="77777777" w:rsidR="00F61D46" w:rsidRPr="006A6CE1" w:rsidRDefault="00F61D46" w:rsidP="00F61D46">
            <w:pPr>
              <w:pStyle w:val="ECCTabletext"/>
              <w:jc w:val="left"/>
            </w:pPr>
            <w:r w:rsidRPr="006A6CE1">
              <w:t>37 dBm</w:t>
            </w:r>
          </w:p>
        </w:tc>
        <w:tc>
          <w:tcPr>
            <w:tcW w:w="2098" w:type="dxa"/>
          </w:tcPr>
          <w:p w14:paraId="598F802B" w14:textId="77777777" w:rsidR="00F61D46" w:rsidRPr="006A6CE1" w:rsidRDefault="00F61D46" w:rsidP="00F61D46">
            <w:pPr>
              <w:pStyle w:val="ECCTabletext"/>
              <w:jc w:val="left"/>
            </w:pPr>
            <w:r w:rsidRPr="006A6CE1">
              <w:t>20 dB</w:t>
            </w:r>
          </w:p>
        </w:tc>
      </w:tr>
      <w:tr w:rsidR="00F61D46" w:rsidRPr="006A6CE1" w14:paraId="3A250DCF" w14:textId="77777777" w:rsidTr="00AC48D9">
        <w:tc>
          <w:tcPr>
            <w:tcW w:w="8642" w:type="dxa"/>
            <w:gridSpan w:val="5"/>
          </w:tcPr>
          <w:p w14:paraId="135129D1" w14:textId="3FEF633F" w:rsidR="00F61D46" w:rsidRPr="006A6CE1" w:rsidRDefault="00F61D46" w:rsidP="00FB1932">
            <w:pPr>
              <w:pStyle w:val="ECCTablenote"/>
            </w:pPr>
            <w:r w:rsidRPr="006A6CE1">
              <w:t xml:space="preserve">Note 1: The operating frequency range (OFR) is defined over the 20 dB reduction of the </w:t>
            </w:r>
            <w:r w:rsidR="004715A8" w:rsidRPr="00722141">
              <w:t>intentional transmission</w:t>
            </w:r>
            <w:r w:rsidRPr="006A6CE1">
              <w:t xml:space="preserve"> (</w:t>
            </w:r>
            <w:r w:rsidR="0094556B">
              <w:t>“</w:t>
            </w:r>
            <w:r w:rsidRPr="006A6CE1">
              <w:t>20 dB bandwidth</w:t>
            </w:r>
            <w:r w:rsidR="0094556B">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2BBDE84E" w14:textId="77777777" w:rsidR="00F61D46" w:rsidRPr="006A6CE1" w:rsidRDefault="00F61D46" w:rsidP="00FB1932">
            <w:pPr>
              <w:pStyle w:val="ECCTablenote"/>
            </w:pPr>
            <w:r w:rsidRPr="006A6CE1">
              <w:t>Note 2: The duty cycle of 10% is already included in this mean e.i.r.p. value. Consequently, the given maximum mean e.i.r.p. spectral density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p>
          <w:p w14:paraId="2F85C6B6" w14:textId="099FE363" w:rsidR="00F61D46" w:rsidRPr="006A6CE1" w:rsidRDefault="00F61D46" w:rsidP="00FB1932">
            <w:pPr>
              <w:pStyle w:val="ECCTablenote"/>
            </w:pPr>
            <w:r w:rsidRPr="006A6CE1">
              <w:t>Note 3: The max</w:t>
            </w:r>
            <w:r w:rsidR="004715A8">
              <w:t>imum</w:t>
            </w:r>
            <w:r w:rsidRPr="006A6CE1">
              <w:t xml:space="preserve"> peak e.i.r.p. shall be measured/evaluated in 1 GHz bandwidth.</w:t>
            </w:r>
          </w:p>
        </w:tc>
      </w:tr>
    </w:tbl>
    <w:p w14:paraId="3A8F81EF" w14:textId="77777777" w:rsidR="00F61D46" w:rsidRPr="006A6CE1" w:rsidRDefault="00F61D46" w:rsidP="00F61D46">
      <w:pPr>
        <w:pStyle w:val="ECCBulletsLv1"/>
        <w:numPr>
          <w:ilvl w:val="0"/>
          <w:numId w:val="0"/>
        </w:numPr>
      </w:pPr>
    </w:p>
    <w:p w14:paraId="2E788F75" w14:textId="77777777" w:rsidR="00F61D46" w:rsidRPr="006A6CE1" w:rsidRDefault="00F61D46" w:rsidP="00BE6A39">
      <w:pPr>
        <w:keepNext/>
        <w:spacing w:before="240" w:after="60"/>
        <w:jc w:val="both"/>
        <w:rPr>
          <w:lang w:val="en-GB"/>
        </w:rPr>
      </w:pPr>
      <w:r w:rsidRPr="006A6CE1">
        <w:rPr>
          <w:lang w:val="en-GB"/>
        </w:rPr>
        <w:lastRenderedPageBreak/>
        <w:t>Additional requirements for contour determination and acquisition radars (CDR) to allow licence-exempt use:</w:t>
      </w:r>
    </w:p>
    <w:p w14:paraId="622448FA" w14:textId="77777777" w:rsidR="00F61D46" w:rsidRPr="006A6CE1" w:rsidRDefault="00F61D46" w:rsidP="00BE6A39">
      <w:pPr>
        <w:pStyle w:val="NumberedList"/>
        <w:keepNext/>
        <w:numPr>
          <w:ilvl w:val="0"/>
          <w:numId w:val="21"/>
        </w:numPr>
        <w:spacing w:before="60" w:after="60"/>
      </w:pPr>
      <w:r w:rsidRPr="006A6CE1">
        <w:t>The operation of CDR sensors is envisaged for industrial purposes only;</w:t>
      </w:r>
    </w:p>
    <w:p w14:paraId="251097FB" w14:textId="77777777" w:rsidR="00F61D46" w:rsidRPr="006A6CE1" w:rsidRDefault="00F61D46" w:rsidP="00BE6A39">
      <w:pPr>
        <w:pStyle w:val="NumberedList"/>
        <w:keepNext/>
        <w:numPr>
          <w:ilvl w:val="0"/>
          <w:numId w:val="21"/>
        </w:numPr>
        <w:spacing w:before="60" w:after="60"/>
      </w:pPr>
      <w:r w:rsidRPr="006A6CE1">
        <w:t>Installation and maintenance of CDR equipment shall be performed by professionally trained individuals only;</w:t>
      </w:r>
    </w:p>
    <w:p w14:paraId="08A34703" w14:textId="77777777" w:rsidR="00F61D46" w:rsidRPr="006A6CE1" w:rsidRDefault="00F61D46" w:rsidP="00BE6A39">
      <w:pPr>
        <w:pStyle w:val="NumberedList"/>
        <w:keepNext/>
        <w:numPr>
          <w:ilvl w:val="0"/>
          <w:numId w:val="21"/>
        </w:numPr>
        <w:spacing w:before="60" w:after="60"/>
      </w:pPr>
      <w:r w:rsidRPr="006A6CE1">
        <w:t>CDR equipment shall not be marketed to private end customers;</w:t>
      </w:r>
    </w:p>
    <w:p w14:paraId="7AE7F4DC" w14:textId="77777777" w:rsidR="00F61D46" w:rsidRPr="006A6CE1" w:rsidRDefault="00F61D46" w:rsidP="00BE6A39">
      <w:pPr>
        <w:pStyle w:val="NumberedList"/>
        <w:keepNext/>
        <w:numPr>
          <w:ilvl w:val="0"/>
          <w:numId w:val="21"/>
        </w:numPr>
        <w:spacing w:before="60" w:after="60"/>
      </w:pPr>
      <w:r w:rsidRPr="006A6CE1">
        <w:t>CDR equipment is required to be installed at a permanent fixed position. The equipment shall not operate while being moved;</w:t>
      </w:r>
    </w:p>
    <w:p w14:paraId="2FA993A9" w14:textId="77777777" w:rsidR="00F61D46" w:rsidRPr="006A6CE1" w:rsidRDefault="00F61D46" w:rsidP="00BE6A39">
      <w:pPr>
        <w:pStyle w:val="NumberedList"/>
        <w:keepNext/>
        <w:numPr>
          <w:ilvl w:val="0"/>
          <w:numId w:val="21"/>
        </w:numPr>
        <w:spacing w:before="60" w:after="60"/>
      </w:pPr>
      <w:r w:rsidRPr="006A6CE1">
        <w:t>Installers have to ensure that there are no unwanted obstacles in the main beam of the antenna in order to minimise unintentional reflections and scattering;</w:t>
      </w:r>
    </w:p>
    <w:p w14:paraId="17927810" w14:textId="77777777" w:rsidR="00F61D46" w:rsidRPr="006A6CE1" w:rsidRDefault="00F61D46" w:rsidP="00BE6A39">
      <w:pPr>
        <w:pStyle w:val="NumberedList"/>
        <w:keepNext/>
        <w:numPr>
          <w:ilvl w:val="0"/>
          <w:numId w:val="21"/>
        </w:numPr>
        <w:spacing w:before="60" w:after="60"/>
      </w:pPr>
      <w:r w:rsidRPr="006A6CE1">
        <w:t>The provider is required to inform the users and installers of CDR equipment about the installation requirements and additional special mounting instructions;</w:t>
      </w:r>
    </w:p>
    <w:p w14:paraId="6914C418" w14:textId="77777777" w:rsidR="00F61D46" w:rsidRPr="006A6CE1" w:rsidRDefault="00F61D46" w:rsidP="00BE6A39">
      <w:pPr>
        <w:pStyle w:val="NumberedList"/>
        <w:keepNext/>
        <w:numPr>
          <w:ilvl w:val="0"/>
          <w:numId w:val="21"/>
        </w:numPr>
        <w:spacing w:before="60" w:after="60"/>
      </w:pPr>
      <w:r w:rsidRPr="006A6CE1">
        <w:t>For CDR devices using an antenna gain smaller than 20 dBi, the maximum conducted peak output power shall be limited to 15 dBm;</w:t>
      </w:r>
    </w:p>
    <w:p w14:paraId="5CB3B518" w14:textId="77777777" w:rsidR="00F61D46" w:rsidRPr="006A6CE1" w:rsidRDefault="00F61D46" w:rsidP="00BE6A39">
      <w:pPr>
        <w:spacing w:before="240" w:after="60"/>
        <w:rPr>
          <w:lang w:val="en-GB"/>
        </w:rPr>
      </w:pPr>
      <w:r w:rsidRPr="006A6CE1">
        <w:rPr>
          <w:lang w:val="en-GB"/>
        </w:rPr>
        <w:t>For digital beamforming contour determination and acquisition radar (DBF-CDR) applications the following additional requirement shall apply:</w:t>
      </w:r>
    </w:p>
    <w:p w14:paraId="75373487" w14:textId="77777777" w:rsidR="00F61D46" w:rsidRPr="006A6CE1" w:rsidRDefault="00F61D46" w:rsidP="00BE6A39">
      <w:pPr>
        <w:pStyle w:val="NumberedList"/>
        <w:numPr>
          <w:ilvl w:val="0"/>
          <w:numId w:val="22"/>
        </w:numPr>
        <w:spacing w:before="60" w:after="60"/>
      </w:pPr>
      <w:r w:rsidRPr="006A6CE1">
        <w:t>DBF-CDRs are required to be pointing vertically downwards towards the ground.</w:t>
      </w:r>
    </w:p>
    <w:p w14:paraId="61E724F0" w14:textId="77777777" w:rsidR="00F61D46" w:rsidRPr="006A6CE1" w:rsidRDefault="00F61D46" w:rsidP="00BE6A39">
      <w:pPr>
        <w:spacing w:before="240" w:after="60"/>
        <w:rPr>
          <w:lang w:val="en-GB"/>
        </w:rPr>
      </w:pPr>
      <w:r w:rsidRPr="006A6CE1">
        <w:rPr>
          <w:lang w:val="en-GB"/>
        </w:rPr>
        <w:t>For mechanical- and phased-array contour determination and acquisition radar (M-CDR and PA-CDR) applications the following additional requirements shall apply:</w:t>
      </w:r>
    </w:p>
    <w:p w14:paraId="7B80FBCD" w14:textId="77777777" w:rsidR="00F61D46" w:rsidRPr="006A6CE1" w:rsidRDefault="00F61D46" w:rsidP="00BE6A39">
      <w:pPr>
        <w:pStyle w:val="NumberedList"/>
        <w:numPr>
          <w:ilvl w:val="0"/>
          <w:numId w:val="23"/>
        </w:numPr>
        <w:spacing w:before="60" w:after="60"/>
      </w:pPr>
      <w:r w:rsidRPr="006A6CE1">
        <w:t>M- and PA-CDRs shall have a permanent spatially scanning behaviour of the antenna main beam direction at any time during operation;</w:t>
      </w:r>
    </w:p>
    <w:p w14:paraId="1E48E7E7" w14:textId="77777777" w:rsidR="00F61D46" w:rsidRPr="006A6CE1" w:rsidRDefault="00F61D46" w:rsidP="00BE6A39">
      <w:pPr>
        <w:pStyle w:val="NumberedList"/>
        <w:numPr>
          <w:ilvl w:val="0"/>
          <w:numId w:val="23"/>
        </w:numPr>
        <w:spacing w:before="60" w:after="60"/>
      </w:pPr>
      <w:r w:rsidRPr="006A6CE1">
        <w:t>The maximum tilting angle of the antenna main beam direction in relation to the vertical axis towards the ground shall never exceed 60°;</w:t>
      </w:r>
    </w:p>
    <w:p w14:paraId="6DF54947" w14:textId="77777777" w:rsidR="00F61D46" w:rsidRPr="006A6CE1" w:rsidRDefault="00F61D46" w:rsidP="00BE6A39">
      <w:pPr>
        <w:pStyle w:val="NumberedList"/>
        <w:numPr>
          <w:ilvl w:val="0"/>
          <w:numId w:val="23"/>
        </w:numPr>
        <w:spacing w:before="60" w:after="60"/>
      </w:pPr>
      <w:r w:rsidRPr="006A6CE1">
        <w:t>The peak e.i.r.p. for elevations above 0° shall be limited to 0 dBm.</w:t>
      </w:r>
    </w:p>
    <w:p w14:paraId="47273DF8" w14:textId="5F81342B" w:rsidR="00D314C3" w:rsidRPr="006A6CE1" w:rsidRDefault="00AB1BA4" w:rsidP="00AB1BA4">
      <w:pPr>
        <w:pStyle w:val="ECCAnnexheading2"/>
        <w:rPr>
          <w:lang w:val="en-GB"/>
        </w:rPr>
      </w:pPr>
      <w:bookmarkStart w:id="39" w:name="_Ref104294661"/>
      <w:r w:rsidRPr="006A6CE1">
        <w:rPr>
          <w:lang w:val="en-GB"/>
        </w:rPr>
        <w:t>Technical requirements for Tank Level Probing Radar (TLPR)</w:t>
      </w:r>
      <w:bookmarkEnd w:id="39"/>
    </w:p>
    <w:p w14:paraId="38FB722C" w14:textId="77777777" w:rsidR="00AB1BA4" w:rsidRPr="006A6CE1" w:rsidRDefault="00AB1BA4" w:rsidP="00BE6A39">
      <w:pPr>
        <w:spacing w:before="240" w:after="60"/>
        <w:jc w:val="both"/>
        <w:rPr>
          <w:lang w:val="en-GB"/>
        </w:rPr>
      </w:pPr>
      <w:r w:rsidRPr="006A6CE1">
        <w:rPr>
          <w:lang w:val="en-GB"/>
        </w:rPr>
        <w:t xml:space="preserve">Tank level probing radars (TLPR) are used for measuring and determining the distance to the surface of a target material (e.g. liquids and solids) </w:t>
      </w:r>
      <w:r w:rsidRPr="006A6CE1">
        <w:rPr>
          <w:rFonts w:eastAsiaTheme="minorHAnsi"/>
          <w:lang w:val="en-GB"/>
        </w:rPr>
        <w:t>inside shielded tanks and containers</w:t>
      </w:r>
      <w:r w:rsidRPr="006A6CE1">
        <w:rPr>
          <w:lang w:val="en-GB"/>
        </w:rPr>
        <w:t xml:space="preserve"> and</w:t>
      </w:r>
      <w:r w:rsidRPr="006A6CE1">
        <w:rPr>
          <w:rFonts w:eastAsiaTheme="minorHAnsi"/>
          <w:lang w:val="en-GB"/>
        </w:rPr>
        <w:t xml:space="preserve"> thus indirectly the amount or volume of the available material. Furthermore, the measurement of other physical characteristics such as velocity or </w:t>
      </w:r>
      <w:r w:rsidRPr="006A6CE1">
        <w:rPr>
          <w:lang w:val="en-GB"/>
        </w:rPr>
        <w:t>properties of</w:t>
      </w:r>
      <w:r w:rsidRPr="006A6CE1">
        <w:rPr>
          <w:rFonts w:eastAsiaTheme="minorHAnsi"/>
          <w:lang w:val="en-GB"/>
        </w:rPr>
        <w:t xml:space="preserve"> the target material is also provided.</w:t>
      </w:r>
      <w:r w:rsidRPr="006A6CE1">
        <w:rPr>
          <w:lang w:val="en-GB"/>
        </w:rPr>
        <w:t xml:space="preserve"> The TLPR application is intended for industrial and professional use only.</w:t>
      </w:r>
    </w:p>
    <w:p w14:paraId="7AF6251A" w14:textId="77777777" w:rsidR="00AB1BA4" w:rsidRPr="006A6CE1" w:rsidRDefault="00AB1BA4">
      <w:pPr>
        <w:rPr>
          <w:b/>
          <w:bCs/>
          <w:color w:val="D2232A"/>
          <w:szCs w:val="20"/>
          <w:lang w:val="en-GB"/>
        </w:rPr>
      </w:pPr>
      <w:r w:rsidRPr="006A6CE1">
        <w:rPr>
          <w:lang w:val="en-GB"/>
        </w:rPr>
        <w:br w:type="page"/>
      </w:r>
    </w:p>
    <w:p w14:paraId="2157C62C" w14:textId="508240CD" w:rsidR="00AB1BA4" w:rsidRPr="006A6CE1" w:rsidRDefault="00AB1BA4" w:rsidP="00AB1BA4">
      <w:pPr>
        <w:pStyle w:val="Caption"/>
        <w:rPr>
          <w:lang w:val="en-GB"/>
        </w:rPr>
      </w:pPr>
      <w:bookmarkStart w:id="40" w:name="_Ref106107092"/>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9</w:t>
      </w:r>
      <w:r w:rsidRPr="006A6CE1">
        <w:rPr>
          <w:lang w:val="en-GB"/>
        </w:rPr>
        <w:fldChar w:fldCharType="end"/>
      </w:r>
      <w:bookmarkEnd w:id="40"/>
      <w:r w:rsidRPr="006A6CE1">
        <w:rPr>
          <w:lang w:val="en-GB"/>
        </w:rPr>
        <w:t>: Technical requirements for TLPR devices in the designated bands</w:t>
      </w:r>
    </w:p>
    <w:tbl>
      <w:tblPr>
        <w:tblStyle w:val="ECCTable-redheader"/>
        <w:tblW w:w="5000" w:type="pct"/>
        <w:tblInd w:w="0" w:type="dxa"/>
        <w:tblLook w:val="04A0" w:firstRow="1" w:lastRow="0" w:firstColumn="1" w:lastColumn="0" w:noHBand="0" w:noVBand="1"/>
      </w:tblPr>
      <w:tblGrid>
        <w:gridCol w:w="1975"/>
        <w:gridCol w:w="1317"/>
        <w:gridCol w:w="2009"/>
        <w:gridCol w:w="1799"/>
        <w:gridCol w:w="2529"/>
      </w:tblGrid>
      <w:tr w:rsidR="00AB1BA4" w:rsidRPr="006A6CE1" w14:paraId="363AC2F5" w14:textId="77777777" w:rsidTr="00FA18F9">
        <w:trPr>
          <w:cnfStyle w:val="100000000000" w:firstRow="1" w:lastRow="0" w:firstColumn="0" w:lastColumn="0" w:oddVBand="0" w:evenVBand="0" w:oddHBand="0" w:evenHBand="0" w:firstRowFirstColumn="0" w:firstRowLastColumn="0" w:lastRowFirstColumn="0" w:lastRowLastColumn="0"/>
        </w:trPr>
        <w:tc>
          <w:tcPr>
            <w:tcW w:w="1026" w:type="pct"/>
            <w:tcBorders>
              <w:top w:val="single" w:sz="4" w:space="0" w:color="FFFFFF" w:themeColor="background1"/>
              <w:left w:val="single" w:sz="4" w:space="0" w:color="FFFFFF" w:themeColor="background1"/>
              <w:bottom w:val="nil"/>
            </w:tcBorders>
          </w:tcPr>
          <w:p w14:paraId="3F5A44B3" w14:textId="77777777" w:rsidR="00AB1BA4" w:rsidRPr="006A6CE1" w:rsidRDefault="00AB1BA4" w:rsidP="005E2FC7">
            <w:pPr>
              <w:pStyle w:val="ECCTableHeaderwhitefont"/>
              <w:spacing w:before="120"/>
              <w:rPr>
                <w:lang w:val="en-GB"/>
              </w:rPr>
            </w:pPr>
            <w:r w:rsidRPr="006A6CE1">
              <w:rPr>
                <w:lang w:val="en-GB"/>
              </w:rPr>
              <w:t>Designated frequency band</w:t>
            </w:r>
          </w:p>
        </w:tc>
        <w:tc>
          <w:tcPr>
            <w:tcW w:w="684" w:type="pct"/>
            <w:tcBorders>
              <w:bottom w:val="single" w:sz="4" w:space="0" w:color="FFFFFF" w:themeColor="background1"/>
            </w:tcBorders>
          </w:tcPr>
          <w:p w14:paraId="050A6225" w14:textId="77777777" w:rsidR="00AB1BA4" w:rsidRPr="006A6CE1" w:rsidRDefault="00AB1BA4" w:rsidP="005E2FC7">
            <w:pPr>
              <w:pStyle w:val="ECCTableHeaderwhitefont"/>
              <w:spacing w:before="120"/>
              <w:rPr>
                <w:lang w:val="en-GB"/>
              </w:rPr>
            </w:pPr>
            <w:r w:rsidRPr="006A6CE1">
              <w:rPr>
                <w:lang w:val="en-GB"/>
              </w:rPr>
              <w:t>Maximum duty cycle</w:t>
            </w:r>
          </w:p>
        </w:tc>
        <w:tc>
          <w:tcPr>
            <w:tcW w:w="1043" w:type="pct"/>
            <w:tcBorders>
              <w:bottom w:val="single" w:sz="4" w:space="0" w:color="FFFFFF" w:themeColor="background1"/>
            </w:tcBorders>
          </w:tcPr>
          <w:p w14:paraId="7A63D41E" w14:textId="77777777" w:rsidR="00AB1BA4" w:rsidRPr="006A6CE1" w:rsidRDefault="00AB1BA4" w:rsidP="00D45429">
            <w:pPr>
              <w:pStyle w:val="ECCTableHeaderwhitefont"/>
              <w:spacing w:before="120" w:after="120"/>
              <w:rPr>
                <w:lang w:val="en-GB"/>
              </w:rPr>
            </w:pPr>
            <w:r w:rsidRPr="006A6CE1">
              <w:rPr>
                <w:lang w:val="en-GB"/>
              </w:rPr>
              <w:t>Maximum mean e.i.r.p. spectral density (Note 2)</w:t>
            </w:r>
          </w:p>
        </w:tc>
        <w:tc>
          <w:tcPr>
            <w:tcW w:w="934" w:type="pct"/>
            <w:tcBorders>
              <w:bottom w:val="single" w:sz="4" w:space="0" w:color="FFFFFF" w:themeColor="background1"/>
            </w:tcBorders>
          </w:tcPr>
          <w:p w14:paraId="62CD8951" w14:textId="77777777" w:rsidR="00AB1BA4" w:rsidRPr="006A6CE1" w:rsidRDefault="00AB1BA4" w:rsidP="005E2FC7">
            <w:pPr>
              <w:pStyle w:val="ECCTableHeaderwhitefont"/>
              <w:spacing w:before="120"/>
              <w:rPr>
                <w:lang w:val="en-GB"/>
              </w:rPr>
            </w:pPr>
            <w:r w:rsidRPr="006A6CE1">
              <w:rPr>
                <w:lang w:val="en-GB"/>
              </w:rPr>
              <w:t>Maximum peak e.i.r.p. (Note 3)</w:t>
            </w:r>
          </w:p>
        </w:tc>
        <w:tc>
          <w:tcPr>
            <w:tcW w:w="1313" w:type="pct"/>
            <w:tcBorders>
              <w:bottom w:val="single" w:sz="4" w:space="0" w:color="FFFFFF" w:themeColor="background1"/>
            </w:tcBorders>
          </w:tcPr>
          <w:p w14:paraId="0219E389" w14:textId="77777777" w:rsidR="00AB1BA4" w:rsidRPr="006A6CE1" w:rsidRDefault="00AB1BA4" w:rsidP="005E2FC7">
            <w:pPr>
              <w:pStyle w:val="ECCTableHeaderwhitefont"/>
              <w:spacing w:before="120"/>
              <w:rPr>
                <w:lang w:val="en-GB"/>
              </w:rPr>
            </w:pPr>
            <w:r w:rsidRPr="006A6CE1">
              <w:rPr>
                <w:lang w:val="en-GB"/>
              </w:rPr>
              <w:t>Minimum unwanted emissions attenuation (Note 1)</w:t>
            </w:r>
          </w:p>
        </w:tc>
      </w:tr>
      <w:tr w:rsidR="00AB1BA4" w:rsidRPr="006A6CE1" w14:paraId="21125497" w14:textId="77777777" w:rsidTr="00FA18F9">
        <w:tc>
          <w:tcPr>
            <w:tcW w:w="1026" w:type="pct"/>
            <w:tcBorders>
              <w:top w:val="nil"/>
              <w:left w:val="single" w:sz="4" w:space="0" w:color="FFFFFF" w:themeColor="background1"/>
              <w:bottom w:val="single" w:sz="4" w:space="0" w:color="FFFFFF" w:themeColor="background1"/>
              <w:right w:val="single" w:sz="4" w:space="0" w:color="FFFFFF" w:themeColor="background1"/>
            </w:tcBorders>
            <w:shd w:val="clear" w:color="auto" w:fill="D2232A"/>
          </w:tcPr>
          <w:p w14:paraId="0755EFBA" w14:textId="77777777" w:rsidR="00AB1BA4" w:rsidRPr="00F526F5" w:rsidRDefault="00AB1BA4" w:rsidP="00F526F5">
            <w:pPr>
              <w:pStyle w:val="ECCTableHeaderwhitefont"/>
              <w:rPr>
                <w:lang w:val="en-GB"/>
              </w:rPr>
            </w:pPr>
          </w:p>
        </w:tc>
        <w:tc>
          <w:tcPr>
            <w:tcW w:w="6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6DA57F7" w14:textId="77777777" w:rsidR="00AB1BA4" w:rsidRPr="006760A2" w:rsidRDefault="00AB1BA4" w:rsidP="006760A2">
            <w:pPr>
              <w:pStyle w:val="ECCTabletext"/>
              <w:jc w:val="center"/>
              <w:rPr>
                <w:b/>
                <w:bCs/>
                <w:color w:val="FFFFFF" w:themeColor="background1"/>
              </w:rPr>
            </w:pPr>
            <w:r w:rsidRPr="006760A2">
              <w:rPr>
                <w:b/>
                <w:bCs/>
                <w:color w:val="FFFFFF" w:themeColor="background1"/>
              </w:rPr>
              <w:t>A</w:t>
            </w:r>
          </w:p>
        </w:tc>
        <w:tc>
          <w:tcPr>
            <w:tcW w:w="10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16D4459" w14:textId="77777777" w:rsidR="00AB1BA4" w:rsidRPr="006760A2" w:rsidRDefault="00AB1BA4" w:rsidP="006760A2">
            <w:pPr>
              <w:pStyle w:val="ECCTabletext"/>
              <w:jc w:val="center"/>
              <w:rPr>
                <w:b/>
                <w:bCs/>
                <w:color w:val="FFFFFF" w:themeColor="background1"/>
              </w:rPr>
            </w:pPr>
            <w:r w:rsidRPr="006760A2">
              <w:rPr>
                <w:b/>
                <w:bCs/>
                <w:color w:val="FFFFFF" w:themeColor="background1"/>
              </w:rPr>
              <w:t>B</w:t>
            </w:r>
          </w:p>
        </w:tc>
        <w:tc>
          <w:tcPr>
            <w:tcW w:w="9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7E3C4DA" w14:textId="77777777" w:rsidR="00AB1BA4" w:rsidRPr="006760A2" w:rsidRDefault="00AB1BA4" w:rsidP="006760A2">
            <w:pPr>
              <w:pStyle w:val="ECCTabletext"/>
              <w:jc w:val="center"/>
              <w:rPr>
                <w:b/>
                <w:bCs/>
                <w:color w:val="FFFFFF" w:themeColor="background1"/>
              </w:rPr>
            </w:pPr>
            <w:r w:rsidRPr="006760A2">
              <w:rPr>
                <w:b/>
                <w:bCs/>
                <w:color w:val="FFFFFF" w:themeColor="background1"/>
              </w:rPr>
              <w:t>C</w:t>
            </w:r>
          </w:p>
        </w:tc>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803B3B7" w14:textId="77777777" w:rsidR="00AB1BA4" w:rsidRPr="006760A2" w:rsidRDefault="00AB1BA4" w:rsidP="006760A2">
            <w:pPr>
              <w:pStyle w:val="ECCTabletext"/>
              <w:jc w:val="center"/>
              <w:rPr>
                <w:b/>
                <w:bCs/>
                <w:color w:val="FFFFFF" w:themeColor="background1"/>
              </w:rPr>
            </w:pPr>
            <w:r w:rsidRPr="006760A2">
              <w:rPr>
                <w:b/>
                <w:bCs/>
                <w:color w:val="FFFFFF" w:themeColor="background1"/>
              </w:rPr>
              <w:t>D</w:t>
            </w:r>
          </w:p>
        </w:tc>
      </w:tr>
      <w:tr w:rsidR="00AB1BA4" w:rsidRPr="006A6CE1" w14:paraId="6BE6043C" w14:textId="77777777" w:rsidTr="00FA18F9">
        <w:tc>
          <w:tcPr>
            <w:tcW w:w="1026" w:type="pct"/>
            <w:tcBorders>
              <w:top w:val="single" w:sz="4" w:space="0" w:color="FFFFFF" w:themeColor="background1"/>
            </w:tcBorders>
          </w:tcPr>
          <w:p w14:paraId="5743E7EA" w14:textId="7204D625" w:rsidR="00AB1BA4" w:rsidRPr="006A6CE1" w:rsidRDefault="00AB1BA4" w:rsidP="00D42B15">
            <w:pPr>
              <w:pStyle w:val="ECCTabletext"/>
              <w:jc w:val="left"/>
            </w:pPr>
            <w:r w:rsidRPr="006A6CE1">
              <w:t>116</w:t>
            </w:r>
            <w:r w:rsidR="00F526F5">
              <w:t>-</w:t>
            </w:r>
            <w:r w:rsidRPr="006A6CE1">
              <w:t>148.5 GHz</w:t>
            </w:r>
          </w:p>
        </w:tc>
        <w:tc>
          <w:tcPr>
            <w:tcW w:w="684" w:type="pct"/>
            <w:tcBorders>
              <w:top w:val="single" w:sz="4" w:space="0" w:color="FFFFFF" w:themeColor="background1"/>
            </w:tcBorders>
          </w:tcPr>
          <w:p w14:paraId="6324EBA6" w14:textId="77777777" w:rsidR="00AB1BA4" w:rsidRPr="006A6CE1" w:rsidRDefault="00AB1BA4" w:rsidP="00D42B15">
            <w:pPr>
              <w:pStyle w:val="ECCTabletext"/>
              <w:jc w:val="left"/>
            </w:pPr>
            <w:r w:rsidRPr="006A6CE1">
              <w:t>100%</w:t>
            </w:r>
          </w:p>
        </w:tc>
        <w:tc>
          <w:tcPr>
            <w:tcW w:w="1043" w:type="pct"/>
            <w:tcBorders>
              <w:top w:val="single" w:sz="4" w:space="0" w:color="FFFFFF" w:themeColor="background1"/>
            </w:tcBorders>
          </w:tcPr>
          <w:p w14:paraId="1A7131DF" w14:textId="77777777" w:rsidR="00AB1BA4" w:rsidRPr="006A6CE1" w:rsidRDefault="00AB1BA4" w:rsidP="00D42B15">
            <w:pPr>
              <w:pStyle w:val="ECCTabletext"/>
              <w:jc w:val="left"/>
            </w:pPr>
            <w:r w:rsidRPr="006A6CE1">
              <w:t>12 dBm/MHz</w:t>
            </w:r>
          </w:p>
        </w:tc>
        <w:tc>
          <w:tcPr>
            <w:tcW w:w="934" w:type="pct"/>
            <w:tcBorders>
              <w:top w:val="single" w:sz="4" w:space="0" w:color="FFFFFF" w:themeColor="background1"/>
            </w:tcBorders>
            <w:shd w:val="clear" w:color="auto" w:fill="auto"/>
          </w:tcPr>
          <w:p w14:paraId="03930771" w14:textId="77777777" w:rsidR="00AB1BA4" w:rsidRPr="006A6CE1" w:rsidRDefault="00AB1BA4" w:rsidP="00D42B15">
            <w:pPr>
              <w:pStyle w:val="ECCTabletext"/>
              <w:jc w:val="left"/>
            </w:pPr>
            <w:r w:rsidRPr="006A6CE1">
              <w:t>42 dBm</w:t>
            </w:r>
          </w:p>
        </w:tc>
        <w:tc>
          <w:tcPr>
            <w:tcW w:w="1313" w:type="pct"/>
            <w:tcBorders>
              <w:top w:val="single" w:sz="4" w:space="0" w:color="FFFFFF" w:themeColor="background1"/>
            </w:tcBorders>
          </w:tcPr>
          <w:p w14:paraId="3A911BD8" w14:textId="77777777" w:rsidR="00AB1BA4" w:rsidRPr="006A6CE1" w:rsidRDefault="00AB1BA4" w:rsidP="00D42B15">
            <w:pPr>
              <w:pStyle w:val="ECCTabletext"/>
              <w:jc w:val="left"/>
            </w:pPr>
            <w:r w:rsidRPr="006A6CE1">
              <w:t>20 dB</w:t>
            </w:r>
          </w:p>
        </w:tc>
      </w:tr>
      <w:tr w:rsidR="00AB1BA4" w:rsidRPr="006A6CE1" w14:paraId="2EDF5033" w14:textId="77777777" w:rsidTr="00FA18F9">
        <w:tc>
          <w:tcPr>
            <w:tcW w:w="1026" w:type="pct"/>
          </w:tcPr>
          <w:p w14:paraId="723D58AC" w14:textId="73560E88" w:rsidR="00AB1BA4" w:rsidRPr="006A6CE1" w:rsidRDefault="00AB1BA4" w:rsidP="00D42B15">
            <w:pPr>
              <w:pStyle w:val="ECCTabletext"/>
              <w:jc w:val="left"/>
            </w:pPr>
            <w:r w:rsidRPr="006A6CE1">
              <w:t>167</w:t>
            </w:r>
            <w:r w:rsidR="00F526F5">
              <w:t>-</w:t>
            </w:r>
            <w:r w:rsidRPr="006A6CE1">
              <w:t>182 GHz</w:t>
            </w:r>
          </w:p>
        </w:tc>
        <w:tc>
          <w:tcPr>
            <w:tcW w:w="684" w:type="pct"/>
          </w:tcPr>
          <w:p w14:paraId="367FA776" w14:textId="77777777" w:rsidR="00AB1BA4" w:rsidRPr="006A6CE1" w:rsidRDefault="00AB1BA4" w:rsidP="00D42B15">
            <w:pPr>
              <w:pStyle w:val="ECCTabletext"/>
              <w:jc w:val="left"/>
            </w:pPr>
            <w:r w:rsidRPr="006A6CE1">
              <w:t>100%</w:t>
            </w:r>
          </w:p>
        </w:tc>
        <w:tc>
          <w:tcPr>
            <w:tcW w:w="1043" w:type="pct"/>
          </w:tcPr>
          <w:p w14:paraId="5A481FC6" w14:textId="77777777" w:rsidR="00AB1BA4" w:rsidRPr="006A6CE1" w:rsidRDefault="00AB1BA4" w:rsidP="00D42B15">
            <w:pPr>
              <w:pStyle w:val="ECCTabletext"/>
              <w:jc w:val="left"/>
            </w:pPr>
            <w:r w:rsidRPr="006A6CE1">
              <w:t>12 dBm/MHz</w:t>
            </w:r>
          </w:p>
        </w:tc>
        <w:tc>
          <w:tcPr>
            <w:tcW w:w="934" w:type="pct"/>
            <w:shd w:val="clear" w:color="auto" w:fill="auto"/>
          </w:tcPr>
          <w:p w14:paraId="1BF7DAD4" w14:textId="77777777" w:rsidR="00AB1BA4" w:rsidRPr="006A6CE1" w:rsidRDefault="00AB1BA4" w:rsidP="00D42B15">
            <w:pPr>
              <w:pStyle w:val="ECCTabletext"/>
              <w:jc w:val="left"/>
            </w:pPr>
            <w:r w:rsidRPr="006A6CE1">
              <w:t>42 dBm</w:t>
            </w:r>
          </w:p>
        </w:tc>
        <w:tc>
          <w:tcPr>
            <w:tcW w:w="1313" w:type="pct"/>
          </w:tcPr>
          <w:p w14:paraId="0E92C013" w14:textId="77777777" w:rsidR="00AB1BA4" w:rsidRPr="006A6CE1" w:rsidRDefault="00AB1BA4" w:rsidP="00D42B15">
            <w:pPr>
              <w:pStyle w:val="ECCTabletext"/>
              <w:jc w:val="left"/>
            </w:pPr>
            <w:r w:rsidRPr="006A6CE1">
              <w:t>20 dB</w:t>
            </w:r>
          </w:p>
        </w:tc>
      </w:tr>
      <w:tr w:rsidR="00AB1BA4" w:rsidRPr="006A6CE1" w14:paraId="2D379599" w14:textId="77777777" w:rsidTr="00FA18F9">
        <w:tc>
          <w:tcPr>
            <w:tcW w:w="1026" w:type="pct"/>
          </w:tcPr>
          <w:p w14:paraId="48149050" w14:textId="6AA33824" w:rsidR="00AB1BA4" w:rsidRPr="006A6CE1" w:rsidRDefault="00AB1BA4" w:rsidP="00D42B15">
            <w:pPr>
              <w:pStyle w:val="ECCTabletext"/>
              <w:jc w:val="left"/>
            </w:pPr>
            <w:r w:rsidRPr="006A6CE1">
              <w:t>231.5</w:t>
            </w:r>
            <w:r w:rsidR="00F526F5">
              <w:t>-</w:t>
            </w:r>
            <w:r w:rsidRPr="006A6CE1">
              <w:t>250 GHz</w:t>
            </w:r>
          </w:p>
        </w:tc>
        <w:tc>
          <w:tcPr>
            <w:tcW w:w="684" w:type="pct"/>
          </w:tcPr>
          <w:p w14:paraId="57F13A75" w14:textId="77777777" w:rsidR="00AB1BA4" w:rsidRPr="006A6CE1" w:rsidRDefault="00AB1BA4" w:rsidP="00D42B15">
            <w:pPr>
              <w:pStyle w:val="ECCTabletext"/>
              <w:jc w:val="left"/>
            </w:pPr>
            <w:r w:rsidRPr="006A6CE1">
              <w:t>100%</w:t>
            </w:r>
          </w:p>
        </w:tc>
        <w:tc>
          <w:tcPr>
            <w:tcW w:w="1043" w:type="pct"/>
          </w:tcPr>
          <w:p w14:paraId="5C5C7BD6" w14:textId="77777777" w:rsidR="00AB1BA4" w:rsidRPr="006A6CE1" w:rsidRDefault="00AB1BA4" w:rsidP="00D42B15">
            <w:pPr>
              <w:pStyle w:val="ECCTabletext"/>
              <w:jc w:val="left"/>
            </w:pPr>
            <w:r w:rsidRPr="006A6CE1">
              <w:t>12 dBm/MHz</w:t>
            </w:r>
          </w:p>
        </w:tc>
        <w:tc>
          <w:tcPr>
            <w:tcW w:w="934" w:type="pct"/>
            <w:shd w:val="clear" w:color="auto" w:fill="auto"/>
          </w:tcPr>
          <w:p w14:paraId="630798B5" w14:textId="77777777" w:rsidR="00AB1BA4" w:rsidRPr="006A6CE1" w:rsidRDefault="00AB1BA4" w:rsidP="00D42B15">
            <w:pPr>
              <w:pStyle w:val="ECCTabletext"/>
              <w:jc w:val="left"/>
            </w:pPr>
            <w:r w:rsidRPr="006A6CE1">
              <w:t>42 dBm</w:t>
            </w:r>
          </w:p>
        </w:tc>
        <w:tc>
          <w:tcPr>
            <w:tcW w:w="1313" w:type="pct"/>
          </w:tcPr>
          <w:p w14:paraId="357A3B09" w14:textId="77777777" w:rsidR="00AB1BA4" w:rsidRPr="006A6CE1" w:rsidRDefault="00AB1BA4" w:rsidP="00D42B15">
            <w:pPr>
              <w:pStyle w:val="ECCTabletext"/>
              <w:jc w:val="left"/>
            </w:pPr>
            <w:r w:rsidRPr="006A6CE1">
              <w:t>20 dB</w:t>
            </w:r>
          </w:p>
        </w:tc>
      </w:tr>
      <w:tr w:rsidR="00AB1BA4" w:rsidRPr="006A6CE1" w14:paraId="0B8C6D03" w14:textId="77777777" w:rsidTr="00FA18F9">
        <w:tc>
          <w:tcPr>
            <w:tcW w:w="5000" w:type="pct"/>
            <w:gridSpan w:val="5"/>
          </w:tcPr>
          <w:p w14:paraId="4872D371" w14:textId="1274CBC1" w:rsidR="00AB1BA4" w:rsidRPr="006A6CE1" w:rsidRDefault="00AB1BA4" w:rsidP="00FB1932">
            <w:pPr>
              <w:pStyle w:val="ECCTablenote"/>
            </w:pPr>
            <w:bookmarkStart w:id="41" w:name="_Ref65590576"/>
            <w:r w:rsidRPr="006A6CE1">
              <w:t xml:space="preserve">Note 1: The operating frequency range (OFR) is defined over the 20 dB reduction of the </w:t>
            </w:r>
            <w:r w:rsidR="004715A8" w:rsidRPr="00722141">
              <w:t>intentional transmission</w:t>
            </w:r>
            <w:r w:rsidRPr="006A6CE1">
              <w:t xml:space="preserve"> (</w:t>
            </w:r>
            <w:r w:rsidR="0094556B">
              <w:t>“</w:t>
            </w:r>
            <w:r w:rsidRPr="006A6CE1">
              <w:t>20 dB bandwidth</w:t>
            </w:r>
            <w:r w:rsidR="0094556B">
              <w:t>”</w:t>
            </w:r>
            <w:r w:rsidRPr="006A6CE1">
              <w:t>) radiated by the equipment into the air. The unwanted emissions attenuation applies to the frequencies outside the OFR and shall be applied to the maximum mean e.i.r.p. spectral density and the maximum peak e.i.r.p. The measurement bandwidth for the unwanted emissions domain is 1 MHz.</w:t>
            </w:r>
          </w:p>
          <w:p w14:paraId="78266D1D" w14:textId="06A0B4DB" w:rsidR="00AB1BA4" w:rsidRPr="006A6CE1" w:rsidRDefault="00AB1BA4" w:rsidP="00FB1932">
            <w:pPr>
              <w:pStyle w:val="ECCTablenote"/>
            </w:pPr>
            <w:r w:rsidRPr="006A6CE1">
              <w:t>Note 2: The given maximum mean e.i.r.p. spectral density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bookmarkEnd w:id="41"/>
          </w:p>
          <w:p w14:paraId="7534F448" w14:textId="32FD3DE8" w:rsidR="00AB1BA4" w:rsidRPr="006A6CE1" w:rsidRDefault="00AB1BA4" w:rsidP="00FB1932">
            <w:pPr>
              <w:pStyle w:val="ECCTablenote"/>
            </w:pPr>
            <w:r w:rsidRPr="006A6CE1">
              <w:t>Note 3: The max</w:t>
            </w:r>
            <w:r w:rsidR="004715A8">
              <w:t>imum</w:t>
            </w:r>
            <w:r w:rsidRPr="006A6CE1">
              <w:t xml:space="preserve"> peak e.i.r.p. shall be measured/evaluated in 1 GHz bandwidth.</w:t>
            </w:r>
          </w:p>
        </w:tc>
      </w:tr>
    </w:tbl>
    <w:p w14:paraId="76448CF2" w14:textId="77777777" w:rsidR="00AB1BA4" w:rsidRPr="006A6CE1" w:rsidRDefault="00AB1BA4" w:rsidP="00BE6A39">
      <w:pPr>
        <w:spacing w:before="240" w:after="60"/>
        <w:jc w:val="both"/>
        <w:rPr>
          <w:lang w:val="en-GB"/>
        </w:rPr>
      </w:pPr>
      <w:r w:rsidRPr="006A6CE1">
        <w:rPr>
          <w:lang w:val="en-GB"/>
        </w:rPr>
        <w:t>Additional requirements for tank level probing radars (TLPR) to allow licence-exempt use:</w:t>
      </w:r>
    </w:p>
    <w:p w14:paraId="3EE009A3" w14:textId="77777777" w:rsidR="00AB1BA4" w:rsidRPr="006A6CE1" w:rsidRDefault="00AB1BA4" w:rsidP="00BE6A39">
      <w:pPr>
        <w:pStyle w:val="NumberedList"/>
        <w:numPr>
          <w:ilvl w:val="0"/>
          <w:numId w:val="24"/>
        </w:numPr>
        <w:spacing w:before="60" w:after="60"/>
      </w:pPr>
      <w:r w:rsidRPr="006A6CE1">
        <w:t>The operation of TLPR sensors is envisaged for industrial purposes only;</w:t>
      </w:r>
    </w:p>
    <w:p w14:paraId="33DE9772" w14:textId="77777777" w:rsidR="00AB1BA4" w:rsidRPr="006A6CE1" w:rsidRDefault="00AB1BA4" w:rsidP="00BE6A39">
      <w:pPr>
        <w:pStyle w:val="NumberedList"/>
        <w:numPr>
          <w:ilvl w:val="0"/>
          <w:numId w:val="24"/>
        </w:numPr>
        <w:spacing w:before="60" w:after="60"/>
      </w:pPr>
      <w:r w:rsidRPr="006A6CE1">
        <w:t>Installation and maintenance of TLPR equipment shall be performed by professionally trained individuals only;</w:t>
      </w:r>
    </w:p>
    <w:p w14:paraId="7D64B319" w14:textId="77777777" w:rsidR="00AB1BA4" w:rsidRPr="006A6CE1" w:rsidRDefault="00AB1BA4" w:rsidP="00BE6A39">
      <w:pPr>
        <w:pStyle w:val="NumberedList"/>
        <w:numPr>
          <w:ilvl w:val="0"/>
          <w:numId w:val="24"/>
        </w:numPr>
        <w:spacing w:before="60" w:after="60"/>
      </w:pPr>
      <w:r w:rsidRPr="006A6CE1">
        <w:t>TLPR equipment shall not be marketed to private end customers;</w:t>
      </w:r>
    </w:p>
    <w:p w14:paraId="1B37B940" w14:textId="77777777" w:rsidR="00AB1BA4" w:rsidRPr="006A6CE1" w:rsidRDefault="00AB1BA4" w:rsidP="00BE6A39">
      <w:pPr>
        <w:pStyle w:val="NumberedList"/>
        <w:numPr>
          <w:ilvl w:val="0"/>
          <w:numId w:val="24"/>
        </w:numPr>
        <w:spacing w:before="60" w:after="60"/>
      </w:pPr>
      <w:r w:rsidRPr="006A6CE1">
        <w:t>TLPRs shall be installed at a permanent fixed position at a closed metallic tank or concrete tank, or a similar enclosure structure made of comparable attenuating material;</w:t>
      </w:r>
    </w:p>
    <w:p w14:paraId="43CA86C5" w14:textId="77777777" w:rsidR="00AB1BA4" w:rsidRPr="006A6CE1" w:rsidRDefault="00AB1BA4" w:rsidP="00BE6A39">
      <w:pPr>
        <w:pStyle w:val="NumberedList"/>
        <w:numPr>
          <w:ilvl w:val="0"/>
          <w:numId w:val="24"/>
        </w:numPr>
        <w:spacing w:before="60" w:after="60"/>
      </w:pPr>
      <w:r w:rsidRPr="006A6CE1">
        <w:t>Flanges and attachments of the TLPR equipment shall provide the necessary microwave sealing by design;</w:t>
      </w:r>
    </w:p>
    <w:p w14:paraId="4BA10816" w14:textId="77777777" w:rsidR="00AB1BA4" w:rsidRPr="006A6CE1" w:rsidRDefault="00AB1BA4" w:rsidP="00BE6A39">
      <w:pPr>
        <w:pStyle w:val="NumberedList"/>
        <w:numPr>
          <w:ilvl w:val="0"/>
          <w:numId w:val="24"/>
        </w:numPr>
        <w:spacing w:before="60" w:after="60"/>
      </w:pPr>
      <w:r w:rsidRPr="006A6CE1">
        <w:t>Sight glasses shall be coated with a microwave-proof coating when necessary (i.e. electrically conductive or microwave absorbing coating);</w:t>
      </w:r>
    </w:p>
    <w:p w14:paraId="7BC009A2" w14:textId="77777777" w:rsidR="00AB1BA4" w:rsidRPr="006A6CE1" w:rsidRDefault="00AB1BA4" w:rsidP="00BE6A39">
      <w:pPr>
        <w:pStyle w:val="NumberedList"/>
        <w:numPr>
          <w:ilvl w:val="0"/>
          <w:numId w:val="24"/>
        </w:numPr>
        <w:spacing w:before="60" w:after="60"/>
      </w:pPr>
      <w:r w:rsidRPr="006A6CE1">
        <w:t>Manholes or connection flanges attached to the tank shall be closed while the TLPR equipment is in operation to ensure a low-level leakage of the signal into the free space outside the tank;</w:t>
      </w:r>
    </w:p>
    <w:p w14:paraId="113E7D4C" w14:textId="77777777" w:rsidR="00AB1BA4" w:rsidRPr="006A6CE1" w:rsidRDefault="00AB1BA4" w:rsidP="00BE6A39">
      <w:pPr>
        <w:pStyle w:val="NumberedList"/>
        <w:numPr>
          <w:ilvl w:val="0"/>
          <w:numId w:val="24"/>
        </w:numPr>
        <w:spacing w:before="60" w:after="60"/>
      </w:pPr>
      <w:r w:rsidRPr="006A6CE1">
        <w:t>The provider is required to inform the users and installers of TLPR equipment about the installation requirements and additional special mounting instructions;</w:t>
      </w:r>
    </w:p>
    <w:p w14:paraId="25598063" w14:textId="77777777" w:rsidR="00AB1BA4" w:rsidRPr="006A6CE1" w:rsidRDefault="00AB1BA4" w:rsidP="00BE6A39">
      <w:pPr>
        <w:pStyle w:val="NumberedList"/>
        <w:numPr>
          <w:ilvl w:val="0"/>
          <w:numId w:val="24"/>
        </w:numPr>
        <w:spacing w:before="60" w:after="60"/>
      </w:pPr>
      <w:r w:rsidRPr="006A6CE1">
        <w:t>For TLPR devices using an antenna gain smaller than 20 dBi, the maximum conducted peak output power shall be limited to 15 dBm.</w:t>
      </w:r>
    </w:p>
    <w:p w14:paraId="494EA67B" w14:textId="300240CC" w:rsidR="0029409C" w:rsidRPr="006A6CE1" w:rsidRDefault="008B6976" w:rsidP="008B6976">
      <w:pPr>
        <w:pStyle w:val="ECCAnnexheading2"/>
        <w:rPr>
          <w:lang w:val="en-GB"/>
        </w:rPr>
      </w:pPr>
      <w:bookmarkStart w:id="42" w:name="_Ref104294543"/>
      <w:r w:rsidRPr="006A6CE1">
        <w:rPr>
          <w:lang w:val="en-GB"/>
        </w:rPr>
        <w:t xml:space="preserve">Technical requirements for </w:t>
      </w:r>
      <w:r w:rsidR="00C7780E" w:rsidRPr="006A6CE1">
        <w:rPr>
          <w:lang w:val="en-GB"/>
        </w:rPr>
        <w:t>radiodetermination systems for industry automation in shielded environments (RDI-S)</w:t>
      </w:r>
      <w:bookmarkEnd w:id="42"/>
    </w:p>
    <w:p w14:paraId="4B24220D" w14:textId="77777777" w:rsidR="002774C5" w:rsidRPr="006A6CE1" w:rsidRDefault="002774C5" w:rsidP="00BE6A39">
      <w:pPr>
        <w:spacing w:before="240" w:after="60"/>
        <w:jc w:val="both"/>
        <w:rPr>
          <w:lang w:val="en-GB"/>
        </w:rPr>
      </w:pPr>
      <w:bookmarkStart w:id="43" w:name="_Ref82011687"/>
      <w:r w:rsidRPr="006A6CE1">
        <w:rPr>
          <w:lang w:val="en-GB"/>
        </w:rPr>
        <w:t>Radiodetermination systems for industry automation in shielded environments (RDI-S) are used for sensing unique frequency dependent material properties and/or wideband frequency responses (e.g. S-parameters to extract other physical properties) of target objects inside buildings (indoors) or in similarly shielded environments. Examples of RDI-S systems are radar sensors for plastic extrusion thickness measurement or for non-destructive testing. The RDI-S application is intended for industrial and professional use only.</w:t>
      </w:r>
    </w:p>
    <w:p w14:paraId="513FAEF9" w14:textId="77777777" w:rsidR="005F65C7" w:rsidRDefault="005F65C7">
      <w:pPr>
        <w:rPr>
          <w:b/>
          <w:bCs/>
          <w:color w:val="D2232A"/>
          <w:szCs w:val="20"/>
          <w:lang w:val="en-GB"/>
        </w:rPr>
      </w:pPr>
      <w:bookmarkStart w:id="44" w:name="_Ref97885209"/>
      <w:bookmarkStart w:id="45" w:name="_Hlk100577258"/>
      <w:r>
        <w:rPr>
          <w:lang w:val="en-GB"/>
        </w:rPr>
        <w:br w:type="page"/>
      </w:r>
    </w:p>
    <w:p w14:paraId="443B30D4" w14:textId="7379A015" w:rsidR="002774C5" w:rsidRPr="006A6CE1" w:rsidRDefault="002774C5" w:rsidP="002774C5">
      <w:pPr>
        <w:pStyle w:val="Caption"/>
        <w:rPr>
          <w:lang w:val="en-GB"/>
        </w:rPr>
      </w:pPr>
      <w:r w:rsidRPr="006A6CE1">
        <w:rPr>
          <w:lang w:val="en-GB"/>
        </w:rPr>
        <w:lastRenderedPageBreak/>
        <w:t>Table </w:t>
      </w:r>
      <w:r w:rsidRPr="006A6CE1">
        <w:rPr>
          <w:lang w:val="en-GB"/>
        </w:rPr>
        <w:fldChar w:fldCharType="begin"/>
      </w:r>
      <w:r w:rsidRPr="006A6CE1">
        <w:rPr>
          <w:lang w:val="en-GB"/>
        </w:rPr>
        <w:instrText xml:space="preserve"> SEQ Table \* ARABIC </w:instrText>
      </w:r>
      <w:r w:rsidRPr="006A6CE1">
        <w:rPr>
          <w:lang w:val="en-GB"/>
        </w:rPr>
        <w:fldChar w:fldCharType="separate"/>
      </w:r>
      <w:r w:rsidR="00607B78">
        <w:rPr>
          <w:noProof/>
          <w:lang w:val="en-GB"/>
        </w:rPr>
        <w:t>10</w:t>
      </w:r>
      <w:r w:rsidRPr="006A6CE1">
        <w:rPr>
          <w:lang w:val="en-GB"/>
        </w:rPr>
        <w:fldChar w:fldCharType="end"/>
      </w:r>
      <w:bookmarkEnd w:id="43"/>
      <w:bookmarkEnd w:id="44"/>
      <w:r w:rsidRPr="006A6CE1">
        <w:rPr>
          <w:lang w:val="en-GB"/>
        </w:rPr>
        <w:t>: Technical requirements for RDI-S devices in the designated band 116</w:t>
      </w:r>
      <w:r w:rsidR="004715A8">
        <w:rPr>
          <w:lang w:val="en-GB"/>
        </w:rPr>
        <w:t>-</w:t>
      </w:r>
      <w:r w:rsidRPr="006A6CE1">
        <w:rPr>
          <w:lang w:val="en-GB"/>
        </w:rPr>
        <w:t>260 GHz</w:t>
      </w:r>
    </w:p>
    <w:tbl>
      <w:tblPr>
        <w:tblStyle w:val="ECCTable-redheader"/>
        <w:tblW w:w="8784" w:type="dxa"/>
        <w:tblInd w:w="0" w:type="dxa"/>
        <w:tblLook w:val="04A0" w:firstRow="1" w:lastRow="0" w:firstColumn="1" w:lastColumn="0" w:noHBand="0" w:noVBand="1"/>
      </w:tblPr>
      <w:tblGrid>
        <w:gridCol w:w="2830"/>
        <w:gridCol w:w="1276"/>
        <w:gridCol w:w="1559"/>
        <w:gridCol w:w="1560"/>
        <w:gridCol w:w="1559"/>
      </w:tblGrid>
      <w:tr w:rsidR="002774C5" w:rsidRPr="006A6CE1" w14:paraId="0BD9A179" w14:textId="77777777" w:rsidTr="00505817">
        <w:trPr>
          <w:cnfStyle w:val="100000000000" w:firstRow="1" w:lastRow="0" w:firstColumn="0" w:lastColumn="0" w:oddVBand="0" w:evenVBand="0" w:oddHBand="0" w:evenHBand="0" w:firstRowFirstColumn="0" w:firstRowLastColumn="0" w:lastRowFirstColumn="0" w:lastRowLastColumn="0"/>
        </w:trPr>
        <w:tc>
          <w:tcPr>
            <w:tcW w:w="0" w:type="dxa"/>
          </w:tcPr>
          <w:p w14:paraId="2DCD0245" w14:textId="0D5C9133" w:rsidR="002774C5" w:rsidRPr="006A6CE1" w:rsidRDefault="004715A8" w:rsidP="005E2FC7">
            <w:pPr>
              <w:pStyle w:val="ECCTableHeaderwhitefont"/>
              <w:keepNext w:val="0"/>
              <w:spacing w:before="120"/>
              <w:rPr>
                <w:lang w:val="en-GB"/>
              </w:rPr>
            </w:pPr>
            <w:bookmarkStart w:id="46" w:name="_Hlk66287045"/>
            <w:bookmarkEnd w:id="45"/>
            <w:r>
              <w:rPr>
                <w:lang w:val="en-GB"/>
              </w:rPr>
              <w:t>Frequency range</w:t>
            </w:r>
          </w:p>
        </w:tc>
        <w:tc>
          <w:tcPr>
            <w:tcW w:w="0" w:type="dxa"/>
            <w:tcBorders>
              <w:bottom w:val="single" w:sz="4" w:space="0" w:color="FFFFFF" w:themeColor="background1"/>
            </w:tcBorders>
          </w:tcPr>
          <w:p w14:paraId="2CDCCEF5" w14:textId="77777777" w:rsidR="002774C5" w:rsidRPr="006A6CE1" w:rsidRDefault="002774C5" w:rsidP="005E2FC7">
            <w:pPr>
              <w:pStyle w:val="ECCTabletext"/>
            </w:pPr>
            <w:r w:rsidRPr="006A6CE1">
              <w:t>Maximum duty cycle</w:t>
            </w:r>
          </w:p>
        </w:tc>
        <w:tc>
          <w:tcPr>
            <w:tcW w:w="0" w:type="dxa"/>
            <w:tcBorders>
              <w:bottom w:val="single" w:sz="4" w:space="0" w:color="FFFFFF" w:themeColor="background1"/>
            </w:tcBorders>
          </w:tcPr>
          <w:p w14:paraId="2DFC6831" w14:textId="77777777" w:rsidR="002774C5" w:rsidRPr="006A6CE1" w:rsidRDefault="002774C5" w:rsidP="005E2FC7">
            <w:pPr>
              <w:pStyle w:val="ECCTabletext"/>
            </w:pPr>
            <w:r w:rsidRPr="006A6CE1">
              <w:t>Maximum mean e.i.r.p. spectral density (Note 2)</w:t>
            </w:r>
          </w:p>
        </w:tc>
        <w:tc>
          <w:tcPr>
            <w:tcW w:w="0" w:type="dxa"/>
            <w:tcBorders>
              <w:bottom w:val="single" w:sz="4" w:space="0" w:color="FFFFFF" w:themeColor="background1"/>
            </w:tcBorders>
          </w:tcPr>
          <w:p w14:paraId="4735FBD0" w14:textId="77777777" w:rsidR="002774C5" w:rsidRPr="006A6CE1" w:rsidRDefault="002774C5" w:rsidP="005E2FC7">
            <w:pPr>
              <w:pStyle w:val="ECCTabletext"/>
            </w:pPr>
            <w:r w:rsidRPr="006A6CE1">
              <w:t>Maximum peak e.i.r.p. (Note 4)</w:t>
            </w:r>
          </w:p>
        </w:tc>
        <w:tc>
          <w:tcPr>
            <w:tcW w:w="0" w:type="dxa"/>
            <w:tcBorders>
              <w:bottom w:val="single" w:sz="4" w:space="0" w:color="FFFFFF" w:themeColor="background1"/>
            </w:tcBorders>
          </w:tcPr>
          <w:p w14:paraId="7D0A367F" w14:textId="784D5F47" w:rsidR="002774C5" w:rsidRPr="006A6CE1" w:rsidRDefault="007643F7" w:rsidP="005E2FC7">
            <w:pPr>
              <w:pStyle w:val="ECCTabletext"/>
            </w:pPr>
            <w:r>
              <w:t>U</w:t>
            </w:r>
            <w:r w:rsidR="002774C5" w:rsidRPr="006A6CE1">
              <w:t>nwanted emission</w:t>
            </w:r>
            <w:r>
              <w:t xml:space="preserve"> limit</w:t>
            </w:r>
            <w:r w:rsidR="002774C5" w:rsidRPr="006A6CE1">
              <w:t>s (Note 1)</w:t>
            </w:r>
          </w:p>
        </w:tc>
      </w:tr>
      <w:tr w:rsidR="002774C5" w:rsidRPr="006A6CE1" w14:paraId="3AF5B284" w14:textId="77777777" w:rsidTr="00505817">
        <w:tc>
          <w:tcPr>
            <w:tcW w:w="0" w:type="dxa"/>
            <w:tcBorders>
              <w:bottom w:val="single" w:sz="4" w:space="0" w:color="D22A23"/>
              <w:right w:val="single" w:sz="4" w:space="0" w:color="FFFFFF" w:themeColor="background1"/>
            </w:tcBorders>
            <w:shd w:val="clear" w:color="auto" w:fill="D2232A"/>
          </w:tcPr>
          <w:p w14:paraId="371451D6" w14:textId="77777777" w:rsidR="002774C5" w:rsidRPr="006A6CE1" w:rsidRDefault="002774C5" w:rsidP="00C34309">
            <w:pPr>
              <w:pStyle w:val="ECCTableHeaderwhitefont"/>
              <w:keepNext w:val="0"/>
              <w:spacing w:before="20" w:after="20"/>
              <w:rPr>
                <w:lang w:val="en-GB"/>
              </w:rPr>
            </w:pP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1943F08" w14:textId="77777777" w:rsidR="002774C5" w:rsidRPr="006760A2" w:rsidRDefault="002774C5" w:rsidP="00D2602C">
            <w:pPr>
              <w:pStyle w:val="ECCTabletext"/>
              <w:spacing w:before="20" w:after="20"/>
              <w:jc w:val="center"/>
              <w:rPr>
                <w:color w:val="FFFFFF" w:themeColor="background1"/>
              </w:rPr>
            </w:pPr>
            <w:r w:rsidRPr="006760A2">
              <w:rPr>
                <w:b/>
                <w:bCs/>
                <w:color w:val="FFFFFF" w:themeColor="background1"/>
              </w:rPr>
              <w:t>A</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F42E9E6" w14:textId="77777777" w:rsidR="002774C5" w:rsidRPr="006760A2" w:rsidRDefault="002774C5" w:rsidP="00D2602C">
            <w:pPr>
              <w:pStyle w:val="ECCTabletext"/>
              <w:spacing w:before="20" w:after="20"/>
              <w:jc w:val="center"/>
              <w:rPr>
                <w:color w:val="FFFFFF" w:themeColor="background1"/>
              </w:rPr>
            </w:pPr>
            <w:r w:rsidRPr="006760A2">
              <w:rPr>
                <w:b/>
                <w:bCs/>
                <w:color w:val="FFFFFF" w:themeColor="background1"/>
              </w:rPr>
              <w:t>B</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5140E25" w14:textId="77777777" w:rsidR="002774C5" w:rsidRPr="006760A2" w:rsidRDefault="002774C5" w:rsidP="00D2602C">
            <w:pPr>
              <w:pStyle w:val="ECCTabletext"/>
              <w:spacing w:before="20" w:after="20"/>
              <w:jc w:val="center"/>
              <w:rPr>
                <w:color w:val="FFFFFF" w:themeColor="background1"/>
              </w:rPr>
            </w:pPr>
            <w:r w:rsidRPr="006760A2">
              <w:rPr>
                <w:b/>
                <w:bCs/>
                <w:color w:val="FFFFFF" w:themeColor="background1"/>
              </w:rPr>
              <w:t>C</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D6F895D" w14:textId="77777777" w:rsidR="002774C5" w:rsidRPr="006760A2" w:rsidRDefault="002774C5" w:rsidP="00D2602C">
            <w:pPr>
              <w:pStyle w:val="ECCTabletext"/>
              <w:spacing w:before="20" w:after="20"/>
              <w:jc w:val="center"/>
              <w:rPr>
                <w:color w:val="FFFFFF" w:themeColor="background1"/>
              </w:rPr>
            </w:pPr>
            <w:r w:rsidRPr="006760A2">
              <w:rPr>
                <w:b/>
                <w:bCs/>
                <w:color w:val="FFFFFF" w:themeColor="background1"/>
              </w:rPr>
              <w:t>D</w:t>
            </w:r>
          </w:p>
        </w:tc>
      </w:tr>
      <w:tr w:rsidR="002774C5" w:rsidRPr="006A6CE1" w14:paraId="67AA9003" w14:textId="77777777" w:rsidTr="00505817">
        <w:tc>
          <w:tcPr>
            <w:tcW w:w="0" w:type="dxa"/>
            <w:shd w:val="clear" w:color="auto" w:fill="auto"/>
          </w:tcPr>
          <w:p w14:paraId="5CD7FDBE" w14:textId="40889ADF" w:rsidR="002774C5" w:rsidRPr="006A6CE1" w:rsidRDefault="002774C5" w:rsidP="00C34309">
            <w:pPr>
              <w:pStyle w:val="ECCTabletext"/>
              <w:keepNext w:val="0"/>
              <w:spacing w:before="0"/>
              <w:jc w:val="left"/>
            </w:pPr>
            <w:r w:rsidRPr="006A6CE1">
              <w:t>116</w:t>
            </w:r>
            <w:r w:rsidR="00993935">
              <w:t>-</w:t>
            </w:r>
            <w:r w:rsidRPr="006A6CE1">
              <w:t>122.5 GHz</w:t>
            </w:r>
          </w:p>
        </w:tc>
        <w:tc>
          <w:tcPr>
            <w:tcW w:w="0" w:type="dxa"/>
            <w:tcBorders>
              <w:top w:val="single" w:sz="4" w:space="0" w:color="FFFFFF" w:themeColor="background1"/>
            </w:tcBorders>
            <w:shd w:val="clear" w:color="auto" w:fill="auto"/>
          </w:tcPr>
          <w:p w14:paraId="652E4FF1" w14:textId="77777777" w:rsidR="002774C5" w:rsidRPr="006A6CE1" w:rsidRDefault="002774C5" w:rsidP="00C34309">
            <w:pPr>
              <w:pStyle w:val="ECCTabletext"/>
              <w:spacing w:before="0"/>
              <w:jc w:val="left"/>
            </w:pPr>
            <w:r w:rsidRPr="006A6CE1">
              <w:t>100%</w:t>
            </w:r>
          </w:p>
        </w:tc>
        <w:tc>
          <w:tcPr>
            <w:tcW w:w="0" w:type="dxa"/>
            <w:tcBorders>
              <w:top w:val="single" w:sz="4" w:space="0" w:color="FFFFFF" w:themeColor="background1"/>
            </w:tcBorders>
            <w:shd w:val="clear" w:color="auto" w:fill="auto"/>
          </w:tcPr>
          <w:p w14:paraId="3CBDBC4C" w14:textId="77777777" w:rsidR="002774C5" w:rsidRPr="006A6CE1" w:rsidRDefault="002774C5" w:rsidP="00C34309">
            <w:pPr>
              <w:pStyle w:val="ECCTabletext"/>
              <w:spacing w:before="0"/>
              <w:jc w:val="left"/>
            </w:pPr>
            <w:r w:rsidRPr="006A6CE1">
              <w:t>-5 dBm/MHz</w:t>
            </w:r>
          </w:p>
        </w:tc>
        <w:tc>
          <w:tcPr>
            <w:tcW w:w="0" w:type="dxa"/>
            <w:tcBorders>
              <w:top w:val="single" w:sz="4" w:space="0" w:color="FFFFFF" w:themeColor="background1"/>
            </w:tcBorders>
            <w:shd w:val="clear" w:color="auto" w:fill="auto"/>
          </w:tcPr>
          <w:p w14:paraId="55ED9117" w14:textId="77777777" w:rsidR="002774C5" w:rsidRPr="006A6CE1" w:rsidRDefault="002774C5" w:rsidP="00C34309">
            <w:pPr>
              <w:pStyle w:val="ECCTabletext"/>
              <w:spacing w:before="0"/>
              <w:jc w:val="left"/>
            </w:pPr>
            <w:r w:rsidRPr="006A6CE1">
              <w:t>45 dBm</w:t>
            </w:r>
          </w:p>
        </w:tc>
        <w:tc>
          <w:tcPr>
            <w:tcW w:w="0" w:type="dxa"/>
            <w:vMerge w:val="restart"/>
            <w:tcBorders>
              <w:top w:val="single" w:sz="4" w:space="0" w:color="FFFFFF" w:themeColor="background1"/>
            </w:tcBorders>
            <w:shd w:val="clear" w:color="auto" w:fill="auto"/>
          </w:tcPr>
          <w:p w14:paraId="66F3FB92" w14:textId="77777777" w:rsidR="00C22CAD" w:rsidRDefault="00C22CAD" w:rsidP="00C34309">
            <w:pPr>
              <w:pStyle w:val="ECCTabletext"/>
              <w:jc w:val="left"/>
            </w:pPr>
            <w:r>
              <w:t>-15 dBm/MHz max. mean e.i.r.p. spectral density (Note 2)</w:t>
            </w:r>
          </w:p>
          <w:p w14:paraId="3906F172" w14:textId="77777777" w:rsidR="00C22CAD" w:rsidRDefault="00C22CAD" w:rsidP="00C34309">
            <w:pPr>
              <w:pStyle w:val="ECCTabletext"/>
              <w:jc w:val="left"/>
            </w:pPr>
          </w:p>
          <w:p w14:paraId="5A698159" w14:textId="77777777" w:rsidR="00C22CAD" w:rsidRDefault="00C22CAD" w:rsidP="00C34309">
            <w:pPr>
              <w:pStyle w:val="ECCTabletext"/>
              <w:jc w:val="left"/>
            </w:pPr>
            <w:r>
              <w:t>and</w:t>
            </w:r>
          </w:p>
          <w:p w14:paraId="1C94127E" w14:textId="77777777" w:rsidR="00C22CAD" w:rsidRDefault="00C22CAD" w:rsidP="00C34309">
            <w:pPr>
              <w:pStyle w:val="ECCTabletext"/>
              <w:jc w:val="left"/>
            </w:pPr>
          </w:p>
          <w:p w14:paraId="15E40543" w14:textId="77963979" w:rsidR="002774C5" w:rsidRPr="006A6CE1" w:rsidRDefault="00C22CAD" w:rsidP="00C34309">
            <w:pPr>
              <w:pStyle w:val="ECCTabletext"/>
              <w:jc w:val="left"/>
            </w:pPr>
            <w:r>
              <w:t>35 dBm max. peak e.i.r.p. (Note 4)</w:t>
            </w:r>
          </w:p>
        </w:tc>
      </w:tr>
      <w:tr w:rsidR="002774C5" w:rsidRPr="006A6CE1" w14:paraId="4F65CD20" w14:textId="77777777" w:rsidTr="00435E72">
        <w:tc>
          <w:tcPr>
            <w:tcW w:w="2830" w:type="dxa"/>
            <w:shd w:val="clear" w:color="auto" w:fill="auto"/>
          </w:tcPr>
          <w:p w14:paraId="1563B788" w14:textId="53AA39EC" w:rsidR="002774C5" w:rsidRPr="006A6CE1" w:rsidRDefault="002774C5" w:rsidP="00C34309">
            <w:pPr>
              <w:pStyle w:val="ECCTabletext"/>
              <w:keepNext w:val="0"/>
              <w:spacing w:before="0"/>
              <w:jc w:val="left"/>
            </w:pPr>
            <w:r w:rsidRPr="006A6CE1">
              <w:t>122.5</w:t>
            </w:r>
            <w:r w:rsidR="00993935">
              <w:t>-</w:t>
            </w:r>
            <w:r w:rsidRPr="006A6CE1">
              <w:t>123 GHz</w:t>
            </w:r>
          </w:p>
        </w:tc>
        <w:tc>
          <w:tcPr>
            <w:tcW w:w="1276" w:type="dxa"/>
            <w:shd w:val="clear" w:color="auto" w:fill="auto"/>
          </w:tcPr>
          <w:p w14:paraId="2D849A39" w14:textId="77777777" w:rsidR="002774C5" w:rsidRPr="006A6CE1" w:rsidRDefault="002774C5" w:rsidP="00C34309">
            <w:pPr>
              <w:pStyle w:val="ECCTabletext"/>
              <w:spacing w:before="0"/>
              <w:jc w:val="left"/>
            </w:pPr>
            <w:r w:rsidRPr="006A6CE1">
              <w:t>100%</w:t>
            </w:r>
          </w:p>
        </w:tc>
        <w:tc>
          <w:tcPr>
            <w:tcW w:w="1559" w:type="dxa"/>
            <w:shd w:val="clear" w:color="auto" w:fill="auto"/>
          </w:tcPr>
          <w:p w14:paraId="531D50E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26B6743C"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095D6FF" w14:textId="77777777" w:rsidR="002774C5" w:rsidRPr="006A6CE1" w:rsidRDefault="002774C5" w:rsidP="00D42B15">
            <w:pPr>
              <w:pStyle w:val="ECCTabletext"/>
            </w:pPr>
          </w:p>
        </w:tc>
      </w:tr>
      <w:tr w:rsidR="002774C5" w:rsidRPr="006A6CE1" w14:paraId="7A73CF60" w14:textId="77777777" w:rsidTr="00435E72">
        <w:tc>
          <w:tcPr>
            <w:tcW w:w="2830" w:type="dxa"/>
            <w:shd w:val="clear" w:color="auto" w:fill="auto"/>
          </w:tcPr>
          <w:p w14:paraId="0F7B3253" w14:textId="447CF591" w:rsidR="002774C5" w:rsidRPr="006A6CE1" w:rsidRDefault="002774C5" w:rsidP="00C34309">
            <w:pPr>
              <w:pStyle w:val="ECCTabletext"/>
              <w:keepNext w:val="0"/>
              <w:spacing w:before="0"/>
              <w:jc w:val="left"/>
            </w:pPr>
            <w:r w:rsidRPr="006A6CE1">
              <w:t>123</w:t>
            </w:r>
            <w:r w:rsidR="00993935">
              <w:t>-</w:t>
            </w:r>
            <w:r w:rsidRPr="006A6CE1">
              <w:t>130 GHz</w:t>
            </w:r>
          </w:p>
        </w:tc>
        <w:tc>
          <w:tcPr>
            <w:tcW w:w="1276" w:type="dxa"/>
            <w:shd w:val="clear" w:color="auto" w:fill="auto"/>
          </w:tcPr>
          <w:p w14:paraId="04464AA3" w14:textId="77777777" w:rsidR="002774C5" w:rsidRPr="006A6CE1" w:rsidRDefault="002774C5" w:rsidP="00C34309">
            <w:pPr>
              <w:pStyle w:val="ECCTabletext"/>
              <w:spacing w:before="0"/>
              <w:jc w:val="left"/>
            </w:pPr>
            <w:r w:rsidRPr="006A6CE1">
              <w:t>100%</w:t>
            </w:r>
          </w:p>
        </w:tc>
        <w:tc>
          <w:tcPr>
            <w:tcW w:w="1559" w:type="dxa"/>
            <w:shd w:val="clear" w:color="auto" w:fill="auto"/>
          </w:tcPr>
          <w:p w14:paraId="17A9F056"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6D75D1A8"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5BF8FFA2" w14:textId="77777777" w:rsidR="002774C5" w:rsidRPr="006A6CE1" w:rsidRDefault="002774C5" w:rsidP="00D42B15">
            <w:pPr>
              <w:pStyle w:val="ECCTabletext"/>
            </w:pPr>
          </w:p>
        </w:tc>
      </w:tr>
      <w:tr w:rsidR="002774C5" w:rsidRPr="006A6CE1" w14:paraId="74FCBB5C" w14:textId="77777777" w:rsidTr="00435E72">
        <w:tc>
          <w:tcPr>
            <w:tcW w:w="2830" w:type="dxa"/>
            <w:shd w:val="clear" w:color="auto" w:fill="auto"/>
          </w:tcPr>
          <w:p w14:paraId="47E79ACC" w14:textId="6841762B" w:rsidR="002774C5" w:rsidRPr="006A6CE1" w:rsidRDefault="002774C5" w:rsidP="00C34309">
            <w:pPr>
              <w:pStyle w:val="ECCTabletext"/>
              <w:keepNext w:val="0"/>
              <w:spacing w:before="0"/>
              <w:jc w:val="left"/>
            </w:pPr>
            <w:r w:rsidRPr="006A6CE1">
              <w:t>130</w:t>
            </w:r>
            <w:r w:rsidR="00993935">
              <w:t>-</w:t>
            </w:r>
            <w:r w:rsidRPr="006A6CE1">
              <w:t>134 GHz</w:t>
            </w:r>
          </w:p>
        </w:tc>
        <w:tc>
          <w:tcPr>
            <w:tcW w:w="1276" w:type="dxa"/>
            <w:shd w:val="clear" w:color="auto" w:fill="auto"/>
          </w:tcPr>
          <w:p w14:paraId="1B2A66F1" w14:textId="77777777" w:rsidR="002774C5" w:rsidRPr="006A6CE1" w:rsidRDefault="002774C5" w:rsidP="00C34309">
            <w:pPr>
              <w:pStyle w:val="ECCTabletext"/>
              <w:spacing w:before="0"/>
              <w:jc w:val="left"/>
            </w:pPr>
            <w:r w:rsidRPr="006A6CE1">
              <w:t>100%</w:t>
            </w:r>
          </w:p>
        </w:tc>
        <w:tc>
          <w:tcPr>
            <w:tcW w:w="1559" w:type="dxa"/>
            <w:shd w:val="clear" w:color="auto" w:fill="auto"/>
          </w:tcPr>
          <w:p w14:paraId="44BBF56E"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9C35A8B"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67581AD" w14:textId="77777777" w:rsidR="002774C5" w:rsidRPr="006A6CE1" w:rsidRDefault="002774C5" w:rsidP="00D42B15">
            <w:pPr>
              <w:pStyle w:val="ECCTabletext"/>
            </w:pPr>
          </w:p>
        </w:tc>
      </w:tr>
      <w:tr w:rsidR="002774C5" w:rsidRPr="006A6CE1" w14:paraId="22CCE3FB" w14:textId="77777777" w:rsidTr="00435E72">
        <w:tc>
          <w:tcPr>
            <w:tcW w:w="2830" w:type="dxa"/>
            <w:shd w:val="clear" w:color="auto" w:fill="auto"/>
          </w:tcPr>
          <w:p w14:paraId="1EACBFBF" w14:textId="325F4ACE" w:rsidR="002774C5" w:rsidRPr="006A6CE1" w:rsidRDefault="002774C5" w:rsidP="00C34309">
            <w:pPr>
              <w:pStyle w:val="ECCTabletext"/>
              <w:keepNext w:val="0"/>
              <w:spacing w:before="0"/>
              <w:jc w:val="left"/>
            </w:pPr>
            <w:r w:rsidRPr="006A6CE1">
              <w:t>134</w:t>
            </w:r>
            <w:r w:rsidR="00993935">
              <w:t>-</w:t>
            </w:r>
            <w:r w:rsidRPr="006A6CE1">
              <w:t>141 GHz</w:t>
            </w:r>
          </w:p>
        </w:tc>
        <w:tc>
          <w:tcPr>
            <w:tcW w:w="1276" w:type="dxa"/>
            <w:shd w:val="clear" w:color="auto" w:fill="auto"/>
          </w:tcPr>
          <w:p w14:paraId="6444B7A9" w14:textId="77777777" w:rsidR="002774C5" w:rsidRPr="006A6CE1" w:rsidRDefault="002774C5" w:rsidP="00C34309">
            <w:pPr>
              <w:pStyle w:val="ECCTabletext"/>
              <w:spacing w:before="0"/>
              <w:jc w:val="left"/>
            </w:pPr>
            <w:r w:rsidRPr="006A6CE1">
              <w:t>100%</w:t>
            </w:r>
          </w:p>
        </w:tc>
        <w:tc>
          <w:tcPr>
            <w:tcW w:w="1559" w:type="dxa"/>
            <w:shd w:val="clear" w:color="auto" w:fill="auto"/>
          </w:tcPr>
          <w:p w14:paraId="3B46ADDB"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21886DC5"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09E7F5C9" w14:textId="77777777" w:rsidR="002774C5" w:rsidRPr="006A6CE1" w:rsidRDefault="002774C5" w:rsidP="00D42B15">
            <w:pPr>
              <w:pStyle w:val="ECCTabletext"/>
            </w:pPr>
          </w:p>
        </w:tc>
      </w:tr>
      <w:tr w:rsidR="002774C5" w:rsidRPr="006A6CE1" w14:paraId="587B01A1" w14:textId="77777777" w:rsidTr="00435E72">
        <w:tc>
          <w:tcPr>
            <w:tcW w:w="2830" w:type="dxa"/>
            <w:shd w:val="clear" w:color="auto" w:fill="auto"/>
          </w:tcPr>
          <w:p w14:paraId="2952E45C" w14:textId="0CC58BFE" w:rsidR="002774C5" w:rsidRPr="006A6CE1" w:rsidRDefault="002774C5" w:rsidP="00C34309">
            <w:pPr>
              <w:pStyle w:val="ECCTabletext"/>
              <w:keepNext w:val="0"/>
              <w:spacing w:before="0"/>
              <w:jc w:val="left"/>
            </w:pPr>
            <w:r w:rsidRPr="006A6CE1">
              <w:t>141</w:t>
            </w:r>
            <w:r w:rsidR="00993935">
              <w:t>-</w:t>
            </w:r>
            <w:r w:rsidRPr="006A6CE1">
              <w:t>148.5 GHz</w:t>
            </w:r>
          </w:p>
        </w:tc>
        <w:tc>
          <w:tcPr>
            <w:tcW w:w="1276" w:type="dxa"/>
            <w:shd w:val="clear" w:color="auto" w:fill="auto"/>
          </w:tcPr>
          <w:p w14:paraId="6C0F5E88" w14:textId="77777777" w:rsidR="002774C5" w:rsidRPr="006A6CE1" w:rsidRDefault="002774C5" w:rsidP="00C34309">
            <w:pPr>
              <w:pStyle w:val="ECCTabletext"/>
              <w:spacing w:before="0"/>
              <w:jc w:val="left"/>
            </w:pPr>
            <w:r w:rsidRPr="006A6CE1">
              <w:t>100%</w:t>
            </w:r>
          </w:p>
        </w:tc>
        <w:tc>
          <w:tcPr>
            <w:tcW w:w="1559" w:type="dxa"/>
            <w:shd w:val="clear" w:color="auto" w:fill="auto"/>
          </w:tcPr>
          <w:p w14:paraId="24AA81B1"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C3E2790"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378084FF" w14:textId="77777777" w:rsidR="002774C5" w:rsidRPr="006A6CE1" w:rsidRDefault="002774C5" w:rsidP="00D42B15">
            <w:pPr>
              <w:pStyle w:val="ECCTabletext"/>
            </w:pPr>
          </w:p>
        </w:tc>
      </w:tr>
      <w:tr w:rsidR="002774C5" w:rsidRPr="006A6CE1" w14:paraId="367E789E" w14:textId="77777777" w:rsidTr="00435E72">
        <w:tc>
          <w:tcPr>
            <w:tcW w:w="2830" w:type="dxa"/>
            <w:shd w:val="clear" w:color="auto" w:fill="auto"/>
          </w:tcPr>
          <w:p w14:paraId="01FA52E9" w14:textId="119849DF" w:rsidR="002774C5" w:rsidRPr="006A6CE1" w:rsidRDefault="002774C5" w:rsidP="00C34309">
            <w:pPr>
              <w:pStyle w:val="ECCTabletext"/>
              <w:keepNext w:val="0"/>
              <w:spacing w:before="0"/>
              <w:jc w:val="left"/>
            </w:pPr>
            <w:r w:rsidRPr="006A6CE1">
              <w:t>148.5</w:t>
            </w:r>
            <w:r w:rsidR="00993935">
              <w:t>-</w:t>
            </w:r>
            <w:r w:rsidRPr="006A6CE1">
              <w:t>151.5 GHz (Note 3)</w:t>
            </w:r>
          </w:p>
        </w:tc>
        <w:tc>
          <w:tcPr>
            <w:tcW w:w="1276" w:type="dxa"/>
            <w:shd w:val="clear" w:color="auto" w:fill="auto"/>
          </w:tcPr>
          <w:p w14:paraId="7B4B6AD0" w14:textId="77777777" w:rsidR="002774C5" w:rsidRPr="006A6CE1" w:rsidRDefault="002774C5" w:rsidP="00C34309">
            <w:pPr>
              <w:pStyle w:val="ECCTabletext"/>
              <w:spacing w:before="0"/>
              <w:jc w:val="left"/>
            </w:pPr>
            <w:r w:rsidRPr="006A6CE1">
              <w:t>100%</w:t>
            </w:r>
          </w:p>
        </w:tc>
        <w:tc>
          <w:tcPr>
            <w:tcW w:w="1559" w:type="dxa"/>
            <w:shd w:val="clear" w:color="auto" w:fill="auto"/>
          </w:tcPr>
          <w:p w14:paraId="174DBA48"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1BF02B5C"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67BC1BAC" w14:textId="77777777" w:rsidR="002774C5" w:rsidRPr="006A6CE1" w:rsidRDefault="002774C5" w:rsidP="00D42B15">
            <w:pPr>
              <w:pStyle w:val="ECCTabletext"/>
            </w:pPr>
          </w:p>
        </w:tc>
      </w:tr>
      <w:tr w:rsidR="002774C5" w:rsidRPr="006A6CE1" w14:paraId="50CE4A60" w14:textId="77777777" w:rsidTr="00435E72">
        <w:tc>
          <w:tcPr>
            <w:tcW w:w="2830" w:type="dxa"/>
            <w:shd w:val="clear" w:color="auto" w:fill="auto"/>
          </w:tcPr>
          <w:p w14:paraId="2CE604CA" w14:textId="1A56A523" w:rsidR="002774C5" w:rsidRPr="006A6CE1" w:rsidRDefault="002774C5" w:rsidP="00C34309">
            <w:pPr>
              <w:pStyle w:val="ECCTabletext"/>
              <w:keepNext w:val="0"/>
              <w:spacing w:before="0"/>
              <w:jc w:val="left"/>
            </w:pPr>
            <w:r w:rsidRPr="006A6CE1">
              <w:t>151.5</w:t>
            </w:r>
            <w:r w:rsidR="009778EF">
              <w:t>-</w:t>
            </w:r>
            <w:r w:rsidRPr="006A6CE1">
              <w:t>158.5 GHz</w:t>
            </w:r>
          </w:p>
        </w:tc>
        <w:tc>
          <w:tcPr>
            <w:tcW w:w="1276" w:type="dxa"/>
            <w:shd w:val="clear" w:color="auto" w:fill="auto"/>
          </w:tcPr>
          <w:p w14:paraId="0F52867D" w14:textId="77777777" w:rsidR="002774C5" w:rsidRPr="006A6CE1" w:rsidRDefault="002774C5" w:rsidP="00C34309">
            <w:pPr>
              <w:pStyle w:val="ECCTabletext"/>
              <w:spacing w:before="0"/>
              <w:jc w:val="left"/>
            </w:pPr>
            <w:r w:rsidRPr="006A6CE1">
              <w:t>100%</w:t>
            </w:r>
          </w:p>
        </w:tc>
        <w:tc>
          <w:tcPr>
            <w:tcW w:w="1559" w:type="dxa"/>
            <w:shd w:val="clear" w:color="auto" w:fill="auto"/>
          </w:tcPr>
          <w:p w14:paraId="6BFE195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E1FE838"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91C6151" w14:textId="77777777" w:rsidR="002774C5" w:rsidRPr="006A6CE1" w:rsidRDefault="002774C5" w:rsidP="00D42B15">
            <w:pPr>
              <w:pStyle w:val="ECCTabletext"/>
            </w:pPr>
          </w:p>
        </w:tc>
      </w:tr>
      <w:tr w:rsidR="002774C5" w:rsidRPr="006A6CE1" w14:paraId="722249CC" w14:textId="77777777" w:rsidTr="00435E72">
        <w:tc>
          <w:tcPr>
            <w:tcW w:w="2830" w:type="dxa"/>
            <w:shd w:val="clear" w:color="auto" w:fill="auto"/>
          </w:tcPr>
          <w:p w14:paraId="150818B9" w14:textId="090A013E" w:rsidR="002774C5" w:rsidRPr="006A6CE1" w:rsidRDefault="002774C5" w:rsidP="00C34309">
            <w:pPr>
              <w:pStyle w:val="ECCTabletext"/>
              <w:keepNext w:val="0"/>
              <w:spacing w:before="0"/>
              <w:jc w:val="left"/>
            </w:pPr>
            <w:r w:rsidRPr="006A6CE1">
              <w:t>158.5</w:t>
            </w:r>
            <w:r w:rsidR="009778EF">
              <w:t>-</w:t>
            </w:r>
            <w:r w:rsidRPr="006A6CE1">
              <w:t>164 GHz</w:t>
            </w:r>
          </w:p>
        </w:tc>
        <w:tc>
          <w:tcPr>
            <w:tcW w:w="1276" w:type="dxa"/>
            <w:shd w:val="clear" w:color="auto" w:fill="auto"/>
          </w:tcPr>
          <w:p w14:paraId="72A92E7F" w14:textId="77777777" w:rsidR="002774C5" w:rsidRPr="006A6CE1" w:rsidRDefault="002774C5" w:rsidP="00C34309">
            <w:pPr>
              <w:pStyle w:val="ECCTabletext"/>
              <w:spacing w:before="0"/>
              <w:jc w:val="left"/>
            </w:pPr>
            <w:r w:rsidRPr="006A6CE1">
              <w:t>100%</w:t>
            </w:r>
          </w:p>
        </w:tc>
        <w:tc>
          <w:tcPr>
            <w:tcW w:w="1559" w:type="dxa"/>
            <w:shd w:val="clear" w:color="auto" w:fill="auto"/>
          </w:tcPr>
          <w:p w14:paraId="5F69AE4E"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450BD06"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8709573" w14:textId="77777777" w:rsidR="002774C5" w:rsidRPr="006A6CE1" w:rsidRDefault="002774C5" w:rsidP="00D42B15">
            <w:pPr>
              <w:pStyle w:val="ECCTabletext"/>
            </w:pPr>
          </w:p>
        </w:tc>
      </w:tr>
      <w:tr w:rsidR="002774C5" w:rsidRPr="006A6CE1" w14:paraId="07A293F6" w14:textId="77777777" w:rsidTr="00435E72">
        <w:tc>
          <w:tcPr>
            <w:tcW w:w="2830" w:type="dxa"/>
            <w:shd w:val="clear" w:color="auto" w:fill="auto"/>
          </w:tcPr>
          <w:p w14:paraId="2875FBF7" w14:textId="5FDE4C9D" w:rsidR="002774C5" w:rsidRPr="006A6CE1" w:rsidRDefault="002774C5" w:rsidP="00C34309">
            <w:pPr>
              <w:pStyle w:val="ECCTabletext"/>
              <w:keepNext w:val="0"/>
              <w:spacing w:before="0"/>
              <w:jc w:val="left"/>
            </w:pPr>
            <w:r w:rsidRPr="006A6CE1">
              <w:t>164</w:t>
            </w:r>
            <w:r w:rsidR="009778EF">
              <w:t>-</w:t>
            </w:r>
            <w:r w:rsidRPr="006A6CE1">
              <w:t>167 GHz (Note 3)</w:t>
            </w:r>
          </w:p>
        </w:tc>
        <w:tc>
          <w:tcPr>
            <w:tcW w:w="1276" w:type="dxa"/>
            <w:shd w:val="clear" w:color="auto" w:fill="auto"/>
          </w:tcPr>
          <w:p w14:paraId="514FF916" w14:textId="77777777" w:rsidR="002774C5" w:rsidRPr="006A6CE1" w:rsidRDefault="002774C5" w:rsidP="00C34309">
            <w:pPr>
              <w:pStyle w:val="ECCTabletext"/>
              <w:spacing w:before="0"/>
              <w:jc w:val="left"/>
            </w:pPr>
            <w:r w:rsidRPr="006A6CE1">
              <w:t>100%</w:t>
            </w:r>
          </w:p>
        </w:tc>
        <w:tc>
          <w:tcPr>
            <w:tcW w:w="1559" w:type="dxa"/>
            <w:shd w:val="clear" w:color="auto" w:fill="auto"/>
          </w:tcPr>
          <w:p w14:paraId="0413B057"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0260A9F0"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516415BB" w14:textId="77777777" w:rsidR="002774C5" w:rsidRPr="006A6CE1" w:rsidRDefault="002774C5" w:rsidP="00D42B15">
            <w:pPr>
              <w:pStyle w:val="ECCTabletext"/>
            </w:pPr>
          </w:p>
        </w:tc>
      </w:tr>
      <w:tr w:rsidR="002774C5" w:rsidRPr="006A6CE1" w14:paraId="3A39FAA5" w14:textId="77777777" w:rsidTr="00435E72">
        <w:tc>
          <w:tcPr>
            <w:tcW w:w="2830" w:type="dxa"/>
            <w:shd w:val="clear" w:color="auto" w:fill="auto"/>
          </w:tcPr>
          <w:p w14:paraId="0312F380" w14:textId="6E2DF980" w:rsidR="002774C5" w:rsidRPr="006A6CE1" w:rsidRDefault="002774C5" w:rsidP="00C34309">
            <w:pPr>
              <w:pStyle w:val="ECCTabletext"/>
              <w:keepNext w:val="0"/>
              <w:spacing w:before="0"/>
              <w:jc w:val="left"/>
            </w:pPr>
            <w:r w:rsidRPr="006A6CE1">
              <w:t>167</w:t>
            </w:r>
            <w:r w:rsidR="009778EF">
              <w:t>-</w:t>
            </w:r>
            <w:r w:rsidRPr="006A6CE1">
              <w:t>174.5 GHz</w:t>
            </w:r>
          </w:p>
        </w:tc>
        <w:tc>
          <w:tcPr>
            <w:tcW w:w="1276" w:type="dxa"/>
            <w:shd w:val="clear" w:color="auto" w:fill="auto"/>
          </w:tcPr>
          <w:p w14:paraId="091432A5" w14:textId="77777777" w:rsidR="002774C5" w:rsidRPr="006A6CE1" w:rsidRDefault="002774C5" w:rsidP="00C34309">
            <w:pPr>
              <w:pStyle w:val="ECCTabletext"/>
              <w:spacing w:before="0"/>
              <w:jc w:val="left"/>
            </w:pPr>
            <w:r w:rsidRPr="006A6CE1">
              <w:t>100%</w:t>
            </w:r>
          </w:p>
        </w:tc>
        <w:tc>
          <w:tcPr>
            <w:tcW w:w="1559" w:type="dxa"/>
            <w:shd w:val="clear" w:color="auto" w:fill="auto"/>
          </w:tcPr>
          <w:p w14:paraId="66E79FCF"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5EEABE0D"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E89DEEC" w14:textId="77777777" w:rsidR="002774C5" w:rsidRPr="006A6CE1" w:rsidRDefault="002774C5" w:rsidP="00D42B15">
            <w:pPr>
              <w:pStyle w:val="ECCTabletext"/>
            </w:pPr>
          </w:p>
        </w:tc>
      </w:tr>
      <w:tr w:rsidR="002774C5" w:rsidRPr="006A6CE1" w14:paraId="74B99A6F" w14:textId="77777777" w:rsidTr="00435E72">
        <w:tc>
          <w:tcPr>
            <w:tcW w:w="2830" w:type="dxa"/>
            <w:shd w:val="clear" w:color="auto" w:fill="auto"/>
          </w:tcPr>
          <w:p w14:paraId="5D516FF8" w14:textId="74C994DD" w:rsidR="002774C5" w:rsidRPr="006A6CE1" w:rsidRDefault="002774C5" w:rsidP="00C34309">
            <w:pPr>
              <w:pStyle w:val="ECCTabletext"/>
              <w:keepNext w:val="0"/>
              <w:spacing w:before="0"/>
              <w:jc w:val="left"/>
            </w:pPr>
            <w:r w:rsidRPr="006A6CE1">
              <w:t>174.5</w:t>
            </w:r>
            <w:r w:rsidR="009778EF">
              <w:t>-</w:t>
            </w:r>
            <w:r w:rsidRPr="006A6CE1">
              <w:t>174.8 GHz</w:t>
            </w:r>
          </w:p>
        </w:tc>
        <w:tc>
          <w:tcPr>
            <w:tcW w:w="1276" w:type="dxa"/>
            <w:shd w:val="clear" w:color="auto" w:fill="auto"/>
          </w:tcPr>
          <w:p w14:paraId="184169BE" w14:textId="77777777" w:rsidR="002774C5" w:rsidRPr="006A6CE1" w:rsidRDefault="002774C5" w:rsidP="00C34309">
            <w:pPr>
              <w:pStyle w:val="ECCTabletext"/>
              <w:spacing w:before="0"/>
              <w:jc w:val="left"/>
            </w:pPr>
            <w:r w:rsidRPr="006A6CE1">
              <w:t>100%</w:t>
            </w:r>
          </w:p>
        </w:tc>
        <w:tc>
          <w:tcPr>
            <w:tcW w:w="1559" w:type="dxa"/>
            <w:shd w:val="clear" w:color="auto" w:fill="auto"/>
          </w:tcPr>
          <w:p w14:paraId="2082600A"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44AB1415"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22E4929" w14:textId="77777777" w:rsidR="002774C5" w:rsidRPr="006A6CE1" w:rsidRDefault="002774C5" w:rsidP="00D42B15">
            <w:pPr>
              <w:pStyle w:val="ECCTabletext"/>
            </w:pPr>
          </w:p>
        </w:tc>
      </w:tr>
      <w:tr w:rsidR="002774C5" w:rsidRPr="006A6CE1" w14:paraId="2F2F455F" w14:textId="77777777" w:rsidTr="00435E72">
        <w:tc>
          <w:tcPr>
            <w:tcW w:w="2830" w:type="dxa"/>
            <w:shd w:val="clear" w:color="auto" w:fill="auto"/>
          </w:tcPr>
          <w:p w14:paraId="0F668DF0" w14:textId="7460DBBE" w:rsidR="002774C5" w:rsidRPr="006A6CE1" w:rsidRDefault="002774C5" w:rsidP="00C34309">
            <w:pPr>
              <w:pStyle w:val="ECCTabletext"/>
              <w:keepNext w:val="0"/>
              <w:spacing w:before="0"/>
              <w:jc w:val="left"/>
            </w:pPr>
            <w:r w:rsidRPr="006A6CE1">
              <w:t>174.8</w:t>
            </w:r>
            <w:r w:rsidR="009778EF">
              <w:t>-</w:t>
            </w:r>
            <w:r w:rsidRPr="006A6CE1">
              <w:t>182 GHz</w:t>
            </w:r>
          </w:p>
        </w:tc>
        <w:tc>
          <w:tcPr>
            <w:tcW w:w="1276" w:type="dxa"/>
            <w:shd w:val="clear" w:color="auto" w:fill="auto"/>
          </w:tcPr>
          <w:p w14:paraId="6C5FDC2B" w14:textId="77777777" w:rsidR="002774C5" w:rsidRPr="006A6CE1" w:rsidRDefault="002774C5" w:rsidP="00C34309">
            <w:pPr>
              <w:pStyle w:val="ECCTabletext"/>
              <w:spacing w:before="0"/>
              <w:jc w:val="left"/>
            </w:pPr>
            <w:r w:rsidRPr="006A6CE1">
              <w:t>100%</w:t>
            </w:r>
          </w:p>
        </w:tc>
        <w:tc>
          <w:tcPr>
            <w:tcW w:w="1559" w:type="dxa"/>
            <w:shd w:val="clear" w:color="auto" w:fill="auto"/>
          </w:tcPr>
          <w:p w14:paraId="348E4F5D" w14:textId="77777777" w:rsidR="002774C5" w:rsidRPr="006A6CE1" w:rsidRDefault="002774C5" w:rsidP="00C34309">
            <w:pPr>
              <w:pStyle w:val="ECCTabletext"/>
              <w:spacing w:before="0"/>
              <w:jc w:val="left"/>
            </w:pPr>
            <w:r w:rsidRPr="006A6CE1">
              <w:t>+10 dBm/MHz</w:t>
            </w:r>
          </w:p>
        </w:tc>
        <w:tc>
          <w:tcPr>
            <w:tcW w:w="1560" w:type="dxa"/>
            <w:shd w:val="clear" w:color="auto" w:fill="auto"/>
          </w:tcPr>
          <w:p w14:paraId="5287726F" w14:textId="77777777" w:rsidR="002774C5" w:rsidRPr="006A6CE1" w:rsidRDefault="002774C5" w:rsidP="00C34309">
            <w:pPr>
              <w:pStyle w:val="ECCTabletext"/>
              <w:spacing w:before="0"/>
              <w:jc w:val="left"/>
            </w:pPr>
            <w:r w:rsidRPr="006A6CE1">
              <w:t>60 dBm</w:t>
            </w:r>
          </w:p>
        </w:tc>
        <w:tc>
          <w:tcPr>
            <w:tcW w:w="1559" w:type="dxa"/>
            <w:vMerge/>
            <w:shd w:val="clear" w:color="auto" w:fill="auto"/>
          </w:tcPr>
          <w:p w14:paraId="313DE963" w14:textId="77777777" w:rsidR="002774C5" w:rsidRPr="006A6CE1" w:rsidRDefault="002774C5" w:rsidP="00D42B15">
            <w:pPr>
              <w:pStyle w:val="ECCTabletext"/>
            </w:pPr>
          </w:p>
        </w:tc>
      </w:tr>
      <w:tr w:rsidR="002774C5" w:rsidRPr="006A6CE1" w14:paraId="68AD108B" w14:textId="77777777" w:rsidTr="00435E72">
        <w:tc>
          <w:tcPr>
            <w:tcW w:w="2830" w:type="dxa"/>
            <w:shd w:val="clear" w:color="auto" w:fill="auto"/>
          </w:tcPr>
          <w:p w14:paraId="43850F26" w14:textId="42DAF2CC" w:rsidR="002774C5" w:rsidRPr="006A6CE1" w:rsidRDefault="002774C5" w:rsidP="00C34309">
            <w:pPr>
              <w:pStyle w:val="ECCTabletext"/>
              <w:keepNext w:val="0"/>
              <w:spacing w:before="0"/>
              <w:jc w:val="left"/>
            </w:pPr>
            <w:r w:rsidRPr="006A6CE1">
              <w:t>182</w:t>
            </w:r>
            <w:r w:rsidR="009778EF">
              <w:t>-</w:t>
            </w:r>
            <w:r w:rsidRPr="006A6CE1">
              <w:t>185 GHz (Note 3)</w:t>
            </w:r>
          </w:p>
        </w:tc>
        <w:tc>
          <w:tcPr>
            <w:tcW w:w="1276" w:type="dxa"/>
            <w:shd w:val="clear" w:color="auto" w:fill="auto"/>
          </w:tcPr>
          <w:p w14:paraId="62A30323" w14:textId="77777777" w:rsidR="002774C5" w:rsidRPr="006A6CE1" w:rsidRDefault="002774C5" w:rsidP="00C34309">
            <w:pPr>
              <w:pStyle w:val="ECCTabletext"/>
              <w:spacing w:before="0"/>
              <w:jc w:val="left"/>
            </w:pPr>
            <w:r w:rsidRPr="006A6CE1">
              <w:t>100%</w:t>
            </w:r>
          </w:p>
        </w:tc>
        <w:tc>
          <w:tcPr>
            <w:tcW w:w="1559" w:type="dxa"/>
            <w:shd w:val="clear" w:color="auto" w:fill="auto"/>
          </w:tcPr>
          <w:p w14:paraId="22BC49DB"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2C6A1EDE"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7E2EE8FC" w14:textId="77777777" w:rsidR="002774C5" w:rsidRPr="006A6CE1" w:rsidRDefault="002774C5" w:rsidP="00D42B15">
            <w:pPr>
              <w:pStyle w:val="ECCTabletext"/>
            </w:pPr>
          </w:p>
        </w:tc>
      </w:tr>
      <w:tr w:rsidR="002774C5" w:rsidRPr="006A6CE1" w14:paraId="269B7ACA" w14:textId="77777777" w:rsidTr="00435E72">
        <w:tc>
          <w:tcPr>
            <w:tcW w:w="2830" w:type="dxa"/>
            <w:shd w:val="clear" w:color="auto" w:fill="auto"/>
          </w:tcPr>
          <w:p w14:paraId="52608E38" w14:textId="64A14FCD" w:rsidR="002774C5" w:rsidRPr="006A6CE1" w:rsidRDefault="002774C5" w:rsidP="00C34309">
            <w:pPr>
              <w:pStyle w:val="ECCTabletext"/>
              <w:keepNext w:val="0"/>
              <w:spacing w:before="0"/>
              <w:jc w:val="left"/>
            </w:pPr>
            <w:r w:rsidRPr="006A6CE1">
              <w:t>185</w:t>
            </w:r>
            <w:r w:rsidR="009778EF">
              <w:t>-</w:t>
            </w:r>
            <w:r w:rsidRPr="006A6CE1">
              <w:t>190 GHz</w:t>
            </w:r>
          </w:p>
        </w:tc>
        <w:tc>
          <w:tcPr>
            <w:tcW w:w="1276" w:type="dxa"/>
            <w:shd w:val="clear" w:color="auto" w:fill="auto"/>
          </w:tcPr>
          <w:p w14:paraId="5D3CDF7F" w14:textId="77777777" w:rsidR="002774C5" w:rsidRPr="006A6CE1" w:rsidRDefault="002774C5" w:rsidP="00C34309">
            <w:pPr>
              <w:pStyle w:val="ECCTabletext"/>
              <w:spacing w:before="0"/>
              <w:jc w:val="left"/>
            </w:pPr>
            <w:r w:rsidRPr="006A6CE1">
              <w:t>100%</w:t>
            </w:r>
          </w:p>
        </w:tc>
        <w:tc>
          <w:tcPr>
            <w:tcW w:w="1559" w:type="dxa"/>
            <w:shd w:val="clear" w:color="auto" w:fill="auto"/>
          </w:tcPr>
          <w:p w14:paraId="0356ED39"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8D74E44"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36E26723" w14:textId="77777777" w:rsidR="002774C5" w:rsidRPr="006A6CE1" w:rsidRDefault="002774C5" w:rsidP="00D42B15">
            <w:pPr>
              <w:pStyle w:val="ECCTabletext"/>
            </w:pPr>
          </w:p>
        </w:tc>
      </w:tr>
      <w:tr w:rsidR="002774C5" w:rsidRPr="006A6CE1" w14:paraId="7A76D8EE" w14:textId="77777777" w:rsidTr="00435E72">
        <w:tc>
          <w:tcPr>
            <w:tcW w:w="2830" w:type="dxa"/>
            <w:shd w:val="clear" w:color="auto" w:fill="auto"/>
          </w:tcPr>
          <w:p w14:paraId="35C25F64" w14:textId="1B7F678E" w:rsidR="002774C5" w:rsidRPr="006A6CE1" w:rsidRDefault="002774C5" w:rsidP="00C34309">
            <w:pPr>
              <w:pStyle w:val="ECCTabletext"/>
              <w:keepNext w:val="0"/>
              <w:spacing w:before="0"/>
              <w:jc w:val="left"/>
            </w:pPr>
            <w:r w:rsidRPr="006A6CE1">
              <w:t>190</w:t>
            </w:r>
            <w:r w:rsidR="009778EF">
              <w:t>-</w:t>
            </w:r>
            <w:r w:rsidRPr="006A6CE1">
              <w:t>191.8 GHz (Note 3)</w:t>
            </w:r>
          </w:p>
        </w:tc>
        <w:tc>
          <w:tcPr>
            <w:tcW w:w="1276" w:type="dxa"/>
            <w:shd w:val="clear" w:color="auto" w:fill="auto"/>
          </w:tcPr>
          <w:p w14:paraId="7CD24828" w14:textId="77777777" w:rsidR="002774C5" w:rsidRPr="006A6CE1" w:rsidRDefault="002774C5" w:rsidP="00C34309">
            <w:pPr>
              <w:pStyle w:val="ECCTabletext"/>
              <w:spacing w:before="0"/>
              <w:jc w:val="left"/>
            </w:pPr>
            <w:r w:rsidRPr="006A6CE1">
              <w:t>100%</w:t>
            </w:r>
          </w:p>
        </w:tc>
        <w:tc>
          <w:tcPr>
            <w:tcW w:w="1559" w:type="dxa"/>
            <w:shd w:val="clear" w:color="auto" w:fill="auto"/>
          </w:tcPr>
          <w:p w14:paraId="2A2715A7"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38766988"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31BB5349" w14:textId="77777777" w:rsidR="002774C5" w:rsidRPr="006A6CE1" w:rsidRDefault="002774C5" w:rsidP="00D42B15">
            <w:pPr>
              <w:pStyle w:val="ECCTabletext"/>
            </w:pPr>
          </w:p>
        </w:tc>
      </w:tr>
      <w:tr w:rsidR="002774C5" w:rsidRPr="006A6CE1" w14:paraId="3DEAA7E1" w14:textId="77777777" w:rsidTr="00435E72">
        <w:tc>
          <w:tcPr>
            <w:tcW w:w="2830" w:type="dxa"/>
            <w:shd w:val="clear" w:color="auto" w:fill="auto"/>
          </w:tcPr>
          <w:p w14:paraId="3C6D1241" w14:textId="01B484A3" w:rsidR="002774C5" w:rsidRPr="006A6CE1" w:rsidRDefault="002774C5" w:rsidP="00C34309">
            <w:pPr>
              <w:pStyle w:val="ECCTabletext"/>
              <w:keepNext w:val="0"/>
              <w:spacing w:before="0"/>
              <w:jc w:val="left"/>
            </w:pPr>
            <w:r w:rsidRPr="006A6CE1">
              <w:t>191.8</w:t>
            </w:r>
            <w:r w:rsidR="009778EF">
              <w:t>-</w:t>
            </w:r>
            <w:r w:rsidRPr="006A6CE1">
              <w:t>200 GHz</w:t>
            </w:r>
          </w:p>
        </w:tc>
        <w:tc>
          <w:tcPr>
            <w:tcW w:w="1276" w:type="dxa"/>
            <w:shd w:val="clear" w:color="auto" w:fill="auto"/>
          </w:tcPr>
          <w:p w14:paraId="3F6221C1" w14:textId="77777777" w:rsidR="002774C5" w:rsidRPr="006A6CE1" w:rsidRDefault="002774C5" w:rsidP="00C34309">
            <w:pPr>
              <w:pStyle w:val="ECCTabletext"/>
              <w:spacing w:before="0"/>
              <w:jc w:val="left"/>
            </w:pPr>
            <w:r w:rsidRPr="006A6CE1">
              <w:t>100%</w:t>
            </w:r>
          </w:p>
        </w:tc>
        <w:tc>
          <w:tcPr>
            <w:tcW w:w="1559" w:type="dxa"/>
            <w:shd w:val="clear" w:color="auto" w:fill="auto"/>
          </w:tcPr>
          <w:p w14:paraId="32B5B04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F391C83"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D07C3AD" w14:textId="77777777" w:rsidR="002774C5" w:rsidRPr="006A6CE1" w:rsidRDefault="002774C5" w:rsidP="00D42B15">
            <w:pPr>
              <w:pStyle w:val="ECCTabletext"/>
            </w:pPr>
          </w:p>
        </w:tc>
      </w:tr>
      <w:tr w:rsidR="002774C5" w:rsidRPr="006A6CE1" w14:paraId="6A9DD3A4" w14:textId="77777777" w:rsidTr="00435E72">
        <w:tc>
          <w:tcPr>
            <w:tcW w:w="2830" w:type="dxa"/>
            <w:shd w:val="clear" w:color="auto" w:fill="auto"/>
          </w:tcPr>
          <w:p w14:paraId="6E372905" w14:textId="055110B9" w:rsidR="002774C5" w:rsidRPr="006A6CE1" w:rsidRDefault="002774C5" w:rsidP="00C34309">
            <w:pPr>
              <w:pStyle w:val="ECCTabletext"/>
              <w:keepNext w:val="0"/>
              <w:spacing w:before="0"/>
              <w:jc w:val="left"/>
            </w:pPr>
            <w:r w:rsidRPr="006A6CE1">
              <w:t>200</w:t>
            </w:r>
            <w:r w:rsidR="009778EF">
              <w:t>-</w:t>
            </w:r>
            <w:r w:rsidRPr="006A6CE1">
              <w:t>209 GHz (Note 3)</w:t>
            </w:r>
          </w:p>
        </w:tc>
        <w:tc>
          <w:tcPr>
            <w:tcW w:w="1276" w:type="dxa"/>
            <w:shd w:val="clear" w:color="auto" w:fill="auto"/>
          </w:tcPr>
          <w:p w14:paraId="552D8D31" w14:textId="77777777" w:rsidR="002774C5" w:rsidRPr="006A6CE1" w:rsidRDefault="002774C5" w:rsidP="00C34309">
            <w:pPr>
              <w:pStyle w:val="ECCTabletext"/>
              <w:spacing w:before="0"/>
              <w:jc w:val="left"/>
            </w:pPr>
            <w:r w:rsidRPr="006A6CE1">
              <w:t>100%</w:t>
            </w:r>
          </w:p>
        </w:tc>
        <w:tc>
          <w:tcPr>
            <w:tcW w:w="1559" w:type="dxa"/>
            <w:shd w:val="clear" w:color="auto" w:fill="auto"/>
          </w:tcPr>
          <w:p w14:paraId="4F8E6BB0"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25C62571"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3D97261C" w14:textId="77777777" w:rsidR="002774C5" w:rsidRPr="006A6CE1" w:rsidRDefault="002774C5" w:rsidP="00D42B15">
            <w:pPr>
              <w:pStyle w:val="ECCTabletext"/>
            </w:pPr>
          </w:p>
        </w:tc>
      </w:tr>
      <w:tr w:rsidR="002774C5" w:rsidRPr="006A6CE1" w14:paraId="2010B527" w14:textId="77777777" w:rsidTr="00435E72">
        <w:tc>
          <w:tcPr>
            <w:tcW w:w="2830" w:type="dxa"/>
            <w:shd w:val="clear" w:color="auto" w:fill="auto"/>
          </w:tcPr>
          <w:p w14:paraId="43CD21C1" w14:textId="11FB42D5" w:rsidR="002774C5" w:rsidRPr="006A6CE1" w:rsidRDefault="002774C5" w:rsidP="00C34309">
            <w:pPr>
              <w:pStyle w:val="ECCTabletext"/>
              <w:keepNext w:val="0"/>
              <w:spacing w:before="0"/>
              <w:jc w:val="left"/>
            </w:pPr>
            <w:r w:rsidRPr="006A6CE1">
              <w:t>209</w:t>
            </w:r>
            <w:r w:rsidR="009778EF">
              <w:t>-</w:t>
            </w:r>
            <w:r w:rsidRPr="006A6CE1">
              <w:t>226 GHz</w:t>
            </w:r>
          </w:p>
        </w:tc>
        <w:tc>
          <w:tcPr>
            <w:tcW w:w="1276" w:type="dxa"/>
            <w:shd w:val="clear" w:color="auto" w:fill="auto"/>
          </w:tcPr>
          <w:p w14:paraId="2F94C786" w14:textId="77777777" w:rsidR="002774C5" w:rsidRPr="006A6CE1" w:rsidRDefault="002774C5" w:rsidP="00C34309">
            <w:pPr>
              <w:pStyle w:val="ECCTabletext"/>
              <w:spacing w:before="0"/>
              <w:jc w:val="left"/>
            </w:pPr>
            <w:r w:rsidRPr="006A6CE1">
              <w:t>100%</w:t>
            </w:r>
          </w:p>
        </w:tc>
        <w:tc>
          <w:tcPr>
            <w:tcW w:w="1559" w:type="dxa"/>
            <w:shd w:val="clear" w:color="auto" w:fill="auto"/>
          </w:tcPr>
          <w:p w14:paraId="79B7346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462FDC9"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4AEC6E2" w14:textId="77777777" w:rsidR="002774C5" w:rsidRPr="006A6CE1" w:rsidRDefault="002774C5" w:rsidP="00D42B15">
            <w:pPr>
              <w:pStyle w:val="ECCTabletext"/>
            </w:pPr>
          </w:p>
        </w:tc>
      </w:tr>
      <w:tr w:rsidR="002774C5" w:rsidRPr="006A6CE1" w14:paraId="2FF06C23" w14:textId="77777777" w:rsidTr="00435E72">
        <w:tc>
          <w:tcPr>
            <w:tcW w:w="2830" w:type="dxa"/>
            <w:shd w:val="clear" w:color="auto" w:fill="auto"/>
          </w:tcPr>
          <w:p w14:paraId="3C0265F8" w14:textId="6F3FA3A2" w:rsidR="002774C5" w:rsidRPr="006A6CE1" w:rsidRDefault="002774C5" w:rsidP="00C34309">
            <w:pPr>
              <w:pStyle w:val="ECCTabletext"/>
              <w:keepNext w:val="0"/>
              <w:spacing w:before="0"/>
              <w:jc w:val="left"/>
            </w:pPr>
            <w:r w:rsidRPr="006A6CE1">
              <w:t>226</w:t>
            </w:r>
            <w:r w:rsidR="009778EF">
              <w:t>-</w:t>
            </w:r>
            <w:r w:rsidRPr="006A6CE1">
              <w:t>231.5 GHz (Note 3)</w:t>
            </w:r>
          </w:p>
        </w:tc>
        <w:tc>
          <w:tcPr>
            <w:tcW w:w="1276" w:type="dxa"/>
            <w:shd w:val="clear" w:color="auto" w:fill="auto"/>
          </w:tcPr>
          <w:p w14:paraId="430EBBE7" w14:textId="77777777" w:rsidR="002774C5" w:rsidRPr="006A6CE1" w:rsidRDefault="002774C5" w:rsidP="00C34309">
            <w:pPr>
              <w:pStyle w:val="ECCTabletext"/>
              <w:spacing w:before="0"/>
              <w:jc w:val="left"/>
            </w:pPr>
            <w:r w:rsidRPr="006A6CE1">
              <w:t>100%</w:t>
            </w:r>
          </w:p>
        </w:tc>
        <w:tc>
          <w:tcPr>
            <w:tcW w:w="1559" w:type="dxa"/>
            <w:shd w:val="clear" w:color="auto" w:fill="auto"/>
          </w:tcPr>
          <w:p w14:paraId="274B5A78"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10DA875C"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2A879F21" w14:textId="77777777" w:rsidR="002774C5" w:rsidRPr="006A6CE1" w:rsidRDefault="002774C5" w:rsidP="00D42B15">
            <w:pPr>
              <w:pStyle w:val="ECCTabletext"/>
            </w:pPr>
          </w:p>
        </w:tc>
      </w:tr>
      <w:tr w:rsidR="002774C5" w:rsidRPr="006A6CE1" w14:paraId="57F9B36F" w14:textId="77777777" w:rsidTr="00435E72">
        <w:tc>
          <w:tcPr>
            <w:tcW w:w="2830" w:type="dxa"/>
            <w:shd w:val="clear" w:color="auto" w:fill="auto"/>
          </w:tcPr>
          <w:p w14:paraId="35714891" w14:textId="77756CA1" w:rsidR="002774C5" w:rsidRPr="006A6CE1" w:rsidRDefault="002774C5" w:rsidP="00C34309">
            <w:pPr>
              <w:pStyle w:val="ECCTabletext"/>
              <w:keepNext w:val="0"/>
              <w:spacing w:before="0"/>
              <w:jc w:val="left"/>
            </w:pPr>
            <w:r w:rsidRPr="006A6CE1">
              <w:t>231.5</w:t>
            </w:r>
            <w:r w:rsidR="009778EF">
              <w:t>-</w:t>
            </w:r>
            <w:r w:rsidRPr="006A6CE1">
              <w:t>235 GHz</w:t>
            </w:r>
          </w:p>
        </w:tc>
        <w:tc>
          <w:tcPr>
            <w:tcW w:w="1276" w:type="dxa"/>
            <w:shd w:val="clear" w:color="auto" w:fill="auto"/>
          </w:tcPr>
          <w:p w14:paraId="55F9B1F3" w14:textId="77777777" w:rsidR="002774C5" w:rsidRPr="006A6CE1" w:rsidRDefault="002774C5" w:rsidP="00C34309">
            <w:pPr>
              <w:pStyle w:val="ECCTabletext"/>
              <w:spacing w:before="0"/>
              <w:jc w:val="left"/>
            </w:pPr>
            <w:r w:rsidRPr="006A6CE1">
              <w:t>100%</w:t>
            </w:r>
          </w:p>
        </w:tc>
        <w:tc>
          <w:tcPr>
            <w:tcW w:w="1559" w:type="dxa"/>
            <w:shd w:val="clear" w:color="auto" w:fill="auto"/>
          </w:tcPr>
          <w:p w14:paraId="672C97DC"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4CAB1EF"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5F18DD96" w14:textId="77777777" w:rsidR="002774C5" w:rsidRPr="006A6CE1" w:rsidRDefault="002774C5" w:rsidP="00D42B15">
            <w:pPr>
              <w:pStyle w:val="ECCTabletext"/>
            </w:pPr>
          </w:p>
        </w:tc>
      </w:tr>
      <w:tr w:rsidR="002774C5" w:rsidRPr="006A6CE1" w14:paraId="611AE31C" w14:textId="77777777" w:rsidTr="00435E72">
        <w:tc>
          <w:tcPr>
            <w:tcW w:w="2830" w:type="dxa"/>
            <w:shd w:val="clear" w:color="auto" w:fill="auto"/>
          </w:tcPr>
          <w:p w14:paraId="21659167" w14:textId="6ED55EF0" w:rsidR="002774C5" w:rsidRPr="006A6CE1" w:rsidRDefault="002774C5" w:rsidP="00C34309">
            <w:pPr>
              <w:pStyle w:val="ECCTabletext"/>
              <w:keepNext w:val="0"/>
              <w:spacing w:before="0"/>
              <w:jc w:val="left"/>
            </w:pPr>
            <w:r w:rsidRPr="006A6CE1">
              <w:t>235</w:t>
            </w:r>
            <w:r w:rsidR="009778EF">
              <w:t>-</w:t>
            </w:r>
            <w:r w:rsidRPr="006A6CE1">
              <w:t>238 GHz</w:t>
            </w:r>
          </w:p>
        </w:tc>
        <w:tc>
          <w:tcPr>
            <w:tcW w:w="1276" w:type="dxa"/>
            <w:shd w:val="clear" w:color="auto" w:fill="auto"/>
          </w:tcPr>
          <w:p w14:paraId="5087DB5B" w14:textId="77777777" w:rsidR="002774C5" w:rsidRPr="006A6CE1" w:rsidRDefault="002774C5" w:rsidP="00C34309">
            <w:pPr>
              <w:pStyle w:val="ECCTabletext"/>
              <w:spacing w:before="0"/>
              <w:jc w:val="left"/>
            </w:pPr>
            <w:r w:rsidRPr="006A6CE1">
              <w:t>100%</w:t>
            </w:r>
          </w:p>
        </w:tc>
        <w:tc>
          <w:tcPr>
            <w:tcW w:w="1559" w:type="dxa"/>
            <w:shd w:val="clear" w:color="auto" w:fill="auto"/>
          </w:tcPr>
          <w:p w14:paraId="06F72215"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51E321F2"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119A2219" w14:textId="77777777" w:rsidR="002774C5" w:rsidRPr="006A6CE1" w:rsidRDefault="002774C5" w:rsidP="00D42B15">
            <w:pPr>
              <w:pStyle w:val="ECCTabletext"/>
            </w:pPr>
          </w:p>
        </w:tc>
      </w:tr>
      <w:tr w:rsidR="002774C5" w:rsidRPr="006A6CE1" w14:paraId="4D9C8A98" w14:textId="77777777" w:rsidTr="00435E72">
        <w:tc>
          <w:tcPr>
            <w:tcW w:w="2830" w:type="dxa"/>
            <w:shd w:val="clear" w:color="auto" w:fill="auto"/>
          </w:tcPr>
          <w:p w14:paraId="5F8794B1" w14:textId="0AA8002C" w:rsidR="002774C5" w:rsidRPr="006A6CE1" w:rsidRDefault="002774C5" w:rsidP="00C34309">
            <w:pPr>
              <w:pStyle w:val="ECCTabletext"/>
              <w:keepNext w:val="0"/>
              <w:spacing w:before="0"/>
              <w:jc w:val="left"/>
            </w:pPr>
            <w:r w:rsidRPr="006A6CE1">
              <w:t>238</w:t>
            </w:r>
            <w:r w:rsidR="009778EF">
              <w:t>-</w:t>
            </w:r>
            <w:r w:rsidRPr="006A6CE1">
              <w:t>241 GHz</w:t>
            </w:r>
          </w:p>
        </w:tc>
        <w:tc>
          <w:tcPr>
            <w:tcW w:w="1276" w:type="dxa"/>
            <w:shd w:val="clear" w:color="auto" w:fill="auto"/>
          </w:tcPr>
          <w:p w14:paraId="6F603D3D" w14:textId="77777777" w:rsidR="002774C5" w:rsidRPr="006A6CE1" w:rsidRDefault="002774C5" w:rsidP="00C34309">
            <w:pPr>
              <w:pStyle w:val="ECCTabletext"/>
              <w:spacing w:before="0"/>
              <w:jc w:val="left"/>
            </w:pPr>
            <w:r w:rsidRPr="006A6CE1">
              <w:t>100%</w:t>
            </w:r>
          </w:p>
        </w:tc>
        <w:tc>
          <w:tcPr>
            <w:tcW w:w="1559" w:type="dxa"/>
            <w:shd w:val="clear" w:color="auto" w:fill="auto"/>
          </w:tcPr>
          <w:p w14:paraId="5A1A3F6D"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3C001296"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69D5E419" w14:textId="77777777" w:rsidR="002774C5" w:rsidRPr="006A6CE1" w:rsidRDefault="002774C5" w:rsidP="00D42B15">
            <w:pPr>
              <w:pStyle w:val="ECCTabletext"/>
            </w:pPr>
          </w:p>
        </w:tc>
      </w:tr>
      <w:tr w:rsidR="002774C5" w:rsidRPr="006A6CE1" w14:paraId="63518854" w14:textId="77777777" w:rsidTr="00435E72">
        <w:tc>
          <w:tcPr>
            <w:tcW w:w="2830" w:type="dxa"/>
            <w:shd w:val="clear" w:color="auto" w:fill="auto"/>
          </w:tcPr>
          <w:p w14:paraId="097DB832" w14:textId="6A1B4982" w:rsidR="002774C5" w:rsidRPr="006A6CE1" w:rsidRDefault="002774C5" w:rsidP="00C34309">
            <w:pPr>
              <w:pStyle w:val="ECCTabletext"/>
              <w:keepNext w:val="0"/>
              <w:spacing w:before="0"/>
              <w:jc w:val="left"/>
            </w:pPr>
            <w:r w:rsidRPr="006A6CE1">
              <w:t>241</w:t>
            </w:r>
            <w:r w:rsidR="009778EF">
              <w:t>-</w:t>
            </w:r>
            <w:r w:rsidRPr="006A6CE1">
              <w:t>244 GHz</w:t>
            </w:r>
          </w:p>
        </w:tc>
        <w:tc>
          <w:tcPr>
            <w:tcW w:w="1276" w:type="dxa"/>
            <w:shd w:val="clear" w:color="auto" w:fill="auto"/>
          </w:tcPr>
          <w:p w14:paraId="37101AE0" w14:textId="77777777" w:rsidR="002774C5" w:rsidRPr="006A6CE1" w:rsidRDefault="002774C5" w:rsidP="00C34309">
            <w:pPr>
              <w:pStyle w:val="ECCTabletext"/>
              <w:spacing w:before="0"/>
              <w:jc w:val="left"/>
            </w:pPr>
            <w:r w:rsidRPr="006A6CE1">
              <w:t>100%</w:t>
            </w:r>
          </w:p>
        </w:tc>
        <w:tc>
          <w:tcPr>
            <w:tcW w:w="1559" w:type="dxa"/>
            <w:shd w:val="clear" w:color="auto" w:fill="auto"/>
          </w:tcPr>
          <w:p w14:paraId="7FE3CC80"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6129557E"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09C19A85" w14:textId="77777777" w:rsidR="002774C5" w:rsidRPr="006A6CE1" w:rsidRDefault="002774C5" w:rsidP="00D42B15">
            <w:pPr>
              <w:pStyle w:val="ECCTabletext"/>
            </w:pPr>
          </w:p>
        </w:tc>
      </w:tr>
      <w:tr w:rsidR="002774C5" w:rsidRPr="006A6CE1" w14:paraId="23EF8F84" w14:textId="77777777" w:rsidTr="00435E72">
        <w:tc>
          <w:tcPr>
            <w:tcW w:w="2830" w:type="dxa"/>
            <w:shd w:val="clear" w:color="auto" w:fill="auto"/>
          </w:tcPr>
          <w:p w14:paraId="49E7D834" w14:textId="33E002E7" w:rsidR="002774C5" w:rsidRPr="006A6CE1" w:rsidRDefault="002774C5" w:rsidP="00C34309">
            <w:pPr>
              <w:pStyle w:val="ECCTabletext"/>
              <w:keepNext w:val="0"/>
              <w:spacing w:before="0"/>
              <w:jc w:val="left"/>
            </w:pPr>
            <w:r w:rsidRPr="006A6CE1">
              <w:t>244</w:t>
            </w:r>
            <w:r w:rsidR="009778EF">
              <w:t>-</w:t>
            </w:r>
            <w:r w:rsidRPr="006A6CE1">
              <w:t>246 GHz</w:t>
            </w:r>
          </w:p>
        </w:tc>
        <w:tc>
          <w:tcPr>
            <w:tcW w:w="1276" w:type="dxa"/>
            <w:shd w:val="clear" w:color="auto" w:fill="auto"/>
          </w:tcPr>
          <w:p w14:paraId="5E5E2CFD" w14:textId="77777777" w:rsidR="002774C5" w:rsidRPr="006A6CE1" w:rsidRDefault="002774C5" w:rsidP="00C34309">
            <w:pPr>
              <w:pStyle w:val="ECCTabletext"/>
              <w:spacing w:before="0"/>
              <w:jc w:val="left"/>
            </w:pPr>
            <w:r w:rsidRPr="006A6CE1">
              <w:t>100%</w:t>
            </w:r>
          </w:p>
        </w:tc>
        <w:tc>
          <w:tcPr>
            <w:tcW w:w="1559" w:type="dxa"/>
            <w:shd w:val="clear" w:color="auto" w:fill="auto"/>
          </w:tcPr>
          <w:p w14:paraId="5DF0C78A"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7923ECF8"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7246DF40" w14:textId="77777777" w:rsidR="002774C5" w:rsidRPr="006A6CE1" w:rsidRDefault="002774C5" w:rsidP="00D42B15">
            <w:pPr>
              <w:pStyle w:val="ECCTabletext"/>
            </w:pPr>
          </w:p>
        </w:tc>
      </w:tr>
      <w:tr w:rsidR="002774C5" w:rsidRPr="006A6CE1" w14:paraId="208C09EF" w14:textId="77777777" w:rsidTr="00435E72">
        <w:tc>
          <w:tcPr>
            <w:tcW w:w="2830" w:type="dxa"/>
            <w:shd w:val="clear" w:color="auto" w:fill="auto"/>
          </w:tcPr>
          <w:p w14:paraId="386178C5" w14:textId="33DC295E" w:rsidR="002774C5" w:rsidRPr="006A6CE1" w:rsidRDefault="002774C5" w:rsidP="00C34309">
            <w:pPr>
              <w:pStyle w:val="ECCTabletext"/>
              <w:keepNext w:val="0"/>
              <w:spacing w:before="0"/>
              <w:jc w:val="left"/>
            </w:pPr>
            <w:r w:rsidRPr="006A6CE1">
              <w:t>246</w:t>
            </w:r>
            <w:r w:rsidR="009778EF">
              <w:t>-</w:t>
            </w:r>
            <w:r w:rsidRPr="006A6CE1">
              <w:t>250 GHz</w:t>
            </w:r>
          </w:p>
        </w:tc>
        <w:tc>
          <w:tcPr>
            <w:tcW w:w="1276" w:type="dxa"/>
            <w:shd w:val="clear" w:color="auto" w:fill="auto"/>
          </w:tcPr>
          <w:p w14:paraId="0E62F1CA" w14:textId="77777777" w:rsidR="002774C5" w:rsidRPr="006A6CE1" w:rsidRDefault="002774C5" w:rsidP="00C34309">
            <w:pPr>
              <w:pStyle w:val="ECCTabletext"/>
              <w:spacing w:before="0"/>
              <w:jc w:val="left"/>
            </w:pPr>
            <w:r w:rsidRPr="006A6CE1">
              <w:t>100%</w:t>
            </w:r>
          </w:p>
        </w:tc>
        <w:tc>
          <w:tcPr>
            <w:tcW w:w="1559" w:type="dxa"/>
            <w:shd w:val="clear" w:color="auto" w:fill="auto"/>
          </w:tcPr>
          <w:p w14:paraId="04E28C28" w14:textId="77777777" w:rsidR="002774C5" w:rsidRPr="006A6CE1" w:rsidRDefault="002774C5" w:rsidP="00C34309">
            <w:pPr>
              <w:pStyle w:val="ECCTabletext"/>
              <w:spacing w:before="0"/>
              <w:jc w:val="left"/>
            </w:pPr>
            <w:r w:rsidRPr="006A6CE1">
              <w:t>-5 dBm/MHz</w:t>
            </w:r>
          </w:p>
        </w:tc>
        <w:tc>
          <w:tcPr>
            <w:tcW w:w="1560" w:type="dxa"/>
            <w:shd w:val="clear" w:color="auto" w:fill="auto"/>
          </w:tcPr>
          <w:p w14:paraId="02278FBC"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42C1D16D" w14:textId="77777777" w:rsidR="002774C5" w:rsidRPr="006A6CE1" w:rsidRDefault="002774C5" w:rsidP="00D42B15">
            <w:pPr>
              <w:pStyle w:val="ECCTabletext"/>
            </w:pPr>
          </w:p>
        </w:tc>
      </w:tr>
      <w:tr w:rsidR="002774C5" w:rsidRPr="006A6CE1" w14:paraId="4869A54F" w14:textId="77777777" w:rsidTr="00435E72">
        <w:tc>
          <w:tcPr>
            <w:tcW w:w="2830" w:type="dxa"/>
            <w:shd w:val="clear" w:color="auto" w:fill="auto"/>
          </w:tcPr>
          <w:p w14:paraId="3765DD4F" w14:textId="202BBFA3" w:rsidR="002774C5" w:rsidRPr="006A6CE1" w:rsidRDefault="002774C5" w:rsidP="00C34309">
            <w:pPr>
              <w:pStyle w:val="ECCTabletext"/>
              <w:keepNext w:val="0"/>
              <w:spacing w:before="0"/>
              <w:jc w:val="left"/>
            </w:pPr>
            <w:r w:rsidRPr="006A6CE1">
              <w:t>250</w:t>
            </w:r>
            <w:r w:rsidR="009778EF">
              <w:t>-</w:t>
            </w:r>
            <w:r w:rsidRPr="006A6CE1">
              <w:t>252 GHz (Note 3)</w:t>
            </w:r>
          </w:p>
        </w:tc>
        <w:tc>
          <w:tcPr>
            <w:tcW w:w="1276" w:type="dxa"/>
            <w:shd w:val="clear" w:color="auto" w:fill="auto"/>
          </w:tcPr>
          <w:p w14:paraId="59E7DE1D" w14:textId="77777777" w:rsidR="002774C5" w:rsidRPr="006A6CE1" w:rsidRDefault="002774C5" w:rsidP="00C34309">
            <w:pPr>
              <w:pStyle w:val="ECCTabletext"/>
              <w:spacing w:before="0"/>
              <w:jc w:val="left"/>
            </w:pPr>
            <w:r w:rsidRPr="006A6CE1">
              <w:t>100%</w:t>
            </w:r>
          </w:p>
        </w:tc>
        <w:tc>
          <w:tcPr>
            <w:tcW w:w="1559" w:type="dxa"/>
            <w:shd w:val="clear" w:color="auto" w:fill="auto"/>
          </w:tcPr>
          <w:p w14:paraId="2F40E424" w14:textId="77777777" w:rsidR="002774C5" w:rsidRPr="006A6CE1" w:rsidRDefault="002774C5" w:rsidP="00C34309">
            <w:pPr>
              <w:pStyle w:val="ECCTabletext"/>
              <w:spacing w:before="0"/>
              <w:jc w:val="left"/>
            </w:pPr>
            <w:r w:rsidRPr="006A6CE1">
              <w:t>-15 dBm/MHz</w:t>
            </w:r>
          </w:p>
        </w:tc>
        <w:tc>
          <w:tcPr>
            <w:tcW w:w="1560" w:type="dxa"/>
            <w:shd w:val="clear" w:color="auto" w:fill="auto"/>
          </w:tcPr>
          <w:p w14:paraId="677CF83E" w14:textId="77777777" w:rsidR="002774C5" w:rsidRPr="006A6CE1" w:rsidRDefault="002774C5" w:rsidP="00C34309">
            <w:pPr>
              <w:pStyle w:val="ECCTabletext"/>
              <w:spacing w:before="0"/>
              <w:jc w:val="left"/>
            </w:pPr>
            <w:r w:rsidRPr="006A6CE1">
              <w:t>35 dBm</w:t>
            </w:r>
          </w:p>
        </w:tc>
        <w:tc>
          <w:tcPr>
            <w:tcW w:w="1559" w:type="dxa"/>
            <w:vMerge/>
            <w:shd w:val="clear" w:color="auto" w:fill="auto"/>
          </w:tcPr>
          <w:p w14:paraId="404C4115" w14:textId="77777777" w:rsidR="002774C5" w:rsidRPr="006A6CE1" w:rsidRDefault="002774C5" w:rsidP="00D42B15">
            <w:pPr>
              <w:pStyle w:val="ECCTabletext"/>
            </w:pPr>
          </w:p>
        </w:tc>
      </w:tr>
      <w:tr w:rsidR="002774C5" w:rsidRPr="006A6CE1" w14:paraId="332D6231" w14:textId="77777777" w:rsidTr="00435E72">
        <w:tc>
          <w:tcPr>
            <w:tcW w:w="2830" w:type="dxa"/>
            <w:tcBorders>
              <w:bottom w:val="single" w:sz="4" w:space="0" w:color="D22A23"/>
            </w:tcBorders>
            <w:shd w:val="clear" w:color="auto" w:fill="auto"/>
          </w:tcPr>
          <w:p w14:paraId="17F7AA02" w14:textId="49638471" w:rsidR="002774C5" w:rsidRPr="006A6CE1" w:rsidRDefault="002774C5" w:rsidP="00C34309">
            <w:pPr>
              <w:pStyle w:val="ECCTabletext"/>
              <w:keepNext w:val="0"/>
              <w:spacing w:before="0"/>
              <w:jc w:val="left"/>
            </w:pPr>
            <w:r w:rsidRPr="006A6CE1">
              <w:t>252</w:t>
            </w:r>
            <w:r w:rsidR="009778EF">
              <w:t>-</w:t>
            </w:r>
            <w:r w:rsidRPr="006A6CE1">
              <w:t>260 GHz</w:t>
            </w:r>
          </w:p>
        </w:tc>
        <w:tc>
          <w:tcPr>
            <w:tcW w:w="1276" w:type="dxa"/>
            <w:tcBorders>
              <w:bottom w:val="single" w:sz="4" w:space="0" w:color="D22A23"/>
            </w:tcBorders>
            <w:shd w:val="clear" w:color="auto" w:fill="auto"/>
          </w:tcPr>
          <w:p w14:paraId="1341CE32" w14:textId="77777777" w:rsidR="002774C5" w:rsidRPr="006A6CE1" w:rsidRDefault="002774C5" w:rsidP="00C34309">
            <w:pPr>
              <w:pStyle w:val="ECCTabletext"/>
              <w:spacing w:before="0"/>
              <w:jc w:val="left"/>
            </w:pPr>
            <w:r w:rsidRPr="006A6CE1">
              <w:t>100%</w:t>
            </w:r>
          </w:p>
        </w:tc>
        <w:tc>
          <w:tcPr>
            <w:tcW w:w="1559" w:type="dxa"/>
            <w:tcBorders>
              <w:bottom w:val="single" w:sz="4" w:space="0" w:color="D22A23"/>
            </w:tcBorders>
            <w:shd w:val="clear" w:color="auto" w:fill="auto"/>
          </w:tcPr>
          <w:p w14:paraId="5E9001DE" w14:textId="77777777" w:rsidR="002774C5" w:rsidRPr="006A6CE1" w:rsidRDefault="002774C5" w:rsidP="00C34309">
            <w:pPr>
              <w:pStyle w:val="ECCTabletext"/>
              <w:spacing w:before="0"/>
              <w:jc w:val="left"/>
            </w:pPr>
            <w:r w:rsidRPr="006A6CE1">
              <w:t>-5 dBm/MHz</w:t>
            </w:r>
          </w:p>
        </w:tc>
        <w:tc>
          <w:tcPr>
            <w:tcW w:w="1560" w:type="dxa"/>
            <w:tcBorders>
              <w:bottom w:val="single" w:sz="4" w:space="0" w:color="D22A23"/>
            </w:tcBorders>
            <w:shd w:val="clear" w:color="auto" w:fill="auto"/>
          </w:tcPr>
          <w:p w14:paraId="55A49A35" w14:textId="77777777" w:rsidR="002774C5" w:rsidRPr="006A6CE1" w:rsidRDefault="002774C5" w:rsidP="00C34309">
            <w:pPr>
              <w:pStyle w:val="ECCTabletext"/>
              <w:spacing w:before="0"/>
              <w:jc w:val="left"/>
            </w:pPr>
            <w:r w:rsidRPr="006A6CE1">
              <w:t>45 dBm</w:t>
            </w:r>
          </w:p>
        </w:tc>
        <w:tc>
          <w:tcPr>
            <w:tcW w:w="1559" w:type="dxa"/>
            <w:vMerge/>
            <w:shd w:val="clear" w:color="auto" w:fill="auto"/>
          </w:tcPr>
          <w:p w14:paraId="26BCC70F" w14:textId="77777777" w:rsidR="002774C5" w:rsidRPr="006A6CE1" w:rsidRDefault="002774C5" w:rsidP="00D42B15">
            <w:pPr>
              <w:pStyle w:val="ECCTabletext"/>
            </w:pPr>
          </w:p>
        </w:tc>
      </w:tr>
      <w:tr w:rsidR="002774C5" w:rsidRPr="006A6CE1" w14:paraId="14CC30F7" w14:textId="77777777" w:rsidTr="00D42B15">
        <w:tc>
          <w:tcPr>
            <w:tcW w:w="8784" w:type="dxa"/>
            <w:gridSpan w:val="5"/>
            <w:shd w:val="clear" w:color="auto" w:fill="auto"/>
          </w:tcPr>
          <w:p w14:paraId="5E862AFF" w14:textId="03602978" w:rsidR="002774C5" w:rsidRPr="006A6CE1" w:rsidRDefault="002774C5" w:rsidP="00FB1932">
            <w:pPr>
              <w:pStyle w:val="ECCTablenote"/>
            </w:pPr>
            <w:r w:rsidRPr="006A6CE1">
              <w:t xml:space="preserve">Note 1: The operating frequency range (OFR) is defined over the </w:t>
            </w:r>
            <w:r w:rsidR="001E60E6">
              <w:t>1</w:t>
            </w:r>
            <w:r w:rsidRPr="006A6CE1">
              <w:t xml:space="preserve">0 dB reduction of the </w:t>
            </w:r>
            <w:r w:rsidR="001E60E6" w:rsidRPr="00722141">
              <w:t>intentional transmission</w:t>
            </w:r>
            <w:r w:rsidRPr="006A6CE1">
              <w:t xml:space="preserve"> (</w:t>
            </w:r>
            <w:r w:rsidR="0091049E">
              <w:t>“</w:t>
            </w:r>
            <w:r w:rsidR="001E60E6">
              <w:t>1</w:t>
            </w:r>
            <w:r w:rsidRPr="006A6CE1">
              <w:t>0 dB bandwidth</w:t>
            </w:r>
            <w:r w:rsidR="0091049E">
              <w:t>”</w:t>
            </w:r>
            <w:r w:rsidRPr="006A6CE1">
              <w:t>) radiated by the equipment into the air. The unwanted emission</w:t>
            </w:r>
            <w:r w:rsidR="001E60E6">
              <w:t xml:space="preserve"> limit</w:t>
            </w:r>
            <w:r w:rsidRPr="006A6CE1">
              <w:t>s appl</w:t>
            </w:r>
            <w:r w:rsidR="001E60E6">
              <w:t>y</w:t>
            </w:r>
            <w:r w:rsidRPr="006A6CE1">
              <w:t xml:space="preserve"> to the frequencies outside the OFR. The measurement bandwidth for the unwanted emissions domain is 1 MHz.</w:t>
            </w:r>
          </w:p>
          <w:p w14:paraId="5C2C6787" w14:textId="77777777" w:rsidR="002774C5" w:rsidRPr="006A6CE1" w:rsidRDefault="002774C5" w:rsidP="00FB1932">
            <w:pPr>
              <w:pStyle w:val="ECCTablenote"/>
            </w:pPr>
            <w:r w:rsidRPr="006A6CE1">
              <w:t>Note 2: The given maximum mean e.i.r.p. spectral density is valid for averaging over the whole measurement cycle T</w:t>
            </w:r>
            <w:r w:rsidRPr="006A6CE1">
              <w:rPr>
                <w:rStyle w:val="ECCHLsubscript"/>
              </w:rPr>
              <w:t xml:space="preserve">meas_cycle </w:t>
            </w:r>
            <w:r w:rsidRPr="006A6CE1">
              <w:t>of the device including any T</w:t>
            </w:r>
            <w:r w:rsidRPr="006A6CE1">
              <w:rPr>
                <w:rStyle w:val="ECCHLsubscript"/>
              </w:rPr>
              <w:t>off</w:t>
            </w:r>
            <w:r w:rsidRPr="006A6CE1">
              <w:t xml:space="preserve"> times in 1 MHz resolution bandwidth of the measuring receiver.</w:t>
            </w:r>
          </w:p>
          <w:p w14:paraId="2E8C9FA7" w14:textId="19121B42" w:rsidR="002774C5" w:rsidRPr="006A6CE1" w:rsidRDefault="002774C5" w:rsidP="00FB1932">
            <w:pPr>
              <w:pStyle w:val="ECCTablenote"/>
            </w:pPr>
            <w:r w:rsidRPr="006A6CE1">
              <w:t xml:space="preserve">Note 3: Sub-band protected by </w:t>
            </w:r>
            <w:r w:rsidR="001E60E6">
              <w:t>the provision</w:t>
            </w:r>
            <w:r w:rsidRPr="006A6CE1">
              <w:t xml:space="preserve"> RR </w:t>
            </w:r>
            <w:r w:rsidR="001E60E6">
              <w:t xml:space="preserve">No. </w:t>
            </w:r>
            <w:r w:rsidRPr="006A6CE1">
              <w:t xml:space="preserve">5.340 </w:t>
            </w:r>
            <w:r w:rsidR="001E60E6">
              <w:fldChar w:fldCharType="begin"/>
            </w:r>
            <w:r w:rsidR="001E60E6">
              <w:instrText xml:space="preserve"> REF _Ref111452895 \r \h </w:instrText>
            </w:r>
            <w:r w:rsidR="001E60E6">
              <w:fldChar w:fldCharType="separate"/>
            </w:r>
            <w:r w:rsidR="00F32EDC">
              <w:t>[7]</w:t>
            </w:r>
            <w:r w:rsidR="001E60E6">
              <w:fldChar w:fldCharType="end"/>
            </w:r>
            <w:r w:rsidRPr="006A6CE1">
              <w:t>.</w:t>
            </w:r>
          </w:p>
          <w:p w14:paraId="63D59BF0" w14:textId="229ECC7D" w:rsidR="003B2E3F" w:rsidRPr="003B2E3F" w:rsidRDefault="002774C5" w:rsidP="00FB1932">
            <w:pPr>
              <w:pStyle w:val="ECCTablenote"/>
            </w:pPr>
            <w:r w:rsidRPr="006A6CE1">
              <w:t>Note 4: The max</w:t>
            </w:r>
            <w:r w:rsidR="00621F99">
              <w:t>imum</w:t>
            </w:r>
            <w:r w:rsidRPr="006A6CE1">
              <w:t xml:space="preserve"> peak e.i.r.p. shall be measured/evaluated in 1 GHz bandwidth.</w:t>
            </w:r>
          </w:p>
        </w:tc>
      </w:tr>
    </w:tbl>
    <w:bookmarkEnd w:id="46"/>
    <w:p w14:paraId="787F20FC" w14:textId="1D173920" w:rsidR="002774C5" w:rsidRPr="006A6CE1" w:rsidRDefault="002774C5" w:rsidP="009A75EA">
      <w:pPr>
        <w:spacing w:before="240" w:after="60"/>
        <w:jc w:val="both"/>
        <w:rPr>
          <w:lang w:val="en-GB"/>
        </w:rPr>
      </w:pPr>
      <w:r w:rsidRPr="006A6CE1">
        <w:rPr>
          <w:lang w:val="en-GB"/>
        </w:rPr>
        <w:lastRenderedPageBreak/>
        <w:t xml:space="preserve">Additional requirements for radiodetermination systems for industry automation in shielded environments </w:t>
      </w:r>
      <w:r w:rsidR="003F2BCE">
        <w:rPr>
          <w:lang w:val="en-GB"/>
        </w:rPr>
        <w:br/>
      </w:r>
      <w:r w:rsidRPr="006A6CE1">
        <w:rPr>
          <w:lang w:val="en-GB"/>
        </w:rPr>
        <w:t>(RDI-S) to allow licence-exempt use:</w:t>
      </w:r>
    </w:p>
    <w:p w14:paraId="7D877C54" w14:textId="77777777" w:rsidR="00FF3B2F" w:rsidRPr="00722141" w:rsidRDefault="00FF3B2F" w:rsidP="009A75EA">
      <w:pPr>
        <w:pStyle w:val="NumberedList"/>
        <w:numPr>
          <w:ilvl w:val="0"/>
          <w:numId w:val="25"/>
        </w:numPr>
        <w:spacing w:before="60" w:after="60"/>
      </w:pPr>
      <w:r w:rsidRPr="00722141">
        <w:t>For RDI-S, the 10 dB contiguous bandwidth shall be equal to or higher than 35 GHz;</w:t>
      </w:r>
    </w:p>
    <w:p w14:paraId="402158A9" w14:textId="77777777" w:rsidR="002774C5" w:rsidRPr="006A6CE1" w:rsidRDefault="002774C5" w:rsidP="009A75EA">
      <w:pPr>
        <w:pStyle w:val="NumberedList"/>
        <w:numPr>
          <w:ilvl w:val="0"/>
          <w:numId w:val="25"/>
        </w:numPr>
        <w:spacing w:before="60" w:after="60"/>
      </w:pPr>
      <w:r w:rsidRPr="006A6CE1">
        <w:t>The operation of RDI-S sensors is envisaged for industrial purposes only;</w:t>
      </w:r>
    </w:p>
    <w:p w14:paraId="5A5321A3" w14:textId="77777777" w:rsidR="002774C5" w:rsidRPr="006A6CE1" w:rsidRDefault="002774C5" w:rsidP="009A75EA">
      <w:pPr>
        <w:pStyle w:val="NumberedList"/>
        <w:numPr>
          <w:ilvl w:val="0"/>
          <w:numId w:val="25"/>
        </w:numPr>
        <w:spacing w:before="60" w:after="60"/>
      </w:pPr>
      <w:r w:rsidRPr="006A6CE1">
        <w:t>Installation and maintenance of RDI-S equipment shall be performed by professionally trained individuals only;</w:t>
      </w:r>
    </w:p>
    <w:p w14:paraId="423E46AD" w14:textId="77777777" w:rsidR="002774C5" w:rsidRPr="006A6CE1" w:rsidRDefault="002774C5" w:rsidP="009A75EA">
      <w:pPr>
        <w:pStyle w:val="NumberedList"/>
        <w:numPr>
          <w:ilvl w:val="0"/>
          <w:numId w:val="25"/>
        </w:numPr>
        <w:spacing w:before="60" w:after="60"/>
      </w:pPr>
      <w:r w:rsidRPr="006A6CE1">
        <w:t>RDI-S equipment shall not be marketed to private end customers;</w:t>
      </w:r>
    </w:p>
    <w:p w14:paraId="6A2A3A3B" w14:textId="77777777" w:rsidR="002774C5" w:rsidRPr="006A6CE1" w:rsidRDefault="002774C5" w:rsidP="009A75EA">
      <w:pPr>
        <w:pStyle w:val="NumberedList"/>
        <w:numPr>
          <w:ilvl w:val="0"/>
          <w:numId w:val="25"/>
        </w:numPr>
        <w:spacing w:before="60" w:after="60"/>
      </w:pPr>
      <w:r w:rsidRPr="006A6CE1">
        <w:t>RDI-S equipment shall only be operated indoors (i.e. inside a building) or inside similarly shielded environments;</w:t>
      </w:r>
    </w:p>
    <w:p w14:paraId="7108CC09" w14:textId="41178FFB" w:rsidR="002774C5" w:rsidRPr="006A6CE1" w:rsidRDefault="002774C5" w:rsidP="009A75EA">
      <w:pPr>
        <w:pStyle w:val="NumberedList"/>
        <w:numPr>
          <w:ilvl w:val="0"/>
          <w:numId w:val="25"/>
        </w:numPr>
        <w:spacing w:before="60" w:after="60"/>
      </w:pPr>
      <w:r w:rsidRPr="006A6CE1">
        <w:t xml:space="preserve">Installers have to ensure that the device main beam is not pointing towards windows or other weak shielded parts of the shielded environment. The direction of main radiation shall be indicated on the </w:t>
      </w:r>
      <w:r w:rsidR="00FF3B2F">
        <w:t>specific radiodetermination</w:t>
      </w:r>
      <w:r w:rsidRPr="006A6CE1">
        <w:t xml:space="preserve"> device;</w:t>
      </w:r>
    </w:p>
    <w:p w14:paraId="798876F8" w14:textId="77777777" w:rsidR="002774C5" w:rsidRPr="006A6CE1" w:rsidRDefault="002774C5" w:rsidP="009A75EA">
      <w:pPr>
        <w:pStyle w:val="NumberedList"/>
        <w:numPr>
          <w:ilvl w:val="0"/>
          <w:numId w:val="25"/>
        </w:numPr>
        <w:spacing w:before="60" w:after="60"/>
      </w:pPr>
      <w:r w:rsidRPr="006A6CE1">
        <w:t>Installers have to ensure that there are no unwanted obstacles in the main beam of the antenna in order to minimise unintentional reflections and scattering;</w:t>
      </w:r>
    </w:p>
    <w:p w14:paraId="207D43A4" w14:textId="66AC6D1E" w:rsidR="002774C5" w:rsidRPr="006A6CE1" w:rsidRDefault="002774C5" w:rsidP="009A75EA">
      <w:pPr>
        <w:pStyle w:val="NumberedList"/>
        <w:numPr>
          <w:ilvl w:val="0"/>
          <w:numId w:val="25"/>
        </w:numPr>
        <w:spacing w:before="60" w:after="60"/>
      </w:pPr>
      <w:r w:rsidRPr="006A6CE1">
        <w:t xml:space="preserve">Slow sweeping RDI-S devices with sweep slopes smaller than 2.5 GHz/ms shall notch-out the </w:t>
      </w:r>
      <w:r w:rsidR="008466C6" w:rsidRPr="00722141">
        <w:t xml:space="preserve">frequency bands subject to the provision </w:t>
      </w:r>
      <w:r w:rsidRPr="006A6CE1">
        <w:t xml:space="preserve">RR </w:t>
      </w:r>
      <w:r w:rsidR="008466C6">
        <w:t>No.</w:t>
      </w:r>
      <w:r w:rsidRPr="006A6CE1">
        <w:t xml:space="preserve"> 5.340 </w:t>
      </w:r>
      <w:r w:rsidR="008466C6">
        <w:fldChar w:fldCharType="begin"/>
      </w:r>
      <w:r w:rsidR="008466C6">
        <w:instrText xml:space="preserve"> REF _Ref111452895 \r \h </w:instrText>
      </w:r>
      <w:r w:rsidR="008466C6">
        <w:fldChar w:fldCharType="separate"/>
      </w:r>
      <w:r w:rsidR="00F32EDC">
        <w:t>[7]</w:t>
      </w:r>
      <w:r w:rsidR="008466C6">
        <w:fldChar w:fldCharType="end"/>
      </w:r>
      <w:r w:rsidRPr="006A6CE1">
        <w:t xml:space="preserve"> by at least additional 10 dB reduction in mean and peak power (i.e. limits in </w:t>
      </w:r>
      <w:r w:rsidR="00D0076F">
        <w:t>Table 10</w:t>
      </w:r>
      <w:r w:rsidRPr="006A6CE1">
        <w:t xml:space="preserve"> columns B and C reduced by 10 dB);</w:t>
      </w:r>
    </w:p>
    <w:p w14:paraId="00989CC9" w14:textId="77777777" w:rsidR="002774C5" w:rsidRPr="006A6CE1" w:rsidRDefault="002774C5" w:rsidP="009A75EA">
      <w:pPr>
        <w:pStyle w:val="NumberedList"/>
        <w:numPr>
          <w:ilvl w:val="0"/>
          <w:numId w:val="25"/>
        </w:numPr>
        <w:spacing w:before="60" w:after="60"/>
        <w:rPr>
          <w:shd w:val="solid" w:color="FFFF00" w:fill="auto"/>
        </w:rPr>
      </w:pPr>
      <w:r w:rsidRPr="006A6CE1">
        <w:t>The provider is required to inform the users and installers of RDI-S equipment about the installation requirements and additional special mounting instructions;</w:t>
      </w:r>
    </w:p>
    <w:p w14:paraId="79C389F5" w14:textId="2C1BC046" w:rsidR="002774C5" w:rsidRDefault="002774C5" w:rsidP="009A75EA">
      <w:pPr>
        <w:pStyle w:val="NumberedList"/>
        <w:numPr>
          <w:ilvl w:val="0"/>
          <w:numId w:val="25"/>
        </w:numPr>
        <w:spacing w:before="60" w:after="60"/>
      </w:pPr>
      <w:r w:rsidRPr="006A6CE1">
        <w:t>For RDI-S devices using an antenna gain smaller than 20 dBi, the maximum conducted peak output power shall be limited to 15 dBm.</w:t>
      </w:r>
    </w:p>
    <w:p w14:paraId="28DDF468" w14:textId="0BD4E5C6" w:rsidR="00F35294" w:rsidRDefault="00F35294" w:rsidP="00786A87">
      <w:pPr>
        <w:pStyle w:val="ECCAnnexheading2"/>
      </w:pPr>
      <w:r w:rsidRPr="00F35294">
        <w:t>Technical requirements for exterior vehicular radar (EVR)</w:t>
      </w:r>
    </w:p>
    <w:p w14:paraId="44A0E73A" w14:textId="77777777" w:rsidR="002A0A51" w:rsidRDefault="003B390B" w:rsidP="00B466B3">
      <w:pPr>
        <w:spacing w:before="240" w:after="60"/>
        <w:jc w:val="both"/>
      </w:pPr>
      <w:r w:rsidRPr="003B390B">
        <w:t>Front and corner radars are used for</w:t>
      </w:r>
      <w:r w:rsidR="001C6F26">
        <w:t xml:space="preserve"> driving assistance</w:t>
      </w:r>
      <w:r w:rsidRPr="003B390B">
        <w:t xml:space="preserve"> applications requiring long and medium range such as automatic cruise control, lane keep, lane change assist, automatic emergency braking, etc.</w:t>
      </w:r>
      <w:r>
        <w:t xml:space="preserve"> </w:t>
      </w:r>
    </w:p>
    <w:p w14:paraId="5525C8B4" w14:textId="122C40B5" w:rsidR="003B390B" w:rsidRDefault="003B390B" w:rsidP="00B466B3">
      <w:pPr>
        <w:spacing w:before="240" w:after="60"/>
        <w:jc w:val="both"/>
      </w:pPr>
      <w:r>
        <w:t>A</w:t>
      </w:r>
      <w:r w:rsidRPr="003B390B">
        <w:t xml:space="preserve">pplications providing the vehicle with higher degree of autonomy require short and ultra-short-range radars for front, side and rear-view, such that 360° sensing is enabled. Those radars allow to obtain a wide field of view (elevation and azimuth) in the </w:t>
      </w:r>
      <w:proofErr w:type="gramStart"/>
      <w:r w:rsidRPr="003B390B">
        <w:t>close proximity</w:t>
      </w:r>
      <w:proofErr w:type="gramEnd"/>
      <w:r w:rsidRPr="003B390B">
        <w:t xml:space="preserve"> of the vehicle and </w:t>
      </w:r>
      <w:r>
        <w:t xml:space="preserve">enable </w:t>
      </w:r>
      <w:r w:rsidRPr="003B390B">
        <w:t>features like automated parking assistance or autonomous valet parking.</w:t>
      </w:r>
    </w:p>
    <w:p w14:paraId="641AE1E3" w14:textId="5D460694" w:rsidR="00394E42" w:rsidRPr="0063395B" w:rsidRDefault="00607B78" w:rsidP="00295D3B">
      <w:pPr>
        <w:pStyle w:val="Caption"/>
        <w:rPr>
          <w:lang w:val="en-GB"/>
        </w:rPr>
      </w:pPr>
      <w:bookmarkStart w:id="47" w:name="_Hlk133409635"/>
      <w:r w:rsidRPr="00A826E7">
        <w:rPr>
          <w:lang w:val="en-GB"/>
        </w:rPr>
        <w:t xml:space="preserve">Table </w:t>
      </w:r>
      <w:r>
        <w:fldChar w:fldCharType="begin"/>
      </w:r>
      <w:r w:rsidRPr="00A826E7">
        <w:rPr>
          <w:lang w:val="en-GB"/>
        </w:rPr>
        <w:instrText xml:space="preserve"> SEQ Table \* ARABIC </w:instrText>
      </w:r>
      <w:r>
        <w:fldChar w:fldCharType="separate"/>
      </w:r>
      <w:r w:rsidRPr="00A826E7">
        <w:rPr>
          <w:noProof/>
          <w:lang w:val="en-GB"/>
        </w:rPr>
        <w:t>11</w:t>
      </w:r>
      <w:r>
        <w:fldChar w:fldCharType="end"/>
      </w:r>
      <w:r w:rsidR="00394E42" w:rsidRPr="00C8170E">
        <w:rPr>
          <w:lang w:val="en-GB"/>
        </w:rPr>
        <w:t xml:space="preserve">: </w:t>
      </w:r>
      <w:r w:rsidR="00D930C8">
        <w:rPr>
          <w:lang w:val="en-GB"/>
        </w:rPr>
        <w:t>T</w:t>
      </w:r>
      <w:r w:rsidR="00394E42" w:rsidRPr="00C8170E">
        <w:rPr>
          <w:lang w:val="en-GB"/>
        </w:rPr>
        <w:t xml:space="preserve">echnical </w:t>
      </w:r>
      <w:r w:rsidR="00BB190C">
        <w:rPr>
          <w:lang w:val="en-GB"/>
        </w:rPr>
        <w:t>requirements</w:t>
      </w:r>
      <w:r w:rsidR="00394E42" w:rsidRPr="00C8170E">
        <w:rPr>
          <w:lang w:val="en-GB"/>
        </w:rPr>
        <w:t xml:space="preserve"> for exterior vehicular radars</w:t>
      </w:r>
      <w:r w:rsidR="0088688E">
        <w:rPr>
          <w:lang w:val="en-GB"/>
        </w:rPr>
        <w:t xml:space="preserve"> (EVR)</w:t>
      </w:r>
    </w:p>
    <w:tbl>
      <w:tblPr>
        <w:tblStyle w:val="ECCTable-redheader"/>
        <w:tblW w:w="8788" w:type="dxa"/>
        <w:tblInd w:w="0" w:type="dxa"/>
        <w:tblLook w:val="04A0" w:firstRow="1" w:lastRow="0" w:firstColumn="1" w:lastColumn="0" w:noHBand="0" w:noVBand="1"/>
      </w:tblPr>
      <w:tblGrid>
        <w:gridCol w:w="1838"/>
        <w:gridCol w:w="1847"/>
        <w:gridCol w:w="1701"/>
        <w:gridCol w:w="1701"/>
        <w:gridCol w:w="1701"/>
      </w:tblGrid>
      <w:tr w:rsidR="00394E42" w14:paraId="16F8E4C1" w14:textId="77777777" w:rsidTr="00F6789A">
        <w:trPr>
          <w:cnfStyle w:val="100000000000" w:firstRow="1" w:lastRow="0" w:firstColumn="0" w:lastColumn="0" w:oddVBand="0" w:evenVBand="0" w:oddHBand="0" w:evenHBand="0" w:firstRowFirstColumn="0" w:firstRowLastColumn="0" w:lastRowFirstColumn="0" w:lastRowLastColumn="0"/>
        </w:trPr>
        <w:tc>
          <w:tcPr>
            <w:tcW w:w="1838" w:type="dxa"/>
            <w:tcBorders>
              <w:top w:val="single" w:sz="4" w:space="0" w:color="FFFFFF" w:themeColor="background1"/>
              <w:left w:val="single" w:sz="4" w:space="0" w:color="FFFFFF" w:themeColor="background1"/>
              <w:bottom w:val="single" w:sz="4" w:space="0" w:color="FFFFFF" w:themeColor="background1"/>
            </w:tcBorders>
          </w:tcPr>
          <w:p w14:paraId="7658A172" w14:textId="77777777" w:rsidR="00394E42" w:rsidRDefault="00394E42" w:rsidP="00B67540">
            <w:pPr>
              <w:rPr>
                <w:lang w:val="da-DK"/>
              </w:rPr>
            </w:pPr>
            <w:r>
              <w:rPr>
                <w:lang w:val="da-DK"/>
              </w:rPr>
              <w:t>Designated frequency band</w:t>
            </w:r>
          </w:p>
        </w:tc>
        <w:tc>
          <w:tcPr>
            <w:tcW w:w="3548" w:type="dxa"/>
            <w:gridSpan w:val="2"/>
            <w:tcBorders>
              <w:top w:val="single" w:sz="4" w:space="0" w:color="FFFFFF" w:themeColor="background1"/>
              <w:bottom w:val="single" w:sz="4" w:space="0" w:color="FFFFFF" w:themeColor="background1"/>
            </w:tcBorders>
          </w:tcPr>
          <w:p w14:paraId="41368667" w14:textId="77777777" w:rsidR="00394E42" w:rsidRDefault="00394E42" w:rsidP="00B67540">
            <w:pPr>
              <w:rPr>
                <w:lang w:val="da-DK"/>
              </w:rPr>
            </w:pPr>
            <w:r>
              <w:rPr>
                <w:lang w:val="da-DK"/>
              </w:rPr>
              <w:t>Front radars</w:t>
            </w:r>
          </w:p>
        </w:tc>
        <w:tc>
          <w:tcPr>
            <w:tcW w:w="3402" w:type="dxa"/>
            <w:gridSpan w:val="2"/>
            <w:tcBorders>
              <w:top w:val="single" w:sz="4" w:space="0" w:color="FFFFFF" w:themeColor="background1"/>
              <w:bottom w:val="single" w:sz="4" w:space="0" w:color="FFFFFF" w:themeColor="background1"/>
              <w:right w:val="single" w:sz="4" w:space="0" w:color="FFFFFF" w:themeColor="background1"/>
            </w:tcBorders>
          </w:tcPr>
          <w:p w14:paraId="63CEFE26" w14:textId="77777777" w:rsidR="00394E42" w:rsidRPr="00C8170E" w:rsidRDefault="00394E42" w:rsidP="00B67540">
            <w:r w:rsidRPr="00C8170E">
              <w:t>Corner and short/ultra-</w:t>
            </w:r>
            <w:proofErr w:type="gramStart"/>
            <w:r w:rsidRPr="00C8170E">
              <w:t>short range</w:t>
            </w:r>
            <w:proofErr w:type="gramEnd"/>
            <w:r w:rsidRPr="00C8170E">
              <w:t xml:space="preserve"> radars</w:t>
            </w:r>
          </w:p>
        </w:tc>
      </w:tr>
      <w:tr w:rsidR="007D0D49" w14:paraId="14DFB87D" w14:textId="77777777" w:rsidTr="004E7746">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56C77A2" w14:textId="77777777" w:rsidR="00394E42" w:rsidRPr="00B40F0C" w:rsidRDefault="00394E42" w:rsidP="00B67540">
            <w:pPr>
              <w:rPr>
                <w:color w:val="FFFFFF" w:themeColor="background1"/>
              </w:rPr>
            </w:pPr>
          </w:p>
        </w:tc>
        <w:tc>
          <w:tcPr>
            <w:tcW w:w="1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D36728C" w14:textId="574D0E6E" w:rsidR="00394E42" w:rsidRPr="00BE00C0" w:rsidRDefault="00394E42" w:rsidP="00D14578">
            <w:pPr>
              <w:jc w:val="center"/>
              <w:rPr>
                <w:b/>
                <w:bCs/>
                <w:color w:val="FFFFFF" w:themeColor="background1"/>
                <w:vertAlign w:val="superscript"/>
              </w:rPr>
            </w:pPr>
            <w:r w:rsidRPr="00BE00C0">
              <w:rPr>
                <w:b/>
                <w:bCs/>
                <w:color w:val="FFFFFF" w:themeColor="background1"/>
              </w:rPr>
              <w:t>Maximum mean e.i.r.p</w:t>
            </w:r>
            <w:r w:rsidR="00D14578" w:rsidRPr="00BE00C0">
              <w:rPr>
                <w:b/>
                <w:bCs/>
                <w:color w:val="FFFFFF" w:themeColor="background1"/>
              </w:rPr>
              <w:t>.</w:t>
            </w:r>
            <w:r w:rsidR="00C978FD" w:rsidRPr="00BE00C0">
              <w:rPr>
                <w:b/>
                <w:bCs/>
                <w:color w:val="FFFFFF" w:themeColor="background1"/>
              </w:rPr>
              <w:t xml:space="preserve"> (</w:t>
            </w:r>
            <w:r w:rsidRPr="00BE00C0">
              <w:rPr>
                <w:b/>
                <w:bCs/>
                <w:color w:val="FFFFFF" w:themeColor="background1"/>
              </w:rPr>
              <w:t>Note</w:t>
            </w:r>
            <w:r w:rsidR="00C978FD" w:rsidRPr="00BE00C0">
              <w:rPr>
                <w:b/>
                <w:bCs/>
                <w:color w:val="FFFFFF" w:themeColor="background1"/>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CD51F86" w14:textId="7485381D" w:rsidR="00394E42" w:rsidRPr="00BE00C0" w:rsidRDefault="00394E42" w:rsidP="00D14578">
            <w:pPr>
              <w:jc w:val="center"/>
              <w:rPr>
                <w:b/>
                <w:bCs/>
                <w:color w:val="FFFFFF" w:themeColor="background1"/>
              </w:rPr>
            </w:pPr>
            <w:r w:rsidRPr="00BE00C0">
              <w:rPr>
                <w:b/>
                <w:bCs/>
                <w:color w:val="FFFFFF" w:themeColor="background1"/>
              </w:rPr>
              <w:t>Maximum peak e.i.r.p</w:t>
            </w:r>
            <w:r w:rsidR="00D14578" w:rsidRPr="00BE00C0">
              <w:rPr>
                <w:b/>
                <w:bCs/>
                <w:color w:val="FFFFFF" w:themeColor="background1"/>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7276080" w14:textId="2204E1AA" w:rsidR="00394E42" w:rsidRPr="00BE00C0" w:rsidRDefault="00394E42" w:rsidP="00D14578">
            <w:pPr>
              <w:jc w:val="center"/>
              <w:rPr>
                <w:b/>
                <w:bCs/>
                <w:color w:val="FFFFFF" w:themeColor="background1"/>
                <w:vertAlign w:val="superscript"/>
              </w:rPr>
            </w:pPr>
            <w:r w:rsidRPr="00BE00C0">
              <w:rPr>
                <w:b/>
                <w:bCs/>
                <w:color w:val="FFFFFF" w:themeColor="background1"/>
              </w:rPr>
              <w:t>Maximum mean e.i.r.p</w:t>
            </w:r>
            <w:r w:rsidR="00D14578" w:rsidRPr="00BE00C0">
              <w:rPr>
                <w:b/>
                <w:bCs/>
                <w:color w:val="FFFFFF" w:themeColor="background1"/>
              </w:rPr>
              <w:t xml:space="preserve">. </w:t>
            </w:r>
            <w:r w:rsidR="00A26506" w:rsidRPr="00BE00C0">
              <w:rPr>
                <w:b/>
                <w:bCs/>
                <w:color w:val="FFFFFF" w:themeColor="background1"/>
              </w:rPr>
              <w:t>(Note)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ADDC0D" w14:textId="6FB06C76" w:rsidR="00394E42" w:rsidRPr="00BE00C0" w:rsidRDefault="00394E42" w:rsidP="00D14578">
            <w:pPr>
              <w:jc w:val="center"/>
              <w:rPr>
                <w:b/>
                <w:bCs/>
                <w:color w:val="FFFFFF" w:themeColor="background1"/>
              </w:rPr>
            </w:pPr>
            <w:r w:rsidRPr="00BE00C0">
              <w:rPr>
                <w:b/>
                <w:bCs/>
                <w:color w:val="FFFFFF" w:themeColor="background1"/>
              </w:rPr>
              <w:t>Maximum peak e.i.r.p</w:t>
            </w:r>
            <w:r w:rsidR="00D14578" w:rsidRPr="00BE00C0">
              <w:rPr>
                <w:b/>
                <w:bCs/>
                <w:color w:val="FFFFFF" w:themeColor="background1"/>
              </w:rPr>
              <w:t>.</w:t>
            </w:r>
          </w:p>
        </w:tc>
      </w:tr>
      <w:tr w:rsidR="00394E42" w14:paraId="11A2B80C" w14:textId="77777777" w:rsidTr="00F6789A">
        <w:tc>
          <w:tcPr>
            <w:tcW w:w="1838" w:type="dxa"/>
            <w:tcBorders>
              <w:top w:val="single" w:sz="4" w:space="0" w:color="FFFFFF" w:themeColor="background1"/>
            </w:tcBorders>
          </w:tcPr>
          <w:p w14:paraId="65B55E1D" w14:textId="6F72A9DA" w:rsidR="00394E42" w:rsidRDefault="00394E42" w:rsidP="00B67540">
            <w:pPr>
              <w:rPr>
                <w:lang w:val="da-DK"/>
              </w:rPr>
            </w:pPr>
            <w:r>
              <w:rPr>
                <w:lang w:val="da-DK"/>
              </w:rPr>
              <w:t>122.25</w:t>
            </w:r>
            <w:r w:rsidR="00725AE3">
              <w:rPr>
                <w:lang w:val="da-DK"/>
              </w:rPr>
              <w:t>-</w:t>
            </w:r>
            <w:r>
              <w:rPr>
                <w:lang w:val="da-DK"/>
              </w:rPr>
              <w:t>130 GHz</w:t>
            </w:r>
          </w:p>
        </w:tc>
        <w:tc>
          <w:tcPr>
            <w:tcW w:w="1847" w:type="dxa"/>
            <w:tcBorders>
              <w:top w:val="single" w:sz="4" w:space="0" w:color="FFFFFF" w:themeColor="background1"/>
            </w:tcBorders>
          </w:tcPr>
          <w:p w14:paraId="79E85C0B" w14:textId="77777777" w:rsidR="00394E42" w:rsidRDefault="00394E42" w:rsidP="00D14578">
            <w:pPr>
              <w:jc w:val="left"/>
              <w:rPr>
                <w:lang w:val="da-DK"/>
              </w:rPr>
            </w:pPr>
            <w:r>
              <w:rPr>
                <w:lang w:val="da-DK"/>
              </w:rPr>
              <w:t xml:space="preserve">32 dBm </w:t>
            </w:r>
          </w:p>
        </w:tc>
        <w:tc>
          <w:tcPr>
            <w:tcW w:w="1701" w:type="dxa"/>
            <w:tcBorders>
              <w:top w:val="single" w:sz="4" w:space="0" w:color="FFFFFF" w:themeColor="background1"/>
            </w:tcBorders>
          </w:tcPr>
          <w:p w14:paraId="62200635" w14:textId="77777777" w:rsidR="00394E42" w:rsidRDefault="00394E42" w:rsidP="00D14578">
            <w:pPr>
              <w:jc w:val="left"/>
              <w:rPr>
                <w:lang w:val="da-DK"/>
              </w:rPr>
            </w:pPr>
          </w:p>
        </w:tc>
        <w:tc>
          <w:tcPr>
            <w:tcW w:w="1701" w:type="dxa"/>
            <w:tcBorders>
              <w:top w:val="single" w:sz="4" w:space="0" w:color="FFFFFF" w:themeColor="background1"/>
            </w:tcBorders>
          </w:tcPr>
          <w:p w14:paraId="019B14F8" w14:textId="77777777" w:rsidR="00394E42" w:rsidRDefault="00394E42" w:rsidP="00D14578">
            <w:pPr>
              <w:jc w:val="left"/>
              <w:rPr>
                <w:lang w:val="da-DK"/>
              </w:rPr>
            </w:pPr>
            <w:r>
              <w:rPr>
                <w:lang w:val="da-DK"/>
              </w:rPr>
              <w:t xml:space="preserve">9 dBm </w:t>
            </w:r>
          </w:p>
        </w:tc>
        <w:tc>
          <w:tcPr>
            <w:tcW w:w="1701" w:type="dxa"/>
            <w:tcBorders>
              <w:top w:val="single" w:sz="4" w:space="0" w:color="FFFFFF" w:themeColor="background1"/>
            </w:tcBorders>
          </w:tcPr>
          <w:p w14:paraId="35802F48" w14:textId="77777777" w:rsidR="00394E42" w:rsidRDefault="00394E42" w:rsidP="00D14578">
            <w:pPr>
              <w:jc w:val="left"/>
              <w:rPr>
                <w:lang w:val="da-DK"/>
              </w:rPr>
            </w:pPr>
          </w:p>
        </w:tc>
      </w:tr>
      <w:tr w:rsidR="00394E42" w14:paraId="602195FE" w14:textId="77777777" w:rsidTr="00F6789A">
        <w:tc>
          <w:tcPr>
            <w:tcW w:w="1838" w:type="dxa"/>
          </w:tcPr>
          <w:p w14:paraId="2A7B6FF7" w14:textId="2209F4AF" w:rsidR="00394E42" w:rsidRDefault="00394E42" w:rsidP="00B67540">
            <w:pPr>
              <w:rPr>
                <w:lang w:val="da-DK"/>
              </w:rPr>
            </w:pPr>
            <w:r>
              <w:rPr>
                <w:lang w:val="da-DK"/>
              </w:rPr>
              <w:t>134</w:t>
            </w:r>
            <w:r w:rsidR="00725AE3">
              <w:rPr>
                <w:lang w:val="da-DK"/>
              </w:rPr>
              <w:t>-</w:t>
            </w:r>
            <w:r>
              <w:rPr>
                <w:lang w:val="da-DK"/>
              </w:rPr>
              <w:t>141 GHz</w:t>
            </w:r>
          </w:p>
        </w:tc>
        <w:tc>
          <w:tcPr>
            <w:tcW w:w="1847" w:type="dxa"/>
          </w:tcPr>
          <w:p w14:paraId="5C8314C5" w14:textId="77777777" w:rsidR="00394E42" w:rsidRDefault="00394E42" w:rsidP="00D14578">
            <w:pPr>
              <w:jc w:val="left"/>
              <w:rPr>
                <w:lang w:val="da-DK"/>
              </w:rPr>
            </w:pPr>
            <w:r>
              <w:rPr>
                <w:lang w:val="da-DK"/>
              </w:rPr>
              <w:t xml:space="preserve">32 dBm </w:t>
            </w:r>
          </w:p>
        </w:tc>
        <w:tc>
          <w:tcPr>
            <w:tcW w:w="1701" w:type="dxa"/>
          </w:tcPr>
          <w:p w14:paraId="2BC0B2B1" w14:textId="77777777" w:rsidR="00394E42" w:rsidRDefault="00394E42" w:rsidP="00D14578">
            <w:pPr>
              <w:jc w:val="left"/>
              <w:rPr>
                <w:lang w:val="da-DK"/>
              </w:rPr>
            </w:pPr>
          </w:p>
        </w:tc>
        <w:tc>
          <w:tcPr>
            <w:tcW w:w="1701" w:type="dxa"/>
          </w:tcPr>
          <w:p w14:paraId="1A940413" w14:textId="77777777" w:rsidR="00394E42" w:rsidRDefault="00394E42" w:rsidP="00D14578">
            <w:pPr>
              <w:jc w:val="left"/>
              <w:rPr>
                <w:lang w:val="da-DK"/>
              </w:rPr>
            </w:pPr>
            <w:r>
              <w:rPr>
                <w:lang w:val="da-DK"/>
              </w:rPr>
              <w:t xml:space="preserve">9 dBm </w:t>
            </w:r>
          </w:p>
        </w:tc>
        <w:tc>
          <w:tcPr>
            <w:tcW w:w="1701" w:type="dxa"/>
          </w:tcPr>
          <w:p w14:paraId="3B6D033A" w14:textId="77777777" w:rsidR="00394E42" w:rsidRDefault="00394E42" w:rsidP="00D14578">
            <w:pPr>
              <w:jc w:val="left"/>
              <w:rPr>
                <w:lang w:val="da-DK"/>
              </w:rPr>
            </w:pPr>
          </w:p>
        </w:tc>
      </w:tr>
      <w:tr w:rsidR="00394E42" w14:paraId="3C8A9BA8" w14:textId="77777777" w:rsidTr="00F6789A">
        <w:tc>
          <w:tcPr>
            <w:tcW w:w="1838" w:type="dxa"/>
          </w:tcPr>
          <w:p w14:paraId="03842DE2" w14:textId="4C98A52C" w:rsidR="00394E42" w:rsidRDefault="00394E42" w:rsidP="00B67540">
            <w:pPr>
              <w:rPr>
                <w:lang w:val="da-DK"/>
              </w:rPr>
            </w:pPr>
            <w:r>
              <w:rPr>
                <w:lang w:val="da-DK"/>
              </w:rPr>
              <w:t>141</w:t>
            </w:r>
            <w:r w:rsidR="00725AE3">
              <w:rPr>
                <w:lang w:val="da-DK"/>
              </w:rPr>
              <w:t>-</w:t>
            </w:r>
            <w:r>
              <w:rPr>
                <w:lang w:val="da-DK"/>
              </w:rPr>
              <w:t>148.5 GHz</w:t>
            </w:r>
          </w:p>
        </w:tc>
        <w:tc>
          <w:tcPr>
            <w:tcW w:w="1847" w:type="dxa"/>
          </w:tcPr>
          <w:p w14:paraId="00E0ED34" w14:textId="77777777" w:rsidR="00394E42" w:rsidRDefault="00394E42" w:rsidP="009D7305">
            <w:pPr>
              <w:jc w:val="left"/>
              <w:rPr>
                <w:lang w:val="da-DK"/>
              </w:rPr>
            </w:pPr>
            <w:r>
              <w:rPr>
                <w:lang w:val="da-DK"/>
              </w:rPr>
              <w:t>-6 dBm within 1 GHz</w:t>
            </w:r>
          </w:p>
        </w:tc>
        <w:tc>
          <w:tcPr>
            <w:tcW w:w="1701" w:type="dxa"/>
          </w:tcPr>
          <w:p w14:paraId="4FF89CE9" w14:textId="77777777" w:rsidR="00394E42" w:rsidRDefault="00394E42" w:rsidP="009D7305">
            <w:pPr>
              <w:jc w:val="left"/>
              <w:rPr>
                <w:lang w:val="da-DK"/>
              </w:rPr>
            </w:pPr>
            <w:r>
              <w:rPr>
                <w:lang w:val="da-DK"/>
              </w:rPr>
              <w:t>-1 dBm within 1 GHz</w:t>
            </w:r>
          </w:p>
        </w:tc>
        <w:tc>
          <w:tcPr>
            <w:tcW w:w="1701" w:type="dxa"/>
          </w:tcPr>
          <w:p w14:paraId="0FA87941" w14:textId="77777777" w:rsidR="00394E42" w:rsidRDefault="00394E42" w:rsidP="009D7305">
            <w:pPr>
              <w:jc w:val="left"/>
              <w:rPr>
                <w:lang w:val="da-DK"/>
              </w:rPr>
            </w:pPr>
            <w:r>
              <w:rPr>
                <w:lang w:val="da-DK"/>
              </w:rPr>
              <w:t>-6 dBm within 1 GHz</w:t>
            </w:r>
          </w:p>
        </w:tc>
        <w:tc>
          <w:tcPr>
            <w:tcW w:w="1701" w:type="dxa"/>
          </w:tcPr>
          <w:p w14:paraId="4D40730D" w14:textId="77777777" w:rsidR="00394E42" w:rsidRDefault="00394E42" w:rsidP="009D7305">
            <w:pPr>
              <w:jc w:val="left"/>
              <w:rPr>
                <w:lang w:val="da-DK"/>
              </w:rPr>
            </w:pPr>
            <w:r>
              <w:rPr>
                <w:lang w:val="da-DK"/>
              </w:rPr>
              <w:t>-1 dBm within 1 GHz</w:t>
            </w:r>
          </w:p>
        </w:tc>
      </w:tr>
      <w:tr w:rsidR="007B41DF" w14:paraId="1BB86521" w14:textId="77777777" w:rsidTr="00F6789A">
        <w:tc>
          <w:tcPr>
            <w:tcW w:w="8788" w:type="dxa"/>
            <w:gridSpan w:val="5"/>
          </w:tcPr>
          <w:p w14:paraId="2C823F05" w14:textId="67AA814F" w:rsidR="007B41DF" w:rsidRPr="00F6789A" w:rsidRDefault="007B41DF" w:rsidP="00F6789A">
            <w:pPr>
              <w:pStyle w:val="ECCTablenote"/>
            </w:pPr>
            <w:r w:rsidRPr="00F6789A">
              <w:t xml:space="preserve">Note: Maximum mean e.i.r.p. is the radiated mean power during transmitter signal repetition time as defined in ETSI EN 303 883-1, clause 5.3.1 and Annex C </w:t>
            </w:r>
            <w:r w:rsidR="00F953E5" w:rsidRPr="00F6789A">
              <w:fldChar w:fldCharType="begin"/>
            </w:r>
            <w:r w:rsidR="00F953E5" w:rsidRPr="00F6789A">
              <w:instrText xml:space="preserve"> REF _Ref143176950 \r \h </w:instrText>
            </w:r>
            <w:r w:rsidR="00F6789A">
              <w:instrText xml:space="preserve"> \* MERGEFORMAT </w:instrText>
            </w:r>
            <w:r w:rsidR="00F953E5" w:rsidRPr="00F6789A">
              <w:fldChar w:fldCharType="separate"/>
            </w:r>
            <w:r w:rsidR="00F953E5" w:rsidRPr="00F6789A">
              <w:t>[9]</w:t>
            </w:r>
            <w:r w:rsidR="00F953E5" w:rsidRPr="00F6789A">
              <w:fldChar w:fldCharType="end"/>
            </w:r>
            <w:r w:rsidR="00F953E5" w:rsidRPr="00F6789A">
              <w:t xml:space="preserve"> </w:t>
            </w:r>
            <w:r w:rsidRPr="00F6789A">
              <w:t>, meaning the effect of duty cycle is included.</w:t>
            </w:r>
          </w:p>
        </w:tc>
      </w:tr>
    </w:tbl>
    <w:p w14:paraId="0C0C7351" w14:textId="77777777" w:rsidR="00394E42" w:rsidRDefault="00394E42" w:rsidP="00E56578">
      <w:pPr>
        <w:spacing w:before="240" w:after="60"/>
        <w:rPr>
          <w:lang w:val="da-DK"/>
        </w:rPr>
      </w:pPr>
      <w:r>
        <w:rPr>
          <w:lang w:val="da-DK"/>
        </w:rPr>
        <w:t>Additional requirements:</w:t>
      </w:r>
    </w:p>
    <w:bookmarkEnd w:id="47"/>
    <w:p w14:paraId="5A207790" w14:textId="746CD00C" w:rsidR="007B41DF" w:rsidRPr="007B41DF" w:rsidRDefault="007B41DF" w:rsidP="003F2BCE">
      <w:pPr>
        <w:pStyle w:val="ListParagraph"/>
        <w:numPr>
          <w:ilvl w:val="0"/>
          <w:numId w:val="30"/>
        </w:numPr>
        <w:spacing w:before="60" w:after="60"/>
        <w:ind w:left="357" w:hanging="357"/>
        <w:contextualSpacing w:val="0"/>
        <w:jc w:val="both"/>
      </w:pPr>
      <w:r>
        <w:t>Unwanted emission limits in the band 116-122.25 GHz for any type of radar depend on the maximum duty cycle and elevation.</w:t>
      </w:r>
      <w:r>
        <w:tab/>
        <w:t xml:space="preserve"> </w:t>
      </w:r>
      <w:r>
        <w:br/>
        <w:t xml:space="preserve">For radars with a maximum duty </w:t>
      </w:r>
      <w:r w:rsidRPr="007B41DF">
        <w:t xml:space="preserve">cycle </w:t>
      </w:r>
      <w:r w:rsidRPr="00A26506">
        <w:t>(measured over the signal repetition time of the radar</w:t>
      </w:r>
      <w:r w:rsidRPr="007B41DF">
        <w:t xml:space="preserve">) up to 50%, for elevations up to 35 degrees, the maximum mean e.i.r.p. density shall stay below -50 dBm/MHz, and </w:t>
      </w:r>
      <w:r w:rsidRPr="007B41DF">
        <w:lastRenderedPageBreak/>
        <w:t>for elevations above 35 degrees, below -76 dBm/MHz.</w:t>
      </w:r>
      <w:r w:rsidRPr="007B41DF">
        <w:tab/>
        <w:t xml:space="preserve"> </w:t>
      </w:r>
      <w:r w:rsidRPr="007B41DF">
        <w:br/>
        <w:t>For radars with a maximum duty cycle higher than 50%, for elevations up to 35 degrees, the maximum mean e.i.r.p. density shall stay below -53 dBm/MHz, and for elevations above 35 degrees, below -</w:t>
      </w:r>
      <w:r w:rsidR="00A02FAF">
        <w:t> </w:t>
      </w:r>
      <w:r w:rsidRPr="007B41DF">
        <w:t>79</w:t>
      </w:r>
      <w:r w:rsidR="00A02FAF">
        <w:t> </w:t>
      </w:r>
      <w:r w:rsidRPr="007B41DF">
        <w:t>dBm/MHz.</w:t>
      </w:r>
    </w:p>
    <w:p w14:paraId="2A97C2EE" w14:textId="77777777" w:rsidR="007B41DF" w:rsidRPr="007B41DF" w:rsidRDefault="007B41DF" w:rsidP="003F2BCE">
      <w:pPr>
        <w:pStyle w:val="ListParagraph"/>
        <w:numPr>
          <w:ilvl w:val="0"/>
          <w:numId w:val="30"/>
        </w:numPr>
        <w:spacing w:before="60" w:after="60"/>
        <w:ind w:left="357" w:hanging="357"/>
        <w:contextualSpacing w:val="0"/>
        <w:jc w:val="both"/>
      </w:pPr>
      <w:r w:rsidRPr="007B41DF">
        <w:t>Unwanted emissions in the band 130-134 GHz shall stay below a maximum mean power spectral density of -33 dBm/MHz e.i.r.p. for front radars and of -36 dBm/MHz e.i.r.p. for corner and short/ultra-</w:t>
      </w:r>
      <w:proofErr w:type="gramStart"/>
      <w:r w:rsidRPr="007B41DF">
        <w:t>short range</w:t>
      </w:r>
      <w:proofErr w:type="gramEnd"/>
      <w:r w:rsidRPr="007B41DF">
        <w:t xml:space="preserve"> radars. Additionally, the maximum peak e.i.r.p. within 1 GHz should be below 2 dBm for the front radars and below -1 dBm for the corner and short/ultra-</w:t>
      </w:r>
      <w:proofErr w:type="gramStart"/>
      <w:r w:rsidRPr="007B41DF">
        <w:t>short range</w:t>
      </w:r>
      <w:proofErr w:type="gramEnd"/>
      <w:r w:rsidRPr="007B41DF">
        <w:t xml:space="preserve"> radars.</w:t>
      </w:r>
    </w:p>
    <w:p w14:paraId="0A26F106" w14:textId="6A9A37C7" w:rsidR="00205175" w:rsidRDefault="007B41DF" w:rsidP="003F2BCE">
      <w:pPr>
        <w:pStyle w:val="ListParagraph"/>
        <w:numPr>
          <w:ilvl w:val="0"/>
          <w:numId w:val="30"/>
        </w:numPr>
        <w:spacing w:before="60" w:after="60"/>
        <w:ind w:left="357" w:hanging="357"/>
        <w:contextualSpacing w:val="0"/>
        <w:jc w:val="both"/>
      </w:pPr>
      <w:r w:rsidRPr="007B41DF">
        <w:t xml:space="preserve">Unwanted emission limits in the band 148.5-151 GHz for any type of radar depend on the maximum duty cycle and elevation. </w:t>
      </w:r>
      <w:r w:rsidRPr="007B41DF">
        <w:tab/>
      </w:r>
      <w:r w:rsidRPr="007B41DF">
        <w:br/>
        <w:t xml:space="preserve">For radars with a maximum duty cycle </w:t>
      </w:r>
      <w:r w:rsidRPr="00A26506">
        <w:t>(measured over the signal repetition time of the radar</w:t>
      </w:r>
      <w:r w:rsidRPr="007B41DF">
        <w:t>) up</w:t>
      </w:r>
      <w:r>
        <w:t xml:space="preserve"> to 50%, for elevations up to 35 degrees, the maximum mean e.i.r.p. density shall stay below -44 dBm/MHz, and for elevations above 35 degrees, below -70 dBm/MHz.</w:t>
      </w:r>
      <w:r>
        <w:tab/>
        <w:t xml:space="preserve"> </w:t>
      </w:r>
      <w:r>
        <w:br/>
        <w:t>For radars with a maximum duty cycle higher than 50%, for elevations up to 35 degrees, the maximum mean e.i.r.p. density shall stay below -47 dBm/MHz, and for elevations above 35 degrees, below -</w:t>
      </w:r>
      <w:r w:rsidR="00A02FAF">
        <w:t> </w:t>
      </w:r>
      <w:r>
        <w:t>73</w:t>
      </w:r>
      <w:r w:rsidR="00A02FAF">
        <w:t> </w:t>
      </w:r>
      <w:r>
        <w:t>dBm/MHz.</w:t>
      </w:r>
    </w:p>
    <w:p w14:paraId="6DCA9D81" w14:textId="77777777" w:rsidR="00A65D29" w:rsidRDefault="00A65D29" w:rsidP="00295D3B">
      <w:pPr>
        <w:pStyle w:val="ECCAnnexheading2"/>
      </w:pPr>
      <w:r>
        <w:t>Technical requirements for in-cabin Vehicular radar (IVR)</w:t>
      </w:r>
    </w:p>
    <w:p w14:paraId="110956CD" w14:textId="138506EA" w:rsidR="00A65D29" w:rsidRDefault="00A65D29" w:rsidP="00295D3B">
      <w:pPr>
        <w:jc w:val="both"/>
      </w:pPr>
      <w:r w:rsidRPr="00F35294">
        <w:t xml:space="preserve">In-cabin applications include contactless gesture control, presence detection (including baby/child detection) and vital sign monitoring such as respiration rate, heart rate and heart rate variation. The use of higher frequency ranges further reduces the risk of interference with other automotive radars (e.g. 77 GHz or 79 GHz radars) or wireless communication devices using the 60 GHz band. With the increasing miniaturisation, angular resolution offers the possibility to discriminate between multiple seats inside a car with a single radar sensor with beamforming or MIMO </w:t>
      </w:r>
      <w:r w:rsidR="0012780B" w:rsidRPr="008D73A7">
        <w:rPr>
          <w:lang w:val="en-GB"/>
        </w:rPr>
        <w:t>(multiple in</w:t>
      </w:r>
      <w:r w:rsidR="0073208F">
        <w:rPr>
          <w:lang w:val="en-GB"/>
        </w:rPr>
        <w:t>put</w:t>
      </w:r>
      <w:r w:rsidR="0012780B" w:rsidRPr="008D73A7">
        <w:rPr>
          <w:lang w:val="en-GB"/>
        </w:rPr>
        <w:t xml:space="preserve"> multiple out</w:t>
      </w:r>
      <w:r w:rsidR="0073208F">
        <w:rPr>
          <w:lang w:val="en-GB"/>
        </w:rPr>
        <w:t>put</w:t>
      </w:r>
      <w:r w:rsidR="0012780B" w:rsidRPr="008D73A7">
        <w:rPr>
          <w:lang w:val="en-GB"/>
        </w:rPr>
        <w:t>)</w:t>
      </w:r>
      <w:r w:rsidR="0012780B">
        <w:rPr>
          <w:lang w:val="en-GB"/>
        </w:rPr>
        <w:t xml:space="preserve"> </w:t>
      </w:r>
      <w:r w:rsidRPr="00F35294">
        <w:t>capability.</w:t>
      </w:r>
    </w:p>
    <w:p w14:paraId="5DDF6296" w14:textId="643D4489" w:rsidR="00394E42" w:rsidRPr="00C8170E" w:rsidRDefault="00607B78" w:rsidP="00295D3B">
      <w:pPr>
        <w:pStyle w:val="Caption"/>
        <w:rPr>
          <w:lang w:val="en-GB"/>
        </w:rPr>
      </w:pPr>
      <w:bookmarkStart w:id="48" w:name="_Ref142313108"/>
      <w:r w:rsidRPr="007166BC">
        <w:rPr>
          <w:lang w:val="en-GB"/>
        </w:rPr>
        <w:t xml:space="preserve">Table </w:t>
      </w:r>
      <w:r>
        <w:fldChar w:fldCharType="begin"/>
      </w:r>
      <w:r w:rsidRPr="007166BC">
        <w:rPr>
          <w:lang w:val="en-GB"/>
        </w:rPr>
        <w:instrText xml:space="preserve"> SEQ Table \* ARABIC </w:instrText>
      </w:r>
      <w:r>
        <w:fldChar w:fldCharType="separate"/>
      </w:r>
      <w:r w:rsidRPr="007166BC">
        <w:rPr>
          <w:noProof/>
          <w:lang w:val="en-GB"/>
        </w:rPr>
        <w:t>12</w:t>
      </w:r>
      <w:r>
        <w:fldChar w:fldCharType="end"/>
      </w:r>
      <w:bookmarkEnd w:id="48"/>
      <w:r w:rsidR="00394E42" w:rsidRPr="00C8170E">
        <w:rPr>
          <w:lang w:val="en-GB"/>
        </w:rPr>
        <w:t xml:space="preserve">: </w:t>
      </w:r>
      <w:r w:rsidR="00D930C8">
        <w:rPr>
          <w:lang w:val="en-GB"/>
        </w:rPr>
        <w:t>T</w:t>
      </w:r>
      <w:r w:rsidR="00394E42" w:rsidRPr="00C8170E">
        <w:rPr>
          <w:lang w:val="en-GB"/>
        </w:rPr>
        <w:t xml:space="preserve">echnical </w:t>
      </w:r>
      <w:r w:rsidR="00BB190C">
        <w:rPr>
          <w:lang w:val="en-GB"/>
        </w:rPr>
        <w:t>requirements</w:t>
      </w:r>
      <w:r w:rsidR="00394E42" w:rsidRPr="00C8170E">
        <w:rPr>
          <w:lang w:val="en-GB"/>
        </w:rPr>
        <w:t xml:space="preserve"> for in-cabin vehicular radars</w:t>
      </w:r>
      <w:r w:rsidR="0088688E">
        <w:rPr>
          <w:lang w:val="en-GB"/>
        </w:rPr>
        <w:t xml:space="preserve"> (IVR)</w:t>
      </w:r>
    </w:p>
    <w:tbl>
      <w:tblPr>
        <w:tblStyle w:val="ECCTable-redheader"/>
        <w:tblW w:w="0" w:type="auto"/>
        <w:tblInd w:w="0" w:type="dxa"/>
        <w:tblLook w:val="04A0" w:firstRow="1" w:lastRow="0" w:firstColumn="1" w:lastColumn="0" w:noHBand="0" w:noVBand="1"/>
      </w:tblPr>
      <w:tblGrid>
        <w:gridCol w:w="2686"/>
        <w:gridCol w:w="2871"/>
        <w:gridCol w:w="2036"/>
        <w:gridCol w:w="2036"/>
      </w:tblGrid>
      <w:tr w:rsidR="00394E42" w14:paraId="3D0B60A9" w14:textId="77777777" w:rsidTr="00B67540">
        <w:trPr>
          <w:cnfStyle w:val="100000000000" w:firstRow="1" w:lastRow="0" w:firstColumn="0" w:lastColumn="0" w:oddVBand="0" w:evenVBand="0" w:oddHBand="0" w:evenHBand="0" w:firstRowFirstColumn="0" w:firstRowLastColumn="0" w:lastRowFirstColumn="0" w:lastRowLastColumn="0"/>
        </w:trPr>
        <w:tc>
          <w:tcPr>
            <w:tcW w:w="2686" w:type="dxa"/>
          </w:tcPr>
          <w:p w14:paraId="5DD60E2D" w14:textId="77777777" w:rsidR="00394E42" w:rsidRDefault="00394E42" w:rsidP="00B67540">
            <w:pPr>
              <w:rPr>
                <w:lang w:val="da-DK"/>
              </w:rPr>
            </w:pPr>
            <w:r>
              <w:rPr>
                <w:lang w:val="da-DK"/>
              </w:rPr>
              <w:t>Designated frequency band</w:t>
            </w:r>
          </w:p>
        </w:tc>
        <w:tc>
          <w:tcPr>
            <w:tcW w:w="2871" w:type="dxa"/>
          </w:tcPr>
          <w:p w14:paraId="77EAAD96" w14:textId="5E44BDB4" w:rsidR="00394E42" w:rsidRPr="00C8170E" w:rsidRDefault="00394E42" w:rsidP="00B67540">
            <w:r w:rsidRPr="00C8170E">
              <w:t>Maximum mean e.i.r.p</w:t>
            </w:r>
            <w:r w:rsidR="004507C2">
              <w:t>.</w:t>
            </w:r>
            <w:r w:rsidRPr="00C8170E">
              <w:t xml:space="preserve"> density</w:t>
            </w:r>
          </w:p>
        </w:tc>
        <w:tc>
          <w:tcPr>
            <w:tcW w:w="2036" w:type="dxa"/>
          </w:tcPr>
          <w:p w14:paraId="01123A26" w14:textId="1DE1C160" w:rsidR="00394E42" w:rsidRPr="00C8170E" w:rsidRDefault="00394E42" w:rsidP="00B67540">
            <w:r>
              <w:t>Maximum mean e.i.r.p</w:t>
            </w:r>
            <w:r w:rsidR="004507C2">
              <w:t>.</w:t>
            </w:r>
            <w:r>
              <w:t xml:space="preserve"> over the bandwidth</w:t>
            </w:r>
          </w:p>
        </w:tc>
        <w:tc>
          <w:tcPr>
            <w:tcW w:w="2036" w:type="dxa"/>
          </w:tcPr>
          <w:p w14:paraId="334D7196" w14:textId="3AAB723C" w:rsidR="00394E42" w:rsidRPr="00C8170E" w:rsidRDefault="00394E42" w:rsidP="00B67540">
            <w:r>
              <w:t>Maximum peak e.i.r.p</w:t>
            </w:r>
            <w:r w:rsidR="004507C2">
              <w:t>.</w:t>
            </w:r>
            <w:r>
              <w:t xml:space="preserve"> over the bandwidth</w:t>
            </w:r>
          </w:p>
        </w:tc>
      </w:tr>
      <w:tr w:rsidR="00394E42" w14:paraId="28A46DC8" w14:textId="77777777" w:rsidTr="00B67540">
        <w:tc>
          <w:tcPr>
            <w:tcW w:w="2686" w:type="dxa"/>
          </w:tcPr>
          <w:p w14:paraId="7887F837" w14:textId="2B2E75F1" w:rsidR="00394E42" w:rsidRDefault="00394E42" w:rsidP="00B67540">
            <w:pPr>
              <w:rPr>
                <w:lang w:val="da-DK"/>
              </w:rPr>
            </w:pPr>
            <w:r>
              <w:rPr>
                <w:lang w:val="da-DK"/>
              </w:rPr>
              <w:t>122.25</w:t>
            </w:r>
            <w:r w:rsidR="00725AE3">
              <w:rPr>
                <w:lang w:val="da-DK"/>
              </w:rPr>
              <w:t>-</w:t>
            </w:r>
            <w:r>
              <w:rPr>
                <w:lang w:val="da-DK"/>
              </w:rPr>
              <w:t>130 GHz</w:t>
            </w:r>
          </w:p>
        </w:tc>
        <w:tc>
          <w:tcPr>
            <w:tcW w:w="2871" w:type="dxa"/>
          </w:tcPr>
          <w:p w14:paraId="134A3CC9" w14:textId="77777777" w:rsidR="00394E42" w:rsidRPr="00F06EB1" w:rsidRDefault="00394E42" w:rsidP="00B67540">
            <w:pPr>
              <w:pStyle w:val="ECCBulletsLv1"/>
              <w:numPr>
                <w:ilvl w:val="0"/>
                <w:numId w:val="0"/>
              </w:numPr>
            </w:pPr>
            <w:r>
              <w:t>-30 dBm/MHz</w:t>
            </w:r>
          </w:p>
        </w:tc>
        <w:tc>
          <w:tcPr>
            <w:tcW w:w="2036" w:type="dxa"/>
          </w:tcPr>
          <w:p w14:paraId="220AA697" w14:textId="77777777" w:rsidR="00394E42" w:rsidRPr="00ED23C2" w:rsidRDefault="00394E42" w:rsidP="00B67540">
            <w:pPr>
              <w:pStyle w:val="ECCBulletsLv1"/>
              <w:numPr>
                <w:ilvl w:val="0"/>
                <w:numId w:val="0"/>
              </w:numPr>
              <w:rPr>
                <w:lang w:eastAsia="en-US"/>
              </w:rPr>
            </w:pPr>
            <w:r>
              <w:t>3 dBm</w:t>
            </w:r>
          </w:p>
        </w:tc>
        <w:tc>
          <w:tcPr>
            <w:tcW w:w="2036" w:type="dxa"/>
          </w:tcPr>
          <w:p w14:paraId="0DA5B1D8" w14:textId="77777777" w:rsidR="00394E42" w:rsidRPr="00ED23C2" w:rsidRDefault="00394E42" w:rsidP="00B67540">
            <w:pPr>
              <w:pStyle w:val="ECCBulletsLv1"/>
              <w:numPr>
                <w:ilvl w:val="0"/>
                <w:numId w:val="0"/>
              </w:numPr>
              <w:rPr>
                <w:lang w:eastAsia="en-US"/>
              </w:rPr>
            </w:pPr>
            <w:r>
              <w:t>16 dBm</w:t>
            </w:r>
          </w:p>
        </w:tc>
      </w:tr>
      <w:tr w:rsidR="00394E42" w14:paraId="2CDB1243" w14:textId="77777777" w:rsidTr="00B67540">
        <w:tc>
          <w:tcPr>
            <w:tcW w:w="2686" w:type="dxa"/>
          </w:tcPr>
          <w:p w14:paraId="471461FB" w14:textId="435947FC" w:rsidR="00394E42" w:rsidRDefault="00394E42" w:rsidP="00B67540">
            <w:pPr>
              <w:rPr>
                <w:lang w:val="da-DK"/>
              </w:rPr>
            </w:pPr>
            <w:r>
              <w:rPr>
                <w:lang w:val="da-DK"/>
              </w:rPr>
              <w:t>134</w:t>
            </w:r>
            <w:r w:rsidR="00725AE3">
              <w:rPr>
                <w:lang w:val="da-DK"/>
              </w:rPr>
              <w:t>-</w:t>
            </w:r>
            <w:r>
              <w:rPr>
                <w:lang w:val="da-DK"/>
              </w:rPr>
              <w:t>148.5 GHz</w:t>
            </w:r>
          </w:p>
        </w:tc>
        <w:tc>
          <w:tcPr>
            <w:tcW w:w="2871" w:type="dxa"/>
          </w:tcPr>
          <w:p w14:paraId="73FFA93B" w14:textId="77777777" w:rsidR="00394E42" w:rsidRPr="00F06EB1" w:rsidRDefault="00394E42" w:rsidP="00B67540">
            <w:pPr>
              <w:pStyle w:val="ECCBulletsLv1"/>
              <w:numPr>
                <w:ilvl w:val="0"/>
                <w:numId w:val="0"/>
              </w:numPr>
            </w:pPr>
            <w:r>
              <w:t>-30 dBm/MHz</w:t>
            </w:r>
          </w:p>
        </w:tc>
        <w:tc>
          <w:tcPr>
            <w:tcW w:w="2036" w:type="dxa"/>
          </w:tcPr>
          <w:p w14:paraId="320C2E7A" w14:textId="77777777" w:rsidR="00394E42" w:rsidRPr="00ED23C2" w:rsidRDefault="00394E42" w:rsidP="00B67540">
            <w:pPr>
              <w:pStyle w:val="ECCBulletsLv1"/>
              <w:numPr>
                <w:ilvl w:val="0"/>
                <w:numId w:val="0"/>
              </w:numPr>
              <w:rPr>
                <w:lang w:eastAsia="en-US"/>
              </w:rPr>
            </w:pPr>
            <w:r>
              <w:t>3 dBm</w:t>
            </w:r>
          </w:p>
        </w:tc>
        <w:tc>
          <w:tcPr>
            <w:tcW w:w="2036" w:type="dxa"/>
          </w:tcPr>
          <w:p w14:paraId="185FC37B" w14:textId="77777777" w:rsidR="00394E42" w:rsidRPr="00ED23C2" w:rsidRDefault="00394E42" w:rsidP="00B67540">
            <w:pPr>
              <w:pStyle w:val="ECCBulletsLv1"/>
              <w:numPr>
                <w:ilvl w:val="0"/>
                <w:numId w:val="0"/>
              </w:numPr>
              <w:rPr>
                <w:lang w:eastAsia="en-US"/>
              </w:rPr>
            </w:pPr>
            <w:r>
              <w:t>16 dBm</w:t>
            </w:r>
          </w:p>
        </w:tc>
      </w:tr>
      <w:tr w:rsidR="007B41DF" w14:paraId="38710470" w14:textId="77777777" w:rsidTr="00B67540">
        <w:tc>
          <w:tcPr>
            <w:tcW w:w="9629" w:type="dxa"/>
            <w:gridSpan w:val="4"/>
          </w:tcPr>
          <w:p w14:paraId="6B58603D" w14:textId="1D7B2B0A" w:rsidR="007B41DF" w:rsidRPr="00DC04EE" w:rsidRDefault="007B41DF" w:rsidP="00FB1932">
            <w:pPr>
              <w:pStyle w:val="ECCTablenote"/>
              <w:rPr>
                <w:lang w:eastAsia="en-US"/>
              </w:rPr>
            </w:pPr>
            <w:r w:rsidRPr="007B41DF">
              <w:t xml:space="preserve">Note: Maximum mean e.i.r.p. is the radiated mean power during transmitter </w:t>
            </w:r>
            <w:r w:rsidRPr="00DC04EE">
              <w:t xml:space="preserve">signal repetition time </w:t>
            </w:r>
            <w:r w:rsidRPr="007B41DF">
              <w:t>as defined in ETSI EN 303 883-1,</w:t>
            </w:r>
            <w:r w:rsidRPr="00DC04EE">
              <w:t xml:space="preserve"> clause </w:t>
            </w:r>
            <w:r w:rsidRPr="007B41DF">
              <w:t xml:space="preserve">5.3.1 </w:t>
            </w:r>
            <w:r w:rsidRPr="00DC04EE">
              <w:t xml:space="preserve">and Annex C </w:t>
            </w:r>
            <w:r w:rsidR="0030663C">
              <w:fldChar w:fldCharType="begin"/>
            </w:r>
            <w:r w:rsidR="0030663C">
              <w:instrText xml:space="preserve"> REF _Ref143176950 \r \h </w:instrText>
            </w:r>
            <w:r w:rsidR="0030663C">
              <w:fldChar w:fldCharType="separate"/>
            </w:r>
            <w:r w:rsidR="0030663C">
              <w:t>[9]</w:t>
            </w:r>
            <w:r w:rsidR="0030663C">
              <w:fldChar w:fldCharType="end"/>
            </w:r>
            <w:r w:rsidRPr="00DC04EE">
              <w:t xml:space="preserve">, meaning </w:t>
            </w:r>
            <w:r w:rsidRPr="007B41DF">
              <w:t xml:space="preserve">the effect of duty cycle </w:t>
            </w:r>
            <w:r w:rsidRPr="00DC04EE">
              <w:t xml:space="preserve">is </w:t>
            </w:r>
            <w:r w:rsidRPr="007B41DF">
              <w:t>included.</w:t>
            </w:r>
          </w:p>
        </w:tc>
      </w:tr>
    </w:tbl>
    <w:p w14:paraId="62C41553" w14:textId="77777777" w:rsidR="00394E42" w:rsidRDefault="00394E42" w:rsidP="00DC04EE">
      <w:pPr>
        <w:spacing w:before="240" w:after="60"/>
        <w:rPr>
          <w:lang w:val="da-DK"/>
        </w:rPr>
      </w:pPr>
      <w:r>
        <w:rPr>
          <w:lang w:val="da-DK"/>
        </w:rPr>
        <w:t>Additional requirements:</w:t>
      </w:r>
    </w:p>
    <w:p w14:paraId="17730CC9" w14:textId="66374735" w:rsidR="00394E42" w:rsidRPr="00C8170E" w:rsidRDefault="00394E42" w:rsidP="009A75EA">
      <w:pPr>
        <w:pStyle w:val="ListParagraph"/>
        <w:numPr>
          <w:ilvl w:val="0"/>
          <w:numId w:val="31"/>
        </w:numPr>
        <w:spacing w:before="60" w:after="60"/>
        <w:ind w:left="357" w:hanging="357"/>
        <w:contextualSpacing w:val="0"/>
        <w:jc w:val="both"/>
      </w:pPr>
      <w:r w:rsidRPr="00C8170E">
        <w:t xml:space="preserve">Unwanted emissions in the band </w:t>
      </w:r>
      <w:r w:rsidRPr="00ED23C2">
        <w:t>116-122.25 GHz</w:t>
      </w:r>
      <w:r>
        <w:t xml:space="preserve"> shall </w:t>
      </w:r>
      <w:r w:rsidRPr="00ED23C2">
        <w:t>stay below a maximum mean e.i.r.p</w:t>
      </w:r>
      <w:r w:rsidR="004507C2">
        <w:t>.</w:t>
      </w:r>
      <w:r w:rsidRPr="00ED23C2">
        <w:t xml:space="preserve"> density</w:t>
      </w:r>
      <w:r>
        <w:t xml:space="preserve"> </w:t>
      </w:r>
      <w:r w:rsidRPr="00ED23C2">
        <w:t xml:space="preserve">of </w:t>
      </w:r>
      <w:r w:rsidR="004B40B2">
        <w:br/>
      </w:r>
      <w:r w:rsidRPr="00ED23C2">
        <w:t>-45</w:t>
      </w:r>
      <w:r w:rsidR="00D14578">
        <w:t> </w:t>
      </w:r>
      <w:r w:rsidRPr="00ED23C2">
        <w:t>dBm/</w:t>
      </w:r>
      <w:proofErr w:type="gramStart"/>
      <w:r w:rsidRPr="00ED23C2">
        <w:t>MHz</w:t>
      </w:r>
      <w:r w:rsidR="009C2BD2">
        <w:t>;</w:t>
      </w:r>
      <w:proofErr w:type="gramEnd"/>
    </w:p>
    <w:p w14:paraId="33BE499F" w14:textId="71B3B5B6" w:rsidR="00394E42" w:rsidRPr="00ED23C2" w:rsidRDefault="00394E42" w:rsidP="009A75EA">
      <w:pPr>
        <w:pStyle w:val="ListParagraph"/>
        <w:numPr>
          <w:ilvl w:val="0"/>
          <w:numId w:val="31"/>
        </w:numPr>
        <w:spacing w:before="60" w:after="60"/>
        <w:ind w:left="357" w:hanging="357"/>
        <w:contextualSpacing w:val="0"/>
        <w:jc w:val="both"/>
      </w:pPr>
      <w:r w:rsidRPr="00C8170E">
        <w:t>Unwanted emissions i</w:t>
      </w:r>
      <w:r w:rsidRPr="00ED23C2">
        <w:t xml:space="preserve">n </w:t>
      </w:r>
      <w:r>
        <w:t xml:space="preserve">the </w:t>
      </w:r>
      <w:r w:rsidRPr="00ED23C2">
        <w:t>130-134 GHz</w:t>
      </w:r>
      <w:r>
        <w:t xml:space="preserve"> band</w:t>
      </w:r>
      <w:r w:rsidRPr="00D45516">
        <w:t xml:space="preserve"> </w:t>
      </w:r>
      <w:r>
        <w:t xml:space="preserve">shall </w:t>
      </w:r>
      <w:r w:rsidRPr="00ED23C2">
        <w:t>stay below a maximum mean e.i.r.p</w:t>
      </w:r>
      <w:r w:rsidR="004507C2">
        <w:t>.</w:t>
      </w:r>
      <w:r w:rsidRPr="00ED23C2">
        <w:t xml:space="preserve"> density</w:t>
      </w:r>
      <w:r w:rsidRPr="00ED23C2" w:rsidDel="00D45516">
        <w:t xml:space="preserve"> </w:t>
      </w:r>
      <w:r>
        <w:t xml:space="preserve">of </w:t>
      </w:r>
      <w:r>
        <w:noBreakHyphen/>
      </w:r>
      <w:r w:rsidRPr="00ED23C2">
        <w:t>17</w:t>
      </w:r>
      <w:r>
        <w:t> </w:t>
      </w:r>
      <w:r w:rsidRPr="00ED23C2">
        <w:t>dBm/GHz</w:t>
      </w:r>
      <w:r>
        <w:t xml:space="preserve"> and -4 dBm/GHz peak e.i.r.</w:t>
      </w:r>
      <w:proofErr w:type="gramStart"/>
      <w:r>
        <w:t>p</w:t>
      </w:r>
      <w:r w:rsidR="009C2BD2">
        <w:t>;</w:t>
      </w:r>
      <w:proofErr w:type="gramEnd"/>
    </w:p>
    <w:p w14:paraId="261B20FF" w14:textId="31788629" w:rsidR="00394E42" w:rsidRDefault="00394E42" w:rsidP="009A75EA">
      <w:pPr>
        <w:pStyle w:val="ListParagraph"/>
        <w:numPr>
          <w:ilvl w:val="0"/>
          <w:numId w:val="31"/>
        </w:numPr>
        <w:spacing w:before="60" w:after="60"/>
        <w:ind w:left="357" w:hanging="357"/>
        <w:contextualSpacing w:val="0"/>
        <w:jc w:val="both"/>
      </w:pPr>
      <w:r w:rsidRPr="00C8170E">
        <w:t>Unwanted emissions in the</w:t>
      </w:r>
      <w:r>
        <w:t xml:space="preserve"> band </w:t>
      </w:r>
      <w:r w:rsidRPr="00ED23C2">
        <w:t xml:space="preserve">148.5-151 GHz </w:t>
      </w:r>
      <w:r>
        <w:t xml:space="preserve">shall </w:t>
      </w:r>
      <w:r w:rsidRPr="00ED23C2">
        <w:t>stay below a maximum mean e.i.r.p</w:t>
      </w:r>
      <w:r w:rsidR="004507C2">
        <w:t>.</w:t>
      </w:r>
      <w:r w:rsidRPr="00ED23C2">
        <w:t xml:space="preserve"> density</w:t>
      </w:r>
      <w:r>
        <w:t xml:space="preserve"> of</w:t>
      </w:r>
      <w:r w:rsidDel="00D45516">
        <w:t xml:space="preserve"> </w:t>
      </w:r>
      <w:r w:rsidR="004B40B2">
        <w:br/>
      </w:r>
      <w:r w:rsidRPr="00ED23C2">
        <w:t>-39</w:t>
      </w:r>
      <w:r w:rsidR="00D14578">
        <w:t> </w:t>
      </w:r>
      <w:r w:rsidRPr="00ED23C2">
        <w:t>dBm/</w:t>
      </w:r>
      <w:proofErr w:type="gramStart"/>
      <w:r w:rsidRPr="00ED23C2">
        <w:t>MHz</w:t>
      </w:r>
      <w:r w:rsidR="009C2BD2">
        <w:t>;</w:t>
      </w:r>
      <w:proofErr w:type="gramEnd"/>
    </w:p>
    <w:p w14:paraId="79CD8E01" w14:textId="77BF937B" w:rsidR="00394E42" w:rsidRPr="00607B78" w:rsidRDefault="00394E42" w:rsidP="009A75EA">
      <w:pPr>
        <w:pStyle w:val="ECCBulletsLv1"/>
        <w:numPr>
          <w:ilvl w:val="0"/>
          <w:numId w:val="31"/>
        </w:numPr>
        <w:spacing w:after="60" w:line="288" w:lineRule="auto"/>
        <w:ind w:left="357" w:hanging="357"/>
      </w:pPr>
      <w:r w:rsidRPr="00607B78">
        <w:t>Downwards antenna orientation</w:t>
      </w:r>
      <w:r w:rsidR="009C2BD2">
        <w:t>;</w:t>
      </w:r>
    </w:p>
    <w:p w14:paraId="5E4A0660" w14:textId="3F6C9368" w:rsidR="00394E42" w:rsidRPr="00607B78" w:rsidRDefault="00394E42" w:rsidP="009A75EA">
      <w:pPr>
        <w:pStyle w:val="ListParagraph"/>
        <w:numPr>
          <w:ilvl w:val="0"/>
          <w:numId w:val="31"/>
        </w:numPr>
        <w:spacing w:before="60" w:after="60"/>
        <w:ind w:left="357" w:hanging="357"/>
        <w:contextualSpacing w:val="0"/>
        <w:jc w:val="both"/>
      </w:pPr>
      <w:r w:rsidRPr="00295D3B">
        <w:t xml:space="preserve">For convertible cars, emissions above 0-degree elevation outside the car shall be 15 dB lower than the power levels given in </w:t>
      </w:r>
      <w:r w:rsidR="009C2BD2">
        <w:fldChar w:fldCharType="begin"/>
      </w:r>
      <w:r w:rsidR="009C2BD2">
        <w:instrText xml:space="preserve"> REF _Ref142313108 \h </w:instrText>
      </w:r>
      <w:r w:rsidR="009C2BD2">
        <w:fldChar w:fldCharType="separate"/>
      </w:r>
      <w:r w:rsidR="009C2BD2">
        <w:t xml:space="preserve">Table </w:t>
      </w:r>
      <w:r w:rsidR="009C2BD2">
        <w:rPr>
          <w:noProof/>
        </w:rPr>
        <w:t>12</w:t>
      </w:r>
      <w:r w:rsidR="009C2BD2">
        <w:fldChar w:fldCharType="end"/>
      </w:r>
      <w:r w:rsidR="009C2BD2">
        <w:t>;</w:t>
      </w:r>
    </w:p>
    <w:p w14:paraId="586CCCCC" w14:textId="46A785B0" w:rsidR="00F35294" w:rsidRDefault="00394E42" w:rsidP="009A75EA">
      <w:pPr>
        <w:pStyle w:val="ListParagraph"/>
        <w:numPr>
          <w:ilvl w:val="0"/>
          <w:numId w:val="31"/>
        </w:numPr>
        <w:spacing w:before="60" w:after="60"/>
        <w:ind w:left="357" w:hanging="357"/>
        <w:contextualSpacing w:val="0"/>
        <w:jc w:val="both"/>
      </w:pPr>
      <w:r w:rsidRPr="00607B78">
        <w:t>Minimum</w:t>
      </w:r>
      <w:r w:rsidRPr="00ED23C2">
        <w:t xml:space="preserve"> 1 GHz bandwidth</w:t>
      </w:r>
      <w:r w:rsidR="00C96E76">
        <w:t>.</w:t>
      </w:r>
    </w:p>
    <w:p w14:paraId="23C092B9" w14:textId="77777777" w:rsidR="009D6E2B" w:rsidRPr="00F35294" w:rsidRDefault="009D6E2B" w:rsidP="009D6E2B">
      <w:pPr>
        <w:spacing w:before="240" w:after="60"/>
        <w:jc w:val="both"/>
      </w:pPr>
    </w:p>
    <w:p w14:paraId="0E3836CF" w14:textId="1FAAF7B1" w:rsidR="00BA41D0" w:rsidRPr="00775C5D" w:rsidRDefault="00BA41D0" w:rsidP="0059230E">
      <w:pPr>
        <w:pStyle w:val="ECCAnnexheading1"/>
        <w:rPr>
          <w:lang w:val="en-GB"/>
        </w:rPr>
      </w:pPr>
      <w:bookmarkStart w:id="49" w:name="_Ref104294902"/>
      <w:r w:rsidRPr="00775C5D">
        <w:rPr>
          <w:lang w:val="en-GB"/>
        </w:rPr>
        <w:lastRenderedPageBreak/>
        <w:t xml:space="preserve">Information required from manufacturers of RDI-S devices using the bands </w:t>
      </w:r>
      <w:r w:rsidR="00C85316" w:rsidRPr="00775C5D">
        <w:rPr>
          <w:lang w:val="en-GB"/>
        </w:rPr>
        <w:t>subject to</w:t>
      </w:r>
      <w:r w:rsidRPr="00775C5D">
        <w:rPr>
          <w:lang w:val="en-GB"/>
        </w:rPr>
        <w:t xml:space="preserve"> RR </w:t>
      </w:r>
      <w:r w:rsidR="00C85316" w:rsidRPr="00775C5D">
        <w:rPr>
          <w:lang w:val="en-GB"/>
        </w:rPr>
        <w:t xml:space="preserve">No. </w:t>
      </w:r>
      <w:r w:rsidRPr="00775C5D">
        <w:rPr>
          <w:lang w:val="en-GB"/>
        </w:rPr>
        <w:t>5.340</w:t>
      </w:r>
      <w:bookmarkEnd w:id="49"/>
    </w:p>
    <w:p w14:paraId="1A7F8FE3" w14:textId="7FE3164D" w:rsidR="009F786B" w:rsidRPr="006A6CE1" w:rsidRDefault="009F786B" w:rsidP="009F786B">
      <w:pPr>
        <w:jc w:val="both"/>
        <w:rPr>
          <w:lang w:val="en-GB"/>
        </w:rPr>
      </w:pPr>
      <w:r w:rsidRPr="006A6CE1">
        <w:rPr>
          <w:lang w:val="en-GB"/>
        </w:rPr>
        <w:t xml:space="preserve">In order to fulfil the conditional exception on the usage of the </w:t>
      </w:r>
      <w:r w:rsidR="00C85316">
        <w:rPr>
          <w:lang w:val="en-GB"/>
        </w:rPr>
        <w:t xml:space="preserve">frequency </w:t>
      </w:r>
      <w:r w:rsidRPr="006A6CE1">
        <w:rPr>
          <w:lang w:val="en-GB"/>
        </w:rPr>
        <w:t xml:space="preserve">bands </w:t>
      </w:r>
      <w:r w:rsidR="00C85316">
        <w:rPr>
          <w:lang w:val="en-GB"/>
        </w:rPr>
        <w:t>subject to RR No.</w:t>
      </w:r>
      <w:r w:rsidRPr="006A6CE1">
        <w:rPr>
          <w:lang w:val="en-GB"/>
        </w:rPr>
        <w:t xml:space="preserve"> 5.340 </w:t>
      </w:r>
      <w:r w:rsidR="00C85316">
        <w:rPr>
          <w:lang w:val="en-GB"/>
        </w:rPr>
        <w:fldChar w:fldCharType="begin"/>
      </w:r>
      <w:r w:rsidR="00C85316">
        <w:rPr>
          <w:lang w:val="en-GB"/>
        </w:rPr>
        <w:instrText xml:space="preserve"> REF _Ref111452895 \r \h </w:instrText>
      </w:r>
      <w:r w:rsidR="00C85316">
        <w:rPr>
          <w:lang w:val="en-GB"/>
        </w:rPr>
      </w:r>
      <w:r w:rsidR="00C85316">
        <w:rPr>
          <w:lang w:val="en-GB"/>
        </w:rPr>
        <w:fldChar w:fldCharType="separate"/>
      </w:r>
      <w:r w:rsidR="00DC04EE">
        <w:rPr>
          <w:lang w:val="en-GB"/>
        </w:rPr>
        <w:t>[7]</w:t>
      </w:r>
      <w:r w:rsidR="00C85316">
        <w:rPr>
          <w:lang w:val="en-GB"/>
        </w:rPr>
        <w:fldChar w:fldCharType="end"/>
      </w:r>
      <w:r w:rsidR="00C85316">
        <w:rPr>
          <w:lang w:val="en-GB"/>
        </w:rPr>
        <w:t xml:space="preserve"> </w:t>
      </w:r>
      <w:r w:rsidRPr="006A6CE1">
        <w:rPr>
          <w:lang w:val="en-GB"/>
        </w:rPr>
        <w:t xml:space="preserve">by very limited number of RDI-S devices, a tracking and monitoring process is required. It is normally difficult to track every device in the market and therefore, the following information to be provided by RDI-S manufacturers could give </w:t>
      </w:r>
      <w:r w:rsidR="00546B9D">
        <w:rPr>
          <w:lang w:val="en-GB"/>
        </w:rPr>
        <w:t>an indicator of</w:t>
      </w:r>
      <w:r w:rsidRPr="006A6CE1">
        <w:rPr>
          <w:lang w:val="en-GB"/>
        </w:rPr>
        <w:t xml:space="preserve"> the expected activity levels</w:t>
      </w:r>
      <w:r w:rsidR="0067431F">
        <w:rPr>
          <w:lang w:val="en-GB"/>
        </w:rPr>
        <w:t>.</w:t>
      </w:r>
    </w:p>
    <w:p w14:paraId="16D9C80B" w14:textId="0EB9BE11" w:rsidR="009F786B" w:rsidRPr="006A6CE1" w:rsidRDefault="00607B78" w:rsidP="00607B78">
      <w:pPr>
        <w:pStyle w:val="Caption"/>
        <w:rPr>
          <w:lang w:val="en-GB"/>
        </w:rPr>
      </w:pPr>
      <w:r w:rsidRPr="00053844">
        <w:rPr>
          <w:lang w:val="en-GB"/>
        </w:rPr>
        <w:t xml:space="preserve">Table </w:t>
      </w:r>
      <w:r>
        <w:fldChar w:fldCharType="begin"/>
      </w:r>
      <w:r w:rsidRPr="00053844">
        <w:rPr>
          <w:lang w:val="en-GB"/>
        </w:rPr>
        <w:instrText xml:space="preserve"> SEQ Table \* ARABIC </w:instrText>
      </w:r>
      <w:r>
        <w:fldChar w:fldCharType="separate"/>
      </w:r>
      <w:r w:rsidRPr="00053844">
        <w:rPr>
          <w:noProof/>
          <w:lang w:val="en-GB"/>
        </w:rPr>
        <w:t>13</w:t>
      </w:r>
      <w:r>
        <w:fldChar w:fldCharType="end"/>
      </w:r>
      <w:r w:rsidR="009F786B" w:rsidRPr="006A6CE1">
        <w:rPr>
          <w:lang w:val="en-GB"/>
        </w:rPr>
        <w:t>: Notified information on the RDI-S devices in the designated band 116</w:t>
      </w:r>
      <w:r w:rsidR="00C85316">
        <w:rPr>
          <w:lang w:val="en-GB"/>
        </w:rPr>
        <w:t>-</w:t>
      </w:r>
      <w:r w:rsidR="009F786B" w:rsidRPr="006A6CE1">
        <w:rPr>
          <w:lang w:val="en-GB"/>
        </w:rPr>
        <w:t>260 GHz</w:t>
      </w:r>
    </w:p>
    <w:tbl>
      <w:tblPr>
        <w:tblStyle w:val="ECCTable-redheader"/>
        <w:tblW w:w="9382" w:type="dxa"/>
        <w:tblInd w:w="0" w:type="dxa"/>
        <w:tblLook w:val="04A0" w:firstRow="1" w:lastRow="0" w:firstColumn="1" w:lastColumn="0" w:noHBand="0" w:noVBand="1"/>
      </w:tblPr>
      <w:tblGrid>
        <w:gridCol w:w="2157"/>
        <w:gridCol w:w="2157"/>
        <w:gridCol w:w="1850"/>
        <w:gridCol w:w="1609"/>
        <w:gridCol w:w="1609"/>
      </w:tblGrid>
      <w:tr w:rsidR="009F786B" w:rsidRPr="006A6CE1" w14:paraId="03449A1C" w14:textId="77777777" w:rsidTr="00D42B15">
        <w:trPr>
          <w:cnfStyle w:val="100000000000" w:firstRow="1" w:lastRow="0" w:firstColumn="0" w:lastColumn="0" w:oddVBand="0" w:evenVBand="0" w:oddHBand="0" w:evenHBand="0" w:firstRowFirstColumn="0" w:firstRowLastColumn="0" w:lastRowFirstColumn="0" w:lastRowLastColumn="0"/>
        </w:trPr>
        <w:tc>
          <w:tcPr>
            <w:tcW w:w="2157" w:type="dxa"/>
          </w:tcPr>
          <w:p w14:paraId="69D18FA6" w14:textId="44649B4B" w:rsidR="009F786B" w:rsidRPr="006A6CE1" w:rsidRDefault="009F786B" w:rsidP="003E39F4">
            <w:pPr>
              <w:pStyle w:val="ECCTableHeaderwhitefont"/>
              <w:rPr>
                <w:lang w:val="en-GB"/>
              </w:rPr>
            </w:pPr>
            <w:r w:rsidRPr="006A6CE1">
              <w:rPr>
                <w:lang w:val="en-GB"/>
              </w:rPr>
              <w:t xml:space="preserve">Date of </w:t>
            </w:r>
            <w:r w:rsidR="00DF1771">
              <w:rPr>
                <w:lang w:val="en-GB"/>
              </w:rPr>
              <w:t>n</w:t>
            </w:r>
            <w:r w:rsidRPr="006A6CE1">
              <w:rPr>
                <w:lang w:val="en-GB"/>
              </w:rPr>
              <w:t>otification</w:t>
            </w:r>
          </w:p>
        </w:tc>
        <w:tc>
          <w:tcPr>
            <w:tcW w:w="2157" w:type="dxa"/>
          </w:tcPr>
          <w:p w14:paraId="2780C07A" w14:textId="77777777" w:rsidR="009F786B" w:rsidRPr="006A6CE1" w:rsidRDefault="009F786B" w:rsidP="003E39F4">
            <w:pPr>
              <w:pStyle w:val="ECCTableHeaderwhitefont"/>
              <w:rPr>
                <w:lang w:val="en-GB"/>
              </w:rPr>
            </w:pPr>
            <w:r w:rsidRPr="006A6CE1">
              <w:rPr>
                <w:lang w:val="en-GB"/>
              </w:rPr>
              <w:t>Manufacturer name</w:t>
            </w:r>
          </w:p>
        </w:tc>
        <w:tc>
          <w:tcPr>
            <w:tcW w:w="1850" w:type="dxa"/>
          </w:tcPr>
          <w:p w14:paraId="1164D4C0" w14:textId="77777777" w:rsidR="009F786B" w:rsidRPr="006A6CE1" w:rsidRDefault="009F786B" w:rsidP="003E39F4">
            <w:pPr>
              <w:pStyle w:val="ECCTabletext"/>
            </w:pPr>
            <w:r w:rsidRPr="006A6CE1">
              <w:t>Type of application</w:t>
            </w:r>
          </w:p>
        </w:tc>
        <w:tc>
          <w:tcPr>
            <w:tcW w:w="1609" w:type="dxa"/>
          </w:tcPr>
          <w:p w14:paraId="644287B7" w14:textId="5B10671C" w:rsidR="009F786B" w:rsidRPr="006A6CE1" w:rsidRDefault="009F786B" w:rsidP="003E39F4">
            <w:pPr>
              <w:pStyle w:val="ECCTabletext"/>
            </w:pPr>
            <w:r w:rsidRPr="006A6CE1">
              <w:t>Estimate of overall market</w:t>
            </w:r>
          </w:p>
        </w:tc>
        <w:tc>
          <w:tcPr>
            <w:tcW w:w="1609" w:type="dxa"/>
          </w:tcPr>
          <w:p w14:paraId="675D59A2" w14:textId="1F507A29" w:rsidR="009F786B" w:rsidRPr="006A6CE1" w:rsidRDefault="009F786B" w:rsidP="003E39F4">
            <w:pPr>
              <w:pStyle w:val="ECCTabletext"/>
            </w:pPr>
            <w:r w:rsidRPr="006A6CE1">
              <w:t xml:space="preserve">Frequency </w:t>
            </w:r>
            <w:r w:rsidR="00DF1771">
              <w:t>b</w:t>
            </w:r>
            <w:r w:rsidRPr="006A6CE1">
              <w:t>and(s) of operation</w:t>
            </w:r>
          </w:p>
        </w:tc>
      </w:tr>
      <w:tr w:rsidR="009F786B" w:rsidRPr="006A6CE1" w14:paraId="6C004FD8" w14:textId="77777777" w:rsidTr="00D42B15">
        <w:tc>
          <w:tcPr>
            <w:tcW w:w="2157" w:type="dxa"/>
            <w:tcBorders>
              <w:bottom w:val="single" w:sz="4" w:space="0" w:color="D22A23"/>
            </w:tcBorders>
          </w:tcPr>
          <w:p w14:paraId="79D8DA1E" w14:textId="77777777" w:rsidR="009F786B" w:rsidRPr="006A6CE1" w:rsidRDefault="009F786B" w:rsidP="00D42B15">
            <w:pPr>
              <w:pStyle w:val="ECCTableHeaderwhitefont"/>
              <w:rPr>
                <w:lang w:val="en-GB"/>
              </w:rPr>
            </w:pPr>
          </w:p>
        </w:tc>
        <w:tc>
          <w:tcPr>
            <w:tcW w:w="2157" w:type="dxa"/>
            <w:tcBorders>
              <w:bottom w:val="single" w:sz="4" w:space="0" w:color="D22A23"/>
            </w:tcBorders>
          </w:tcPr>
          <w:p w14:paraId="0F34A8B7" w14:textId="77777777" w:rsidR="009F786B" w:rsidRPr="006A6CE1" w:rsidRDefault="009F786B" w:rsidP="00D42B15">
            <w:pPr>
              <w:pStyle w:val="ECCTableHeaderwhitefont"/>
              <w:rPr>
                <w:lang w:val="en-GB"/>
              </w:rPr>
            </w:pPr>
          </w:p>
        </w:tc>
        <w:tc>
          <w:tcPr>
            <w:tcW w:w="1850" w:type="dxa"/>
            <w:tcBorders>
              <w:bottom w:val="single" w:sz="4" w:space="0" w:color="D22A23"/>
            </w:tcBorders>
          </w:tcPr>
          <w:p w14:paraId="7239299A" w14:textId="77777777" w:rsidR="009F786B" w:rsidRPr="006A6CE1" w:rsidRDefault="009F786B" w:rsidP="00D42B15">
            <w:pPr>
              <w:pStyle w:val="ECCTabletext"/>
              <w:jc w:val="left"/>
            </w:pPr>
          </w:p>
        </w:tc>
        <w:tc>
          <w:tcPr>
            <w:tcW w:w="1609" w:type="dxa"/>
            <w:tcBorders>
              <w:bottom w:val="single" w:sz="4" w:space="0" w:color="D22A23"/>
            </w:tcBorders>
          </w:tcPr>
          <w:p w14:paraId="15FDF0D5" w14:textId="77777777" w:rsidR="009F786B" w:rsidRPr="006A6CE1" w:rsidRDefault="009F786B" w:rsidP="00D42B15">
            <w:pPr>
              <w:pStyle w:val="ECCTabletext"/>
              <w:jc w:val="left"/>
            </w:pPr>
          </w:p>
        </w:tc>
        <w:tc>
          <w:tcPr>
            <w:tcW w:w="1609" w:type="dxa"/>
            <w:tcBorders>
              <w:bottom w:val="single" w:sz="4" w:space="0" w:color="D22A23"/>
            </w:tcBorders>
          </w:tcPr>
          <w:p w14:paraId="4A0CE6D5" w14:textId="77777777" w:rsidR="009F786B" w:rsidRPr="006A6CE1" w:rsidRDefault="009F786B" w:rsidP="00D42B15">
            <w:pPr>
              <w:pStyle w:val="ECCTabletext"/>
              <w:jc w:val="left"/>
            </w:pPr>
          </w:p>
        </w:tc>
      </w:tr>
    </w:tbl>
    <w:p w14:paraId="630402D5" w14:textId="77777777" w:rsidR="009F786B" w:rsidRPr="006A6CE1" w:rsidRDefault="009F786B" w:rsidP="009F786B">
      <w:pPr>
        <w:jc w:val="both"/>
        <w:rPr>
          <w:highlight w:val="cyan"/>
          <w:lang w:val="en-GB"/>
        </w:rPr>
      </w:pPr>
    </w:p>
    <w:p w14:paraId="2BED9ED7" w14:textId="076FA19C" w:rsidR="009F786B" w:rsidRPr="006A6CE1" w:rsidRDefault="009F786B" w:rsidP="009F786B">
      <w:pPr>
        <w:jc w:val="both"/>
        <w:rPr>
          <w:lang w:val="en-GB"/>
        </w:rPr>
      </w:pPr>
      <w:r w:rsidRPr="006A6CE1">
        <w:rPr>
          <w:lang w:val="en-GB"/>
        </w:rPr>
        <w:t>The notified information shall be updated and published on the ECO website on a regular basis.</w:t>
      </w:r>
      <w:r w:rsidR="003B11FC">
        <w:rPr>
          <w:lang w:val="en-GB"/>
        </w:rPr>
        <w:t xml:space="preserve"> This</w:t>
      </w:r>
      <w:r w:rsidR="006F4B2D">
        <w:rPr>
          <w:lang w:val="en-GB"/>
        </w:rPr>
        <w:t xml:space="preserve"> notification procedure is not intended to be reflected in an ETSI Harmonised Standard.</w:t>
      </w:r>
    </w:p>
    <w:p w14:paraId="00180926" w14:textId="77777777" w:rsidR="00E65F13" w:rsidRPr="006A6CE1" w:rsidRDefault="00E65F13" w:rsidP="009F786B">
      <w:pPr>
        <w:jc w:val="both"/>
        <w:rPr>
          <w:lang w:val="en-GB"/>
        </w:rPr>
      </w:pPr>
    </w:p>
    <w:p w14:paraId="09E4603F" w14:textId="6A8DE652" w:rsidR="00A27EB8" w:rsidRPr="006A6CE1" w:rsidRDefault="00A27EB8" w:rsidP="0059230E">
      <w:pPr>
        <w:pStyle w:val="ECCAnnexheading1"/>
      </w:pPr>
      <w:r w:rsidRPr="006A6CE1">
        <w:lastRenderedPageBreak/>
        <w:t xml:space="preserve">List of </w:t>
      </w:r>
      <w:r w:rsidR="00DD2265" w:rsidRPr="006A6CE1">
        <w:t>r</w:t>
      </w:r>
      <w:r w:rsidRPr="006A6CE1">
        <w:t>eference</w:t>
      </w:r>
      <w:bookmarkEnd w:id="11"/>
      <w:bookmarkEnd w:id="12"/>
      <w:bookmarkEnd w:id="13"/>
      <w:bookmarkEnd w:id="14"/>
      <w:bookmarkEnd w:id="15"/>
      <w:bookmarkEnd w:id="16"/>
      <w:bookmarkEnd w:id="17"/>
      <w:bookmarkEnd w:id="18"/>
      <w:r w:rsidRPr="006A6CE1">
        <w:t>s</w:t>
      </w:r>
      <w:bookmarkEnd w:id="19"/>
    </w:p>
    <w:p w14:paraId="19A8CDCB" w14:textId="2C06DAC9" w:rsidR="00BF0261" w:rsidRPr="006A6CE1" w:rsidRDefault="00BF0261" w:rsidP="00DB5210">
      <w:pPr>
        <w:pStyle w:val="ECCReference"/>
        <w:numPr>
          <w:ilvl w:val="0"/>
          <w:numId w:val="7"/>
        </w:numPr>
        <w:spacing w:before="60" w:after="60"/>
      </w:pPr>
      <w:bookmarkStart w:id="50" w:name="_Ref104294234"/>
      <w:bookmarkStart w:id="51" w:name="_Ref67311558"/>
      <w:r w:rsidRPr="006A6CE1">
        <w:t>ETSI TR 103 498</w:t>
      </w:r>
      <w:r w:rsidR="003A47F5">
        <w:t>:</w:t>
      </w:r>
      <w:r w:rsidRPr="006A6CE1">
        <w:t xml:space="preserve"> "System Reference document (SRdoc); Short Range Devices (SRD) using Ultra Wide Band (UWB); Transmission characteristics; Radiodetermination applications within the frequency range 120 GHz to 260 GHz"</w:t>
      </w:r>
      <w:bookmarkEnd w:id="50"/>
    </w:p>
    <w:bookmarkStart w:id="52" w:name="ECCReportxx"/>
    <w:bookmarkStart w:id="53" w:name="_Ref104294281"/>
    <w:bookmarkStart w:id="54" w:name="_Ref106107545"/>
    <w:bookmarkStart w:id="55" w:name="_Ref67311567"/>
    <w:bookmarkEnd w:id="51"/>
    <w:bookmarkEnd w:id="52"/>
    <w:p w14:paraId="7BEB9A77" w14:textId="1B7233B0" w:rsidR="00BF0261" w:rsidRPr="00D32B93" w:rsidRDefault="00101366" w:rsidP="00DB5210">
      <w:pPr>
        <w:pStyle w:val="reference"/>
        <w:spacing w:before="60" w:after="60"/>
        <w:rPr>
          <w:lang w:val="en-GB"/>
        </w:rPr>
      </w:pPr>
      <w:r>
        <w:fldChar w:fldCharType="begin"/>
      </w:r>
      <w:r>
        <w:instrText>HYPERLINK "https://docdb.cept.org/document/26187"</w:instrText>
      </w:r>
      <w:r>
        <w:fldChar w:fldCharType="separate"/>
      </w:r>
      <w:r>
        <w:rPr>
          <w:rStyle w:val="Hyperlink"/>
        </w:rPr>
        <w:t>ECC Report 334</w:t>
      </w:r>
      <w:r>
        <w:fldChar w:fldCharType="end"/>
      </w:r>
      <w:r w:rsidR="00DC5123">
        <w:rPr>
          <w:lang w:val="en-GB"/>
        </w:rPr>
        <w:t>:</w:t>
      </w:r>
      <w:r w:rsidR="00BF0261" w:rsidRPr="00172DBC">
        <w:rPr>
          <w:lang w:val="en-GB"/>
        </w:rPr>
        <w:t xml:space="preserve"> “UWB radiodetermination applications in the frequency range 116-260 </w:t>
      </w:r>
      <w:proofErr w:type="gramStart"/>
      <w:r w:rsidR="00BF0261" w:rsidRPr="00172DBC">
        <w:rPr>
          <w:lang w:val="en-GB"/>
        </w:rPr>
        <w:t>GHz“</w:t>
      </w:r>
      <w:bookmarkEnd w:id="53"/>
      <w:proofErr w:type="gramEnd"/>
      <w:r w:rsidRPr="00172DBC">
        <w:rPr>
          <w:lang w:val="en-GB"/>
        </w:rPr>
        <w:t xml:space="preserve">, </w:t>
      </w:r>
      <w:r w:rsidR="00172DBC">
        <w:t>approved January 2022</w:t>
      </w:r>
      <w:bookmarkEnd w:id="54"/>
    </w:p>
    <w:bookmarkStart w:id="56" w:name="_Ref129595648"/>
    <w:p w14:paraId="0735A090" w14:textId="7E56A7F1" w:rsidR="00D32B93" w:rsidRPr="00172DBC" w:rsidRDefault="00371494" w:rsidP="00DB5210">
      <w:pPr>
        <w:pStyle w:val="reference"/>
        <w:spacing w:before="60" w:after="60"/>
        <w:rPr>
          <w:lang w:val="en-GB"/>
        </w:rPr>
      </w:pPr>
      <w:r>
        <w:fldChar w:fldCharType="begin"/>
      </w:r>
      <w:r>
        <w:instrText>HYPERLINK "https://docdb.cept.org/document/28588"</w:instrText>
      </w:r>
      <w:r>
        <w:fldChar w:fldCharType="separate"/>
      </w:r>
      <w:r>
        <w:rPr>
          <w:rStyle w:val="Hyperlink"/>
        </w:rPr>
        <w:t>ECC Report 351</w:t>
      </w:r>
      <w:r>
        <w:fldChar w:fldCharType="end"/>
      </w:r>
      <w:r w:rsidR="00D32B93">
        <w:t>: “</w:t>
      </w:r>
      <w:r w:rsidR="00D32B93" w:rsidRPr="00D32B93">
        <w:t>UWB radiodetermination applications within the frequency range 116 GHz to 148.5 GHz for vehicular use</w:t>
      </w:r>
      <w:r w:rsidR="00D32B93">
        <w:t>”, approved February 2023</w:t>
      </w:r>
      <w:bookmarkEnd w:id="56"/>
    </w:p>
    <w:p w14:paraId="2CF88F59" w14:textId="2C7876EE" w:rsidR="00BF0261" w:rsidRPr="006A6CE1" w:rsidRDefault="008C087C" w:rsidP="00DB5210">
      <w:pPr>
        <w:pStyle w:val="reference"/>
        <w:spacing w:before="60" w:after="60"/>
        <w:rPr>
          <w:lang w:val="en-GB"/>
        </w:rPr>
      </w:pPr>
      <w:bookmarkStart w:id="57" w:name="DEC_2006_771_EC"/>
      <w:bookmarkStart w:id="58" w:name="RED_2014_53_EU"/>
      <w:bookmarkStart w:id="59" w:name="_Ref67311624"/>
      <w:bookmarkEnd w:id="55"/>
      <w:bookmarkEnd w:id="57"/>
      <w:bookmarkEnd w:id="58"/>
      <w:r w:rsidRPr="008C087C">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59"/>
    </w:p>
    <w:bookmarkStart w:id="60" w:name="_Ref67311859"/>
    <w:bookmarkStart w:id="61" w:name="_Ref104296410"/>
    <w:p w14:paraId="56A022CC" w14:textId="4ECEEA60" w:rsidR="00BF0261" w:rsidRPr="00B6101B" w:rsidRDefault="00496065" w:rsidP="00B6101B">
      <w:pPr>
        <w:pStyle w:val="reference"/>
        <w:rPr>
          <w:lang w:val="en-GB"/>
        </w:rPr>
      </w:pPr>
      <w:r w:rsidRPr="00B6101B">
        <w:fldChar w:fldCharType="begin"/>
      </w:r>
      <w:r w:rsidRPr="00B6101B">
        <w:instrText>HYPERLINK "https://docdb.cept.org/document/845"</w:instrText>
      </w:r>
      <w:r w:rsidRPr="00B6101B">
        <w:fldChar w:fldCharType="separate"/>
      </w:r>
      <w:r w:rsidRPr="00B6101B">
        <w:rPr>
          <w:rStyle w:val="Hyperlink"/>
          <w:color w:val="auto"/>
          <w:u w:val="none"/>
        </w:rPr>
        <w:t>ERC Recommendation 70-03</w:t>
      </w:r>
      <w:r w:rsidRPr="00B6101B">
        <w:fldChar w:fldCharType="end"/>
      </w:r>
      <w:bookmarkEnd w:id="60"/>
      <w:r w:rsidR="00BF0261" w:rsidRPr="00B6101B">
        <w:rPr>
          <w:lang w:val="en-GB"/>
        </w:rPr>
        <w:t>: “</w:t>
      </w:r>
      <w:r w:rsidR="009477C2" w:rsidRPr="00B6101B">
        <w:rPr>
          <w:lang w:val="en-GB"/>
        </w:rPr>
        <w:t>R</w:t>
      </w:r>
      <w:r w:rsidR="00BF0261" w:rsidRPr="00B6101B">
        <w:rPr>
          <w:lang w:val="en-GB"/>
        </w:rPr>
        <w:t xml:space="preserve">elating to the use of </w:t>
      </w:r>
      <w:proofErr w:type="gramStart"/>
      <w:r w:rsidR="00BF0261" w:rsidRPr="00B6101B">
        <w:rPr>
          <w:lang w:val="en-GB"/>
        </w:rPr>
        <w:t>Short Range</w:t>
      </w:r>
      <w:proofErr w:type="gramEnd"/>
      <w:r w:rsidR="00BF0261" w:rsidRPr="00B6101B">
        <w:rPr>
          <w:lang w:val="en-GB"/>
        </w:rPr>
        <w:t xml:space="preserve"> Devices (SRD)”</w:t>
      </w:r>
      <w:bookmarkEnd w:id="61"/>
      <w:r w:rsidR="00DC5123" w:rsidRPr="00B6101B">
        <w:rPr>
          <w:lang w:val="en-GB"/>
        </w:rPr>
        <w:t xml:space="preserve">, </w:t>
      </w:r>
      <w:r w:rsidR="002C1B9C" w:rsidRPr="00B6101B">
        <w:rPr>
          <w:lang w:val="en-GB"/>
        </w:rPr>
        <w:t xml:space="preserve">approved 1997, latest amended </w:t>
      </w:r>
      <w:r w:rsidR="00D20194" w:rsidRPr="00B6101B">
        <w:rPr>
          <w:lang w:val="en-GB"/>
        </w:rPr>
        <w:t>March 2024</w:t>
      </w:r>
    </w:p>
    <w:p w14:paraId="3AA90E9D" w14:textId="77777777" w:rsidR="00422566" w:rsidRDefault="00422566" w:rsidP="006D633B">
      <w:pPr>
        <w:pStyle w:val="reference"/>
        <w:spacing w:before="60" w:after="60"/>
      </w:pPr>
      <w:bookmarkStart w:id="62" w:name="_Ref106114799"/>
      <w:r>
        <w:t>"Code of Federal Regulations Title 47"</w:t>
      </w:r>
      <w:bookmarkEnd w:id="62"/>
      <w:r>
        <w:t xml:space="preserve"> </w:t>
      </w:r>
    </w:p>
    <w:p w14:paraId="22CD4B74" w14:textId="4BAE0457" w:rsidR="00422566" w:rsidRPr="00DC5123" w:rsidRDefault="00F55B55" w:rsidP="006D633B">
      <w:pPr>
        <w:pStyle w:val="reference"/>
        <w:numPr>
          <w:ilvl w:val="0"/>
          <w:numId w:val="0"/>
        </w:numPr>
        <w:spacing w:before="60" w:after="60"/>
        <w:ind w:left="397"/>
        <w:rPr>
          <w:lang w:val="en-GB"/>
        </w:rPr>
      </w:pPr>
      <w:hyperlink r:id="rId9" w:history="1">
        <w:r w:rsidR="00422566" w:rsidRPr="00322007">
          <w:rPr>
            <w:rStyle w:val="Hyperlink"/>
          </w:rPr>
          <w:t>https://www.fcc.gov/wireless/bureau-divisions/technologies-systems-and-innovation-division/rules-regulations-title-47</w:t>
        </w:r>
      </w:hyperlink>
    </w:p>
    <w:p w14:paraId="1D500B6C" w14:textId="05F96D03" w:rsidR="00DB4DA5" w:rsidRDefault="008F2C1B" w:rsidP="006D633B">
      <w:pPr>
        <w:pStyle w:val="reference"/>
        <w:spacing w:before="60" w:after="60"/>
      </w:pPr>
      <w:bookmarkStart w:id="63" w:name="_Ref111452895"/>
      <w:bookmarkStart w:id="64" w:name="_Ref111445147"/>
      <w:bookmarkEnd w:id="20"/>
      <w:bookmarkEnd w:id="21"/>
      <w:r w:rsidRPr="00722141">
        <w:t>ITU Radio Regulations, Edition 2020</w:t>
      </w:r>
      <w:bookmarkEnd w:id="63"/>
      <w:bookmarkEnd w:id="64"/>
    </w:p>
    <w:p w14:paraId="22E031C2" w14:textId="77777777" w:rsidR="00B6101B" w:rsidRPr="00000299" w:rsidRDefault="00B6101B" w:rsidP="00B6101B">
      <w:pPr>
        <w:pStyle w:val="reference"/>
      </w:pPr>
      <w:bookmarkStart w:id="65" w:name="_Ref111457250"/>
      <w:r w:rsidRPr="60A94853">
        <w:t>ETSI EN 305 550-2: “</w:t>
      </w:r>
      <w:r w:rsidRPr="60A94853">
        <w:rPr>
          <w:shd w:val="clear" w:color="auto" w:fill="FFFFFF"/>
        </w:rPr>
        <w:t>Short Range Devices (SRD); Radio equipment to be used in the 40 GHz to 246 GHz frequency range”</w:t>
      </w:r>
      <w:bookmarkEnd w:id="65"/>
    </w:p>
    <w:p w14:paraId="673FB653" w14:textId="5775449F" w:rsidR="00B6101B" w:rsidRDefault="00B6101B" w:rsidP="006D633B">
      <w:pPr>
        <w:pStyle w:val="reference"/>
        <w:spacing w:before="60" w:after="60"/>
      </w:pPr>
      <w:r w:rsidRPr="00B6101B">
        <w:t xml:space="preserve">ETSI EN 303 883-1: “Short Range Devices (SRD) and </w:t>
      </w:r>
      <w:proofErr w:type="spellStart"/>
      <w:r w:rsidRPr="00B6101B">
        <w:t>Ultra Wide</w:t>
      </w:r>
      <w:proofErr w:type="spellEnd"/>
      <w:r w:rsidRPr="00B6101B">
        <w:t xml:space="preserve"> Band (UWB); Part 1: Measurement techniques for transmitter requirements”</w:t>
      </w:r>
    </w:p>
    <w:p w14:paraId="70E103F0" w14:textId="77777777" w:rsidR="008F2C1B" w:rsidRPr="006A6CE1" w:rsidRDefault="008F2C1B" w:rsidP="00DB5210">
      <w:pPr>
        <w:pStyle w:val="ECCReference"/>
        <w:tabs>
          <w:tab w:val="clear" w:pos="397"/>
        </w:tabs>
        <w:spacing w:before="60" w:after="60"/>
      </w:pPr>
    </w:p>
    <w:sectPr w:rsidR="008F2C1B" w:rsidRPr="006A6CE1" w:rsidSect="00385B3F">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3439" w14:textId="77777777" w:rsidR="00385B3F" w:rsidRDefault="00385B3F" w:rsidP="006C03D0">
      <w:r>
        <w:separator/>
      </w:r>
    </w:p>
  </w:endnote>
  <w:endnote w:type="continuationSeparator" w:id="0">
    <w:p w14:paraId="7B17F37E" w14:textId="77777777" w:rsidR="00385B3F" w:rsidRDefault="00385B3F" w:rsidP="006C03D0">
      <w:r>
        <w:continuationSeparator/>
      </w:r>
    </w:p>
  </w:endnote>
  <w:endnote w:type="continuationNotice" w:id="1">
    <w:p w14:paraId="531F8808" w14:textId="77777777" w:rsidR="00385B3F" w:rsidRDefault="00385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621E" w14:textId="77777777" w:rsidR="00385B3F" w:rsidRDefault="00385B3F" w:rsidP="006C03D0">
      <w:r>
        <w:separator/>
      </w:r>
    </w:p>
  </w:footnote>
  <w:footnote w:type="continuationSeparator" w:id="0">
    <w:p w14:paraId="47F61170" w14:textId="77777777" w:rsidR="00385B3F" w:rsidRDefault="00385B3F" w:rsidP="006C03D0">
      <w:r>
        <w:continuationSeparator/>
      </w:r>
    </w:p>
  </w:footnote>
  <w:footnote w:type="continuationNotice" w:id="1">
    <w:p w14:paraId="32331C6D" w14:textId="77777777" w:rsidR="00385B3F" w:rsidRDefault="00385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741C7F13" w:rsidR="001637FB" w:rsidRPr="005A2F13" w:rsidRDefault="001637FB">
    <w:pPr>
      <w:pStyle w:val="Header"/>
      <w:rPr>
        <w:szCs w:val="16"/>
        <w:lang w:val="en-GB"/>
      </w:rPr>
    </w:pPr>
    <w:r w:rsidRPr="005A2F13">
      <w:rPr>
        <w:lang w:val="en-GB"/>
      </w:rPr>
      <w:t>ECC/DEC/(</w:t>
    </w:r>
    <w:r>
      <w:rPr>
        <w:lang w:val="en-GB"/>
      </w:rPr>
      <w:t>22</w:t>
    </w:r>
    <w:r w:rsidRPr="005A2F13">
      <w:rPr>
        <w:lang w:val="en-GB"/>
      </w:rPr>
      <w:t>)</w:t>
    </w:r>
    <w:r>
      <w:rPr>
        <w:lang w:val="en-GB"/>
      </w:rPr>
      <w:t>03</w:t>
    </w:r>
    <w:r w:rsidRPr="005A2F13">
      <w:rPr>
        <w:lang w:val="en-GB"/>
      </w:rPr>
      <w:t xml:space="preserve"> </w:t>
    </w:r>
    <w:r w:rsidRPr="005A2F13">
      <w:rPr>
        <w:szCs w:val="16"/>
        <w:lang w:val="en-GB"/>
      </w:rPr>
      <w:t xml:space="preserve">Page </w:t>
    </w:r>
    <w:r w:rsidRPr="005A2F13">
      <w:rPr>
        <w:lang w:val="en-GB"/>
      </w:rPr>
      <w:fldChar w:fldCharType="begin"/>
    </w:r>
    <w:r w:rsidRPr="005A2F13">
      <w:rPr>
        <w:lang w:val="en-GB"/>
      </w:rPr>
      <w:instrText xml:space="preserve"> PAGE  \* Arabic  \* MERGEFORMAT </w:instrText>
    </w:r>
    <w:r w:rsidRPr="005A2F13">
      <w:rPr>
        <w:lang w:val="en-GB"/>
      </w:rPr>
      <w:fldChar w:fldCharType="separate"/>
    </w:r>
    <w:r w:rsidRPr="005A2F13">
      <w:rPr>
        <w:szCs w:val="16"/>
        <w:lang w:val="en-GB"/>
      </w:rPr>
      <w:t>4</w:t>
    </w:r>
    <w:r w:rsidRPr="005A2F13">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3FC0E2D5" w:rsidR="001637FB" w:rsidRPr="005A2F13" w:rsidRDefault="001637FB" w:rsidP="006C03D0">
    <w:pPr>
      <w:pStyle w:val="Header"/>
      <w:jc w:val="right"/>
      <w:rPr>
        <w:szCs w:val="16"/>
        <w:lang w:val="en-GB"/>
      </w:rPr>
    </w:pPr>
    <w:r w:rsidRPr="005A2F13">
      <w:rPr>
        <w:lang w:val="en-GB"/>
      </w:rPr>
      <w:t>ECC/DEC/(</w:t>
    </w:r>
    <w:r>
      <w:rPr>
        <w:lang w:val="en-GB"/>
      </w:rPr>
      <w:t>22</w:t>
    </w:r>
    <w:r w:rsidRPr="005A2F13">
      <w:rPr>
        <w:lang w:val="en-GB"/>
      </w:rPr>
      <w:t>)</w:t>
    </w:r>
    <w:r>
      <w:rPr>
        <w:lang w:val="en-GB"/>
      </w:rPr>
      <w:t>03</w:t>
    </w:r>
    <w:r w:rsidRPr="005A2F13">
      <w:rPr>
        <w:lang w:val="en-GB"/>
      </w:rPr>
      <w:t xml:space="preserve"> </w:t>
    </w:r>
    <w:r w:rsidRPr="005A2F13">
      <w:rPr>
        <w:szCs w:val="16"/>
        <w:lang w:val="en-GB"/>
      </w:rPr>
      <w:t xml:space="preserve">Page </w:t>
    </w:r>
    <w:r w:rsidRPr="005A2F13">
      <w:rPr>
        <w:lang w:val="en-GB"/>
      </w:rPr>
      <w:fldChar w:fldCharType="begin"/>
    </w:r>
    <w:r w:rsidRPr="005A2F13">
      <w:rPr>
        <w:lang w:val="en-GB"/>
      </w:rPr>
      <w:instrText xml:space="preserve"> PAGE  \* Arabic  \* MERGEFORMAT </w:instrText>
    </w:r>
    <w:r w:rsidRPr="005A2F13">
      <w:rPr>
        <w:lang w:val="en-GB"/>
      </w:rPr>
      <w:fldChar w:fldCharType="separate"/>
    </w:r>
    <w:r w:rsidRPr="005A2F13">
      <w:rPr>
        <w:szCs w:val="16"/>
        <w:lang w:val="en-GB"/>
      </w:rPr>
      <w:t>3</w:t>
    </w:r>
    <w:r w:rsidRPr="005A2F13">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6110CD2E" w:rsidR="001637FB" w:rsidRDefault="001637FB">
    <w:pPr>
      <w:pStyle w:val="Header"/>
    </w:pPr>
    <w:r>
      <w:rPr>
        <w:noProof/>
        <w:szCs w:val="20"/>
        <w:lang w:val="da-DK" w:eastAsia="da-DK"/>
      </w:rPr>
      <w:drawing>
        <wp:anchor distT="0" distB="0" distL="114300" distR="114300" simplePos="0" relativeHeight="251658241"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8240"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B09"/>
    <w:multiLevelType w:val="hybridMultilevel"/>
    <w:tmpl w:val="DBD2B8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101DD"/>
    <w:multiLevelType w:val="multilevel"/>
    <w:tmpl w:val="9A08B1D8"/>
    <w:lvl w:ilvl="0">
      <w:numFmt w:val="bullet"/>
      <w:lvlText w:val="–"/>
      <w:lvlJc w:val="left"/>
      <w:pPr>
        <w:tabs>
          <w:tab w:val="num" w:pos="397"/>
        </w:tabs>
        <w:ind w:left="397" w:hanging="397"/>
      </w:pPr>
      <w:rPr>
        <w:rFonts w:ascii="Times New Roman" w:eastAsia="Times New Roman" w:hAnsi="Times New Roman" w:cs="Times New Roman"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15:restartNumberingAfterBreak="0">
    <w:nsid w:val="212F4188"/>
    <w:multiLevelType w:val="multilevel"/>
    <w:tmpl w:val="BC3E47B8"/>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5A2F6D"/>
    <w:multiLevelType w:val="multilevel"/>
    <w:tmpl w:val="09623FA6"/>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22B1243F"/>
    <w:multiLevelType w:val="multilevel"/>
    <w:tmpl w:val="B28052F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5820ACB"/>
    <w:multiLevelType w:val="multilevel"/>
    <w:tmpl w:val="2C3695C0"/>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7CB3468"/>
    <w:multiLevelType w:val="multilevel"/>
    <w:tmpl w:val="B55AD4E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3D163F7A"/>
    <w:multiLevelType w:val="multilevel"/>
    <w:tmpl w:val="A3209502"/>
    <w:lvl w:ilvl="0">
      <w:start w:val="1"/>
      <w:numFmt w:val="decimal"/>
      <w:pStyle w:val="Heading2"/>
      <w:lvlText w:val="%1"/>
      <w:lvlJc w:val="left"/>
      <w:pPr>
        <w:tabs>
          <w:tab w:val="num" w:pos="858"/>
        </w:tabs>
        <w:ind w:left="858"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5F39543E"/>
    <w:multiLevelType w:val="multilevel"/>
    <w:tmpl w:val="8626FF5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3C11C28"/>
    <w:multiLevelType w:val="hybridMultilevel"/>
    <w:tmpl w:val="C0E6CA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6C124862"/>
    <w:multiLevelType w:val="hybridMultilevel"/>
    <w:tmpl w:val="4CCEED24"/>
    <w:lvl w:ilvl="0" w:tplc="CAAC2D2E">
      <w:start w:val="1"/>
      <w:numFmt w:val="bullet"/>
      <w:lvlText w:val=""/>
      <w:lvlJc w:val="left"/>
      <w:pPr>
        <w:ind w:left="720" w:hanging="360"/>
      </w:pPr>
      <w:rPr>
        <w:rFonts w:ascii="Wingdings" w:hAnsi="Wingdings" w:hint="default"/>
        <w:color w:val="D2232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6CC21639"/>
    <w:multiLevelType w:val="multilevel"/>
    <w:tmpl w:val="A364B9F8"/>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74CE4305"/>
    <w:multiLevelType w:val="multilevel"/>
    <w:tmpl w:val="2A6A8BCE"/>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783672B3"/>
    <w:multiLevelType w:val="hybridMultilevel"/>
    <w:tmpl w:val="343A0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07722442">
    <w:abstractNumId w:val="14"/>
  </w:num>
  <w:num w:numId="2" w16cid:durableId="2127039044">
    <w:abstractNumId w:val="27"/>
  </w:num>
  <w:num w:numId="3" w16cid:durableId="1343318473">
    <w:abstractNumId w:val="17"/>
  </w:num>
  <w:num w:numId="4" w16cid:durableId="1329944770">
    <w:abstractNumId w:val="4"/>
  </w:num>
  <w:num w:numId="5" w16cid:durableId="1644919592">
    <w:abstractNumId w:val="11"/>
  </w:num>
  <w:num w:numId="6" w16cid:durableId="1208882345">
    <w:abstractNumId w:val="9"/>
  </w:num>
  <w:num w:numId="7" w16cid:durableId="1411122661">
    <w:abstractNumId w:val="16"/>
  </w:num>
  <w:num w:numId="8" w16cid:durableId="590435773">
    <w:abstractNumId w:val="15"/>
  </w:num>
  <w:num w:numId="9" w16cid:durableId="1024016936">
    <w:abstractNumId w:val="13"/>
  </w:num>
  <w:num w:numId="10" w16cid:durableId="469858795">
    <w:abstractNumId w:val="3"/>
  </w:num>
  <w:num w:numId="11" w16cid:durableId="1910456624">
    <w:abstractNumId w:val="23"/>
  </w:num>
  <w:num w:numId="12" w16cid:durableId="1981377916">
    <w:abstractNumId w:val="21"/>
  </w:num>
  <w:num w:numId="13" w16cid:durableId="39986363">
    <w:abstractNumId w:val="8"/>
  </w:num>
  <w:num w:numId="14" w16cid:durableId="1812553377">
    <w:abstractNumId w:val="2"/>
  </w:num>
  <w:num w:numId="15" w16cid:durableId="465006903">
    <w:abstractNumId w:val="1"/>
  </w:num>
  <w:num w:numId="16" w16cid:durableId="1635522217">
    <w:abstractNumId w:val="7"/>
  </w:num>
  <w:num w:numId="17" w16cid:durableId="1746142733">
    <w:abstractNumId w:val="18"/>
  </w:num>
  <w:num w:numId="18" w16cid:durableId="229462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1995435">
    <w:abstractNumId w:val="19"/>
  </w:num>
  <w:num w:numId="20" w16cid:durableId="231895011">
    <w:abstractNumId w:val="25"/>
  </w:num>
  <w:num w:numId="21" w16cid:durableId="479617687">
    <w:abstractNumId w:val="5"/>
  </w:num>
  <w:num w:numId="22" w16cid:durableId="1545172236">
    <w:abstractNumId w:val="24"/>
  </w:num>
  <w:num w:numId="23" w16cid:durableId="1760057360">
    <w:abstractNumId w:val="12"/>
  </w:num>
  <w:num w:numId="24" w16cid:durableId="963730668">
    <w:abstractNumId w:val="6"/>
  </w:num>
  <w:num w:numId="25" w16cid:durableId="227232038">
    <w:abstractNumId w:val="10"/>
  </w:num>
  <w:num w:numId="26" w16cid:durableId="708644850">
    <w:abstractNumId w:val="21"/>
  </w:num>
  <w:num w:numId="27" w16cid:durableId="1608929726">
    <w:abstractNumId w:val="26"/>
  </w:num>
  <w:num w:numId="28" w16cid:durableId="595138064">
    <w:abstractNumId w:val="16"/>
  </w:num>
  <w:num w:numId="29" w16cid:durableId="1726181676">
    <w:abstractNumId w:val="22"/>
  </w:num>
  <w:num w:numId="30" w16cid:durableId="769854911">
    <w:abstractNumId w:val="0"/>
  </w:num>
  <w:num w:numId="31" w16cid:durableId="123227608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00299"/>
    <w:rsid w:val="00000FAE"/>
    <w:rsid w:val="00002410"/>
    <w:rsid w:val="00006DA0"/>
    <w:rsid w:val="00007BD2"/>
    <w:rsid w:val="000100FE"/>
    <w:rsid w:val="00015B67"/>
    <w:rsid w:val="00016032"/>
    <w:rsid w:val="000167D4"/>
    <w:rsid w:val="0002587B"/>
    <w:rsid w:val="00031379"/>
    <w:rsid w:val="0003340A"/>
    <w:rsid w:val="000410CB"/>
    <w:rsid w:val="00046062"/>
    <w:rsid w:val="000461CF"/>
    <w:rsid w:val="00053844"/>
    <w:rsid w:val="00055F76"/>
    <w:rsid w:val="000571C2"/>
    <w:rsid w:val="00061CC8"/>
    <w:rsid w:val="000646DB"/>
    <w:rsid w:val="00072B1A"/>
    <w:rsid w:val="00072B81"/>
    <w:rsid w:val="00080A1A"/>
    <w:rsid w:val="000818D1"/>
    <w:rsid w:val="000916B2"/>
    <w:rsid w:val="00094E55"/>
    <w:rsid w:val="000A1C47"/>
    <w:rsid w:val="000A6BF5"/>
    <w:rsid w:val="000A7BE0"/>
    <w:rsid w:val="000B25F0"/>
    <w:rsid w:val="000B2802"/>
    <w:rsid w:val="000B38A4"/>
    <w:rsid w:val="000B447F"/>
    <w:rsid w:val="000B4709"/>
    <w:rsid w:val="000B64AA"/>
    <w:rsid w:val="000C183F"/>
    <w:rsid w:val="000C1D52"/>
    <w:rsid w:val="000C51CA"/>
    <w:rsid w:val="000C5A8C"/>
    <w:rsid w:val="000D4901"/>
    <w:rsid w:val="000D5DD3"/>
    <w:rsid w:val="000E0229"/>
    <w:rsid w:val="000E2445"/>
    <w:rsid w:val="000E339D"/>
    <w:rsid w:val="000F3919"/>
    <w:rsid w:val="000F3DDE"/>
    <w:rsid w:val="000F490F"/>
    <w:rsid w:val="000F6B8D"/>
    <w:rsid w:val="000F7C77"/>
    <w:rsid w:val="00101366"/>
    <w:rsid w:val="00101AED"/>
    <w:rsid w:val="00101C19"/>
    <w:rsid w:val="00102E95"/>
    <w:rsid w:val="0011368E"/>
    <w:rsid w:val="00117106"/>
    <w:rsid w:val="00121A30"/>
    <w:rsid w:val="0012780B"/>
    <w:rsid w:val="00131835"/>
    <w:rsid w:val="00132413"/>
    <w:rsid w:val="00133D2A"/>
    <w:rsid w:val="0013619B"/>
    <w:rsid w:val="001362BA"/>
    <w:rsid w:val="00137561"/>
    <w:rsid w:val="00137EDB"/>
    <w:rsid w:val="00140A82"/>
    <w:rsid w:val="001416B3"/>
    <w:rsid w:val="00142DB6"/>
    <w:rsid w:val="001438C1"/>
    <w:rsid w:val="00144B0D"/>
    <w:rsid w:val="00146FB5"/>
    <w:rsid w:val="00147D0E"/>
    <w:rsid w:val="00157FE0"/>
    <w:rsid w:val="001611E5"/>
    <w:rsid w:val="001637FB"/>
    <w:rsid w:val="001666D4"/>
    <w:rsid w:val="001724CF"/>
    <w:rsid w:val="00172DBC"/>
    <w:rsid w:val="00187FDA"/>
    <w:rsid w:val="00191841"/>
    <w:rsid w:val="001963BC"/>
    <w:rsid w:val="00196567"/>
    <w:rsid w:val="001972A6"/>
    <w:rsid w:val="001A1AC8"/>
    <w:rsid w:val="001A28AE"/>
    <w:rsid w:val="001A52C4"/>
    <w:rsid w:val="001B047B"/>
    <w:rsid w:val="001B1F5E"/>
    <w:rsid w:val="001B2106"/>
    <w:rsid w:val="001B27BF"/>
    <w:rsid w:val="001B346E"/>
    <w:rsid w:val="001B461E"/>
    <w:rsid w:val="001B6D15"/>
    <w:rsid w:val="001C1ECD"/>
    <w:rsid w:val="001C2F26"/>
    <w:rsid w:val="001C46EA"/>
    <w:rsid w:val="001C5974"/>
    <w:rsid w:val="001C6F26"/>
    <w:rsid w:val="001D283B"/>
    <w:rsid w:val="001D58E6"/>
    <w:rsid w:val="001E0C8D"/>
    <w:rsid w:val="001E60E6"/>
    <w:rsid w:val="001E7E3E"/>
    <w:rsid w:val="001E7FE4"/>
    <w:rsid w:val="001F0238"/>
    <w:rsid w:val="002006EB"/>
    <w:rsid w:val="002010B3"/>
    <w:rsid w:val="0020171B"/>
    <w:rsid w:val="00205175"/>
    <w:rsid w:val="00206388"/>
    <w:rsid w:val="00207F3D"/>
    <w:rsid w:val="00214E92"/>
    <w:rsid w:val="002167A3"/>
    <w:rsid w:val="00216FF3"/>
    <w:rsid w:val="002225FB"/>
    <w:rsid w:val="002246F4"/>
    <w:rsid w:val="00225A38"/>
    <w:rsid w:val="002278D9"/>
    <w:rsid w:val="00231514"/>
    <w:rsid w:val="0023355A"/>
    <w:rsid w:val="00233CFF"/>
    <w:rsid w:val="00241A2B"/>
    <w:rsid w:val="002468F6"/>
    <w:rsid w:val="002470A5"/>
    <w:rsid w:val="00247287"/>
    <w:rsid w:val="00252F87"/>
    <w:rsid w:val="002531DB"/>
    <w:rsid w:val="00254AFA"/>
    <w:rsid w:val="0026027A"/>
    <w:rsid w:val="00265182"/>
    <w:rsid w:val="002663A3"/>
    <w:rsid w:val="0027124B"/>
    <w:rsid w:val="00272645"/>
    <w:rsid w:val="002741A5"/>
    <w:rsid w:val="0027560B"/>
    <w:rsid w:val="0027651E"/>
    <w:rsid w:val="002774C5"/>
    <w:rsid w:val="0028329F"/>
    <w:rsid w:val="00284374"/>
    <w:rsid w:val="002901F8"/>
    <w:rsid w:val="00290576"/>
    <w:rsid w:val="00293607"/>
    <w:rsid w:val="00293BDE"/>
    <w:rsid w:val="0029409C"/>
    <w:rsid w:val="0029571E"/>
    <w:rsid w:val="00295D3B"/>
    <w:rsid w:val="002A0A51"/>
    <w:rsid w:val="002A3CA2"/>
    <w:rsid w:val="002A3E7C"/>
    <w:rsid w:val="002A571E"/>
    <w:rsid w:val="002A5AE1"/>
    <w:rsid w:val="002C1121"/>
    <w:rsid w:val="002C1988"/>
    <w:rsid w:val="002C1B9C"/>
    <w:rsid w:val="002C3E1C"/>
    <w:rsid w:val="002E410B"/>
    <w:rsid w:val="002F47F2"/>
    <w:rsid w:val="00302496"/>
    <w:rsid w:val="00303F1D"/>
    <w:rsid w:val="0030479C"/>
    <w:rsid w:val="0030663C"/>
    <w:rsid w:val="003113C8"/>
    <w:rsid w:val="00312CC2"/>
    <w:rsid w:val="00314F38"/>
    <w:rsid w:val="003251AC"/>
    <w:rsid w:val="003350F7"/>
    <w:rsid w:val="00336C49"/>
    <w:rsid w:val="0034610D"/>
    <w:rsid w:val="00352A01"/>
    <w:rsid w:val="00355BD0"/>
    <w:rsid w:val="003567E2"/>
    <w:rsid w:val="00360B03"/>
    <w:rsid w:val="0036159F"/>
    <w:rsid w:val="00363A74"/>
    <w:rsid w:val="00364C69"/>
    <w:rsid w:val="00370B26"/>
    <w:rsid w:val="00371494"/>
    <w:rsid w:val="00371AE6"/>
    <w:rsid w:val="003756BA"/>
    <w:rsid w:val="003773C6"/>
    <w:rsid w:val="00377AF2"/>
    <w:rsid w:val="00380C24"/>
    <w:rsid w:val="00383C76"/>
    <w:rsid w:val="00385B3F"/>
    <w:rsid w:val="00394E42"/>
    <w:rsid w:val="0039787F"/>
    <w:rsid w:val="003A2559"/>
    <w:rsid w:val="003A47F5"/>
    <w:rsid w:val="003B11FC"/>
    <w:rsid w:val="003B2E3F"/>
    <w:rsid w:val="003B390B"/>
    <w:rsid w:val="003B6A20"/>
    <w:rsid w:val="003C2E17"/>
    <w:rsid w:val="003C60BF"/>
    <w:rsid w:val="003D4930"/>
    <w:rsid w:val="003D6CBA"/>
    <w:rsid w:val="003E39F4"/>
    <w:rsid w:val="003E7923"/>
    <w:rsid w:val="003F1C5B"/>
    <w:rsid w:val="003F2BCE"/>
    <w:rsid w:val="003F3883"/>
    <w:rsid w:val="003F7D99"/>
    <w:rsid w:val="00403FB0"/>
    <w:rsid w:val="0040602C"/>
    <w:rsid w:val="00411801"/>
    <w:rsid w:val="00411E6B"/>
    <w:rsid w:val="00412013"/>
    <w:rsid w:val="00412E32"/>
    <w:rsid w:val="004144DE"/>
    <w:rsid w:val="00414B83"/>
    <w:rsid w:val="0041521C"/>
    <w:rsid w:val="00422566"/>
    <w:rsid w:val="00423F6E"/>
    <w:rsid w:val="00425019"/>
    <w:rsid w:val="0043028F"/>
    <w:rsid w:val="00430B6E"/>
    <w:rsid w:val="004314F6"/>
    <w:rsid w:val="004325FC"/>
    <w:rsid w:val="00435E72"/>
    <w:rsid w:val="00437899"/>
    <w:rsid w:val="0044437B"/>
    <w:rsid w:val="0044707E"/>
    <w:rsid w:val="004507C2"/>
    <w:rsid w:val="00453C08"/>
    <w:rsid w:val="00460ABA"/>
    <w:rsid w:val="004631B9"/>
    <w:rsid w:val="00464132"/>
    <w:rsid w:val="00466B2C"/>
    <w:rsid w:val="004715A8"/>
    <w:rsid w:val="0047228A"/>
    <w:rsid w:val="00480EC1"/>
    <w:rsid w:val="0048246D"/>
    <w:rsid w:val="00484739"/>
    <w:rsid w:val="00484B6C"/>
    <w:rsid w:val="0048548A"/>
    <w:rsid w:val="0049195F"/>
    <w:rsid w:val="00491CB5"/>
    <w:rsid w:val="00496065"/>
    <w:rsid w:val="004A3EA7"/>
    <w:rsid w:val="004B40B2"/>
    <w:rsid w:val="004C161B"/>
    <w:rsid w:val="004C1B2D"/>
    <w:rsid w:val="004C730D"/>
    <w:rsid w:val="004D0DE8"/>
    <w:rsid w:val="004D2506"/>
    <w:rsid w:val="004D4301"/>
    <w:rsid w:val="004E25B7"/>
    <w:rsid w:val="004E2B08"/>
    <w:rsid w:val="004E7746"/>
    <w:rsid w:val="004F0254"/>
    <w:rsid w:val="004F2A67"/>
    <w:rsid w:val="004F6E2E"/>
    <w:rsid w:val="00505817"/>
    <w:rsid w:val="00510169"/>
    <w:rsid w:val="00511140"/>
    <w:rsid w:val="0051693B"/>
    <w:rsid w:val="00516DCF"/>
    <w:rsid w:val="005177CA"/>
    <w:rsid w:val="00525076"/>
    <w:rsid w:val="00530505"/>
    <w:rsid w:val="00530D81"/>
    <w:rsid w:val="005313BE"/>
    <w:rsid w:val="00532A9D"/>
    <w:rsid w:val="00541207"/>
    <w:rsid w:val="00546B9D"/>
    <w:rsid w:val="00547718"/>
    <w:rsid w:val="00551E65"/>
    <w:rsid w:val="00555692"/>
    <w:rsid w:val="005561F2"/>
    <w:rsid w:val="00572803"/>
    <w:rsid w:val="00573D0F"/>
    <w:rsid w:val="00573D61"/>
    <w:rsid w:val="005759ED"/>
    <w:rsid w:val="00581895"/>
    <w:rsid w:val="0058226A"/>
    <w:rsid w:val="005849B4"/>
    <w:rsid w:val="005852A9"/>
    <w:rsid w:val="005865A4"/>
    <w:rsid w:val="0058715C"/>
    <w:rsid w:val="00590048"/>
    <w:rsid w:val="005919C0"/>
    <w:rsid w:val="0059230E"/>
    <w:rsid w:val="00592314"/>
    <w:rsid w:val="00593312"/>
    <w:rsid w:val="005A07CE"/>
    <w:rsid w:val="005A2835"/>
    <w:rsid w:val="005A2F13"/>
    <w:rsid w:val="005A382A"/>
    <w:rsid w:val="005B2523"/>
    <w:rsid w:val="005C1D0B"/>
    <w:rsid w:val="005C4369"/>
    <w:rsid w:val="005D58EC"/>
    <w:rsid w:val="005D731B"/>
    <w:rsid w:val="005E2637"/>
    <w:rsid w:val="005E2F32"/>
    <w:rsid w:val="005E2FC7"/>
    <w:rsid w:val="005E3215"/>
    <w:rsid w:val="005F17F6"/>
    <w:rsid w:val="005F4FC6"/>
    <w:rsid w:val="005F65C7"/>
    <w:rsid w:val="005F7AD5"/>
    <w:rsid w:val="00603EF0"/>
    <w:rsid w:val="00604727"/>
    <w:rsid w:val="006072F0"/>
    <w:rsid w:val="00607B78"/>
    <w:rsid w:val="00614103"/>
    <w:rsid w:val="00621F99"/>
    <w:rsid w:val="00622B60"/>
    <w:rsid w:val="006248F7"/>
    <w:rsid w:val="006337D3"/>
    <w:rsid w:val="00641057"/>
    <w:rsid w:val="006414CF"/>
    <w:rsid w:val="006449C3"/>
    <w:rsid w:val="00644CC0"/>
    <w:rsid w:val="00645162"/>
    <w:rsid w:val="0064566E"/>
    <w:rsid w:val="00645BDB"/>
    <w:rsid w:val="0064691C"/>
    <w:rsid w:val="0065381A"/>
    <w:rsid w:val="00655EBB"/>
    <w:rsid w:val="00656235"/>
    <w:rsid w:val="00661257"/>
    <w:rsid w:val="00661479"/>
    <w:rsid w:val="006645E5"/>
    <w:rsid w:val="00664E54"/>
    <w:rsid w:val="00672132"/>
    <w:rsid w:val="0067431F"/>
    <w:rsid w:val="00676078"/>
    <w:rsid w:val="006760A2"/>
    <w:rsid w:val="00683516"/>
    <w:rsid w:val="006847E6"/>
    <w:rsid w:val="00686ECB"/>
    <w:rsid w:val="00697BE5"/>
    <w:rsid w:val="006A5476"/>
    <w:rsid w:val="006A6CE1"/>
    <w:rsid w:val="006C03D0"/>
    <w:rsid w:val="006C38C9"/>
    <w:rsid w:val="006C7A61"/>
    <w:rsid w:val="006D3115"/>
    <w:rsid w:val="006D3603"/>
    <w:rsid w:val="006D633B"/>
    <w:rsid w:val="006E0A6B"/>
    <w:rsid w:val="006E3C84"/>
    <w:rsid w:val="006E4832"/>
    <w:rsid w:val="006E6DDF"/>
    <w:rsid w:val="006E7A19"/>
    <w:rsid w:val="006F41EF"/>
    <w:rsid w:val="006F4B2D"/>
    <w:rsid w:val="006F5546"/>
    <w:rsid w:val="0070052E"/>
    <w:rsid w:val="007037CF"/>
    <w:rsid w:val="00705317"/>
    <w:rsid w:val="007119DC"/>
    <w:rsid w:val="0071382A"/>
    <w:rsid w:val="00713DBA"/>
    <w:rsid w:val="007166BC"/>
    <w:rsid w:val="00717887"/>
    <w:rsid w:val="007232D8"/>
    <w:rsid w:val="007236F8"/>
    <w:rsid w:val="007255E8"/>
    <w:rsid w:val="00725AE3"/>
    <w:rsid w:val="007300F7"/>
    <w:rsid w:val="0073136C"/>
    <w:rsid w:val="0073208F"/>
    <w:rsid w:val="00733FF4"/>
    <w:rsid w:val="00735DDB"/>
    <w:rsid w:val="0073737F"/>
    <w:rsid w:val="00737994"/>
    <w:rsid w:val="00750A31"/>
    <w:rsid w:val="007536D7"/>
    <w:rsid w:val="0076113B"/>
    <w:rsid w:val="007635C3"/>
    <w:rsid w:val="00763608"/>
    <w:rsid w:val="007643F7"/>
    <w:rsid w:val="007664C8"/>
    <w:rsid w:val="00773E1F"/>
    <w:rsid w:val="007740C4"/>
    <w:rsid w:val="00775C5D"/>
    <w:rsid w:val="007772C1"/>
    <w:rsid w:val="0078063D"/>
    <w:rsid w:val="0078268E"/>
    <w:rsid w:val="00786871"/>
    <w:rsid w:val="00786A87"/>
    <w:rsid w:val="00787E02"/>
    <w:rsid w:val="00794205"/>
    <w:rsid w:val="007947FB"/>
    <w:rsid w:val="00796287"/>
    <w:rsid w:val="007A2478"/>
    <w:rsid w:val="007A44BD"/>
    <w:rsid w:val="007A6970"/>
    <w:rsid w:val="007B308A"/>
    <w:rsid w:val="007B41DF"/>
    <w:rsid w:val="007B4F67"/>
    <w:rsid w:val="007B58AA"/>
    <w:rsid w:val="007B7CC8"/>
    <w:rsid w:val="007C2444"/>
    <w:rsid w:val="007C3DE3"/>
    <w:rsid w:val="007C6571"/>
    <w:rsid w:val="007D0AB7"/>
    <w:rsid w:val="007D0D49"/>
    <w:rsid w:val="007D43C2"/>
    <w:rsid w:val="007D462A"/>
    <w:rsid w:val="007D4CBA"/>
    <w:rsid w:val="007D547D"/>
    <w:rsid w:val="007D6959"/>
    <w:rsid w:val="007D69CB"/>
    <w:rsid w:val="007D6DC5"/>
    <w:rsid w:val="007D7974"/>
    <w:rsid w:val="007E23E4"/>
    <w:rsid w:val="00802A5C"/>
    <w:rsid w:val="00804D5C"/>
    <w:rsid w:val="00807BFC"/>
    <w:rsid w:val="0081188E"/>
    <w:rsid w:val="00811B8D"/>
    <w:rsid w:val="00813441"/>
    <w:rsid w:val="008134CC"/>
    <w:rsid w:val="00816646"/>
    <w:rsid w:val="00820D4A"/>
    <w:rsid w:val="00831F0A"/>
    <w:rsid w:val="008337A3"/>
    <w:rsid w:val="008365D7"/>
    <w:rsid w:val="0083775D"/>
    <w:rsid w:val="00842B6C"/>
    <w:rsid w:val="00842C47"/>
    <w:rsid w:val="008432C4"/>
    <w:rsid w:val="008466C6"/>
    <w:rsid w:val="00851AD6"/>
    <w:rsid w:val="00852583"/>
    <w:rsid w:val="00856C25"/>
    <w:rsid w:val="00863CD5"/>
    <w:rsid w:val="00867378"/>
    <w:rsid w:val="00873B22"/>
    <w:rsid w:val="00875E61"/>
    <w:rsid w:val="0088101E"/>
    <w:rsid w:val="00882972"/>
    <w:rsid w:val="00883D3A"/>
    <w:rsid w:val="00884345"/>
    <w:rsid w:val="0088688E"/>
    <w:rsid w:val="008879EE"/>
    <w:rsid w:val="00890516"/>
    <w:rsid w:val="00890F3B"/>
    <w:rsid w:val="00894563"/>
    <w:rsid w:val="008A2756"/>
    <w:rsid w:val="008A7D2C"/>
    <w:rsid w:val="008B094A"/>
    <w:rsid w:val="008B09ED"/>
    <w:rsid w:val="008B1766"/>
    <w:rsid w:val="008B1C6C"/>
    <w:rsid w:val="008B6976"/>
    <w:rsid w:val="008C087C"/>
    <w:rsid w:val="008C0CA2"/>
    <w:rsid w:val="008C2C61"/>
    <w:rsid w:val="008C570F"/>
    <w:rsid w:val="008C6BAD"/>
    <w:rsid w:val="008C6CD5"/>
    <w:rsid w:val="008D3CEF"/>
    <w:rsid w:val="008D7906"/>
    <w:rsid w:val="008F22A7"/>
    <w:rsid w:val="008F2C1B"/>
    <w:rsid w:val="008F36B8"/>
    <w:rsid w:val="008F416E"/>
    <w:rsid w:val="008F5944"/>
    <w:rsid w:val="00902692"/>
    <w:rsid w:val="0090315B"/>
    <w:rsid w:val="009045CF"/>
    <w:rsid w:val="00906A1A"/>
    <w:rsid w:val="0091049E"/>
    <w:rsid w:val="00911570"/>
    <w:rsid w:val="00913947"/>
    <w:rsid w:val="00914825"/>
    <w:rsid w:val="00914EDD"/>
    <w:rsid w:val="00922586"/>
    <w:rsid w:val="0092295F"/>
    <w:rsid w:val="009229D3"/>
    <w:rsid w:val="009250A6"/>
    <w:rsid w:val="00935797"/>
    <w:rsid w:val="00935A2E"/>
    <w:rsid w:val="00937643"/>
    <w:rsid w:val="009376C6"/>
    <w:rsid w:val="0094483F"/>
    <w:rsid w:val="00944F9D"/>
    <w:rsid w:val="0094556B"/>
    <w:rsid w:val="009472FF"/>
    <w:rsid w:val="009477C2"/>
    <w:rsid w:val="009520DC"/>
    <w:rsid w:val="00956084"/>
    <w:rsid w:val="00960AD2"/>
    <w:rsid w:val="009655BB"/>
    <w:rsid w:val="00967C66"/>
    <w:rsid w:val="009701F5"/>
    <w:rsid w:val="00972BF8"/>
    <w:rsid w:val="00972EDD"/>
    <w:rsid w:val="00975A68"/>
    <w:rsid w:val="00976E26"/>
    <w:rsid w:val="009778EF"/>
    <w:rsid w:val="00985385"/>
    <w:rsid w:val="00985704"/>
    <w:rsid w:val="00993935"/>
    <w:rsid w:val="00994A51"/>
    <w:rsid w:val="0099537F"/>
    <w:rsid w:val="00995C49"/>
    <w:rsid w:val="009A13D1"/>
    <w:rsid w:val="009A2171"/>
    <w:rsid w:val="009A5DC5"/>
    <w:rsid w:val="009A75EA"/>
    <w:rsid w:val="009B01F3"/>
    <w:rsid w:val="009B6220"/>
    <w:rsid w:val="009B6421"/>
    <w:rsid w:val="009B7CB4"/>
    <w:rsid w:val="009C27B7"/>
    <w:rsid w:val="009C2A97"/>
    <w:rsid w:val="009C2BD2"/>
    <w:rsid w:val="009D4ABD"/>
    <w:rsid w:val="009D6E2B"/>
    <w:rsid w:val="009D72D2"/>
    <w:rsid w:val="009D7305"/>
    <w:rsid w:val="009E145D"/>
    <w:rsid w:val="009E22BA"/>
    <w:rsid w:val="009E3A79"/>
    <w:rsid w:val="009E4896"/>
    <w:rsid w:val="009E559E"/>
    <w:rsid w:val="009E7A5A"/>
    <w:rsid w:val="009F24C5"/>
    <w:rsid w:val="009F5A9E"/>
    <w:rsid w:val="009F786B"/>
    <w:rsid w:val="00A00F37"/>
    <w:rsid w:val="00A02955"/>
    <w:rsid w:val="00A02FAF"/>
    <w:rsid w:val="00A068F7"/>
    <w:rsid w:val="00A115A1"/>
    <w:rsid w:val="00A15970"/>
    <w:rsid w:val="00A230F2"/>
    <w:rsid w:val="00A26275"/>
    <w:rsid w:val="00A26506"/>
    <w:rsid w:val="00A27EB8"/>
    <w:rsid w:val="00A33941"/>
    <w:rsid w:val="00A37A17"/>
    <w:rsid w:val="00A4002E"/>
    <w:rsid w:val="00A41526"/>
    <w:rsid w:val="00A41673"/>
    <w:rsid w:val="00A417FD"/>
    <w:rsid w:val="00A4393F"/>
    <w:rsid w:val="00A4742A"/>
    <w:rsid w:val="00A516D8"/>
    <w:rsid w:val="00A53497"/>
    <w:rsid w:val="00A55019"/>
    <w:rsid w:val="00A55181"/>
    <w:rsid w:val="00A55854"/>
    <w:rsid w:val="00A60789"/>
    <w:rsid w:val="00A60AED"/>
    <w:rsid w:val="00A60DFA"/>
    <w:rsid w:val="00A60EDB"/>
    <w:rsid w:val="00A61779"/>
    <w:rsid w:val="00A6317D"/>
    <w:rsid w:val="00A63C0D"/>
    <w:rsid w:val="00A65674"/>
    <w:rsid w:val="00A65D29"/>
    <w:rsid w:val="00A71A7D"/>
    <w:rsid w:val="00A77AB4"/>
    <w:rsid w:val="00A8085A"/>
    <w:rsid w:val="00A80FD0"/>
    <w:rsid w:val="00A81979"/>
    <w:rsid w:val="00A82693"/>
    <w:rsid w:val="00A826E7"/>
    <w:rsid w:val="00A866E9"/>
    <w:rsid w:val="00A968A3"/>
    <w:rsid w:val="00A97110"/>
    <w:rsid w:val="00AA7529"/>
    <w:rsid w:val="00AB1BA4"/>
    <w:rsid w:val="00AB3FF7"/>
    <w:rsid w:val="00AB40C7"/>
    <w:rsid w:val="00AB5C2F"/>
    <w:rsid w:val="00AB6328"/>
    <w:rsid w:val="00AC0B35"/>
    <w:rsid w:val="00AC48D9"/>
    <w:rsid w:val="00AD14F6"/>
    <w:rsid w:val="00AD398D"/>
    <w:rsid w:val="00AD3BB8"/>
    <w:rsid w:val="00AD5AE4"/>
    <w:rsid w:val="00AE3276"/>
    <w:rsid w:val="00AE3292"/>
    <w:rsid w:val="00AF197F"/>
    <w:rsid w:val="00AF6350"/>
    <w:rsid w:val="00AF72A4"/>
    <w:rsid w:val="00AF777B"/>
    <w:rsid w:val="00B00C00"/>
    <w:rsid w:val="00B03382"/>
    <w:rsid w:val="00B05535"/>
    <w:rsid w:val="00B0658A"/>
    <w:rsid w:val="00B149F6"/>
    <w:rsid w:val="00B21851"/>
    <w:rsid w:val="00B23041"/>
    <w:rsid w:val="00B2406C"/>
    <w:rsid w:val="00B27427"/>
    <w:rsid w:val="00B34117"/>
    <w:rsid w:val="00B34783"/>
    <w:rsid w:val="00B40F0C"/>
    <w:rsid w:val="00B4425E"/>
    <w:rsid w:val="00B4559D"/>
    <w:rsid w:val="00B4584C"/>
    <w:rsid w:val="00B466B3"/>
    <w:rsid w:val="00B50C5A"/>
    <w:rsid w:val="00B566AF"/>
    <w:rsid w:val="00B56E2D"/>
    <w:rsid w:val="00B60F23"/>
    <w:rsid w:val="00B6101B"/>
    <w:rsid w:val="00B67540"/>
    <w:rsid w:val="00B83A49"/>
    <w:rsid w:val="00B83D19"/>
    <w:rsid w:val="00B85356"/>
    <w:rsid w:val="00B93BB7"/>
    <w:rsid w:val="00B960D8"/>
    <w:rsid w:val="00BA0C69"/>
    <w:rsid w:val="00BA339A"/>
    <w:rsid w:val="00BA3A88"/>
    <w:rsid w:val="00BA41D0"/>
    <w:rsid w:val="00BA48BA"/>
    <w:rsid w:val="00BA4D4F"/>
    <w:rsid w:val="00BA6C57"/>
    <w:rsid w:val="00BB190C"/>
    <w:rsid w:val="00BB2FD0"/>
    <w:rsid w:val="00BB4119"/>
    <w:rsid w:val="00BB45AE"/>
    <w:rsid w:val="00BB6F46"/>
    <w:rsid w:val="00BC3170"/>
    <w:rsid w:val="00BC49A1"/>
    <w:rsid w:val="00BD1A3F"/>
    <w:rsid w:val="00BD327F"/>
    <w:rsid w:val="00BE00C0"/>
    <w:rsid w:val="00BE6A39"/>
    <w:rsid w:val="00BF0261"/>
    <w:rsid w:val="00BF02F3"/>
    <w:rsid w:val="00BF3190"/>
    <w:rsid w:val="00BF6649"/>
    <w:rsid w:val="00C01D98"/>
    <w:rsid w:val="00C03F8C"/>
    <w:rsid w:val="00C07026"/>
    <w:rsid w:val="00C11F9C"/>
    <w:rsid w:val="00C1280B"/>
    <w:rsid w:val="00C1340F"/>
    <w:rsid w:val="00C153DD"/>
    <w:rsid w:val="00C2004A"/>
    <w:rsid w:val="00C202E0"/>
    <w:rsid w:val="00C214EB"/>
    <w:rsid w:val="00C22CAD"/>
    <w:rsid w:val="00C230E8"/>
    <w:rsid w:val="00C2430F"/>
    <w:rsid w:val="00C24A9C"/>
    <w:rsid w:val="00C25817"/>
    <w:rsid w:val="00C26388"/>
    <w:rsid w:val="00C34309"/>
    <w:rsid w:val="00C4156B"/>
    <w:rsid w:val="00C5088D"/>
    <w:rsid w:val="00C64D00"/>
    <w:rsid w:val="00C665E0"/>
    <w:rsid w:val="00C72E49"/>
    <w:rsid w:val="00C747B7"/>
    <w:rsid w:val="00C757B5"/>
    <w:rsid w:val="00C7732F"/>
    <w:rsid w:val="00C7780E"/>
    <w:rsid w:val="00C77FB1"/>
    <w:rsid w:val="00C85316"/>
    <w:rsid w:val="00C955B7"/>
    <w:rsid w:val="00C96B50"/>
    <w:rsid w:val="00C96D79"/>
    <w:rsid w:val="00C96E76"/>
    <w:rsid w:val="00C972B6"/>
    <w:rsid w:val="00C978FD"/>
    <w:rsid w:val="00CA08B7"/>
    <w:rsid w:val="00CB677D"/>
    <w:rsid w:val="00CC3EEA"/>
    <w:rsid w:val="00CC3FD0"/>
    <w:rsid w:val="00CD12F0"/>
    <w:rsid w:val="00CD169F"/>
    <w:rsid w:val="00CD3047"/>
    <w:rsid w:val="00CD71E0"/>
    <w:rsid w:val="00CD720E"/>
    <w:rsid w:val="00CD7D29"/>
    <w:rsid w:val="00CE07AB"/>
    <w:rsid w:val="00CE213E"/>
    <w:rsid w:val="00CF0321"/>
    <w:rsid w:val="00CF217D"/>
    <w:rsid w:val="00CF3F76"/>
    <w:rsid w:val="00D00718"/>
    <w:rsid w:val="00D0076F"/>
    <w:rsid w:val="00D03DCD"/>
    <w:rsid w:val="00D101D4"/>
    <w:rsid w:val="00D11849"/>
    <w:rsid w:val="00D11FA6"/>
    <w:rsid w:val="00D14578"/>
    <w:rsid w:val="00D14E6F"/>
    <w:rsid w:val="00D17385"/>
    <w:rsid w:val="00D20194"/>
    <w:rsid w:val="00D218C6"/>
    <w:rsid w:val="00D21989"/>
    <w:rsid w:val="00D21D28"/>
    <w:rsid w:val="00D23162"/>
    <w:rsid w:val="00D25F0C"/>
    <w:rsid w:val="00D2602C"/>
    <w:rsid w:val="00D314C3"/>
    <w:rsid w:val="00D3176C"/>
    <w:rsid w:val="00D32B93"/>
    <w:rsid w:val="00D33B84"/>
    <w:rsid w:val="00D34AE4"/>
    <w:rsid w:val="00D36264"/>
    <w:rsid w:val="00D37995"/>
    <w:rsid w:val="00D40921"/>
    <w:rsid w:val="00D42B15"/>
    <w:rsid w:val="00D45429"/>
    <w:rsid w:val="00D47FD8"/>
    <w:rsid w:val="00D55874"/>
    <w:rsid w:val="00D574D5"/>
    <w:rsid w:val="00D611BA"/>
    <w:rsid w:val="00D62732"/>
    <w:rsid w:val="00D6337F"/>
    <w:rsid w:val="00D66D88"/>
    <w:rsid w:val="00D71579"/>
    <w:rsid w:val="00D71C62"/>
    <w:rsid w:val="00D71EE5"/>
    <w:rsid w:val="00D741F7"/>
    <w:rsid w:val="00D81259"/>
    <w:rsid w:val="00D8365B"/>
    <w:rsid w:val="00D84B44"/>
    <w:rsid w:val="00D90B0A"/>
    <w:rsid w:val="00D930C8"/>
    <w:rsid w:val="00D969BF"/>
    <w:rsid w:val="00DA090D"/>
    <w:rsid w:val="00DA173A"/>
    <w:rsid w:val="00DA6C4F"/>
    <w:rsid w:val="00DB4573"/>
    <w:rsid w:val="00DB4590"/>
    <w:rsid w:val="00DB4CB2"/>
    <w:rsid w:val="00DB4DA5"/>
    <w:rsid w:val="00DB5210"/>
    <w:rsid w:val="00DB6482"/>
    <w:rsid w:val="00DC04EE"/>
    <w:rsid w:val="00DC0568"/>
    <w:rsid w:val="00DC2345"/>
    <w:rsid w:val="00DC2976"/>
    <w:rsid w:val="00DC5123"/>
    <w:rsid w:val="00DC5DE1"/>
    <w:rsid w:val="00DC723E"/>
    <w:rsid w:val="00DD2265"/>
    <w:rsid w:val="00DE1EAD"/>
    <w:rsid w:val="00DF1503"/>
    <w:rsid w:val="00DF1771"/>
    <w:rsid w:val="00DF2042"/>
    <w:rsid w:val="00DF38DA"/>
    <w:rsid w:val="00DF6CE9"/>
    <w:rsid w:val="00E027A7"/>
    <w:rsid w:val="00E04185"/>
    <w:rsid w:val="00E04863"/>
    <w:rsid w:val="00E0529B"/>
    <w:rsid w:val="00E1436A"/>
    <w:rsid w:val="00E14B57"/>
    <w:rsid w:val="00E17B2F"/>
    <w:rsid w:val="00E2284C"/>
    <w:rsid w:val="00E2678B"/>
    <w:rsid w:val="00E309DD"/>
    <w:rsid w:val="00E35868"/>
    <w:rsid w:val="00E35A5F"/>
    <w:rsid w:val="00E35F2D"/>
    <w:rsid w:val="00E36178"/>
    <w:rsid w:val="00E40CAD"/>
    <w:rsid w:val="00E4680A"/>
    <w:rsid w:val="00E47DF5"/>
    <w:rsid w:val="00E50B76"/>
    <w:rsid w:val="00E529B0"/>
    <w:rsid w:val="00E56578"/>
    <w:rsid w:val="00E57891"/>
    <w:rsid w:val="00E61AF7"/>
    <w:rsid w:val="00E65E22"/>
    <w:rsid w:val="00E65F13"/>
    <w:rsid w:val="00E700A3"/>
    <w:rsid w:val="00E73D39"/>
    <w:rsid w:val="00E7543F"/>
    <w:rsid w:val="00E81B49"/>
    <w:rsid w:val="00E84C9B"/>
    <w:rsid w:val="00E9182B"/>
    <w:rsid w:val="00EA1922"/>
    <w:rsid w:val="00EA297D"/>
    <w:rsid w:val="00EB2812"/>
    <w:rsid w:val="00EB2C8F"/>
    <w:rsid w:val="00EB6046"/>
    <w:rsid w:val="00EC05A1"/>
    <w:rsid w:val="00EC3AB7"/>
    <w:rsid w:val="00ED1849"/>
    <w:rsid w:val="00ED1E22"/>
    <w:rsid w:val="00ED28D8"/>
    <w:rsid w:val="00ED5EA0"/>
    <w:rsid w:val="00EF0242"/>
    <w:rsid w:val="00EF4C6F"/>
    <w:rsid w:val="00F02BF4"/>
    <w:rsid w:val="00F1159F"/>
    <w:rsid w:val="00F1192A"/>
    <w:rsid w:val="00F13F99"/>
    <w:rsid w:val="00F177F1"/>
    <w:rsid w:val="00F20854"/>
    <w:rsid w:val="00F2362A"/>
    <w:rsid w:val="00F24A12"/>
    <w:rsid w:val="00F262B6"/>
    <w:rsid w:val="00F26A79"/>
    <w:rsid w:val="00F2799F"/>
    <w:rsid w:val="00F27BA0"/>
    <w:rsid w:val="00F30732"/>
    <w:rsid w:val="00F32EDC"/>
    <w:rsid w:val="00F32EE8"/>
    <w:rsid w:val="00F35294"/>
    <w:rsid w:val="00F35A9E"/>
    <w:rsid w:val="00F417C8"/>
    <w:rsid w:val="00F4342B"/>
    <w:rsid w:val="00F47B32"/>
    <w:rsid w:val="00F502A1"/>
    <w:rsid w:val="00F526F5"/>
    <w:rsid w:val="00F61D46"/>
    <w:rsid w:val="00F6308D"/>
    <w:rsid w:val="00F6789A"/>
    <w:rsid w:val="00F7035E"/>
    <w:rsid w:val="00F70F2D"/>
    <w:rsid w:val="00F77FAE"/>
    <w:rsid w:val="00F83E3D"/>
    <w:rsid w:val="00F861B0"/>
    <w:rsid w:val="00F871AC"/>
    <w:rsid w:val="00F953E5"/>
    <w:rsid w:val="00FA18F9"/>
    <w:rsid w:val="00FA431B"/>
    <w:rsid w:val="00FA4704"/>
    <w:rsid w:val="00FA56F9"/>
    <w:rsid w:val="00FA7784"/>
    <w:rsid w:val="00FB1932"/>
    <w:rsid w:val="00FB6994"/>
    <w:rsid w:val="00FC2021"/>
    <w:rsid w:val="00FC251F"/>
    <w:rsid w:val="00FC3381"/>
    <w:rsid w:val="00FC376C"/>
    <w:rsid w:val="00FC4EAD"/>
    <w:rsid w:val="00FC795B"/>
    <w:rsid w:val="00FD30B2"/>
    <w:rsid w:val="00FD3E81"/>
    <w:rsid w:val="00FE5F57"/>
    <w:rsid w:val="00FF0243"/>
    <w:rsid w:val="00FF18F1"/>
    <w:rsid w:val="00FF247B"/>
    <w:rsid w:val="00FF303C"/>
    <w:rsid w:val="00FF3B2F"/>
    <w:rsid w:val="00FF4C67"/>
    <w:rsid w:val="35DC6739"/>
    <w:rsid w:val="3E977412"/>
    <w:rsid w:val="60A94853"/>
    <w:rsid w:val="761E367C"/>
    <w:rsid w:val="799D2C0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A2560F0F-6C27-48B1-9BE4-AC1D4F66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377AF2"/>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94483F"/>
    <w:pPr>
      <w:keepNext/>
      <w:numPr>
        <w:numId w:val="1"/>
      </w:numPr>
      <w:tabs>
        <w:tab w:val="clear" w:pos="858"/>
        <w:tab w:val="num" w:pos="432"/>
      </w:tabs>
      <w:spacing w:before="480" w:after="200"/>
      <w:ind w:left="432"/>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6789A"/>
    <w:pPr>
      <w:spacing w:before="60" w:after="60"/>
      <w:ind w:left="567" w:hanging="567"/>
    </w:pPr>
    <w:rPr>
      <w:rFonts w:eastAsia="Calibri"/>
      <w:sz w:val="16"/>
      <w:szCs w:val="16"/>
      <w:lang w:eastAsia="de-DE"/>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15"/>
      </w:numPr>
      <w:tabs>
        <w:tab w:val="left" w:pos="340"/>
      </w:tabs>
      <w:spacing w:before="6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16"/>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semiHidden/>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59230E"/>
    <w:pPr>
      <w:keepNext/>
      <w:pageBreakBefore/>
      <w:numPr>
        <w:numId w:val="4"/>
      </w:numPr>
      <w:spacing w:before="480" w:after="240"/>
      <w:jc w:val="both"/>
      <w:outlineLvl w:val="0"/>
    </w:pPr>
    <w:rPr>
      <w:rFonts w:ascii="Arial" w:hAnsi="Arial"/>
      <w:b/>
      <w:caps/>
      <w:color w:val="D2232A"/>
      <w:lang w:val="da-DK"/>
    </w:rPr>
  </w:style>
  <w:style w:type="paragraph" w:styleId="Caption">
    <w:name w:val="caption"/>
    <w:aliases w:val="ECC Figure Caption,ECC Caption,Ca,Figure Lable,cap,cap1,cap2,cap11,Caption Char1 Char,cap Char Char1,Caption Char Char1 Char,cap Char2 Char,Caption Char C...,Légende-figure,Légende-figure Char,Beschrifubg,Beschriftung Char"/>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17"/>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Ca Char,Figure Lable Char,cap Char,cap1 Char,cap2 Char,cap11 Char,Caption Char1 Char Char,cap Char Char1 Char,Caption Char Char1 Char Char,cap Char2 Char Char,Caption Char C... Char,Beschrifubg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E7543F"/>
    <w:rPr>
      <w:rFonts w:ascii="Arial" w:hAnsi="Arial"/>
      <w:szCs w:val="24"/>
      <w:lang w:val="en-US"/>
    </w:rPr>
  </w:style>
  <w:style w:type="character" w:customStyle="1" w:styleId="ECCHLsubscript">
    <w:name w:val="ECC HL subscript"/>
    <w:uiPriority w:val="1"/>
    <w:qFormat/>
    <w:rsid w:val="007D0AB7"/>
    <w:rPr>
      <w:vertAlign w:val="subscript"/>
    </w:rPr>
  </w:style>
  <w:style w:type="character" w:customStyle="1" w:styleId="normaltextrun">
    <w:name w:val="normaltextrun"/>
    <w:basedOn w:val="DefaultParagraphFont"/>
    <w:rsid w:val="001B27BF"/>
  </w:style>
  <w:style w:type="character" w:styleId="FollowedHyperlink">
    <w:name w:val="FollowedHyperlink"/>
    <w:basedOn w:val="DefaultParagraphFont"/>
    <w:uiPriority w:val="99"/>
    <w:semiHidden/>
    <w:unhideWhenUsed/>
    <w:rsid w:val="008C087C"/>
    <w:rPr>
      <w:color w:val="800080" w:themeColor="followedHyperlink"/>
      <w:u w:val="single"/>
    </w:rPr>
  </w:style>
  <w:style w:type="character" w:customStyle="1" w:styleId="ECCHLmagenta">
    <w:name w:val="ECC HL magenta"/>
    <w:basedOn w:val="DefaultParagraphFont"/>
    <w:uiPriority w:val="1"/>
    <w:qFormat/>
    <w:rsid w:val="00394E42"/>
    <w:rPr>
      <w:color w:val="auto"/>
      <w:bdr w:val="none" w:sz="0" w:space="0" w:color="auto"/>
      <w:shd w:val="solid" w:color="FF3399" w:fill="auto"/>
      <w:lang w:val="en-GB"/>
    </w:rPr>
  </w:style>
  <w:style w:type="character" w:styleId="Mention">
    <w:name w:val="Mention"/>
    <w:basedOn w:val="DefaultParagraphFont"/>
    <w:uiPriority w:val="99"/>
    <w:unhideWhenUsed/>
    <w:rsid w:val="005871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 w:id="6538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wireless/bureau-divisions/technologies-systems-and-innovation-division/rules-regulations-title-4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EFBF-262E-40E0-8E54-7B1A8F4B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7335</Words>
  <Characters>40345</Characters>
  <Application>Microsoft Office Word</Application>
  <DocSecurity>0</DocSecurity>
  <Lines>1120</Lines>
  <Paragraphs>722</Paragraphs>
  <ScaleCrop>false</ScaleCrop>
  <HeadingPairs>
    <vt:vector size="2" baseType="variant">
      <vt:variant>
        <vt:lpstr>Title</vt:lpstr>
      </vt:variant>
      <vt:variant>
        <vt:i4>1</vt:i4>
      </vt:variant>
    </vt:vector>
  </HeadingPairs>
  <TitlesOfParts>
    <vt:vector size="1" baseType="lpstr">
      <vt:lpstr>Draft revision of ECC Decision (22)03</vt:lpstr>
    </vt:vector>
  </TitlesOfParts>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(22)03</dc:title>
  <dc:subject/>
  <dc:creator>ECC</dc:creator>
  <cp:keywords>ECC Decision (22)03</cp:keywords>
  <dc:description/>
  <cp:lastModifiedBy>ECO</cp:lastModifiedBy>
  <cp:revision>12</cp:revision>
  <dcterms:created xsi:type="dcterms:W3CDTF">2024-03-19T11:40:00Z</dcterms:created>
  <dcterms:modified xsi:type="dcterms:W3CDTF">2024-03-19T12:10:00Z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2024-03-08T12:12:00Z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53c3c219-dcba-4adf-a723-9bf1884fc6f0</vt:lpwstr>
  </property>
  <property fmtid="{D5CDD505-2E9C-101B-9397-08002B2CF9AE}" pid="8" name="MSIP_Label_5a50d26f-5c2c-4137-8396-1b24eb24286c_ContentBits">
    <vt:lpwstr>0</vt:lpwstr>
  </property>
</Properties>
</file>