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7CC0" w14:textId="47B747A8" w:rsidR="006C03D0" w:rsidRPr="00F324D7" w:rsidRDefault="006C03D0">
      <w:pPr>
        <w:rPr>
          <w:lang w:val="en-GB"/>
        </w:rPr>
      </w:pPr>
    </w:p>
    <w:p w14:paraId="462D9F13" w14:textId="77777777" w:rsidR="006C03D0" w:rsidRPr="00F324D7" w:rsidRDefault="006C03D0" w:rsidP="006C03D0">
      <w:pPr>
        <w:jc w:val="center"/>
        <w:rPr>
          <w:lang w:val="en-GB"/>
        </w:rPr>
      </w:pPr>
    </w:p>
    <w:p w14:paraId="5F3C8720" w14:textId="77777777" w:rsidR="006C03D0" w:rsidRPr="00F324D7" w:rsidRDefault="006C03D0" w:rsidP="006C03D0">
      <w:pPr>
        <w:jc w:val="center"/>
        <w:rPr>
          <w:lang w:val="en-GB"/>
        </w:rPr>
      </w:pPr>
    </w:p>
    <w:p w14:paraId="3018ADB1" w14:textId="77777777" w:rsidR="006C03D0" w:rsidRPr="00F324D7" w:rsidRDefault="006C03D0" w:rsidP="006C03D0">
      <w:pPr>
        <w:rPr>
          <w:lang w:val="en-GB"/>
        </w:rPr>
      </w:pPr>
    </w:p>
    <w:p w14:paraId="3DCC3BB0" w14:textId="77777777" w:rsidR="006C03D0" w:rsidRPr="00F324D7" w:rsidRDefault="006C03D0" w:rsidP="006C03D0">
      <w:pPr>
        <w:rPr>
          <w:lang w:val="en-GB"/>
        </w:rPr>
      </w:pPr>
    </w:p>
    <w:p w14:paraId="5F1AA75A" w14:textId="383279F9" w:rsidR="006C03D0" w:rsidRPr="00F324D7" w:rsidRDefault="00F10503" w:rsidP="006C03D0">
      <w:pPr>
        <w:jc w:val="center"/>
        <w:rPr>
          <w:b/>
          <w:sz w:val="24"/>
          <w:lang w:val="en-GB"/>
        </w:rPr>
      </w:pPr>
      <w:r>
        <w:rPr>
          <w:noProof/>
        </w:rPr>
        <w:pict w14:anchorId="68834084">
          <v:group id="Group 28" o:spid="_x0000_s2050" style="position:absolute;left:0;text-align:left;margin-left:-56.7pt;margin-top:5.5pt;width:595.6pt;height:651.1pt;z-index:251658752"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2051"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2052"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style="mso-next-textbox:#Text Box 9" inset="80mm,15mm,2mm">
                <w:txbxContent>
                  <w:p w14:paraId="7FAB8F7F"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0F66CB">
                      <w:rPr>
                        <w:color w:val="887E6E"/>
                        <w:sz w:val="68"/>
                      </w:rPr>
                      <w:t>23</w:t>
                    </w:r>
                    <w:r w:rsidRPr="001E2FAA">
                      <w:rPr>
                        <w:color w:val="887E6E"/>
                        <w:sz w:val="68"/>
                      </w:rPr>
                      <w:t>)</w:t>
                    </w:r>
                    <w:r w:rsidR="000F66CB">
                      <w:rPr>
                        <w:color w:val="887E6E"/>
                        <w:sz w:val="68"/>
                      </w:rPr>
                      <w:t>01</w:t>
                    </w:r>
                  </w:p>
                </w:txbxContent>
              </v:textbox>
            </v:shape>
            <v:group id="Group 26" o:spid="_x0000_s2053"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2054"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2055"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w:r>
    </w:p>
    <w:p w14:paraId="1C930E6D" w14:textId="1B07B631" w:rsidR="006C03D0" w:rsidRPr="00F324D7" w:rsidRDefault="006C03D0" w:rsidP="006C03D0">
      <w:pPr>
        <w:jc w:val="center"/>
        <w:rPr>
          <w:b/>
          <w:sz w:val="24"/>
          <w:lang w:val="en-GB"/>
        </w:rPr>
      </w:pPr>
    </w:p>
    <w:p w14:paraId="509D2032" w14:textId="77777777" w:rsidR="006C03D0" w:rsidRPr="00F324D7" w:rsidRDefault="006C03D0" w:rsidP="006C03D0">
      <w:pPr>
        <w:jc w:val="center"/>
        <w:rPr>
          <w:b/>
          <w:sz w:val="24"/>
          <w:lang w:val="en-GB"/>
        </w:rPr>
      </w:pPr>
    </w:p>
    <w:p w14:paraId="36E90BA3" w14:textId="77777777" w:rsidR="006C03D0" w:rsidRPr="00F324D7" w:rsidRDefault="006C03D0" w:rsidP="006C03D0">
      <w:pPr>
        <w:jc w:val="center"/>
        <w:rPr>
          <w:b/>
          <w:sz w:val="24"/>
          <w:lang w:val="en-GB"/>
        </w:rPr>
      </w:pPr>
    </w:p>
    <w:p w14:paraId="25702E27" w14:textId="77777777" w:rsidR="006C03D0" w:rsidRPr="00F324D7" w:rsidRDefault="006C03D0" w:rsidP="006C03D0">
      <w:pPr>
        <w:jc w:val="center"/>
        <w:rPr>
          <w:b/>
          <w:sz w:val="24"/>
          <w:lang w:val="en-GB"/>
        </w:rPr>
      </w:pPr>
    </w:p>
    <w:p w14:paraId="5BA76203" w14:textId="77777777" w:rsidR="006C03D0" w:rsidRPr="00F324D7" w:rsidRDefault="006C03D0" w:rsidP="006C03D0">
      <w:pPr>
        <w:jc w:val="center"/>
        <w:rPr>
          <w:b/>
          <w:sz w:val="24"/>
          <w:lang w:val="en-GB"/>
        </w:rPr>
      </w:pPr>
    </w:p>
    <w:p w14:paraId="3F67F0BF" w14:textId="77777777" w:rsidR="006C03D0" w:rsidRPr="00F324D7" w:rsidRDefault="006C03D0" w:rsidP="006C03D0">
      <w:pPr>
        <w:jc w:val="center"/>
        <w:rPr>
          <w:b/>
          <w:sz w:val="24"/>
          <w:lang w:val="en-GB"/>
        </w:rPr>
      </w:pPr>
    </w:p>
    <w:p w14:paraId="118B9932" w14:textId="77777777" w:rsidR="006C03D0" w:rsidRPr="00F324D7" w:rsidRDefault="006C03D0" w:rsidP="006C03D0">
      <w:pPr>
        <w:jc w:val="center"/>
        <w:rPr>
          <w:b/>
          <w:sz w:val="24"/>
          <w:lang w:val="en-GB"/>
        </w:rPr>
      </w:pPr>
    </w:p>
    <w:p w14:paraId="3380C36B" w14:textId="77777777" w:rsidR="006C03D0" w:rsidRPr="00F324D7" w:rsidRDefault="006C03D0" w:rsidP="006C03D0">
      <w:pPr>
        <w:jc w:val="center"/>
        <w:rPr>
          <w:b/>
          <w:sz w:val="24"/>
          <w:lang w:val="en-GB"/>
        </w:rPr>
      </w:pPr>
    </w:p>
    <w:p w14:paraId="6DD5B8CF" w14:textId="77777777" w:rsidR="006C03D0" w:rsidRPr="00F324D7" w:rsidRDefault="006C03D0" w:rsidP="006C03D0">
      <w:pPr>
        <w:jc w:val="center"/>
        <w:rPr>
          <w:b/>
          <w:sz w:val="24"/>
          <w:lang w:val="en-GB"/>
        </w:rPr>
      </w:pPr>
    </w:p>
    <w:p w14:paraId="3B1FCE57" w14:textId="77777777" w:rsidR="006C03D0" w:rsidRDefault="006C03D0" w:rsidP="006C03D0">
      <w:pPr>
        <w:jc w:val="center"/>
        <w:rPr>
          <w:b/>
          <w:sz w:val="24"/>
          <w:lang w:val="en-GB"/>
        </w:rPr>
      </w:pPr>
    </w:p>
    <w:p w14:paraId="4446F691" w14:textId="77777777" w:rsidR="00175E4F" w:rsidRPr="00F324D7" w:rsidRDefault="00175E4F" w:rsidP="006C03D0">
      <w:pPr>
        <w:jc w:val="center"/>
        <w:rPr>
          <w:b/>
          <w:sz w:val="24"/>
          <w:lang w:val="en-GB"/>
        </w:rPr>
      </w:pPr>
    </w:p>
    <w:p w14:paraId="4E3BC43C" w14:textId="77777777" w:rsidR="006C03D0" w:rsidRPr="00F324D7" w:rsidRDefault="006C03D0" w:rsidP="006C03D0">
      <w:pPr>
        <w:rPr>
          <w:b/>
          <w:sz w:val="24"/>
          <w:lang w:val="en-GB"/>
        </w:rPr>
      </w:pPr>
    </w:p>
    <w:p w14:paraId="5EB21345" w14:textId="74BF993F" w:rsidR="00F326ED" w:rsidRPr="00F315E0" w:rsidRDefault="008A78DD" w:rsidP="00534C3D">
      <w:pPr>
        <w:pStyle w:val="BodyTextIndent"/>
        <w:ind w:left="3600"/>
        <w:rPr>
          <w:rFonts w:ascii="Arial" w:hAnsi="Arial" w:cs="Arial"/>
          <w:lang w:val="en-GB"/>
        </w:rPr>
      </w:pPr>
      <w:bookmarkStart w:id="0" w:name="_Hlk125636055"/>
      <w:r w:rsidRPr="00F324D7">
        <w:rPr>
          <w:rFonts w:ascii="Arial" w:hAnsi="Arial" w:cs="Arial"/>
          <w:lang w:val="en-GB"/>
        </w:rPr>
        <w:t xml:space="preserve">On </w:t>
      </w:r>
      <w:r w:rsidR="00F326ED" w:rsidRPr="00F324D7">
        <w:rPr>
          <w:rFonts w:ascii="Arial" w:hAnsi="Arial" w:cs="Arial"/>
          <w:lang w:val="en-GB"/>
        </w:rPr>
        <w:t>the use of the band 40.5</w:t>
      </w:r>
      <w:r w:rsidR="00F315E0">
        <w:rPr>
          <w:rFonts w:ascii="Arial" w:hAnsi="Arial" w:cs="Arial"/>
          <w:lang w:val="en-GB"/>
        </w:rPr>
        <w:t>-</w:t>
      </w:r>
      <w:r w:rsidR="00F326ED" w:rsidRPr="00F324D7">
        <w:rPr>
          <w:rFonts w:ascii="Arial" w:hAnsi="Arial" w:cs="Arial"/>
          <w:lang w:val="en-GB"/>
        </w:rPr>
        <w:t xml:space="preserve">42.5 GHz by earth stations in the </w:t>
      </w:r>
      <w:r w:rsidR="001357D0" w:rsidRPr="00F324D7">
        <w:rPr>
          <w:rFonts w:ascii="Arial" w:hAnsi="Arial" w:cs="Arial"/>
          <w:lang w:val="en-GB"/>
        </w:rPr>
        <w:t>fixed</w:t>
      </w:r>
      <w:r w:rsidR="001357D0">
        <w:rPr>
          <w:rFonts w:ascii="Arial" w:hAnsi="Arial" w:cs="Arial"/>
          <w:lang w:val="en-GB"/>
        </w:rPr>
        <w:t>-</w:t>
      </w:r>
      <w:r w:rsidR="00F326ED" w:rsidRPr="00F324D7">
        <w:rPr>
          <w:rFonts w:ascii="Arial" w:hAnsi="Arial" w:cs="Arial"/>
          <w:lang w:val="en-GB"/>
        </w:rPr>
        <w:t xml:space="preserve">satellite service (space-to-Earth) and </w:t>
      </w:r>
      <w:r w:rsidR="001357D0" w:rsidRPr="00F324D7">
        <w:rPr>
          <w:rFonts w:ascii="Arial" w:hAnsi="Arial" w:cs="Arial"/>
          <w:lang w:val="en-GB"/>
        </w:rPr>
        <w:t>broadcasting</w:t>
      </w:r>
      <w:r w:rsidR="001357D0">
        <w:rPr>
          <w:rFonts w:ascii="Arial" w:hAnsi="Arial" w:cs="Arial"/>
          <w:lang w:val="en-GB"/>
        </w:rPr>
        <w:t>-</w:t>
      </w:r>
      <w:r w:rsidR="00F326ED" w:rsidRPr="00F324D7">
        <w:rPr>
          <w:rFonts w:ascii="Arial" w:hAnsi="Arial" w:cs="Arial"/>
          <w:lang w:val="en-GB"/>
        </w:rPr>
        <w:t xml:space="preserve">satellite service and on the use of the band 42.5-43.5 GHz by earth stations in the </w:t>
      </w:r>
      <w:r w:rsidR="001357D0" w:rsidRPr="00F324D7">
        <w:rPr>
          <w:rFonts w:ascii="Arial" w:hAnsi="Arial" w:cs="Arial"/>
          <w:lang w:val="en-GB"/>
        </w:rPr>
        <w:t>fixed</w:t>
      </w:r>
      <w:r w:rsidR="001357D0">
        <w:rPr>
          <w:rFonts w:ascii="Arial" w:hAnsi="Arial" w:cs="Arial"/>
          <w:lang w:val="en-GB"/>
        </w:rPr>
        <w:t>-</w:t>
      </w:r>
      <w:r w:rsidR="00F326ED" w:rsidRPr="00F324D7">
        <w:rPr>
          <w:rFonts w:ascii="Arial" w:hAnsi="Arial" w:cs="Arial"/>
          <w:lang w:val="en-GB"/>
        </w:rPr>
        <w:t>satellite service (Earth-to-space)</w:t>
      </w:r>
    </w:p>
    <w:bookmarkEnd w:id="0"/>
    <w:p w14:paraId="121C0807" w14:textId="5CCCF003" w:rsidR="006C03D0" w:rsidRPr="00F324D7" w:rsidRDefault="00F73867" w:rsidP="00655A5B">
      <w:pPr>
        <w:pStyle w:val="Reporttitledescription"/>
        <w:ind w:firstLine="198"/>
        <w:rPr>
          <w:b/>
          <w:color w:val="auto"/>
          <w:sz w:val="18"/>
          <w:lang w:val="en-GB"/>
        </w:rPr>
      </w:pPr>
      <w:r>
        <w:rPr>
          <w:b/>
          <w:color w:val="auto"/>
          <w:sz w:val="18"/>
          <w:lang w:val="en-GB"/>
        </w:rPr>
        <w:fldChar w:fldCharType="begin">
          <w:ffData>
            <w:name w:val="Text8"/>
            <w:enabled/>
            <w:calcOnExit w:val="0"/>
            <w:textInput>
              <w:default w:val="approved 7 July 2023"/>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7 July 2023</w:t>
      </w:r>
      <w:r>
        <w:rPr>
          <w:b/>
          <w:color w:val="auto"/>
          <w:sz w:val="18"/>
          <w:lang w:val="en-GB"/>
        </w:rPr>
        <w:fldChar w:fldCharType="end"/>
      </w:r>
      <w:bookmarkEnd w:id="1"/>
    </w:p>
    <w:p w14:paraId="586CB7E7" w14:textId="566207C2" w:rsidR="006C03D0" w:rsidRPr="00F324D7" w:rsidRDefault="002A33EA" w:rsidP="00655A5B">
      <w:pPr>
        <w:pStyle w:val="Lastupdated"/>
        <w:ind w:firstLine="198"/>
        <w:rPr>
          <w:b/>
          <w:lang w:val="en-GB"/>
        </w:rPr>
      </w:pP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40514FE7" w14:textId="1DD1523B" w:rsidR="008F5944" w:rsidRPr="00F324D7" w:rsidRDefault="00175E4F" w:rsidP="006C03D0">
      <w:pPr>
        <w:pStyle w:val="Lastupdated"/>
        <w:rPr>
          <w:b/>
          <w:lang w:val="en-GB"/>
        </w:rPr>
      </w:pPr>
      <w:r>
        <w:rPr>
          <w:b/>
          <w:noProof/>
          <w:lang w:val="en-GB"/>
        </w:rPr>
        <mc:AlternateContent>
          <mc:Choice Requires="wps">
            <w:drawing>
              <wp:anchor distT="0" distB="0" distL="114300" distR="114300" simplePos="0" relativeHeight="251661824" behindDoc="0" locked="0" layoutInCell="1" allowOverlap="1" wp14:anchorId="024C5656" wp14:editId="4A60142F">
                <wp:simplePos x="0" y="0"/>
                <wp:positionH relativeFrom="column">
                  <wp:posOffset>-713740</wp:posOffset>
                </wp:positionH>
                <wp:positionV relativeFrom="paragraph">
                  <wp:posOffset>4179570</wp:posOffset>
                </wp:positionV>
                <wp:extent cx="7560310" cy="179705"/>
                <wp:effectExtent l="0" t="0" r="254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a:graphicData>
                </a:graphic>
              </wp:anchor>
            </w:drawing>
          </mc:Choice>
          <mc:Fallback>
            <w:pict>
              <v:rect w14:anchorId="291B13D3" id="Rectangle 8" o:spid="_x0000_s1026" style="position:absolute;margin-left:-56.2pt;margin-top:329.1pt;width:595.3pt;height:14.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" fillcolor="#d2232a" stroked="f">
                <v:textbox inset=",15mm,2mm"/>
              </v:rect>
            </w:pict>
          </mc:Fallback>
        </mc:AlternateContent>
      </w:r>
    </w:p>
    <w:p w14:paraId="5DD7FE12" w14:textId="66D44E19" w:rsidR="006C03D0" w:rsidRPr="00F324D7" w:rsidRDefault="005F7AD5" w:rsidP="00013A20">
      <w:pPr>
        <w:pStyle w:val="Heading1"/>
      </w:pPr>
      <w:r w:rsidRPr="00F324D7">
        <w:lastRenderedPageBreak/>
        <w:t>explanatory memorandum</w:t>
      </w:r>
    </w:p>
    <w:p w14:paraId="423ADA9F" w14:textId="75D72B86" w:rsidR="006C03D0" w:rsidRPr="00F324D7" w:rsidRDefault="005F7AD5" w:rsidP="008F0542">
      <w:pPr>
        <w:pStyle w:val="Heading2"/>
        <w:rPr>
          <w:lang w:val="en-GB"/>
        </w:rPr>
      </w:pPr>
      <w:r w:rsidRPr="00F324D7">
        <w:rPr>
          <w:lang w:val="en-GB"/>
        </w:rPr>
        <w:t>INTRODUCTION</w:t>
      </w:r>
    </w:p>
    <w:p w14:paraId="51CCA4D1" w14:textId="3839638D" w:rsidR="00BC3066" w:rsidRPr="00F324D7" w:rsidRDefault="00BC3066" w:rsidP="00BC3066">
      <w:pPr>
        <w:pStyle w:val="Brief"/>
        <w:widowControl/>
        <w:tabs>
          <w:tab w:val="clear" w:pos="720"/>
          <w:tab w:val="clear" w:pos="1440"/>
          <w:tab w:val="clear" w:pos="2160"/>
          <w:tab w:val="clear" w:pos="2880"/>
        </w:tabs>
        <w:spacing w:before="0"/>
        <w:rPr>
          <w:rFonts w:ascii="Arial" w:hAnsi="Arial" w:cs="Arial"/>
          <w:lang w:val="en-GB"/>
        </w:rPr>
      </w:pPr>
      <w:r w:rsidRPr="00F324D7">
        <w:rPr>
          <w:rFonts w:ascii="Arial" w:hAnsi="Arial" w:cs="Arial"/>
          <w:lang w:val="en-GB"/>
        </w:rPr>
        <w:t xml:space="preserve">This Decision addresses the use of the band 40.5-42.5 GHz by uncoordinated and coordinated earth stations of the </w:t>
      </w:r>
      <w:r w:rsidR="00785D0B" w:rsidRPr="00F324D7">
        <w:rPr>
          <w:rFonts w:ascii="Arial" w:hAnsi="Arial" w:cs="Arial"/>
          <w:lang w:val="en-GB"/>
        </w:rPr>
        <w:t>fixed</w:t>
      </w:r>
      <w:r w:rsidR="00785D0B">
        <w:rPr>
          <w:rFonts w:ascii="Arial" w:hAnsi="Arial" w:cs="Arial"/>
          <w:lang w:val="en-GB"/>
        </w:rPr>
        <w:t>-</w:t>
      </w:r>
      <w:r w:rsidRPr="00F324D7">
        <w:rPr>
          <w:rFonts w:ascii="Arial" w:hAnsi="Arial" w:cs="Arial"/>
          <w:lang w:val="en-GB"/>
        </w:rPr>
        <w:t xml:space="preserve">satellite service (FSS) (space-to-Earth) and </w:t>
      </w:r>
      <w:r w:rsidR="00785D0B" w:rsidRPr="00F324D7">
        <w:rPr>
          <w:rFonts w:ascii="Arial" w:hAnsi="Arial" w:cs="Arial"/>
          <w:lang w:val="en-GB"/>
        </w:rPr>
        <w:t>broadcasting</w:t>
      </w:r>
      <w:r w:rsidR="00785D0B">
        <w:rPr>
          <w:rFonts w:ascii="Arial" w:hAnsi="Arial" w:cs="Arial"/>
          <w:lang w:val="en-GB"/>
        </w:rPr>
        <w:t>-s</w:t>
      </w:r>
      <w:r w:rsidR="00785D0B" w:rsidRPr="00F324D7">
        <w:rPr>
          <w:rFonts w:ascii="Arial" w:hAnsi="Arial" w:cs="Arial"/>
          <w:lang w:val="en-GB"/>
        </w:rPr>
        <w:t xml:space="preserve">atellite </w:t>
      </w:r>
      <w:r w:rsidR="00785D0B">
        <w:rPr>
          <w:rFonts w:ascii="Arial" w:hAnsi="Arial" w:cs="Arial"/>
          <w:lang w:val="en-GB"/>
        </w:rPr>
        <w:t>s</w:t>
      </w:r>
      <w:r w:rsidR="00785D0B" w:rsidRPr="00F324D7">
        <w:rPr>
          <w:rFonts w:ascii="Arial" w:hAnsi="Arial" w:cs="Arial"/>
          <w:lang w:val="en-GB"/>
        </w:rPr>
        <w:t xml:space="preserve">ervice </w:t>
      </w:r>
      <w:r w:rsidRPr="00F324D7">
        <w:rPr>
          <w:rFonts w:ascii="Arial" w:hAnsi="Arial" w:cs="Arial"/>
          <w:lang w:val="en-GB"/>
        </w:rPr>
        <w:t xml:space="preserve">(BSS), and the use of the band 42.5-43.5 GHz by coordinated earth stations of the </w:t>
      </w:r>
      <w:r w:rsidR="00785D0B" w:rsidRPr="00F324D7">
        <w:rPr>
          <w:rFonts w:ascii="Arial" w:hAnsi="Arial" w:cs="Arial"/>
          <w:lang w:val="en-GB"/>
        </w:rPr>
        <w:t>fixed</w:t>
      </w:r>
      <w:r w:rsidR="00785D0B">
        <w:rPr>
          <w:rFonts w:ascii="Arial" w:hAnsi="Arial" w:cs="Arial"/>
          <w:lang w:val="en-GB"/>
        </w:rPr>
        <w:t>-</w:t>
      </w:r>
      <w:r w:rsidRPr="00F324D7">
        <w:rPr>
          <w:rFonts w:ascii="Arial" w:hAnsi="Arial" w:cs="Arial"/>
          <w:lang w:val="en-GB"/>
        </w:rPr>
        <w:t xml:space="preserve">satellite service (Earth-to-space), operating in </w:t>
      </w:r>
      <w:r w:rsidR="00D1341E">
        <w:rPr>
          <w:rFonts w:ascii="Arial" w:hAnsi="Arial" w:cs="Arial"/>
          <w:lang w:val="en-GB"/>
        </w:rPr>
        <w:t>geostationary-satellite orbit</w:t>
      </w:r>
      <w:r w:rsidR="00F11379">
        <w:rPr>
          <w:rFonts w:ascii="Arial" w:hAnsi="Arial" w:cs="Arial"/>
          <w:lang w:val="en-GB"/>
        </w:rPr>
        <w:t xml:space="preserve"> (</w:t>
      </w:r>
      <w:r w:rsidRPr="00F324D7">
        <w:rPr>
          <w:rFonts w:ascii="Arial" w:hAnsi="Arial" w:cs="Arial"/>
          <w:lang w:val="en-GB"/>
        </w:rPr>
        <w:t>GSO</w:t>
      </w:r>
      <w:r w:rsidR="00F11379">
        <w:rPr>
          <w:rFonts w:ascii="Arial" w:hAnsi="Arial" w:cs="Arial"/>
          <w:lang w:val="en-GB"/>
        </w:rPr>
        <w:t>)</w:t>
      </w:r>
      <w:r w:rsidRPr="00F324D7">
        <w:rPr>
          <w:rFonts w:ascii="Arial" w:hAnsi="Arial" w:cs="Arial"/>
          <w:lang w:val="en-GB"/>
        </w:rPr>
        <w:t xml:space="preserve"> and non-GSO satellite systems.</w:t>
      </w:r>
    </w:p>
    <w:p w14:paraId="00F5D803" w14:textId="77777777" w:rsidR="006C03D0" w:rsidRPr="00F324D7" w:rsidRDefault="005F7AD5" w:rsidP="008F0542">
      <w:pPr>
        <w:pStyle w:val="Heading2"/>
        <w:rPr>
          <w:lang w:val="en-GB"/>
        </w:rPr>
      </w:pPr>
      <w:r w:rsidRPr="00F324D7">
        <w:rPr>
          <w:lang w:val="en-GB"/>
        </w:rPr>
        <w:t xml:space="preserve">BACKGROUND </w:t>
      </w:r>
    </w:p>
    <w:p w14:paraId="6FCD4F58" w14:textId="0AE4C6F3" w:rsidR="00BC3066" w:rsidRPr="00F324D7" w:rsidRDefault="00BC3066" w:rsidP="00BC3066">
      <w:pPr>
        <w:pStyle w:val="Brief"/>
        <w:widowControl/>
        <w:tabs>
          <w:tab w:val="clear" w:pos="720"/>
          <w:tab w:val="clear" w:pos="1440"/>
          <w:tab w:val="clear" w:pos="2160"/>
          <w:tab w:val="clear" w:pos="2880"/>
        </w:tabs>
        <w:spacing w:before="0"/>
        <w:rPr>
          <w:rFonts w:ascii="Arial" w:hAnsi="Arial" w:cs="Arial"/>
          <w:lang w:val="en-GB"/>
        </w:rPr>
      </w:pPr>
      <w:r w:rsidRPr="00F324D7">
        <w:rPr>
          <w:rFonts w:ascii="Arial" w:hAnsi="Arial" w:cs="Arial"/>
          <w:lang w:val="en-GB"/>
        </w:rPr>
        <w:t>The band</w:t>
      </w:r>
      <w:r w:rsidR="009D63DF" w:rsidRPr="00F324D7">
        <w:rPr>
          <w:rFonts w:ascii="Arial" w:hAnsi="Arial" w:cs="Arial"/>
          <w:lang w:val="en-GB"/>
        </w:rPr>
        <w:t>s 40.5-42.5 GHz and 42.5-43.5 GHz</w:t>
      </w:r>
      <w:r w:rsidRPr="00F324D7">
        <w:rPr>
          <w:rFonts w:ascii="Arial" w:hAnsi="Arial" w:cs="Arial"/>
          <w:lang w:val="en-GB"/>
        </w:rPr>
        <w:t xml:space="preserve"> covered by this Decision are allocated on a primary basis in the Radio Regulations</w:t>
      </w:r>
      <w:r w:rsidR="005A5584">
        <w:rPr>
          <w:rFonts w:ascii="Arial" w:hAnsi="Arial" w:cs="Arial"/>
          <w:lang w:val="en-GB"/>
        </w:rPr>
        <w:t xml:space="preserve"> </w:t>
      </w:r>
      <w:r w:rsidR="005A5584">
        <w:rPr>
          <w:rFonts w:ascii="Arial" w:hAnsi="Arial" w:cs="Arial"/>
          <w:lang w:val="en-GB"/>
        </w:rPr>
        <w:fldChar w:fldCharType="begin"/>
      </w:r>
      <w:r w:rsidR="005A5584">
        <w:rPr>
          <w:rFonts w:ascii="Arial" w:hAnsi="Arial" w:cs="Arial"/>
          <w:lang w:val="en-GB"/>
        </w:rPr>
        <w:instrText xml:space="preserve"> REF _Ref132985170 \r \h </w:instrText>
      </w:r>
      <w:r w:rsidR="005A5584">
        <w:rPr>
          <w:rFonts w:ascii="Arial" w:hAnsi="Arial" w:cs="Arial"/>
          <w:lang w:val="en-GB"/>
        </w:rPr>
      </w:r>
      <w:r w:rsidR="005A5584">
        <w:rPr>
          <w:rFonts w:ascii="Arial" w:hAnsi="Arial" w:cs="Arial"/>
          <w:lang w:val="en-GB"/>
        </w:rPr>
        <w:fldChar w:fldCharType="separate"/>
      </w:r>
      <w:r w:rsidR="00394DB8">
        <w:rPr>
          <w:rFonts w:ascii="Arial" w:hAnsi="Arial" w:cs="Arial"/>
          <w:lang w:val="en-GB"/>
        </w:rPr>
        <w:t>[1]</w:t>
      </w:r>
      <w:r w:rsidR="005A5584">
        <w:rPr>
          <w:rFonts w:ascii="Arial" w:hAnsi="Arial" w:cs="Arial"/>
          <w:lang w:val="en-GB"/>
        </w:rPr>
        <w:fldChar w:fldCharType="end"/>
      </w:r>
      <w:r w:rsidRPr="00F324D7">
        <w:rPr>
          <w:rFonts w:ascii="Arial" w:hAnsi="Arial" w:cs="Arial"/>
          <w:lang w:val="en-GB"/>
        </w:rPr>
        <w:t xml:space="preserve"> to several radiocommunication services, including the fixed service, land mobile service, broadcasting service, radioastronomy service, </w:t>
      </w:r>
      <w:r w:rsidR="005A5584" w:rsidRPr="00F324D7">
        <w:rPr>
          <w:rFonts w:ascii="Arial" w:hAnsi="Arial" w:cs="Arial"/>
          <w:lang w:val="en-GB"/>
        </w:rPr>
        <w:t>broadcasting</w:t>
      </w:r>
      <w:r w:rsidR="005A5584">
        <w:rPr>
          <w:rFonts w:ascii="Arial" w:hAnsi="Arial" w:cs="Arial"/>
          <w:lang w:val="en-GB"/>
        </w:rPr>
        <w:t>-</w:t>
      </w:r>
      <w:r w:rsidRPr="00F324D7">
        <w:rPr>
          <w:rFonts w:ascii="Arial" w:hAnsi="Arial" w:cs="Arial"/>
          <w:lang w:val="en-GB"/>
        </w:rPr>
        <w:t>satellite service and fixed</w:t>
      </w:r>
      <w:r w:rsidR="005A5584">
        <w:rPr>
          <w:rFonts w:ascii="Arial" w:hAnsi="Arial" w:cs="Arial"/>
          <w:lang w:val="en-GB"/>
        </w:rPr>
        <w:t>-</w:t>
      </w:r>
      <w:r w:rsidRPr="00F324D7">
        <w:rPr>
          <w:rFonts w:ascii="Arial" w:hAnsi="Arial" w:cs="Arial"/>
          <w:lang w:val="en-GB"/>
        </w:rPr>
        <w:t>satellite service.</w:t>
      </w:r>
    </w:p>
    <w:p w14:paraId="1FB0899A" w14:textId="0F3D11B7" w:rsidR="00BC3066" w:rsidRPr="00F324D7" w:rsidRDefault="005A5584" w:rsidP="00BC3066">
      <w:pPr>
        <w:pStyle w:val="Brief"/>
        <w:rPr>
          <w:rFonts w:ascii="Arial" w:hAnsi="Arial" w:cs="Arial"/>
          <w:lang w:val="en-GB"/>
        </w:rPr>
      </w:pPr>
      <w:r>
        <w:rPr>
          <w:rFonts w:ascii="Arial" w:hAnsi="Arial" w:cs="Arial"/>
          <w:lang w:val="en-GB"/>
        </w:rPr>
        <w:t>I</w:t>
      </w:r>
      <w:r w:rsidRPr="00F324D7">
        <w:rPr>
          <w:rFonts w:ascii="Arial" w:hAnsi="Arial" w:cs="Arial"/>
          <w:lang w:val="en-GB"/>
        </w:rPr>
        <w:t>n November 2022</w:t>
      </w:r>
      <w:r w:rsidR="00CF75C8">
        <w:rPr>
          <w:rFonts w:ascii="Arial" w:hAnsi="Arial" w:cs="Arial"/>
          <w:lang w:val="en-GB"/>
        </w:rPr>
        <w:t>,</w:t>
      </w:r>
      <w:r w:rsidRPr="00F324D7">
        <w:rPr>
          <w:rFonts w:ascii="Arial" w:hAnsi="Arial" w:cs="Arial"/>
          <w:lang w:val="en-GB"/>
        </w:rPr>
        <w:t xml:space="preserve"> </w:t>
      </w:r>
      <w:r w:rsidR="00BC3066" w:rsidRPr="00F324D7">
        <w:rPr>
          <w:rFonts w:ascii="Arial" w:hAnsi="Arial" w:cs="Arial"/>
          <w:lang w:val="en-GB"/>
        </w:rPr>
        <w:t>ECC adopted ECC Decision (22)06</w:t>
      </w:r>
      <w:r w:rsidR="00660FDC" w:rsidRPr="00F324D7">
        <w:rPr>
          <w:rFonts w:ascii="Arial" w:hAnsi="Arial" w:cs="Arial"/>
          <w:lang w:val="en-GB"/>
        </w:rPr>
        <w:t xml:space="preserve"> </w:t>
      </w:r>
      <w:r w:rsidR="001357D0">
        <w:rPr>
          <w:rFonts w:cs="Arial"/>
          <w:lang w:val="en-GB"/>
        </w:rPr>
        <w:fldChar w:fldCharType="begin"/>
      </w:r>
      <w:r w:rsidR="001357D0">
        <w:rPr>
          <w:rFonts w:ascii="Arial" w:hAnsi="Arial" w:cs="Arial"/>
          <w:lang w:val="en-GB"/>
        </w:rPr>
        <w:instrText xml:space="preserve"> REF _Ref134721615 \r \h </w:instrText>
      </w:r>
      <w:r w:rsidR="001357D0">
        <w:rPr>
          <w:rFonts w:cs="Arial"/>
          <w:lang w:val="en-GB"/>
        </w:rPr>
      </w:r>
      <w:r w:rsidR="001357D0">
        <w:rPr>
          <w:rFonts w:cs="Arial"/>
          <w:lang w:val="en-GB"/>
        </w:rPr>
        <w:fldChar w:fldCharType="separate"/>
      </w:r>
      <w:r w:rsidR="001357D0">
        <w:rPr>
          <w:rFonts w:ascii="Arial" w:hAnsi="Arial" w:cs="Arial"/>
          <w:lang w:val="en-GB"/>
        </w:rPr>
        <w:t>[2]</w:t>
      </w:r>
      <w:r w:rsidR="001357D0">
        <w:rPr>
          <w:rFonts w:cs="Arial"/>
          <w:lang w:val="en-GB"/>
        </w:rPr>
        <w:fldChar w:fldCharType="end"/>
      </w:r>
      <w:r w:rsidR="00BC3066" w:rsidRPr="00F324D7">
        <w:rPr>
          <w:rFonts w:ascii="Arial" w:hAnsi="Arial" w:cs="Arial"/>
          <w:lang w:val="en-GB"/>
        </w:rPr>
        <w:t xml:space="preserve"> on harmonised technical conditions for Mobile/Fixed Communications Networks (MFCN) in the band 40.5-43.5 GHz. ECC also withdrew ERC Decision (99)15 which </w:t>
      </w:r>
      <w:r w:rsidR="00E11C33">
        <w:rPr>
          <w:rFonts w:ascii="Arial" w:hAnsi="Arial" w:cs="Arial"/>
          <w:lang w:val="en-GB"/>
        </w:rPr>
        <w:t>previously</w:t>
      </w:r>
      <w:r w:rsidR="00E11C33" w:rsidRPr="00F324D7">
        <w:rPr>
          <w:rFonts w:ascii="Arial" w:hAnsi="Arial" w:cs="Arial"/>
          <w:lang w:val="en-GB"/>
        </w:rPr>
        <w:t xml:space="preserve"> designat</w:t>
      </w:r>
      <w:r w:rsidR="00E11C33">
        <w:rPr>
          <w:rFonts w:ascii="Arial" w:hAnsi="Arial" w:cs="Arial"/>
          <w:lang w:val="en-GB"/>
        </w:rPr>
        <w:t>ed</w:t>
      </w:r>
      <w:r w:rsidR="00E11C33" w:rsidRPr="00F324D7">
        <w:rPr>
          <w:rFonts w:ascii="Arial" w:hAnsi="Arial" w:cs="Arial"/>
          <w:lang w:val="en-GB"/>
        </w:rPr>
        <w:t xml:space="preserve"> </w:t>
      </w:r>
      <w:r w:rsidR="00BC3066" w:rsidRPr="00F324D7">
        <w:rPr>
          <w:rFonts w:ascii="Arial" w:hAnsi="Arial" w:cs="Arial"/>
          <w:lang w:val="en-GB"/>
        </w:rPr>
        <w:t xml:space="preserve">the 40.5-43.5 GHz band for </w:t>
      </w:r>
      <w:r w:rsidR="0041228F">
        <w:rPr>
          <w:rFonts w:ascii="Arial" w:hAnsi="Arial" w:cs="Arial"/>
          <w:lang w:val="en-GB"/>
        </w:rPr>
        <w:t>multimedia wireless systems (</w:t>
      </w:r>
      <w:r w:rsidR="00BC3066" w:rsidRPr="00F324D7">
        <w:rPr>
          <w:rFonts w:ascii="Arial" w:hAnsi="Arial" w:cs="Arial"/>
          <w:lang w:val="en-GB"/>
        </w:rPr>
        <w:t>MWS</w:t>
      </w:r>
      <w:r w:rsidR="0041228F">
        <w:rPr>
          <w:rFonts w:ascii="Arial" w:hAnsi="Arial" w:cs="Arial"/>
          <w:lang w:val="en-GB"/>
        </w:rPr>
        <w:t>)</w:t>
      </w:r>
      <w:r w:rsidR="00BC3066" w:rsidRPr="00F324D7">
        <w:rPr>
          <w:rFonts w:ascii="Arial" w:hAnsi="Arial" w:cs="Arial"/>
          <w:lang w:val="en-GB"/>
        </w:rPr>
        <w:t xml:space="preserve"> and/or Point-to-Point (P-P) Fixed Wireless Systems (see ECC</w:t>
      </w:r>
      <w:r w:rsidR="005C1FF7">
        <w:rPr>
          <w:rFonts w:ascii="Arial" w:hAnsi="Arial" w:cs="Arial"/>
          <w:lang w:val="en-GB"/>
        </w:rPr>
        <w:t xml:space="preserve"> Decision </w:t>
      </w:r>
      <w:r w:rsidR="00BC3066" w:rsidRPr="00F324D7">
        <w:rPr>
          <w:rFonts w:ascii="Arial" w:hAnsi="Arial" w:cs="Arial"/>
          <w:lang w:val="en-GB"/>
        </w:rPr>
        <w:t>(22)05</w:t>
      </w:r>
      <w:r w:rsidR="00660FDC" w:rsidRPr="00F324D7">
        <w:rPr>
          <w:rFonts w:ascii="Arial" w:hAnsi="Arial" w:cs="Arial"/>
          <w:lang w:val="en-GB"/>
        </w:rPr>
        <w:t xml:space="preserve"> </w:t>
      </w:r>
      <w:r w:rsidR="00660FDC" w:rsidRPr="00F324D7">
        <w:rPr>
          <w:rFonts w:cs="Arial"/>
          <w:lang w:val="en-GB"/>
        </w:rPr>
        <w:fldChar w:fldCharType="begin"/>
      </w:r>
      <w:r w:rsidR="00660FDC" w:rsidRPr="00F324D7">
        <w:rPr>
          <w:rFonts w:ascii="Arial" w:hAnsi="Arial" w:cs="Arial"/>
          <w:lang w:val="en-GB"/>
        </w:rPr>
        <w:instrText xml:space="preserve"> REF _Ref125630812 \r \h </w:instrText>
      </w:r>
      <w:r w:rsidR="00534C3D" w:rsidRPr="00F324D7">
        <w:rPr>
          <w:rFonts w:ascii="Arial" w:hAnsi="Arial" w:cs="Arial"/>
          <w:lang w:val="en-GB"/>
        </w:rPr>
        <w:instrText xml:space="preserve"> \* MERGEFORMAT </w:instrText>
      </w:r>
      <w:r w:rsidR="00660FDC" w:rsidRPr="00F324D7">
        <w:rPr>
          <w:rFonts w:cs="Arial"/>
          <w:lang w:val="en-GB"/>
        </w:rPr>
      </w:r>
      <w:r w:rsidR="00660FDC" w:rsidRPr="00F324D7">
        <w:rPr>
          <w:rFonts w:cs="Arial"/>
          <w:lang w:val="en-GB"/>
        </w:rPr>
        <w:fldChar w:fldCharType="separate"/>
      </w:r>
      <w:r w:rsidR="00417B54">
        <w:rPr>
          <w:rFonts w:ascii="Arial" w:hAnsi="Arial" w:cs="Arial"/>
          <w:lang w:val="en-GB"/>
        </w:rPr>
        <w:t>[3]</w:t>
      </w:r>
      <w:r w:rsidR="00660FDC" w:rsidRPr="00F324D7">
        <w:rPr>
          <w:rFonts w:cs="Arial"/>
          <w:lang w:val="en-GB"/>
        </w:rPr>
        <w:fldChar w:fldCharType="end"/>
      </w:r>
      <w:r w:rsidR="00BC3066" w:rsidRPr="00F324D7">
        <w:rPr>
          <w:rFonts w:ascii="Arial" w:hAnsi="Arial" w:cs="Arial"/>
          <w:lang w:val="en-GB"/>
        </w:rPr>
        <w:t>). The implementation of MFCN including IMT-2020/5G systems in CEPT countries should support the provision of mobile high data rate applications in the band 40.5-43.5 GHz.</w:t>
      </w:r>
    </w:p>
    <w:p w14:paraId="35107547" w14:textId="069760D6" w:rsidR="00BC3066" w:rsidRPr="00F324D7" w:rsidRDefault="00BC3066" w:rsidP="00BC3066">
      <w:pPr>
        <w:pStyle w:val="Brief"/>
        <w:rPr>
          <w:rFonts w:ascii="Arial" w:hAnsi="Arial" w:cs="Arial"/>
          <w:lang w:val="en-GB"/>
        </w:rPr>
      </w:pPr>
      <w:r w:rsidRPr="00F324D7">
        <w:rPr>
          <w:rFonts w:ascii="Arial" w:hAnsi="Arial" w:cs="Arial"/>
          <w:lang w:val="en-GB"/>
        </w:rPr>
        <w:t>Satellite systems are also a key medium for the delivery of future telecommunication services enabling communication to rapidly be established over wide areas. As there may be a limited number of hotspots in rural areas, it is not expected that the band will be used for contiguous wide/nationwide coverage of MFCN, and therefore complementary satellite coverage could be needed. The band 40.5</w:t>
      </w:r>
      <w:r w:rsidR="005B27F0">
        <w:rPr>
          <w:rFonts w:ascii="Arial" w:hAnsi="Arial" w:cs="Arial"/>
          <w:lang w:val="en-GB"/>
        </w:rPr>
        <w:t>-</w:t>
      </w:r>
      <w:r w:rsidRPr="00F324D7">
        <w:rPr>
          <w:rFonts w:ascii="Arial" w:hAnsi="Arial" w:cs="Arial"/>
          <w:lang w:val="en-GB"/>
        </w:rPr>
        <w:t>42.5 GHz (space-to-Earth) could be used by uncoordinated earth stations under the condition that they cannot claim protection from terrestrial systems.</w:t>
      </w:r>
    </w:p>
    <w:p w14:paraId="116309A5" w14:textId="1A02E6C6" w:rsidR="00BC3066" w:rsidRPr="00F324D7" w:rsidRDefault="00BC3066" w:rsidP="00BC3066">
      <w:pPr>
        <w:pStyle w:val="Brief"/>
        <w:rPr>
          <w:rFonts w:ascii="Arial" w:hAnsi="Arial" w:cs="Arial"/>
          <w:lang w:val="en-GB"/>
        </w:rPr>
      </w:pPr>
      <w:r w:rsidRPr="00F324D7">
        <w:rPr>
          <w:rFonts w:ascii="Arial" w:hAnsi="Arial" w:cs="Arial"/>
          <w:lang w:val="en-GB"/>
        </w:rPr>
        <w:t xml:space="preserve">The bands 40.5-42.5 GHz (space-to-Earth) and 42.5-43.5 </w:t>
      </w:r>
      <w:r w:rsidR="001C0D0E">
        <w:rPr>
          <w:rFonts w:ascii="Arial" w:hAnsi="Arial" w:cs="Arial"/>
          <w:lang w:val="en-GB"/>
        </w:rPr>
        <w:t xml:space="preserve">GHz </w:t>
      </w:r>
      <w:r w:rsidRPr="00F324D7">
        <w:rPr>
          <w:rFonts w:ascii="Arial" w:hAnsi="Arial" w:cs="Arial"/>
          <w:lang w:val="en-GB"/>
        </w:rPr>
        <w:t xml:space="preserve">(Earth-to-space) could also be used by coordinated FSS gateways. ECC has adopted ECC Recommendation (22)01 </w:t>
      </w:r>
      <w:r w:rsidR="00E91D6E" w:rsidRPr="00F324D7">
        <w:rPr>
          <w:rFonts w:ascii="Arial" w:hAnsi="Arial" w:cs="Arial"/>
          <w:lang w:val="en-GB"/>
        </w:rPr>
        <w:fldChar w:fldCharType="begin"/>
      </w:r>
      <w:r w:rsidR="00E91D6E" w:rsidRPr="00F324D7">
        <w:rPr>
          <w:rFonts w:ascii="Arial" w:hAnsi="Arial" w:cs="Arial"/>
          <w:lang w:val="en-GB"/>
        </w:rPr>
        <w:instrText xml:space="preserve"> REF _Ref125631652 \r \h </w:instrText>
      </w:r>
      <w:r w:rsidR="00534C3D" w:rsidRPr="00F324D7">
        <w:rPr>
          <w:rFonts w:ascii="Arial" w:hAnsi="Arial" w:cs="Arial"/>
          <w:lang w:val="en-GB"/>
        </w:rPr>
        <w:instrText xml:space="preserve"> \* MERGEFORMAT </w:instrText>
      </w:r>
      <w:r w:rsidR="00E91D6E" w:rsidRPr="00F324D7">
        <w:rPr>
          <w:rFonts w:ascii="Arial" w:hAnsi="Arial" w:cs="Arial"/>
          <w:lang w:val="en-GB"/>
        </w:rPr>
      </w:r>
      <w:r w:rsidR="00E91D6E" w:rsidRPr="00F324D7">
        <w:rPr>
          <w:rFonts w:ascii="Arial" w:hAnsi="Arial" w:cs="Arial"/>
          <w:lang w:val="en-GB"/>
        </w:rPr>
        <w:fldChar w:fldCharType="separate"/>
      </w:r>
      <w:r w:rsidR="00417B54">
        <w:rPr>
          <w:rFonts w:ascii="Arial" w:hAnsi="Arial" w:cs="Arial"/>
          <w:lang w:val="en-GB"/>
        </w:rPr>
        <w:t>[4]</w:t>
      </w:r>
      <w:r w:rsidR="00E91D6E" w:rsidRPr="00F324D7">
        <w:rPr>
          <w:rFonts w:ascii="Arial" w:hAnsi="Arial" w:cs="Arial"/>
          <w:lang w:val="en-GB"/>
        </w:rPr>
        <w:fldChar w:fldCharType="end"/>
      </w:r>
      <w:r w:rsidR="00E91D6E" w:rsidRPr="00F324D7">
        <w:rPr>
          <w:rFonts w:ascii="Arial" w:hAnsi="Arial" w:cs="Arial"/>
          <w:lang w:val="en-GB"/>
        </w:rPr>
        <w:t xml:space="preserve"> </w:t>
      </w:r>
      <w:r w:rsidRPr="00F324D7">
        <w:rPr>
          <w:rFonts w:ascii="Arial" w:hAnsi="Arial" w:cs="Arial"/>
          <w:lang w:val="en-GB"/>
        </w:rPr>
        <w:t>providing guidelines to support the introduction of MFCN in 40.5-43.5 GHz while ensuring, in a proportionate way, the use of FSS receiving earth stations in the frequency band 40.5-42.5 GHz and the use of FSS transmitting earth stations in the frequency band 42.5-43.5 GHz and the possibility for future deployment of these earth stations.</w:t>
      </w:r>
    </w:p>
    <w:p w14:paraId="6B8D80A9" w14:textId="77777777" w:rsidR="006C03D0" w:rsidRPr="00F324D7" w:rsidRDefault="005F7AD5" w:rsidP="008F0542">
      <w:pPr>
        <w:pStyle w:val="Heading2"/>
        <w:rPr>
          <w:lang w:val="en-GB"/>
        </w:rPr>
      </w:pPr>
      <w:r w:rsidRPr="00F324D7">
        <w:rPr>
          <w:lang w:val="en-GB"/>
        </w:rPr>
        <w:t>REQUIREMENT FOR AN ECC DECISION</w:t>
      </w:r>
    </w:p>
    <w:p w14:paraId="1C73D77D" w14:textId="2FF37B70" w:rsidR="00BC3066" w:rsidRPr="00F324D7" w:rsidRDefault="00BC3066" w:rsidP="00384E54">
      <w:pPr>
        <w:pStyle w:val="Brief"/>
        <w:widowControl/>
        <w:tabs>
          <w:tab w:val="clear" w:pos="720"/>
          <w:tab w:val="clear" w:pos="1440"/>
          <w:tab w:val="clear" w:pos="2160"/>
          <w:tab w:val="clear" w:pos="2880"/>
        </w:tabs>
        <w:spacing w:before="0"/>
        <w:rPr>
          <w:lang w:val="en-GB"/>
        </w:rPr>
      </w:pPr>
      <w:r w:rsidRPr="00F324D7">
        <w:rPr>
          <w:rFonts w:ascii="Arial" w:hAnsi="Arial"/>
          <w:lang w:val="en-GB"/>
        </w:rPr>
        <w:t>In order to provide a clear regulatory framework for future investment and deployment of fixed, broadcasting, broadcasting-satellite and fixed-satellite systems, and to facilitate the use of transportable and uncoordinated FSS terminals</w:t>
      </w:r>
      <w:r w:rsidRPr="00F324D7">
        <w:rPr>
          <w:rFonts w:ascii="Arial" w:hAnsi="Arial" w:cs="Arial"/>
          <w:lang w:val="en-GB"/>
        </w:rPr>
        <w:t xml:space="preserve"> and coordinated earth stations</w:t>
      </w:r>
      <w:r w:rsidRPr="00F324D7">
        <w:rPr>
          <w:rFonts w:ascii="Arial" w:hAnsi="Arial"/>
          <w:lang w:val="en-GB"/>
        </w:rPr>
        <w:t>, an ECC Decision is necessary for the frequency range 40.5</w:t>
      </w:r>
      <w:r w:rsidR="00136C15">
        <w:rPr>
          <w:rFonts w:ascii="Arial" w:hAnsi="Arial"/>
          <w:lang w:val="en-GB"/>
        </w:rPr>
        <w:t> </w:t>
      </w:r>
      <w:r w:rsidR="00876F27">
        <w:rPr>
          <w:rFonts w:ascii="Arial" w:hAnsi="Arial"/>
          <w:lang w:val="en-GB"/>
        </w:rPr>
        <w:t>-</w:t>
      </w:r>
      <w:r w:rsidR="00136C15">
        <w:rPr>
          <w:rFonts w:ascii="Arial" w:hAnsi="Arial"/>
          <w:lang w:val="en-GB"/>
        </w:rPr>
        <w:t> </w:t>
      </w:r>
      <w:r w:rsidRPr="00F324D7">
        <w:rPr>
          <w:rFonts w:ascii="Arial" w:hAnsi="Arial" w:cs="Arial"/>
          <w:lang w:val="en-GB"/>
        </w:rPr>
        <w:t>4</w:t>
      </w:r>
      <w:r w:rsidR="00876F27">
        <w:rPr>
          <w:rFonts w:ascii="Arial" w:hAnsi="Arial" w:cs="Arial"/>
          <w:lang w:val="en-GB"/>
        </w:rPr>
        <w:t>3</w:t>
      </w:r>
      <w:r w:rsidRPr="00F324D7">
        <w:rPr>
          <w:rFonts w:ascii="Arial" w:hAnsi="Arial"/>
          <w:lang w:val="en-GB"/>
        </w:rPr>
        <w:t>.5 GHz.</w:t>
      </w:r>
    </w:p>
    <w:p w14:paraId="684E7C19" w14:textId="2D0A911A" w:rsidR="00BC3066" w:rsidRPr="00F324D7" w:rsidRDefault="00BC3066" w:rsidP="00BC3066">
      <w:pPr>
        <w:pStyle w:val="Brief"/>
        <w:rPr>
          <w:rFonts w:ascii="Arial" w:hAnsi="Arial" w:cs="Arial"/>
          <w:lang w:val="en-GB"/>
        </w:rPr>
      </w:pPr>
      <w:r w:rsidRPr="00F324D7">
        <w:rPr>
          <w:rFonts w:ascii="Arial" w:hAnsi="Arial" w:cs="Arial"/>
          <w:lang w:val="en-GB"/>
        </w:rPr>
        <w:t>ECC recognises that:</w:t>
      </w:r>
    </w:p>
    <w:p w14:paraId="25FBACDE" w14:textId="77777777" w:rsidR="00BC3066" w:rsidRPr="00F324D7" w:rsidRDefault="00BC3066" w:rsidP="00A14CC0">
      <w:pPr>
        <w:pStyle w:val="ECCBulletsLv1"/>
        <w:rPr>
          <w:rFonts w:cs="Arial"/>
        </w:rPr>
      </w:pPr>
      <w:r w:rsidRPr="00F324D7">
        <w:rPr>
          <w:rFonts w:cs="Arial"/>
        </w:rPr>
        <w:t>the authorisation regimes are decided at national level in particular in response to market demand;</w:t>
      </w:r>
    </w:p>
    <w:p w14:paraId="432375B3" w14:textId="77777777" w:rsidR="00BC3066" w:rsidRPr="00F324D7" w:rsidRDefault="00BC3066" w:rsidP="00A14CC0">
      <w:pPr>
        <w:pStyle w:val="ECCBulletsLv1"/>
        <w:rPr>
          <w:rFonts w:cs="Arial"/>
        </w:rPr>
      </w:pPr>
      <w:r w:rsidRPr="00F324D7">
        <w:rPr>
          <w:rFonts w:cs="Arial"/>
        </w:rPr>
        <w:t>administrations need flexibility to adapt their use of the band 40.5-43.5 GHz to national circumstances due to the current fixed links usage and MFCN usage implementation;</w:t>
      </w:r>
    </w:p>
    <w:p w14:paraId="42671E95" w14:textId="77777777" w:rsidR="00BC3066" w:rsidRPr="00F324D7" w:rsidRDefault="00BC3066" w:rsidP="00A14CC0">
      <w:pPr>
        <w:pStyle w:val="ECCBulletsLv1"/>
        <w:rPr>
          <w:rFonts w:cs="Arial"/>
        </w:rPr>
      </w:pPr>
      <w:r w:rsidRPr="00F324D7">
        <w:rPr>
          <w:rFonts w:cs="Arial"/>
        </w:rPr>
        <w:t>administrations need to maintain the possibility for operation/deployment of existing and future FSS earth stations;</w:t>
      </w:r>
    </w:p>
    <w:p w14:paraId="090D09B5" w14:textId="56F73D16" w:rsidR="00BC3066" w:rsidRPr="00F324D7" w:rsidRDefault="00BC3066" w:rsidP="00A14CC0">
      <w:pPr>
        <w:pStyle w:val="ECCBulletsLv1"/>
        <w:rPr>
          <w:rFonts w:cs="Arial"/>
        </w:rPr>
      </w:pPr>
      <w:r w:rsidRPr="00F324D7">
        <w:rPr>
          <w:rFonts w:cs="Arial"/>
        </w:rPr>
        <w:t xml:space="preserve">administrations need to protect </w:t>
      </w:r>
      <w:r w:rsidR="000B1E2D">
        <w:rPr>
          <w:rFonts w:cs="Arial"/>
        </w:rPr>
        <w:t>radio astronomy service (</w:t>
      </w:r>
      <w:r w:rsidRPr="00F324D7">
        <w:rPr>
          <w:rFonts w:cs="Arial"/>
        </w:rPr>
        <w:t>RAS</w:t>
      </w:r>
      <w:r w:rsidR="000B1E2D">
        <w:rPr>
          <w:rFonts w:cs="Arial"/>
        </w:rPr>
        <w:t>)</w:t>
      </w:r>
      <w:r w:rsidRPr="00F324D7">
        <w:rPr>
          <w:rFonts w:cs="Arial"/>
        </w:rPr>
        <w:t xml:space="preserve"> sites in 42.5-43.5 GHz from </w:t>
      </w:r>
      <w:r w:rsidR="00CF75C8">
        <w:rPr>
          <w:rFonts w:cs="Arial"/>
        </w:rPr>
        <w:t xml:space="preserve">the emissions of </w:t>
      </w:r>
      <w:r w:rsidRPr="00F324D7">
        <w:rPr>
          <w:rFonts w:cs="Arial"/>
        </w:rPr>
        <w:t>FSS earth stations.</w:t>
      </w:r>
    </w:p>
    <w:p w14:paraId="3318D798" w14:textId="361CCE45" w:rsidR="007E100F" w:rsidRDefault="007E100F" w:rsidP="00013A20">
      <w:pPr>
        <w:pStyle w:val="Heading1"/>
      </w:pPr>
      <w:r>
        <w:lastRenderedPageBreak/>
        <w:t xml:space="preserve">ECC Decision of </w:t>
      </w:r>
      <w:r w:rsidR="00013A20">
        <w:t>7 july</w:t>
      </w:r>
      <w:r w:rsidR="0054492D">
        <w:t xml:space="preserve"> 2023</w:t>
      </w:r>
      <w:r>
        <w:t xml:space="preserve"> </w:t>
      </w:r>
      <w:r w:rsidRPr="007E100F">
        <w:t>on the use of the band 40.5</w:t>
      </w:r>
      <w:r w:rsidR="00565956">
        <w:t>-</w:t>
      </w:r>
      <w:r w:rsidRPr="007E100F">
        <w:t>42.5 GHz by Earth stations in the fixed</w:t>
      </w:r>
      <w:r w:rsidR="00EC7F60">
        <w:t>-</w:t>
      </w:r>
      <w:r w:rsidRPr="007E100F">
        <w:t>satellite service</w:t>
      </w:r>
      <w:r>
        <w:t xml:space="preserve"> </w:t>
      </w:r>
      <w:r w:rsidR="00565956">
        <w:t xml:space="preserve">(space-to-Earth) </w:t>
      </w:r>
      <w:r w:rsidRPr="007E100F">
        <w:t>and broadcasting</w:t>
      </w:r>
      <w:r w:rsidR="00EC7F60">
        <w:t>-</w:t>
      </w:r>
      <w:r w:rsidRPr="007E100F">
        <w:t xml:space="preserve">satellite service </w:t>
      </w:r>
      <w:r w:rsidR="00565956" w:rsidRPr="00565956">
        <w:t>and on the use of the band 42.5-43.5 GHz by earth stations in the fixed</w:t>
      </w:r>
      <w:r w:rsidR="00EC7F60">
        <w:t>-</w:t>
      </w:r>
      <w:r w:rsidR="00565956" w:rsidRPr="00565956">
        <w:t>satellite service (Earth-to-space)</w:t>
      </w:r>
      <w:r>
        <w:t xml:space="preserve"> </w:t>
      </w:r>
      <w:r w:rsidRPr="007E100F">
        <w:t>(ECC</w:t>
      </w:r>
      <w:r w:rsidR="00693057">
        <w:t xml:space="preserve"> Decision </w:t>
      </w:r>
      <w:r w:rsidRPr="007E100F">
        <w:t>(</w:t>
      </w:r>
      <w:r w:rsidR="00693057">
        <w:t>23</w:t>
      </w:r>
      <w:r w:rsidR="00693057" w:rsidRPr="00107926">
        <w:t>)</w:t>
      </w:r>
      <w:r w:rsidR="00693057">
        <w:t>01</w:t>
      </w:r>
      <w:r w:rsidRPr="007E100F">
        <w:t>)</w:t>
      </w:r>
    </w:p>
    <w:p w14:paraId="4982C866" w14:textId="3AA5B76B" w:rsidR="006C03D0" w:rsidRPr="00F324D7" w:rsidRDefault="005F7AD5" w:rsidP="006C03D0">
      <w:pPr>
        <w:pStyle w:val="ECCParagraph"/>
      </w:pPr>
      <w:r w:rsidRPr="00F324D7">
        <w:t>“The European Conference of Postal and Telecommunications Administrations,</w:t>
      </w:r>
    </w:p>
    <w:p w14:paraId="706DD0DA" w14:textId="5098B301" w:rsidR="006C03D0" w:rsidRPr="00F324D7" w:rsidRDefault="005F7AD5" w:rsidP="00FA46DF">
      <w:pPr>
        <w:pStyle w:val="ECCParagraph"/>
      </w:pPr>
      <w:r w:rsidRPr="00F324D7">
        <w:rPr>
          <w:i/>
          <w:color w:val="D2232A"/>
        </w:rPr>
        <w:t xml:space="preserve">considering </w:t>
      </w:r>
    </w:p>
    <w:p w14:paraId="41AC094E" w14:textId="3BED8019" w:rsidR="0036459A" w:rsidRPr="00F324D7" w:rsidRDefault="0036459A" w:rsidP="0036459A">
      <w:pPr>
        <w:pStyle w:val="ECCLetteredList"/>
      </w:pPr>
      <w:r w:rsidRPr="00F324D7">
        <w:t>that the band 40.5</w:t>
      </w:r>
      <w:r w:rsidR="000A2C9F">
        <w:t>-</w:t>
      </w:r>
      <w:r w:rsidRPr="00F324D7">
        <w:t xml:space="preserve">42.5 GHz is allocated </w:t>
      </w:r>
      <w:r w:rsidR="001541C9" w:rsidRPr="00F324D7">
        <w:t xml:space="preserve">on a primary basis in the Radio Regulations </w:t>
      </w:r>
      <w:r w:rsidR="007E08F8">
        <w:fldChar w:fldCharType="begin"/>
      </w:r>
      <w:r w:rsidR="007E08F8">
        <w:instrText xml:space="preserve"> REF _Ref132985170 \r \h </w:instrText>
      </w:r>
      <w:r w:rsidR="007E08F8">
        <w:fldChar w:fldCharType="separate"/>
      </w:r>
      <w:r w:rsidR="007E08F8">
        <w:t>[1]</w:t>
      </w:r>
      <w:r w:rsidR="007E08F8">
        <w:fldChar w:fldCharType="end"/>
      </w:r>
      <w:r w:rsidR="007E08F8">
        <w:t xml:space="preserve"> </w:t>
      </w:r>
      <w:r w:rsidRPr="00F324D7">
        <w:t xml:space="preserve">to the fixed service, </w:t>
      </w:r>
      <w:r w:rsidR="009C5158">
        <w:t xml:space="preserve">the land mobile service, </w:t>
      </w:r>
      <w:r w:rsidRPr="00F324D7">
        <w:t>the broadcasting service, the broadcasting-satellite service and the fixed-satellite</w:t>
      </w:r>
      <w:r w:rsidR="000D2044">
        <w:t xml:space="preserve"> </w:t>
      </w:r>
      <w:r w:rsidRPr="00F324D7">
        <w:t>service (space-to-Earth</w:t>
      </w:r>
      <w:r w:rsidR="007562B7" w:rsidRPr="00F324D7">
        <w:t xml:space="preserve">), and the band 42.5-43.5 GHz is allocated to the mobile service, the fixed service, the radioastronomy service and the </w:t>
      </w:r>
      <w:r w:rsidR="000D2044" w:rsidRPr="00F324D7">
        <w:t>fixed</w:t>
      </w:r>
      <w:r w:rsidR="000D2044">
        <w:t>-</w:t>
      </w:r>
      <w:r w:rsidR="007562B7" w:rsidRPr="00F324D7">
        <w:t>satellite service (Earth-to-space)</w:t>
      </w:r>
      <w:r w:rsidRPr="00F324D7">
        <w:t>;</w:t>
      </w:r>
    </w:p>
    <w:p w14:paraId="5A876316" w14:textId="2158157A" w:rsidR="0036459A" w:rsidRPr="00F324D7" w:rsidRDefault="0036459A" w:rsidP="0036459A">
      <w:pPr>
        <w:pStyle w:val="ECCLetteredList"/>
      </w:pPr>
      <w:r w:rsidRPr="00F324D7">
        <w:t xml:space="preserve">that ECC Recommendation (01)04 </w:t>
      </w:r>
      <w:r w:rsidRPr="00F324D7">
        <w:fldChar w:fldCharType="begin"/>
      </w:r>
      <w:r w:rsidRPr="00F324D7">
        <w:instrText xml:space="preserve"> REF _Ref125631700 \r \h  \* MERGEFORMAT </w:instrText>
      </w:r>
      <w:r w:rsidRPr="00F324D7">
        <w:fldChar w:fldCharType="separate"/>
      </w:r>
      <w:r w:rsidR="00417B54">
        <w:t>[5]</w:t>
      </w:r>
      <w:r w:rsidRPr="00F324D7">
        <w:fldChar w:fldCharType="end"/>
      </w:r>
      <w:r w:rsidR="00496EE8" w:rsidRPr="00F324D7">
        <w:t xml:space="preserve"> </w:t>
      </w:r>
      <w:r w:rsidRPr="00F324D7">
        <w:t>provides guidelines for the accommodation and assignment of frequencies for applications in the fixed service in the frequency band 40.5-43.5 GHz;</w:t>
      </w:r>
    </w:p>
    <w:p w14:paraId="16F1375C" w14:textId="71D35333" w:rsidR="0036459A" w:rsidRPr="00F324D7" w:rsidRDefault="0036459A">
      <w:pPr>
        <w:pStyle w:val="ECCLetteredList"/>
      </w:pPr>
      <w:r w:rsidRPr="00F324D7">
        <w:t xml:space="preserve">that ECC Decision (22)06 </w:t>
      </w:r>
      <w:r w:rsidR="001357D0">
        <w:fldChar w:fldCharType="begin"/>
      </w:r>
      <w:r w:rsidR="001357D0">
        <w:instrText xml:space="preserve"> REF _Ref134721615 \r \h </w:instrText>
      </w:r>
      <w:r w:rsidR="001357D0">
        <w:fldChar w:fldCharType="separate"/>
      </w:r>
      <w:r w:rsidR="001357D0">
        <w:t>[2]</w:t>
      </w:r>
      <w:r w:rsidR="001357D0">
        <w:fldChar w:fldCharType="end"/>
      </w:r>
      <w:r w:rsidRPr="00F324D7">
        <w:t xml:space="preserve"> designates the frequency band 40.5-</w:t>
      </w:r>
      <w:r w:rsidR="004628F9" w:rsidRPr="00F324D7">
        <w:t>43.5 GHz</w:t>
      </w:r>
      <w:r w:rsidRPr="00F324D7">
        <w:t xml:space="preserve"> on a non-exclusive basis to </w:t>
      </w:r>
      <w:r w:rsidR="000D2044">
        <w:t>m</w:t>
      </w:r>
      <w:r w:rsidR="000D2044" w:rsidRPr="00F324D7">
        <w:t>obile</w:t>
      </w:r>
      <w:r w:rsidRPr="00F324D7">
        <w:t>/</w:t>
      </w:r>
      <w:r w:rsidR="000D2044">
        <w:t>f</w:t>
      </w:r>
      <w:r w:rsidR="000D2044" w:rsidRPr="00F324D7">
        <w:t xml:space="preserve">ixed </w:t>
      </w:r>
      <w:r w:rsidR="000D2044">
        <w:t>c</w:t>
      </w:r>
      <w:r w:rsidR="000D2044" w:rsidRPr="00F324D7">
        <w:t xml:space="preserve">ommunications </w:t>
      </w:r>
      <w:r w:rsidR="000D2044">
        <w:t>n</w:t>
      </w:r>
      <w:r w:rsidR="000D2044" w:rsidRPr="00F324D7">
        <w:t xml:space="preserve">etworks </w:t>
      </w:r>
      <w:r w:rsidRPr="00F324D7">
        <w:t>(MFCN);</w:t>
      </w:r>
    </w:p>
    <w:p w14:paraId="3EE57B45" w14:textId="532BAEE2" w:rsidR="0036459A" w:rsidRPr="00F324D7" w:rsidRDefault="0036459A" w:rsidP="0036459A">
      <w:pPr>
        <w:pStyle w:val="ECCLetteredList"/>
      </w:pPr>
      <w:r w:rsidRPr="00F324D7">
        <w:rPr>
          <w:rFonts w:cs="Arial"/>
        </w:rPr>
        <w:t xml:space="preserve">that ECC Decision (22)06 </w:t>
      </w:r>
      <w:r w:rsidR="001357D0">
        <w:rPr>
          <w:rFonts w:cs="Arial"/>
        </w:rPr>
        <w:fldChar w:fldCharType="begin"/>
      </w:r>
      <w:r w:rsidR="001357D0">
        <w:rPr>
          <w:rFonts w:cs="Arial"/>
        </w:rPr>
        <w:instrText xml:space="preserve"> REF _Ref134721615 \r \h </w:instrText>
      </w:r>
      <w:r w:rsidR="001357D0">
        <w:rPr>
          <w:rFonts w:cs="Arial"/>
        </w:rPr>
      </w:r>
      <w:r w:rsidR="001357D0">
        <w:rPr>
          <w:rFonts w:cs="Arial"/>
        </w:rPr>
        <w:fldChar w:fldCharType="separate"/>
      </w:r>
      <w:r w:rsidR="001357D0">
        <w:rPr>
          <w:rFonts w:cs="Arial"/>
        </w:rPr>
        <w:t>[2]</w:t>
      </w:r>
      <w:r w:rsidR="001357D0">
        <w:rPr>
          <w:rFonts w:cs="Arial"/>
        </w:rPr>
        <w:fldChar w:fldCharType="end"/>
      </w:r>
      <w:r w:rsidRPr="00F324D7">
        <w:rPr>
          <w:rFonts w:cs="Arial"/>
        </w:rPr>
        <w:t xml:space="preserve"> d</w:t>
      </w:r>
      <w:r w:rsidRPr="00F324D7">
        <w:t>oes not preclude the use of the band by other services to which the band is allocated, and administrations should maintain the possibility of existing and future FSS earth stations to operate in the band accordingly;</w:t>
      </w:r>
    </w:p>
    <w:p w14:paraId="0933101E" w14:textId="1ED5E8FD" w:rsidR="008E5C63" w:rsidRDefault="008E5C63" w:rsidP="003D40B8">
      <w:pPr>
        <w:pStyle w:val="ECCLetteredList"/>
      </w:pPr>
      <w:r w:rsidRPr="008E5C63">
        <w:t>that the MFCN deployment in the frequency band 40.5-4</w:t>
      </w:r>
      <w:r w:rsidR="00CE54B2">
        <w:t>3</w:t>
      </w:r>
      <w:r w:rsidRPr="008E5C63">
        <w:t xml:space="preserve">.5 GHz may be less dense in rural areas where </w:t>
      </w:r>
      <w:r w:rsidR="00CE54B2">
        <w:t xml:space="preserve">uncoordinated earth stations in 40.5-42.5 GHz could provide </w:t>
      </w:r>
      <w:r w:rsidRPr="008E5C63">
        <w:t>complementary sate</w:t>
      </w:r>
      <w:r w:rsidR="00D11FBE">
        <w:t>l</w:t>
      </w:r>
      <w:r w:rsidRPr="008E5C63">
        <w:t>lite coverage</w:t>
      </w:r>
      <w:r w:rsidR="00D11FBE">
        <w:t>;</w:t>
      </w:r>
    </w:p>
    <w:p w14:paraId="76EE9726" w14:textId="37F0261C" w:rsidR="0036459A" w:rsidRPr="00F324D7" w:rsidRDefault="0036459A" w:rsidP="0012186E">
      <w:pPr>
        <w:pStyle w:val="ECCLetteredList"/>
      </w:pPr>
      <w:r w:rsidRPr="00F324D7">
        <w:t xml:space="preserve">that this band could also offer an important resource for individually coordinated FSS </w:t>
      </w:r>
      <w:r w:rsidR="00645BE0">
        <w:t>e</w:t>
      </w:r>
      <w:r w:rsidRPr="00F324D7">
        <w:t>arth stations;</w:t>
      </w:r>
    </w:p>
    <w:p w14:paraId="3A297F98" w14:textId="512EDEE4" w:rsidR="0036459A" w:rsidRPr="00F324D7" w:rsidRDefault="00AD4C09" w:rsidP="0036459A">
      <w:pPr>
        <w:pStyle w:val="ECCLetteredList"/>
      </w:pPr>
      <w:r w:rsidRPr="00F324D7">
        <w:t xml:space="preserve">that </w:t>
      </w:r>
      <w:r w:rsidR="0036459A" w:rsidRPr="00F324D7">
        <w:t xml:space="preserve">ECC Recommendation (22)01 </w:t>
      </w:r>
      <w:r w:rsidR="0036459A" w:rsidRPr="00F324D7">
        <w:fldChar w:fldCharType="begin"/>
      </w:r>
      <w:r w:rsidR="0036459A" w:rsidRPr="00F324D7">
        <w:instrText xml:space="preserve"> REF _Ref125631652 \r \h  \* MERGEFORMAT </w:instrText>
      </w:r>
      <w:r w:rsidR="0036459A" w:rsidRPr="00F324D7">
        <w:fldChar w:fldCharType="separate"/>
      </w:r>
      <w:r w:rsidR="00922730">
        <w:t>[4]</w:t>
      </w:r>
      <w:r w:rsidR="0036459A" w:rsidRPr="00F324D7">
        <w:fldChar w:fldCharType="end"/>
      </w:r>
      <w:r w:rsidR="0036459A" w:rsidRPr="00F324D7">
        <w:t xml:space="preserve"> provides guidelines to support </w:t>
      </w:r>
      <w:r w:rsidR="00B80AA6" w:rsidRPr="00F324D7">
        <w:t xml:space="preserve">the </w:t>
      </w:r>
      <w:r w:rsidR="0036459A" w:rsidRPr="00F324D7">
        <w:t>introduction of MFCN in 40.5</w:t>
      </w:r>
      <w:r w:rsidR="0009384D">
        <w:t> </w:t>
      </w:r>
      <w:r w:rsidR="0036459A" w:rsidRPr="00F324D7">
        <w:t>-</w:t>
      </w:r>
      <w:r w:rsidR="0009384D">
        <w:t> </w:t>
      </w:r>
      <w:r w:rsidR="0036459A" w:rsidRPr="00F324D7">
        <w:t>43.5 GHz while ensuring, in a proportionate way, the use of FSS receiving earth stations in the frequency band 40.5-42.5 GHz and the use of FSS transmitting earth stations in the frequency band 42.5</w:t>
      </w:r>
      <w:r w:rsidR="0009384D">
        <w:t> </w:t>
      </w:r>
      <w:r w:rsidR="0036459A" w:rsidRPr="00F324D7">
        <w:t>-</w:t>
      </w:r>
      <w:r w:rsidR="0009384D">
        <w:t> </w:t>
      </w:r>
      <w:r w:rsidR="0036459A" w:rsidRPr="00F324D7">
        <w:t>43.5</w:t>
      </w:r>
      <w:r w:rsidR="00DD4B9F">
        <w:t xml:space="preserve"> </w:t>
      </w:r>
      <w:r w:rsidR="0036459A" w:rsidRPr="00F324D7">
        <w:t>GHz and the possibility for future deployment of these earth stations</w:t>
      </w:r>
      <w:r w:rsidR="00FF6607">
        <w:t>,</w:t>
      </w:r>
      <w:r w:rsidR="00FF6607" w:rsidRPr="00F324D7">
        <w:t xml:space="preserve"> address</w:t>
      </w:r>
      <w:r w:rsidR="00FF6607">
        <w:t>ing both</w:t>
      </w:r>
      <w:r w:rsidR="00FF6607" w:rsidRPr="00F324D7">
        <w:t xml:space="preserve"> </w:t>
      </w:r>
      <w:r w:rsidR="0036459A" w:rsidRPr="00F324D7">
        <w:t>GSO and non-GSO satellite systems;</w:t>
      </w:r>
    </w:p>
    <w:p w14:paraId="2FF94733" w14:textId="61391D70" w:rsidR="000B5135" w:rsidRDefault="000B5135" w:rsidP="000B5135">
      <w:pPr>
        <w:pStyle w:val="ECCLetteredList"/>
      </w:pPr>
      <w:r w:rsidRPr="000B5135">
        <w:t>that Report ITU-R SM.2091</w:t>
      </w:r>
      <w:r w:rsidR="00BC13D4">
        <w:t xml:space="preserve"> </w:t>
      </w:r>
      <w:r w:rsidR="00BC13D4">
        <w:fldChar w:fldCharType="begin"/>
      </w:r>
      <w:r w:rsidR="00BC13D4">
        <w:instrText xml:space="preserve"> REF _Ref134766967 \r \h </w:instrText>
      </w:r>
      <w:r w:rsidR="00BC13D4">
        <w:fldChar w:fldCharType="separate"/>
      </w:r>
      <w:r w:rsidR="00BC13D4">
        <w:t>[7]</w:t>
      </w:r>
      <w:r w:rsidR="00BC13D4">
        <w:fldChar w:fldCharType="end"/>
      </w:r>
      <w:r w:rsidRPr="000B5135">
        <w:t xml:space="preserve"> and </w:t>
      </w:r>
      <w:bookmarkStart w:id="3" w:name="_Hlk128948339"/>
      <w:r w:rsidRPr="000B5135">
        <w:t>Recommendation ITU-R SM.1633-0</w:t>
      </w:r>
      <w:bookmarkEnd w:id="3"/>
      <w:r w:rsidRPr="000B5135">
        <w:t xml:space="preserve"> </w:t>
      </w:r>
      <w:r w:rsidR="00BC13D4">
        <w:fldChar w:fldCharType="begin"/>
      </w:r>
      <w:r w:rsidR="00BC13D4">
        <w:instrText xml:space="preserve"> REF _Ref134766976 \r \h </w:instrText>
      </w:r>
      <w:r w:rsidR="00BC13D4">
        <w:fldChar w:fldCharType="separate"/>
      </w:r>
      <w:r w:rsidR="00BC13D4">
        <w:t>[8]</w:t>
      </w:r>
      <w:r w:rsidR="00BC13D4">
        <w:fldChar w:fldCharType="end"/>
      </w:r>
      <w:r w:rsidR="00BC13D4">
        <w:t xml:space="preserve"> </w:t>
      </w:r>
      <w:r w:rsidRPr="000B5135">
        <w:t>provide compatibility analysis between RAS systems operating in the 42.5-43.5 GHz band and FSS and BSS (space-to-Earth) systems operating in the 41.5-42.5 GHz band;</w:t>
      </w:r>
    </w:p>
    <w:p w14:paraId="780C63AB" w14:textId="6D270C35" w:rsidR="008271DC" w:rsidRPr="00F324D7" w:rsidRDefault="004126B5" w:rsidP="000B5135">
      <w:pPr>
        <w:pStyle w:val="ECCLetteredList"/>
      </w:pPr>
      <w:r>
        <w:t xml:space="preserve">that RR </w:t>
      </w:r>
      <w:r w:rsidR="008271DC" w:rsidRPr="008271DC">
        <w:t>No. 5.551H</w:t>
      </w:r>
      <w:r w:rsidR="008271DC">
        <w:t xml:space="preserve"> and </w:t>
      </w:r>
      <w:r w:rsidR="008271DC" w:rsidRPr="008271DC">
        <w:t>RR No. 5.551</w:t>
      </w:r>
      <w:r>
        <w:t xml:space="preserve">I </w:t>
      </w:r>
      <w:r w:rsidR="00707D6B">
        <w:fldChar w:fldCharType="begin"/>
      </w:r>
      <w:r w:rsidR="00707D6B">
        <w:instrText xml:space="preserve"> REF _Ref132985170 \r \h </w:instrText>
      </w:r>
      <w:r w:rsidR="00707D6B">
        <w:fldChar w:fldCharType="separate"/>
      </w:r>
      <w:r w:rsidR="00707D6B">
        <w:t>[1]</w:t>
      </w:r>
      <w:r w:rsidR="00707D6B">
        <w:fldChar w:fldCharType="end"/>
      </w:r>
      <w:r w:rsidR="00707D6B">
        <w:t xml:space="preserve"> </w:t>
      </w:r>
      <w:r>
        <w:t>apply</w:t>
      </w:r>
      <w:r w:rsidR="000405EB">
        <w:t xml:space="preserve"> to space stations </w:t>
      </w:r>
      <w:r w:rsidR="00DA2956">
        <w:t xml:space="preserve">communicating </w:t>
      </w:r>
      <w:r w:rsidR="000405EB">
        <w:t>wit</w:t>
      </w:r>
      <w:r w:rsidR="00DA2956">
        <w:t>h</w:t>
      </w:r>
      <w:r w:rsidR="000405EB">
        <w:t xml:space="preserve"> </w:t>
      </w:r>
      <w:r w:rsidR="006A7743">
        <w:t xml:space="preserve">receiving </w:t>
      </w:r>
      <w:r w:rsidR="000405EB">
        <w:t xml:space="preserve">earth stations </w:t>
      </w:r>
      <w:r w:rsidR="006A7743">
        <w:t>in the band 42-42.5</w:t>
      </w:r>
      <w:r w:rsidR="00DA2956">
        <w:t xml:space="preserve"> </w:t>
      </w:r>
      <w:r w:rsidR="006A7743">
        <w:t>GHz</w:t>
      </w:r>
      <w:r>
        <w:t>;</w:t>
      </w:r>
    </w:p>
    <w:p w14:paraId="0362BF4F" w14:textId="5AD88E2A" w:rsidR="00D75755" w:rsidRPr="00F324D7" w:rsidRDefault="00D75755" w:rsidP="00D75755">
      <w:pPr>
        <w:pStyle w:val="ECCLetteredList"/>
      </w:pPr>
      <w:r w:rsidRPr="00F324D7">
        <w:t xml:space="preserve">that in EU/EFTA countries the radio equipment that is under the scope of this Decision shall comply with the Radio Equipment (RE) Directive </w:t>
      </w:r>
      <w:r w:rsidR="00394DB8">
        <w:fldChar w:fldCharType="begin"/>
      </w:r>
      <w:r w:rsidR="00394DB8">
        <w:instrText xml:space="preserve"> REF _Ref132985260 \r \h </w:instrText>
      </w:r>
      <w:r w:rsidR="00394DB8">
        <w:fldChar w:fldCharType="separate"/>
      </w:r>
      <w:r w:rsidR="00394DB8">
        <w:t>[6]</w:t>
      </w:r>
      <w:r w:rsidR="00394DB8">
        <w:fldChar w:fldCharType="end"/>
      </w:r>
      <w:r w:rsidRPr="00F324D7">
        <w:t>.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r>
        <w:t>;</w:t>
      </w:r>
    </w:p>
    <w:p w14:paraId="02C5A449" w14:textId="77777777" w:rsidR="0036459A" w:rsidRPr="00F324D7" w:rsidRDefault="0036459A" w:rsidP="001345DC">
      <w:pPr>
        <w:pStyle w:val="ECCParagraph"/>
        <w:spacing w:before="140" w:after="140"/>
        <w:rPr>
          <w:i/>
          <w:color w:val="D2232A"/>
        </w:rPr>
      </w:pPr>
      <w:r w:rsidRPr="00F324D7">
        <w:rPr>
          <w:i/>
          <w:color w:val="D2232A"/>
        </w:rPr>
        <w:t>DECIDES</w:t>
      </w:r>
    </w:p>
    <w:p w14:paraId="733C2F9A" w14:textId="1BEBF2F1" w:rsidR="0036459A" w:rsidRPr="00F324D7" w:rsidRDefault="0036459A" w:rsidP="00C77A76">
      <w:pPr>
        <w:keepNext/>
        <w:numPr>
          <w:ilvl w:val="0"/>
          <w:numId w:val="41"/>
        </w:numPr>
        <w:spacing w:after="240" w:line="259" w:lineRule="auto"/>
        <w:ind w:right="-17" w:hanging="357"/>
        <w:jc w:val="both"/>
        <w:rPr>
          <w:lang w:val="en-GB"/>
        </w:rPr>
      </w:pPr>
      <w:r w:rsidRPr="00F324D7">
        <w:rPr>
          <w:lang w:val="en-GB"/>
        </w:rPr>
        <w:t>that in the band 40.5</w:t>
      </w:r>
      <w:r w:rsidR="00877F96">
        <w:rPr>
          <w:lang w:val="en-GB"/>
        </w:rPr>
        <w:t>-</w:t>
      </w:r>
      <w:r w:rsidRPr="00F324D7">
        <w:rPr>
          <w:lang w:val="en-GB"/>
        </w:rPr>
        <w:t xml:space="preserve">42.5 GHz, uncoordinated </w:t>
      </w:r>
      <w:r w:rsidR="00877F96">
        <w:rPr>
          <w:lang w:val="en-GB"/>
        </w:rPr>
        <w:t>e</w:t>
      </w:r>
      <w:r w:rsidRPr="00F324D7">
        <w:rPr>
          <w:lang w:val="en-GB"/>
        </w:rPr>
        <w:t>arth stations in the fixed-satellite service (space-to-Earth) or broadcasting-satellite service shall not claim protection from stations of the fixed, broadcasting and land mobile services;</w:t>
      </w:r>
    </w:p>
    <w:p w14:paraId="66FB11CB" w14:textId="6CC700DC" w:rsidR="0036459A" w:rsidRPr="00F324D7" w:rsidRDefault="00A95820" w:rsidP="00C77A76">
      <w:pPr>
        <w:numPr>
          <w:ilvl w:val="0"/>
          <w:numId w:val="41"/>
        </w:numPr>
        <w:spacing w:after="240" w:line="259" w:lineRule="auto"/>
        <w:ind w:right="-17" w:hanging="357"/>
        <w:jc w:val="both"/>
        <w:rPr>
          <w:lang w:val="en-GB"/>
        </w:rPr>
      </w:pPr>
      <w:r w:rsidRPr="00F324D7">
        <w:rPr>
          <w:lang w:val="en-GB"/>
        </w:rPr>
        <w:t>that</w:t>
      </w:r>
      <w:r w:rsidR="0036459A" w:rsidRPr="00F324D7">
        <w:rPr>
          <w:lang w:val="en-GB"/>
        </w:rPr>
        <w:t xml:space="preserve"> CEPT administrations shall:</w:t>
      </w:r>
    </w:p>
    <w:p w14:paraId="48E68A69" w14:textId="6765E7C5" w:rsidR="0036459A" w:rsidRPr="00F324D7" w:rsidRDefault="0036459A" w:rsidP="00C77A76">
      <w:pPr>
        <w:numPr>
          <w:ilvl w:val="0"/>
          <w:numId w:val="42"/>
        </w:numPr>
        <w:spacing w:after="120" w:line="259" w:lineRule="auto"/>
        <w:ind w:right="-17" w:hanging="357"/>
        <w:jc w:val="both"/>
        <w:rPr>
          <w:lang w:val="en-GB"/>
        </w:rPr>
      </w:pPr>
      <w:r w:rsidRPr="00F324D7">
        <w:rPr>
          <w:lang w:val="en-GB"/>
        </w:rPr>
        <w:t xml:space="preserve">designate the band 40.5-42.5 GHz on a non-exclusive basis for the use of uncoordinated earth stations in the </w:t>
      </w:r>
      <w:r w:rsidR="00FF6607" w:rsidRPr="00F324D7">
        <w:rPr>
          <w:lang w:val="en-GB"/>
        </w:rPr>
        <w:t>fixed</w:t>
      </w:r>
      <w:r w:rsidR="00FF6607">
        <w:rPr>
          <w:lang w:val="en-GB"/>
        </w:rPr>
        <w:t>-</w:t>
      </w:r>
      <w:r w:rsidRPr="00F324D7">
        <w:rPr>
          <w:lang w:val="en-GB"/>
        </w:rPr>
        <w:t>satellite service (space-to-Earth) and in the broadcasting-satellite service, taking into account Decides 1;</w:t>
      </w:r>
    </w:p>
    <w:p w14:paraId="4F58CD0A" w14:textId="1C3980DD" w:rsidR="0036459A" w:rsidRPr="00F324D7" w:rsidRDefault="0036459A" w:rsidP="00C77A76">
      <w:pPr>
        <w:numPr>
          <w:ilvl w:val="0"/>
          <w:numId w:val="42"/>
        </w:numPr>
        <w:spacing w:after="120" w:line="259" w:lineRule="auto"/>
        <w:ind w:right="-17" w:hanging="357"/>
        <w:jc w:val="both"/>
        <w:rPr>
          <w:lang w:val="en-GB"/>
        </w:rPr>
      </w:pPr>
      <w:r w:rsidRPr="00F324D7">
        <w:rPr>
          <w:lang w:val="en-GB"/>
        </w:rPr>
        <w:lastRenderedPageBreak/>
        <w:t xml:space="preserve">designate the band 40.5-42.5 GHz on a non-exclusive basis for the use of coordinated earth stations in the </w:t>
      </w:r>
      <w:r w:rsidR="00FF6607" w:rsidRPr="00F324D7">
        <w:rPr>
          <w:lang w:val="en-GB"/>
        </w:rPr>
        <w:t>fixed</w:t>
      </w:r>
      <w:r w:rsidR="00FF6607">
        <w:rPr>
          <w:lang w:val="en-GB"/>
        </w:rPr>
        <w:t>-</w:t>
      </w:r>
      <w:r w:rsidRPr="00F324D7">
        <w:rPr>
          <w:lang w:val="en-GB"/>
        </w:rPr>
        <w:t>satellite service (space-to-Earth) and in the broadcasting-satellite service;</w:t>
      </w:r>
    </w:p>
    <w:p w14:paraId="1CBECBE1" w14:textId="77777777" w:rsidR="0036459A" w:rsidRPr="00F324D7" w:rsidRDefault="0036459A" w:rsidP="00C77A76">
      <w:pPr>
        <w:numPr>
          <w:ilvl w:val="0"/>
          <w:numId w:val="42"/>
        </w:numPr>
        <w:spacing w:after="120" w:line="259" w:lineRule="auto"/>
        <w:ind w:right="-17" w:hanging="357"/>
        <w:jc w:val="both"/>
        <w:rPr>
          <w:lang w:val="en-GB"/>
        </w:rPr>
      </w:pPr>
      <w:r w:rsidRPr="00F324D7">
        <w:rPr>
          <w:lang w:val="en-GB"/>
        </w:rPr>
        <w:t>designate the band 42.5-43.5 GHz on a non-exclusive basis for the use of coordinated earth stations in the fixed-satellite service (Earth-to-space);</w:t>
      </w:r>
    </w:p>
    <w:p w14:paraId="7A34F93C" w14:textId="48A9FACE" w:rsidR="00417B54" w:rsidRPr="00417B54" w:rsidRDefault="000C2DAB" w:rsidP="00C77A76">
      <w:pPr>
        <w:keepNext/>
        <w:numPr>
          <w:ilvl w:val="0"/>
          <w:numId w:val="41"/>
        </w:numPr>
        <w:spacing w:after="240" w:line="259" w:lineRule="auto"/>
        <w:ind w:right="-17" w:hanging="357"/>
        <w:jc w:val="both"/>
        <w:rPr>
          <w:lang w:val="en-GB"/>
        </w:rPr>
      </w:pPr>
      <w:r w:rsidRPr="000C2DAB">
        <w:rPr>
          <w:lang w:val="en-GB"/>
        </w:rPr>
        <w:t xml:space="preserve">that </w:t>
      </w:r>
      <w:r w:rsidR="00A2165E">
        <w:rPr>
          <w:lang w:val="en-GB"/>
        </w:rPr>
        <w:t>administrations</w:t>
      </w:r>
      <w:r w:rsidRPr="000C2DAB">
        <w:rPr>
          <w:lang w:val="en-GB"/>
        </w:rPr>
        <w:t xml:space="preserve"> intending to </w:t>
      </w:r>
      <w:r w:rsidR="00A2165E">
        <w:rPr>
          <w:lang w:val="en-GB"/>
        </w:rPr>
        <w:t>authori</w:t>
      </w:r>
      <w:r w:rsidR="00BF4B2A">
        <w:rPr>
          <w:lang w:val="en-GB"/>
        </w:rPr>
        <w:t>s</w:t>
      </w:r>
      <w:r w:rsidR="00A2165E">
        <w:rPr>
          <w:lang w:val="en-GB"/>
        </w:rPr>
        <w:t xml:space="preserve">e </w:t>
      </w:r>
      <w:r w:rsidR="00CF2BBD">
        <w:rPr>
          <w:lang w:val="en-GB"/>
        </w:rPr>
        <w:t>FSS</w:t>
      </w:r>
      <w:r w:rsidR="00661A3C">
        <w:rPr>
          <w:lang w:val="en-GB"/>
        </w:rPr>
        <w:t xml:space="preserve"> </w:t>
      </w:r>
      <w:r w:rsidR="00A2165E">
        <w:rPr>
          <w:lang w:val="en-GB"/>
        </w:rPr>
        <w:t xml:space="preserve">earth stations </w:t>
      </w:r>
      <w:r w:rsidR="00661A3C">
        <w:rPr>
          <w:lang w:val="en-GB"/>
        </w:rPr>
        <w:t>to use the band 42.5-43.5</w:t>
      </w:r>
      <w:r w:rsidR="00C77A76">
        <w:rPr>
          <w:lang w:val="en-GB"/>
        </w:rPr>
        <w:t xml:space="preserve"> </w:t>
      </w:r>
      <w:r w:rsidR="00661A3C">
        <w:rPr>
          <w:lang w:val="en-GB"/>
        </w:rPr>
        <w:t xml:space="preserve">GHz </w:t>
      </w:r>
      <w:r w:rsidRPr="000C2DAB">
        <w:rPr>
          <w:lang w:val="en-GB"/>
        </w:rPr>
        <w:t>shall implement</w:t>
      </w:r>
      <w:r w:rsidR="00CF3C81">
        <w:rPr>
          <w:lang w:val="en-GB"/>
        </w:rPr>
        <w:t>, on a case by case basis,</w:t>
      </w:r>
      <w:r w:rsidRPr="000C2DAB">
        <w:rPr>
          <w:lang w:val="en-GB"/>
        </w:rPr>
        <w:t xml:space="preserve"> </w:t>
      </w:r>
      <w:r>
        <w:rPr>
          <w:lang w:val="en-GB"/>
        </w:rPr>
        <w:t xml:space="preserve">suitable </w:t>
      </w:r>
      <w:r w:rsidR="00CF3C81">
        <w:rPr>
          <w:lang w:val="en-GB"/>
        </w:rPr>
        <w:t>coordination</w:t>
      </w:r>
      <w:r>
        <w:rPr>
          <w:lang w:val="en-GB"/>
        </w:rPr>
        <w:t xml:space="preserve"> zones</w:t>
      </w:r>
      <w:r w:rsidRPr="000C2DAB">
        <w:rPr>
          <w:lang w:val="en-GB"/>
        </w:rPr>
        <w:t xml:space="preserve"> </w:t>
      </w:r>
      <w:r>
        <w:rPr>
          <w:lang w:val="en-GB"/>
        </w:rPr>
        <w:t>around</w:t>
      </w:r>
      <w:r w:rsidR="00A2165E">
        <w:rPr>
          <w:lang w:val="en-GB"/>
        </w:rPr>
        <w:t xml:space="preserve"> current and future</w:t>
      </w:r>
      <w:r>
        <w:rPr>
          <w:lang w:val="en-GB"/>
        </w:rPr>
        <w:t xml:space="preserve"> RAS stations </w:t>
      </w:r>
      <w:r w:rsidRPr="000C2DAB">
        <w:rPr>
          <w:lang w:val="en-GB"/>
        </w:rPr>
        <w:t xml:space="preserve">(see </w:t>
      </w:r>
      <w:r w:rsidR="00BF4B2A">
        <w:rPr>
          <w:lang w:val="en-GB"/>
        </w:rPr>
        <w:fldChar w:fldCharType="begin"/>
      </w:r>
      <w:r w:rsidR="00BF4B2A">
        <w:rPr>
          <w:lang w:val="en-GB"/>
        </w:rPr>
        <w:instrText xml:space="preserve"> REF _Ref134767040 \r \h </w:instrText>
      </w:r>
      <w:r w:rsidR="00BF4B2A">
        <w:rPr>
          <w:lang w:val="en-GB"/>
        </w:rPr>
      </w:r>
      <w:r w:rsidR="00BF4B2A">
        <w:rPr>
          <w:lang w:val="en-GB"/>
        </w:rPr>
        <w:fldChar w:fldCharType="separate"/>
      </w:r>
      <w:r w:rsidR="00BF4B2A">
        <w:rPr>
          <w:lang w:val="en-GB"/>
        </w:rPr>
        <w:t>A</w:t>
      </w:r>
      <w:r w:rsidR="0002110A">
        <w:rPr>
          <w:lang w:val="en-GB"/>
        </w:rPr>
        <w:t>nnex</w:t>
      </w:r>
      <w:r w:rsidR="00BF4B2A">
        <w:rPr>
          <w:lang w:val="en-GB"/>
        </w:rPr>
        <w:t xml:space="preserve"> 1</w:t>
      </w:r>
      <w:r w:rsidR="00BF4B2A">
        <w:rPr>
          <w:lang w:val="en-GB"/>
        </w:rPr>
        <w:fldChar w:fldCharType="end"/>
      </w:r>
      <w:r w:rsidRPr="000C2DAB">
        <w:rPr>
          <w:lang w:val="en-GB"/>
        </w:rPr>
        <w:t>);</w:t>
      </w:r>
    </w:p>
    <w:p w14:paraId="0B4D9608" w14:textId="575420C0" w:rsidR="00C45188" w:rsidRPr="00417B54" w:rsidRDefault="00C45188" w:rsidP="00C77A76">
      <w:pPr>
        <w:keepNext/>
        <w:numPr>
          <w:ilvl w:val="0"/>
          <w:numId w:val="41"/>
        </w:numPr>
        <w:spacing w:after="240" w:line="259" w:lineRule="auto"/>
        <w:ind w:right="-17" w:hanging="357"/>
        <w:jc w:val="both"/>
        <w:rPr>
          <w:lang w:val="en-GB"/>
        </w:rPr>
      </w:pPr>
      <w:r w:rsidRPr="00417B54">
        <w:rPr>
          <w:lang w:val="en-GB"/>
        </w:rPr>
        <w:t>that this Decision replaces ECC</w:t>
      </w:r>
      <w:r w:rsidR="005B27F0" w:rsidRPr="00417B54">
        <w:rPr>
          <w:lang w:val="en-GB"/>
        </w:rPr>
        <w:t xml:space="preserve"> Decision </w:t>
      </w:r>
      <w:r w:rsidRPr="00417B54">
        <w:rPr>
          <w:lang w:val="en-GB"/>
        </w:rPr>
        <w:t>(02)04 which is hereby withdrawn;</w:t>
      </w:r>
    </w:p>
    <w:p w14:paraId="5EA04902" w14:textId="3E77C549" w:rsidR="0036459A" w:rsidRPr="00F324D7" w:rsidRDefault="0036459A" w:rsidP="00C77A76">
      <w:pPr>
        <w:keepNext/>
        <w:numPr>
          <w:ilvl w:val="0"/>
          <w:numId w:val="41"/>
        </w:numPr>
        <w:spacing w:after="240" w:line="259" w:lineRule="auto"/>
        <w:ind w:right="-17" w:hanging="357"/>
        <w:jc w:val="both"/>
        <w:rPr>
          <w:lang w:val="en-GB"/>
        </w:rPr>
      </w:pPr>
      <w:r w:rsidRPr="00F324D7">
        <w:rPr>
          <w:lang w:val="en-GB"/>
        </w:rPr>
        <w:t xml:space="preserve">that this Decision will enter into force on </w:t>
      </w:r>
      <w:r w:rsidR="009059A2">
        <w:rPr>
          <w:lang w:val="en-GB"/>
        </w:rPr>
        <w:t>7</w:t>
      </w:r>
      <w:r w:rsidRPr="00F324D7">
        <w:rPr>
          <w:lang w:val="en-GB"/>
        </w:rPr>
        <w:t xml:space="preserve"> July 2023;</w:t>
      </w:r>
    </w:p>
    <w:p w14:paraId="7E11364B" w14:textId="0BE0C88B" w:rsidR="00E007D3" w:rsidRDefault="00E007D3" w:rsidP="00C77A76">
      <w:pPr>
        <w:keepNext/>
        <w:numPr>
          <w:ilvl w:val="0"/>
          <w:numId w:val="41"/>
        </w:numPr>
        <w:spacing w:after="240" w:line="259" w:lineRule="auto"/>
        <w:ind w:right="-17" w:hanging="357"/>
        <w:jc w:val="both"/>
        <w:rPr>
          <w:lang w:val="en-GB"/>
        </w:rPr>
      </w:pPr>
      <w:r>
        <w:rPr>
          <w:lang w:val="en-GB"/>
        </w:rPr>
        <w:t>that</w:t>
      </w:r>
      <w:r w:rsidR="009059A2" w:rsidRPr="009059A2">
        <w:rPr>
          <w:lang w:val="en-GB"/>
        </w:rPr>
        <w:t xml:space="preserve"> the preferred date for implementation of this Decision shall be </w:t>
      </w:r>
      <w:r w:rsidR="009059A2">
        <w:rPr>
          <w:lang w:val="en-GB"/>
        </w:rPr>
        <w:t xml:space="preserve">7 </w:t>
      </w:r>
      <w:r w:rsidR="002E0B8B">
        <w:rPr>
          <w:lang w:val="en-GB"/>
        </w:rPr>
        <w:t>January 2024</w:t>
      </w:r>
      <w:r w:rsidR="009059A2" w:rsidRPr="009059A2">
        <w:rPr>
          <w:lang w:val="en-GB"/>
        </w:rPr>
        <w:t>;</w:t>
      </w:r>
    </w:p>
    <w:p w14:paraId="461DBC80" w14:textId="592F13A3" w:rsidR="0036459A" w:rsidRPr="00F324D7" w:rsidRDefault="0036459A" w:rsidP="00C77A76">
      <w:pPr>
        <w:keepNext/>
        <w:numPr>
          <w:ilvl w:val="0"/>
          <w:numId w:val="41"/>
        </w:numPr>
        <w:spacing w:after="240" w:line="259" w:lineRule="auto"/>
        <w:ind w:right="-17" w:hanging="357"/>
        <w:jc w:val="both"/>
        <w:rPr>
          <w:lang w:val="en-GB"/>
        </w:rPr>
      </w:pPr>
      <w:r w:rsidRPr="00F324D7">
        <w:rPr>
          <w:lang w:val="en-GB"/>
        </w:rPr>
        <w:t>that CEPT administrations shall communicate the national measures implementing this Decision to the ECC Chairman and the Office when the Decision is nationally implemented.”</w:t>
      </w:r>
    </w:p>
    <w:p w14:paraId="3FF224FF" w14:textId="77777777" w:rsidR="001C46EA" w:rsidRPr="00F324D7" w:rsidRDefault="001C46EA" w:rsidP="00D90B0A">
      <w:pPr>
        <w:pStyle w:val="ECCParagraph"/>
        <w:keepNext/>
      </w:pPr>
    </w:p>
    <w:p w14:paraId="47821065" w14:textId="77777777" w:rsidR="001C46EA" w:rsidRPr="00F324D7" w:rsidRDefault="001C46EA" w:rsidP="00D90B0A">
      <w:pPr>
        <w:pStyle w:val="ECCParagraph"/>
        <w:keepNext/>
        <w:rPr>
          <w:i/>
          <w:color w:val="D2232A"/>
        </w:rPr>
      </w:pPr>
      <w:r w:rsidRPr="00F324D7">
        <w:rPr>
          <w:i/>
          <w:color w:val="D2232A"/>
        </w:rPr>
        <w:t xml:space="preserve">Note: </w:t>
      </w:r>
    </w:p>
    <w:p w14:paraId="63BBD0A6" w14:textId="74F562B1" w:rsidR="001C46EA" w:rsidRPr="00F324D7" w:rsidRDefault="001C46EA" w:rsidP="00D90B0A">
      <w:pPr>
        <w:pStyle w:val="ECCParagraph"/>
        <w:keepNext/>
      </w:pPr>
      <w:r w:rsidRPr="00F324D7">
        <w:rPr>
          <w:i/>
          <w:szCs w:val="20"/>
        </w:rPr>
        <w:t>Please check the Office documentation database</w:t>
      </w:r>
      <w:r w:rsidR="003F3883" w:rsidRPr="00F324D7">
        <w:rPr>
          <w:i/>
          <w:szCs w:val="20"/>
        </w:rPr>
        <w:t xml:space="preserve"> </w:t>
      </w:r>
      <w:hyperlink r:id="rId8" w:history="1">
        <w:r w:rsidR="008C570F" w:rsidRPr="00F324D7">
          <w:rPr>
            <w:rStyle w:val="Hyperlink"/>
            <w:i/>
            <w:szCs w:val="20"/>
          </w:rPr>
          <w:t>https://docdb.cept.org/</w:t>
        </w:r>
      </w:hyperlink>
      <w:r w:rsidRPr="00F324D7">
        <w:rPr>
          <w:i/>
          <w:szCs w:val="20"/>
        </w:rPr>
        <w:t xml:space="preserve"> for the up to date position on the implementation of this and other </w:t>
      </w:r>
      <w:smartTag w:uri="urn:schemas-microsoft-com:office:smarttags" w:element="stockticker">
        <w:r w:rsidRPr="00F324D7">
          <w:rPr>
            <w:i/>
            <w:szCs w:val="20"/>
          </w:rPr>
          <w:t>ECC</w:t>
        </w:r>
      </w:smartTag>
      <w:r w:rsidRPr="00F324D7">
        <w:rPr>
          <w:i/>
          <w:szCs w:val="20"/>
        </w:rPr>
        <w:t xml:space="preserve"> Decisions.</w:t>
      </w:r>
    </w:p>
    <w:p w14:paraId="6F61AB3C" w14:textId="77777777" w:rsidR="006C03D0" w:rsidRPr="00F324D7" w:rsidRDefault="006C03D0" w:rsidP="006C03D0">
      <w:pPr>
        <w:pStyle w:val="ECCParagraph"/>
      </w:pPr>
    </w:p>
    <w:p w14:paraId="10F313C9" w14:textId="3F3FA3A6" w:rsidR="006C03D0" w:rsidRPr="00C05738" w:rsidRDefault="007A210A" w:rsidP="00013A20">
      <w:pPr>
        <w:pStyle w:val="ECCAnnex-heading1"/>
      </w:pPr>
      <w:bookmarkStart w:id="4" w:name="_Ref134767040"/>
      <w:r w:rsidRPr="00C05738">
        <w:lastRenderedPageBreak/>
        <w:t>R</w:t>
      </w:r>
      <w:r w:rsidR="00C77A76">
        <w:t xml:space="preserve">adioastronomy stations capable of operating </w:t>
      </w:r>
      <w:r w:rsidR="001541DC">
        <w:t xml:space="preserve">in the band </w:t>
      </w:r>
      <w:r w:rsidRPr="00C05738">
        <w:t>42.5</w:t>
      </w:r>
      <w:r w:rsidR="00815AAB">
        <w:t>-</w:t>
      </w:r>
      <w:r w:rsidRPr="00C05738">
        <w:t>43.5 GH</w:t>
      </w:r>
      <w:r w:rsidR="001541DC">
        <w:t>z</w:t>
      </w:r>
      <w:bookmarkEnd w:id="4"/>
    </w:p>
    <w:p w14:paraId="27070500" w14:textId="04D73176" w:rsidR="007A210A" w:rsidRDefault="00DD3DDF" w:rsidP="007A210A">
      <w:pPr>
        <w:pStyle w:val="ECCParagraph"/>
      </w:pPr>
      <w:r>
        <w:fldChar w:fldCharType="begin"/>
      </w:r>
      <w:r>
        <w:instrText xml:space="preserve"> REF _Ref135839744 \h </w:instrText>
      </w:r>
      <w:r>
        <w:fldChar w:fldCharType="separate"/>
      </w:r>
      <w:r w:rsidRPr="00417B54">
        <w:rPr>
          <w:lang w:val="en-IE"/>
        </w:rPr>
        <w:t xml:space="preserve">Table </w:t>
      </w:r>
      <w:r w:rsidRPr="00417B54">
        <w:rPr>
          <w:noProof/>
          <w:lang w:val="en-IE"/>
        </w:rPr>
        <w:t>1</w:t>
      </w:r>
      <w:r>
        <w:fldChar w:fldCharType="end"/>
      </w:r>
      <w:r w:rsidR="007A210A">
        <w:t xml:space="preserve"> shows a list of RAS sites which are currently operating or capable of operating in the band 42.5</w:t>
      </w:r>
      <w:r w:rsidR="00190787">
        <w:t>-</w:t>
      </w:r>
      <w:r w:rsidR="007A210A">
        <w:t>43.5</w:t>
      </w:r>
      <w:r w:rsidR="00190787">
        <w:t> </w:t>
      </w:r>
      <w:r w:rsidR="007A210A">
        <w:t>GHz</w:t>
      </w:r>
      <w:r w:rsidR="00A2165E">
        <w:t>.</w:t>
      </w:r>
      <w:r w:rsidR="007A210A">
        <w:t xml:space="preserve"> Administrations will need to determine the specific radio astronomy stations in their territory which require protection from FSS earth stations in their territory. FSS operators will need to check </w:t>
      </w:r>
      <w:r w:rsidR="00616A04">
        <w:t xml:space="preserve">the RAS protection requirements </w:t>
      </w:r>
      <w:r w:rsidR="007A210A">
        <w:t>with the relevant administrations.</w:t>
      </w:r>
      <w:r w:rsidR="007A210A">
        <w:cr/>
      </w:r>
    </w:p>
    <w:p w14:paraId="1F229F92" w14:textId="7F38D38C" w:rsidR="00417B54" w:rsidRPr="00417B54" w:rsidRDefault="00417B54" w:rsidP="00417B54">
      <w:pPr>
        <w:pStyle w:val="Caption"/>
        <w:keepNext/>
        <w:rPr>
          <w:lang w:val="en-IE"/>
        </w:rPr>
      </w:pPr>
      <w:bookmarkStart w:id="5" w:name="_Ref135839744"/>
      <w:r w:rsidRPr="00417B54">
        <w:rPr>
          <w:lang w:val="en-IE"/>
        </w:rPr>
        <w:t xml:space="preserve">Table </w:t>
      </w:r>
      <w:r>
        <w:fldChar w:fldCharType="begin"/>
      </w:r>
      <w:r w:rsidRPr="00417B54">
        <w:rPr>
          <w:lang w:val="en-IE"/>
        </w:rPr>
        <w:instrText xml:space="preserve"> SEQ Table \* ARABIC </w:instrText>
      </w:r>
      <w:r>
        <w:fldChar w:fldCharType="separate"/>
      </w:r>
      <w:r w:rsidRPr="00417B54">
        <w:rPr>
          <w:noProof/>
          <w:lang w:val="en-IE"/>
        </w:rPr>
        <w:t>1</w:t>
      </w:r>
      <w:r>
        <w:fldChar w:fldCharType="end"/>
      </w:r>
      <w:bookmarkEnd w:id="5"/>
      <w:r w:rsidRPr="00417B54">
        <w:rPr>
          <w:lang w:val="en-IE"/>
        </w:rPr>
        <w:t>:</w:t>
      </w:r>
      <w:r w:rsidR="00C77A76" w:rsidRPr="00175E4F">
        <w:rPr>
          <w:lang w:val="en-IE"/>
        </w:rPr>
        <w:t xml:space="preserve"> List of </w:t>
      </w:r>
      <w:r w:rsidRPr="00417B54">
        <w:rPr>
          <w:lang w:val="en-IE"/>
        </w:rPr>
        <w:t>RAS stations capable of operating in the band 42.5</w:t>
      </w:r>
      <w:r w:rsidR="006C4B75">
        <w:rPr>
          <w:lang w:val="en-IE"/>
        </w:rPr>
        <w:t>-</w:t>
      </w:r>
      <w:r w:rsidRPr="00417B54">
        <w:rPr>
          <w:lang w:val="en-IE"/>
        </w:rPr>
        <w:t>43.5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09"/>
        <w:gridCol w:w="3136"/>
        <w:gridCol w:w="1985"/>
        <w:gridCol w:w="1984"/>
      </w:tblGrid>
      <w:tr w:rsidR="006C4B75" w:rsidRPr="007A210A" w14:paraId="7455001F" w14:textId="77777777" w:rsidTr="00505F27">
        <w:trPr>
          <w:tblHeader/>
          <w:jc w:val="center"/>
        </w:trPr>
        <w:tc>
          <w:tcPr>
            <w:tcW w:w="180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2232A"/>
            <w:vAlign w:val="center"/>
          </w:tcPr>
          <w:p w14:paraId="3FED2722" w14:textId="30E454EE" w:rsidR="006C4B75" w:rsidRPr="007A210A" w:rsidRDefault="006C4B75" w:rsidP="007A210A">
            <w:pPr>
              <w:spacing w:before="120" w:after="120"/>
              <w:jc w:val="center"/>
              <w:rPr>
                <w:b/>
                <w:color w:val="FFFFFF" w:themeColor="background1"/>
                <w:szCs w:val="20"/>
                <w:lang w:val="en-GB"/>
              </w:rPr>
            </w:pPr>
            <w:r w:rsidRPr="007A210A">
              <w:rPr>
                <w:b/>
                <w:color w:val="FFFFFF" w:themeColor="background1"/>
                <w:szCs w:val="20"/>
                <w:lang w:val="en-GB"/>
              </w:rPr>
              <w:t>Station Name</w:t>
            </w:r>
          </w:p>
        </w:tc>
        <w:tc>
          <w:tcPr>
            <w:tcW w:w="313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2232A"/>
            <w:vAlign w:val="center"/>
          </w:tcPr>
          <w:p w14:paraId="0803188C" w14:textId="6D203DB5" w:rsidR="006C4B75" w:rsidRPr="007A210A" w:rsidRDefault="006C4B75" w:rsidP="007A210A">
            <w:pPr>
              <w:spacing w:before="120" w:after="120"/>
              <w:jc w:val="center"/>
              <w:rPr>
                <w:b/>
                <w:color w:val="FFFFFF" w:themeColor="background1"/>
                <w:szCs w:val="20"/>
                <w:lang w:val="en-GB"/>
              </w:rPr>
            </w:pPr>
            <w:r w:rsidRPr="007A210A">
              <w:rPr>
                <w:b/>
                <w:color w:val="FFFFFF" w:themeColor="background1"/>
                <w:szCs w:val="20"/>
                <w:lang w:val="en-GB"/>
              </w:rPr>
              <w:t>Responsible Administration</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79D17A7D" w14:textId="77777777" w:rsidR="006C4B75" w:rsidRPr="007A210A" w:rsidRDefault="006C4B75" w:rsidP="007A210A">
            <w:pPr>
              <w:spacing w:before="120" w:after="120"/>
              <w:jc w:val="center"/>
              <w:rPr>
                <w:b/>
                <w:color w:val="FFFFFF" w:themeColor="background1"/>
                <w:szCs w:val="20"/>
                <w:lang w:val="en-GB"/>
              </w:rPr>
            </w:pPr>
            <w:r w:rsidRPr="007A210A">
              <w:rPr>
                <w:b/>
                <w:color w:val="FFFFFF" w:themeColor="background1"/>
                <w:szCs w:val="20"/>
                <w:lang w:val="en-GB"/>
              </w:rPr>
              <w:t>Location</w:t>
            </w:r>
          </w:p>
        </w:tc>
      </w:tr>
      <w:tr w:rsidR="006C4B75" w:rsidRPr="007A210A" w14:paraId="341B61A8" w14:textId="77777777" w:rsidTr="00505F27">
        <w:trPr>
          <w:tblHeader/>
          <w:jc w:val="center"/>
        </w:trPr>
        <w:tc>
          <w:tcPr>
            <w:tcW w:w="1809" w:type="dxa"/>
            <w:vMerge/>
            <w:tcBorders>
              <w:left w:val="single" w:sz="4" w:space="0" w:color="FFFFFF" w:themeColor="background1"/>
              <w:bottom w:val="single" w:sz="4" w:space="0" w:color="FFFFFF" w:themeColor="background1"/>
              <w:right w:val="single" w:sz="4" w:space="0" w:color="FFFFFF" w:themeColor="background1"/>
            </w:tcBorders>
            <w:shd w:val="clear" w:color="auto" w:fill="D2232A"/>
            <w:vAlign w:val="center"/>
            <w:hideMark/>
          </w:tcPr>
          <w:p w14:paraId="7BF2A90F" w14:textId="2B4FE3FF" w:rsidR="006C4B75" w:rsidRPr="007A210A" w:rsidRDefault="006C4B75" w:rsidP="007A210A">
            <w:pPr>
              <w:spacing w:before="120" w:after="120"/>
              <w:jc w:val="center"/>
              <w:rPr>
                <w:b/>
                <w:color w:val="FFFFFF" w:themeColor="background1"/>
                <w:szCs w:val="20"/>
                <w:lang w:val="en-GB"/>
              </w:rPr>
            </w:pPr>
          </w:p>
        </w:tc>
        <w:tc>
          <w:tcPr>
            <w:tcW w:w="3136" w:type="dxa"/>
            <w:vMerge/>
            <w:tcBorders>
              <w:left w:val="single" w:sz="4" w:space="0" w:color="FFFFFF" w:themeColor="background1"/>
              <w:bottom w:val="single" w:sz="4" w:space="0" w:color="FFFFFF" w:themeColor="background1"/>
              <w:right w:val="single" w:sz="4" w:space="0" w:color="FFFFFF" w:themeColor="background1"/>
            </w:tcBorders>
            <w:shd w:val="clear" w:color="auto" w:fill="D2232A"/>
            <w:vAlign w:val="center"/>
            <w:hideMark/>
          </w:tcPr>
          <w:p w14:paraId="274C91C5" w14:textId="04982EF9" w:rsidR="006C4B75" w:rsidRPr="007A210A" w:rsidRDefault="006C4B75" w:rsidP="007A210A">
            <w:pPr>
              <w:spacing w:before="120" w:after="120"/>
              <w:jc w:val="center"/>
              <w:rPr>
                <w:b/>
                <w:color w:val="FFFFFF" w:themeColor="background1"/>
                <w:szCs w:val="20"/>
                <w:lang w:val="en-GB"/>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3F810D01" w14:textId="77777777" w:rsidR="006C4B75" w:rsidRPr="007A210A" w:rsidRDefault="006C4B75" w:rsidP="007A210A">
            <w:pPr>
              <w:spacing w:before="120" w:after="120"/>
              <w:jc w:val="center"/>
              <w:rPr>
                <w:b/>
                <w:color w:val="FFFFFF" w:themeColor="background1"/>
                <w:szCs w:val="20"/>
                <w:lang w:val="en-GB"/>
              </w:rPr>
            </w:pPr>
            <w:r w:rsidRPr="007A210A">
              <w:rPr>
                <w:b/>
                <w:color w:val="FFFFFF" w:themeColor="background1"/>
                <w:szCs w:val="20"/>
                <w:lang w:val="en-GB"/>
              </w:rPr>
              <w:t>Latitude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hideMark/>
          </w:tcPr>
          <w:p w14:paraId="54DCC26B" w14:textId="77777777" w:rsidR="006C4B75" w:rsidRPr="007A210A" w:rsidRDefault="006C4B75" w:rsidP="007A210A">
            <w:pPr>
              <w:spacing w:before="120" w:after="120"/>
              <w:jc w:val="center"/>
              <w:rPr>
                <w:b/>
                <w:color w:val="FFFFFF" w:themeColor="background1"/>
                <w:szCs w:val="20"/>
                <w:lang w:val="en-GB"/>
              </w:rPr>
            </w:pPr>
            <w:r w:rsidRPr="007A210A">
              <w:rPr>
                <w:b/>
                <w:color w:val="FFFFFF" w:themeColor="background1"/>
                <w:szCs w:val="20"/>
                <w:lang w:val="en-GB"/>
              </w:rPr>
              <w:t>Longitude</w:t>
            </w:r>
          </w:p>
        </w:tc>
      </w:tr>
      <w:tr w:rsidR="007A210A" w:rsidRPr="007A210A" w14:paraId="16D7B153" w14:textId="77777777" w:rsidTr="004923C8">
        <w:trPr>
          <w:jc w:val="center"/>
        </w:trPr>
        <w:tc>
          <w:tcPr>
            <w:tcW w:w="1809" w:type="dxa"/>
            <w:tcBorders>
              <w:top w:val="single" w:sz="4" w:space="0" w:color="FFFFFF" w:themeColor="background1"/>
              <w:left w:val="single" w:sz="4" w:space="0" w:color="D2232A"/>
              <w:bottom w:val="single" w:sz="4" w:space="0" w:color="D2232A"/>
              <w:right w:val="single" w:sz="4" w:space="0" w:color="D2232A"/>
            </w:tcBorders>
            <w:shd w:val="clear" w:color="auto" w:fill="FFFFFF" w:themeFill="background1"/>
            <w:hideMark/>
          </w:tcPr>
          <w:p w14:paraId="197E3B42" w14:textId="77777777" w:rsidR="007A210A" w:rsidRPr="007A210A" w:rsidRDefault="007A210A" w:rsidP="007A210A">
            <w:pPr>
              <w:spacing w:before="60" w:after="60"/>
              <w:jc w:val="both"/>
              <w:rPr>
                <w:rFonts w:eastAsia="Calibri" w:cs="Arial"/>
                <w:szCs w:val="20"/>
                <w:lang w:val="en-GB"/>
              </w:rPr>
            </w:pPr>
            <w:proofErr w:type="spellStart"/>
            <w:r w:rsidRPr="007A210A">
              <w:rPr>
                <w:rFonts w:eastAsia="Calibri" w:cs="Arial"/>
                <w:szCs w:val="20"/>
                <w:lang w:val="en-GB"/>
              </w:rPr>
              <w:t>Metsahovi</w:t>
            </w:r>
            <w:proofErr w:type="spellEnd"/>
          </w:p>
        </w:tc>
        <w:tc>
          <w:tcPr>
            <w:tcW w:w="3136" w:type="dxa"/>
            <w:tcBorders>
              <w:top w:val="single" w:sz="4" w:space="0" w:color="FFFFFF" w:themeColor="background1"/>
              <w:left w:val="single" w:sz="4" w:space="0" w:color="D2232A"/>
              <w:bottom w:val="single" w:sz="4" w:space="0" w:color="D2232A"/>
              <w:right w:val="single" w:sz="4" w:space="0" w:color="D2232A"/>
            </w:tcBorders>
            <w:shd w:val="clear" w:color="auto" w:fill="FFFFFF" w:themeFill="background1"/>
            <w:hideMark/>
          </w:tcPr>
          <w:p w14:paraId="1AB4028F"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Finland</w:t>
            </w:r>
          </w:p>
        </w:tc>
        <w:tc>
          <w:tcPr>
            <w:tcW w:w="1985" w:type="dxa"/>
            <w:tcBorders>
              <w:top w:val="single" w:sz="4" w:space="0" w:color="FFFFFF" w:themeColor="background1"/>
              <w:left w:val="single" w:sz="4" w:space="0" w:color="D2232A"/>
              <w:bottom w:val="single" w:sz="4" w:space="0" w:color="D2232A"/>
              <w:right w:val="single" w:sz="4" w:space="0" w:color="D2232A"/>
            </w:tcBorders>
            <w:shd w:val="clear" w:color="auto" w:fill="FFFFFF" w:themeFill="background1"/>
            <w:hideMark/>
          </w:tcPr>
          <w:p w14:paraId="06D2E88B"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60° 13′ 05″ N</w:t>
            </w:r>
          </w:p>
        </w:tc>
        <w:tc>
          <w:tcPr>
            <w:tcW w:w="1984" w:type="dxa"/>
            <w:tcBorders>
              <w:top w:val="single" w:sz="4" w:space="0" w:color="FFFFFF" w:themeColor="background1"/>
              <w:left w:val="single" w:sz="4" w:space="0" w:color="D2232A"/>
              <w:bottom w:val="single" w:sz="4" w:space="0" w:color="D2232A"/>
              <w:right w:val="single" w:sz="4" w:space="0" w:color="D2232A"/>
            </w:tcBorders>
            <w:shd w:val="clear" w:color="auto" w:fill="FFFFFF" w:themeFill="background1"/>
            <w:hideMark/>
          </w:tcPr>
          <w:p w14:paraId="642FBFA3"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24° 23′ 36″ E</w:t>
            </w:r>
          </w:p>
        </w:tc>
      </w:tr>
      <w:tr w:rsidR="007A210A" w:rsidRPr="007A210A" w14:paraId="52B9B98B"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6BBA8036"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Plateau de Bure</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6CD58742"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France</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56B2E1B1"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44° 38′ 02″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278920BD"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05° 54′ 28″ E</w:t>
            </w:r>
          </w:p>
        </w:tc>
      </w:tr>
      <w:tr w:rsidR="007A210A" w:rsidRPr="007A210A" w14:paraId="5636B4C8"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511E19AB"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Effelsberg</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ACB8E5D"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Germany</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3E214613"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50° 31′ 29″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1D8A1AE6"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06° 53′ 01″ E</w:t>
            </w:r>
          </w:p>
        </w:tc>
      </w:tr>
      <w:tr w:rsidR="007A210A" w:rsidRPr="007A210A" w14:paraId="334E0EC1"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BC24496"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Noto</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36CDDF7F"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Italy</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1303DD09"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36° 52′ 33″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16436A34"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14° 59′ 20″ E</w:t>
            </w:r>
          </w:p>
        </w:tc>
      </w:tr>
      <w:tr w:rsidR="007A210A" w:rsidRPr="007A210A" w14:paraId="0F6D8225"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5498CEFD"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Sardinia</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549A7B1"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Italy</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5B2D45D"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39° 29′ 34″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6889F449"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09° 14′ 42″ E</w:t>
            </w:r>
          </w:p>
        </w:tc>
      </w:tr>
      <w:tr w:rsidR="007A210A" w:rsidRPr="007A210A" w14:paraId="78FA195D"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7266EF3" w14:textId="77777777" w:rsidR="007A210A" w:rsidRPr="007A210A" w:rsidRDefault="007A210A" w:rsidP="007A210A">
            <w:pPr>
              <w:spacing w:before="60" w:after="60"/>
              <w:jc w:val="both"/>
              <w:rPr>
                <w:rFonts w:eastAsia="Calibri" w:cs="Arial"/>
                <w:szCs w:val="20"/>
                <w:lang w:val="en-GB"/>
              </w:rPr>
            </w:pPr>
            <w:proofErr w:type="spellStart"/>
            <w:r w:rsidRPr="007A210A">
              <w:rPr>
                <w:rFonts w:eastAsia="Calibri" w:cs="Arial"/>
                <w:szCs w:val="20"/>
                <w:lang w:val="en-GB"/>
              </w:rPr>
              <w:t>Medicina</w:t>
            </w:r>
            <w:proofErr w:type="spellEnd"/>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187B523F"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Italy</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4E0EF900"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44° 31′ 15″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2F736518"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11° 38′ 49″ E</w:t>
            </w:r>
          </w:p>
        </w:tc>
      </w:tr>
      <w:tr w:rsidR="007A210A" w:rsidRPr="007A210A" w14:paraId="1982F986"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2DAC0836" w14:textId="77777777" w:rsidR="007A210A" w:rsidRPr="007A210A" w:rsidRDefault="007A210A" w:rsidP="007A210A">
            <w:pPr>
              <w:spacing w:before="60" w:after="60"/>
              <w:jc w:val="both"/>
              <w:rPr>
                <w:rFonts w:eastAsia="Calibri" w:cs="Arial"/>
                <w:szCs w:val="20"/>
                <w:lang w:val="en-GB"/>
              </w:rPr>
            </w:pPr>
            <w:r w:rsidRPr="007A210A">
              <w:rPr>
                <w:rFonts w:cs="Arial"/>
                <w:color w:val="000000"/>
                <w:szCs w:val="20"/>
                <w:lang w:val="en-GB" w:eastAsia="en-GB"/>
              </w:rPr>
              <w:t xml:space="preserve">Torun </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3BC3CA2C" w14:textId="77777777" w:rsidR="007A210A" w:rsidRPr="007A210A" w:rsidRDefault="007A210A" w:rsidP="007A210A">
            <w:pPr>
              <w:spacing w:before="60" w:after="60"/>
              <w:jc w:val="both"/>
              <w:rPr>
                <w:rFonts w:eastAsia="Calibri" w:cs="Arial"/>
                <w:szCs w:val="20"/>
                <w:lang w:val="en-GB"/>
              </w:rPr>
            </w:pPr>
            <w:r w:rsidRPr="007A210A">
              <w:rPr>
                <w:rFonts w:cs="Arial"/>
                <w:color w:val="000000"/>
                <w:szCs w:val="20"/>
                <w:lang w:val="en-GB" w:eastAsia="en-GB"/>
              </w:rPr>
              <w:t>Poland</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612FC98E" w14:textId="77777777" w:rsidR="007A210A" w:rsidRPr="007A210A" w:rsidRDefault="007A210A" w:rsidP="007A210A">
            <w:pPr>
              <w:spacing w:before="60" w:after="60"/>
              <w:jc w:val="both"/>
              <w:rPr>
                <w:rFonts w:eastAsia="Calibri" w:cs="Arial"/>
                <w:szCs w:val="20"/>
                <w:lang w:val="en-GB"/>
              </w:rPr>
            </w:pPr>
            <w:r w:rsidRPr="007A210A">
              <w:rPr>
                <w:rFonts w:cs="Arial"/>
                <w:color w:val="000000"/>
                <w:szCs w:val="20"/>
                <w:lang w:val="en-GB" w:eastAsia="en-GB"/>
              </w:rPr>
              <w:t>53° 05′ 43″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154490C" w14:textId="77777777" w:rsidR="007A210A" w:rsidRPr="007A210A" w:rsidRDefault="007A210A" w:rsidP="007A210A">
            <w:pPr>
              <w:spacing w:before="60" w:after="60"/>
              <w:jc w:val="both"/>
              <w:rPr>
                <w:rFonts w:eastAsia="Calibri" w:cs="Arial"/>
                <w:szCs w:val="20"/>
                <w:lang w:val="en-GB"/>
              </w:rPr>
            </w:pPr>
            <w:r w:rsidRPr="007A210A">
              <w:rPr>
                <w:rFonts w:cs="Arial"/>
                <w:color w:val="000000"/>
                <w:szCs w:val="20"/>
                <w:lang w:val="en-GB" w:eastAsia="en-GB"/>
              </w:rPr>
              <w:t>18° 33′ 46″ E</w:t>
            </w:r>
          </w:p>
        </w:tc>
      </w:tr>
      <w:tr w:rsidR="007A210A" w:rsidRPr="007A210A" w14:paraId="2176026E"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50AB4AF1" w14:textId="77777777" w:rsidR="007A210A" w:rsidRPr="007A210A" w:rsidRDefault="007A210A" w:rsidP="007A210A">
            <w:pPr>
              <w:spacing w:before="60" w:after="60"/>
              <w:jc w:val="both"/>
              <w:rPr>
                <w:rFonts w:cs="Arial"/>
                <w:color w:val="000000"/>
                <w:szCs w:val="20"/>
                <w:lang w:val="en-GB" w:eastAsia="en-GB"/>
              </w:rPr>
            </w:pPr>
            <w:r w:rsidRPr="007A210A">
              <w:rPr>
                <w:rFonts w:eastAsia="Calibri" w:cs="Arial"/>
                <w:szCs w:val="20"/>
                <w:lang w:val="en-GB"/>
              </w:rPr>
              <w:t>Santa Maria</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5666ECE8" w14:textId="77777777" w:rsidR="007A210A" w:rsidRPr="007A210A" w:rsidRDefault="007A210A" w:rsidP="007A210A">
            <w:pPr>
              <w:spacing w:before="60" w:after="60"/>
              <w:jc w:val="both"/>
              <w:rPr>
                <w:rFonts w:cs="Arial"/>
                <w:color w:val="000000"/>
                <w:szCs w:val="20"/>
                <w:lang w:val="en-GB" w:eastAsia="en-GB"/>
              </w:rPr>
            </w:pPr>
            <w:r w:rsidRPr="007A210A">
              <w:rPr>
                <w:rFonts w:eastAsia="Calibri" w:cs="Arial"/>
                <w:szCs w:val="20"/>
                <w:lang w:val="en-GB"/>
              </w:rPr>
              <w:t>Portugal</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459B7146" w14:textId="77777777" w:rsidR="007A210A" w:rsidRPr="007A210A" w:rsidRDefault="007A210A" w:rsidP="007A210A">
            <w:pPr>
              <w:spacing w:before="60" w:after="60"/>
              <w:jc w:val="both"/>
              <w:rPr>
                <w:rFonts w:cs="Arial"/>
                <w:color w:val="000000"/>
                <w:szCs w:val="20"/>
                <w:lang w:val="en-GB" w:eastAsia="en-GB"/>
              </w:rPr>
            </w:pPr>
            <w:r w:rsidRPr="007A210A">
              <w:rPr>
                <w:rFonts w:eastAsia="Calibri" w:cs="Arial"/>
                <w:szCs w:val="20"/>
                <w:lang w:val="en-GB"/>
              </w:rPr>
              <w:t>36° 59′ 07″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775560F8" w14:textId="77777777" w:rsidR="007A210A" w:rsidRPr="007A210A" w:rsidRDefault="007A210A" w:rsidP="007A210A">
            <w:pPr>
              <w:spacing w:before="60" w:after="60"/>
              <w:jc w:val="both"/>
              <w:rPr>
                <w:rFonts w:cs="Arial"/>
                <w:color w:val="000000"/>
                <w:szCs w:val="20"/>
                <w:lang w:val="en-GB" w:eastAsia="en-GB"/>
              </w:rPr>
            </w:pPr>
            <w:r w:rsidRPr="007A210A">
              <w:rPr>
                <w:rFonts w:eastAsia="Calibri" w:cs="Arial"/>
                <w:szCs w:val="20"/>
                <w:lang w:val="en-GB"/>
              </w:rPr>
              <w:t>25° 07′ 33″ W</w:t>
            </w:r>
          </w:p>
        </w:tc>
      </w:tr>
      <w:tr w:rsidR="007A210A" w:rsidRPr="007A210A" w14:paraId="469BBF64"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577D7F43" w14:textId="77777777" w:rsidR="007A210A" w:rsidRPr="007A210A" w:rsidRDefault="007A210A" w:rsidP="007A210A">
            <w:pPr>
              <w:spacing w:before="60" w:after="60"/>
              <w:jc w:val="both"/>
              <w:rPr>
                <w:rFonts w:eastAsia="Calibri" w:cs="Arial"/>
                <w:szCs w:val="20"/>
                <w:lang w:val="en-GB"/>
              </w:rPr>
            </w:pPr>
            <w:r w:rsidRPr="007A210A">
              <w:rPr>
                <w:rFonts w:eastAsia="Calibri"/>
                <w:szCs w:val="22"/>
              </w:rPr>
              <w:t>Pico Veleta</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04880D07"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Spain</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7268774B" w14:textId="77777777" w:rsidR="007A210A" w:rsidRPr="007A210A" w:rsidRDefault="007A210A" w:rsidP="007A210A">
            <w:pPr>
              <w:spacing w:before="60" w:after="60"/>
              <w:jc w:val="both"/>
              <w:rPr>
                <w:rFonts w:eastAsia="Calibri" w:cs="Arial"/>
                <w:szCs w:val="20"/>
                <w:lang w:val="en-GB"/>
              </w:rPr>
            </w:pPr>
            <w:r w:rsidRPr="007A210A">
              <w:rPr>
                <w:rFonts w:eastAsia="Calibri"/>
                <w:szCs w:val="22"/>
              </w:rPr>
              <w:t>37° 03′ 58″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2CB56977" w14:textId="77777777" w:rsidR="007A210A" w:rsidRPr="007A210A" w:rsidRDefault="007A210A" w:rsidP="007A210A">
            <w:pPr>
              <w:spacing w:before="60" w:after="60"/>
              <w:jc w:val="both"/>
              <w:rPr>
                <w:rFonts w:eastAsia="Calibri" w:cs="Arial"/>
                <w:szCs w:val="20"/>
                <w:lang w:val="en-GB"/>
              </w:rPr>
            </w:pPr>
            <w:r w:rsidRPr="007A210A">
              <w:rPr>
                <w:rFonts w:eastAsia="Calibri"/>
                <w:szCs w:val="22"/>
              </w:rPr>
              <w:t>03° 23</w:t>
            </w:r>
            <w:r w:rsidRPr="007A210A">
              <w:rPr>
                <w:rFonts w:eastAsia="Calibri" w:cs="Arial"/>
                <w:szCs w:val="20"/>
                <w:lang w:val="en-GB"/>
              </w:rPr>
              <w:t>′</w:t>
            </w:r>
            <w:r w:rsidRPr="007A210A">
              <w:rPr>
                <w:rFonts w:eastAsia="Calibri"/>
                <w:szCs w:val="22"/>
              </w:rPr>
              <w:t xml:space="preserve"> 34</w:t>
            </w:r>
            <w:r w:rsidRPr="007A210A">
              <w:rPr>
                <w:rFonts w:eastAsia="Calibri" w:cs="Arial"/>
                <w:szCs w:val="20"/>
                <w:lang w:val="en-GB"/>
              </w:rPr>
              <w:t>″</w:t>
            </w:r>
            <w:r w:rsidRPr="007A210A">
              <w:rPr>
                <w:rFonts w:eastAsia="Calibri"/>
                <w:szCs w:val="22"/>
              </w:rPr>
              <w:t xml:space="preserve"> W</w:t>
            </w:r>
          </w:p>
        </w:tc>
      </w:tr>
      <w:tr w:rsidR="007A210A" w:rsidRPr="007A210A" w14:paraId="53586AFE"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600A2BE7" w14:textId="77777777" w:rsidR="007A210A" w:rsidRPr="007A210A" w:rsidRDefault="007A210A" w:rsidP="007A210A">
            <w:pPr>
              <w:spacing w:before="60" w:after="60"/>
              <w:jc w:val="both"/>
              <w:rPr>
                <w:rFonts w:eastAsia="Calibri" w:cs="Arial"/>
                <w:szCs w:val="20"/>
                <w:lang w:val="en-GB"/>
              </w:rPr>
            </w:pPr>
            <w:proofErr w:type="spellStart"/>
            <w:r w:rsidRPr="007A210A">
              <w:rPr>
                <w:rFonts w:eastAsia="Calibri" w:cs="Arial"/>
                <w:szCs w:val="20"/>
                <w:lang w:val="en-GB"/>
              </w:rPr>
              <w:t>Yebes</w:t>
            </w:r>
            <w:proofErr w:type="spellEnd"/>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1432F30"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Spain</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975F7FE"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40° 31′ 29″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DB77D8E"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03° 05′ 13″ W</w:t>
            </w:r>
          </w:p>
        </w:tc>
      </w:tr>
      <w:tr w:rsidR="007A210A" w:rsidRPr="007A210A" w14:paraId="7098250F"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20D6F87" w14:textId="77777777" w:rsidR="007A210A" w:rsidRPr="007A210A" w:rsidRDefault="007A210A" w:rsidP="007A210A">
            <w:pPr>
              <w:spacing w:before="60" w:after="60"/>
              <w:jc w:val="both"/>
              <w:rPr>
                <w:rFonts w:eastAsia="Calibri" w:cs="Arial"/>
                <w:szCs w:val="20"/>
                <w:lang w:val="en-GB"/>
              </w:rPr>
            </w:pPr>
            <w:proofErr w:type="spellStart"/>
            <w:r w:rsidRPr="007A210A">
              <w:rPr>
                <w:rFonts w:eastAsia="Calibri" w:cs="Arial"/>
                <w:szCs w:val="20"/>
                <w:lang w:val="en-GB"/>
              </w:rPr>
              <w:t>Onsala</w:t>
            </w:r>
            <w:proofErr w:type="spellEnd"/>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587C305C"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Sweden</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2F581A9C"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57° 23′ 45″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62018D57"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11° 55′ 35″ E</w:t>
            </w:r>
          </w:p>
        </w:tc>
      </w:tr>
      <w:tr w:rsidR="007A210A" w:rsidRPr="007A210A" w14:paraId="1FCA60FD"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17D2A437"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Cambridge</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6F29DE3"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United Kingdom</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249FC104"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52° 09′ 59″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1FBC8F18"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00° 02′ 20″ E</w:t>
            </w:r>
          </w:p>
        </w:tc>
      </w:tr>
    </w:tbl>
    <w:p w14:paraId="30CAA67A" w14:textId="266001B6" w:rsidR="007A210A" w:rsidRDefault="007A210A" w:rsidP="007A210A">
      <w:pPr>
        <w:pStyle w:val="ECCParagraph"/>
      </w:pPr>
    </w:p>
    <w:p w14:paraId="09E4603F" w14:textId="6E8EEF12" w:rsidR="00A27EB8" w:rsidRPr="00175E4F" w:rsidRDefault="00A27EB8" w:rsidP="00013A20">
      <w:pPr>
        <w:pStyle w:val="ECCAnnex-heading1"/>
      </w:pPr>
      <w:bookmarkStart w:id="6" w:name="_Toc380059620"/>
      <w:bookmarkStart w:id="7" w:name="_Toc380059762"/>
      <w:bookmarkStart w:id="8" w:name="_Toc396383876"/>
      <w:bookmarkStart w:id="9" w:name="_Toc396917309"/>
      <w:bookmarkStart w:id="10" w:name="_Toc396917420"/>
      <w:bookmarkStart w:id="11" w:name="_Toc396917640"/>
      <w:bookmarkStart w:id="12" w:name="_Toc396917655"/>
      <w:bookmarkStart w:id="13" w:name="_Toc396917760"/>
      <w:bookmarkStart w:id="14" w:name="_Toc79649515"/>
      <w:bookmarkStart w:id="15" w:name="_Toc79649516"/>
      <w:bookmarkStart w:id="16" w:name="_Toc280099660"/>
      <w:r w:rsidRPr="00F324D7">
        <w:lastRenderedPageBreak/>
        <w:t xml:space="preserve">List of </w:t>
      </w:r>
      <w:r w:rsidRPr="00175E4F">
        <w:t>Reference</w:t>
      </w:r>
      <w:bookmarkEnd w:id="6"/>
      <w:bookmarkEnd w:id="7"/>
      <w:bookmarkEnd w:id="8"/>
      <w:bookmarkEnd w:id="9"/>
      <w:bookmarkEnd w:id="10"/>
      <w:bookmarkEnd w:id="11"/>
      <w:bookmarkEnd w:id="12"/>
      <w:bookmarkEnd w:id="13"/>
      <w:r w:rsidRPr="00175E4F">
        <w:t>s</w:t>
      </w:r>
      <w:bookmarkEnd w:id="14"/>
    </w:p>
    <w:p w14:paraId="5B9FB5AF" w14:textId="1845DA73" w:rsidR="00AA7529" w:rsidRPr="00F324D7" w:rsidRDefault="00AA7529" w:rsidP="001E2172">
      <w:pPr>
        <w:rPr>
          <w:lang w:val="en-GB"/>
        </w:rPr>
      </w:pPr>
    </w:p>
    <w:p w14:paraId="094BB681" w14:textId="719345F8" w:rsidR="00D1341E" w:rsidRDefault="00D1341E" w:rsidP="001345DC">
      <w:pPr>
        <w:pStyle w:val="ECCReference"/>
        <w:numPr>
          <w:ilvl w:val="0"/>
          <w:numId w:val="8"/>
        </w:numPr>
        <w:spacing w:before="60" w:after="60"/>
        <w:rPr>
          <w:rFonts w:cs="Arial"/>
        </w:rPr>
      </w:pPr>
      <w:bookmarkStart w:id="17" w:name="_Ref132985170"/>
      <w:bookmarkStart w:id="18" w:name="_Ref125630759"/>
      <w:bookmarkStart w:id="19" w:name="_Ref125631695"/>
      <w:r>
        <w:rPr>
          <w:rFonts w:cs="Arial"/>
        </w:rPr>
        <w:t>ITU Radio Regulations, Edition of 20</w:t>
      </w:r>
      <w:r w:rsidR="00CC550C">
        <w:rPr>
          <w:rFonts w:cs="Arial"/>
        </w:rPr>
        <w:t>20</w:t>
      </w:r>
      <w:bookmarkEnd w:id="17"/>
    </w:p>
    <w:bookmarkStart w:id="20" w:name="_Ref134721615"/>
    <w:p w14:paraId="52FCCF37" w14:textId="204B1BD6" w:rsidR="00B95D11" w:rsidRPr="00F324D7" w:rsidRDefault="001357D0" w:rsidP="001345DC">
      <w:pPr>
        <w:pStyle w:val="ECCReference"/>
        <w:numPr>
          <w:ilvl w:val="0"/>
          <w:numId w:val="8"/>
        </w:numPr>
        <w:spacing w:before="60" w:after="60"/>
        <w:rPr>
          <w:rFonts w:cs="Arial"/>
        </w:rPr>
      </w:pPr>
      <w:r w:rsidRPr="00175E4F">
        <w:fldChar w:fldCharType="begin"/>
      </w:r>
      <w:r>
        <w:instrText>HYPERLINK "https://docdb.cept.org/document/28571"</w:instrText>
      </w:r>
      <w:r w:rsidRPr="00175E4F">
        <w:fldChar w:fldCharType="separate"/>
      </w:r>
      <w:r w:rsidR="00762ACC" w:rsidRPr="00F324D7">
        <w:rPr>
          <w:rStyle w:val="Hyperlink"/>
          <w:rFonts w:cs="Arial"/>
        </w:rPr>
        <w:t>ECC Decision (22)06</w:t>
      </w:r>
      <w:r w:rsidRPr="00175E4F">
        <w:rPr>
          <w:rStyle w:val="Hyperlink"/>
        </w:rPr>
        <w:fldChar w:fldCharType="end"/>
      </w:r>
      <w:bookmarkEnd w:id="18"/>
      <w:bookmarkEnd w:id="19"/>
      <w:r w:rsidR="00762ACC" w:rsidRPr="00F324D7">
        <w:rPr>
          <w:rFonts w:cs="Arial"/>
        </w:rPr>
        <w:t>: “Harmonised technical conditions for Mobile/Fixed Communications Networks (MFCN) in the band 40.5-43.5 GHz”</w:t>
      </w:r>
      <w:r w:rsidR="00B95D11" w:rsidRPr="00F324D7">
        <w:rPr>
          <w:rFonts w:cs="Arial"/>
        </w:rPr>
        <w:t>, approved November 2022</w:t>
      </w:r>
      <w:bookmarkEnd w:id="20"/>
    </w:p>
    <w:bookmarkStart w:id="21" w:name="_Ref125630812"/>
    <w:p w14:paraId="1CB04283" w14:textId="3F5824BE" w:rsidR="00660FDC" w:rsidRPr="00F324D7" w:rsidRDefault="000B110A" w:rsidP="001345DC">
      <w:pPr>
        <w:pStyle w:val="ECCReference"/>
        <w:numPr>
          <w:ilvl w:val="0"/>
          <w:numId w:val="8"/>
        </w:numPr>
        <w:spacing w:before="60" w:after="60"/>
        <w:rPr>
          <w:rFonts w:cs="Arial"/>
        </w:rPr>
      </w:pPr>
      <w:r w:rsidRPr="00F324D7">
        <w:rPr>
          <w:rFonts w:cs="Arial"/>
        </w:rPr>
        <w:fldChar w:fldCharType="begin"/>
      </w:r>
      <w:r w:rsidRPr="00F324D7">
        <w:rPr>
          <w:rFonts w:cs="Arial"/>
        </w:rPr>
        <w:instrText>HYPERLINK "https://docdb.cept.org/document/28579"</w:instrText>
      </w:r>
      <w:r w:rsidRPr="00F324D7">
        <w:rPr>
          <w:rFonts w:cs="Arial"/>
        </w:rPr>
      </w:r>
      <w:r w:rsidRPr="00F324D7">
        <w:rPr>
          <w:rFonts w:cs="Arial"/>
        </w:rPr>
        <w:fldChar w:fldCharType="separate"/>
      </w:r>
      <w:r w:rsidRPr="00F324D7">
        <w:rPr>
          <w:rStyle w:val="Hyperlink"/>
          <w:rFonts w:cs="Arial"/>
        </w:rPr>
        <w:t>ECC Decision (22)05</w:t>
      </w:r>
      <w:r w:rsidRPr="00F324D7">
        <w:rPr>
          <w:rFonts w:cs="Arial"/>
        </w:rPr>
        <w:fldChar w:fldCharType="end"/>
      </w:r>
      <w:bookmarkEnd w:id="21"/>
      <w:r w:rsidR="00B95D11" w:rsidRPr="00F324D7">
        <w:rPr>
          <w:rFonts w:cs="Arial"/>
        </w:rPr>
        <w:t>: “Withdrawal of ERC Decision (99)15 on the designation of the harmonised frequency band 40.5 to 43.5 GHz for the introduction of Multimedia Wireless Systems (MWS) and Point-to-Point (</w:t>
      </w:r>
      <w:proofErr w:type="spellStart"/>
      <w:r w:rsidR="00B95D11" w:rsidRPr="00F324D7">
        <w:rPr>
          <w:rFonts w:cs="Arial"/>
        </w:rPr>
        <w:t>PtP</w:t>
      </w:r>
      <w:proofErr w:type="spellEnd"/>
      <w:r w:rsidR="00B95D11" w:rsidRPr="00F324D7">
        <w:rPr>
          <w:rFonts w:cs="Arial"/>
        </w:rPr>
        <w:t>) Fixed Wireless Systems”, approved November 2022</w:t>
      </w:r>
    </w:p>
    <w:bookmarkStart w:id="22" w:name="_Ref125631652"/>
    <w:p w14:paraId="669F27B9" w14:textId="322C33A3" w:rsidR="00B95D11" w:rsidRPr="00F324D7" w:rsidRDefault="00D31A0F" w:rsidP="001345DC">
      <w:pPr>
        <w:pStyle w:val="ECCReference"/>
        <w:numPr>
          <w:ilvl w:val="0"/>
          <w:numId w:val="8"/>
        </w:numPr>
        <w:spacing w:before="60" w:after="60"/>
        <w:rPr>
          <w:rFonts w:cs="Arial"/>
        </w:rPr>
      </w:pPr>
      <w:r w:rsidRPr="00F324D7">
        <w:fldChar w:fldCharType="begin"/>
      </w:r>
      <w:r w:rsidRPr="00F324D7">
        <w:instrText>HYPERLINK "https://docdb.cept.org/document/28572"</w:instrText>
      </w:r>
      <w:r w:rsidRPr="00F324D7">
        <w:fldChar w:fldCharType="separate"/>
      </w:r>
      <w:r w:rsidRPr="00F324D7">
        <w:rPr>
          <w:rStyle w:val="Hyperlink"/>
        </w:rPr>
        <w:t>ECC Recommendation (22)01</w:t>
      </w:r>
      <w:r w:rsidRPr="00F324D7">
        <w:fldChar w:fldCharType="end"/>
      </w:r>
      <w:bookmarkEnd w:id="22"/>
      <w:r w:rsidR="004329EB" w:rsidRPr="00F324D7">
        <w:rPr>
          <w:rFonts w:cs="Arial"/>
        </w:rPr>
        <w:t>: “</w:t>
      </w:r>
      <w:r w:rsidRPr="00F324D7">
        <w:rPr>
          <w:rFonts w:cs="Arial"/>
        </w:rPr>
        <w:t>Guidelines to support the introduction of MFCN in 40.5-43.5 GHz while ensuring, in a proportionate way, the use of FSS receiving earth stations in the frequency band 40.5-42.5 GHz and the use of FSS transmitting earth stations in the frequency band 42.5-43.5 GHz and the possibility for future deployment of these earth stations”</w:t>
      </w:r>
      <w:r w:rsidR="00B95D11" w:rsidRPr="00F324D7">
        <w:rPr>
          <w:rFonts w:cs="Arial"/>
        </w:rPr>
        <w:t>, approved November 2022</w:t>
      </w:r>
    </w:p>
    <w:bookmarkStart w:id="23" w:name="_Ref125631700"/>
    <w:p w14:paraId="3857505C" w14:textId="6BAAC20E" w:rsidR="00A27EB8" w:rsidRPr="00F324D7" w:rsidRDefault="003E4582" w:rsidP="001345DC">
      <w:pPr>
        <w:pStyle w:val="ECCReference"/>
        <w:numPr>
          <w:ilvl w:val="0"/>
          <w:numId w:val="8"/>
        </w:numPr>
        <w:spacing w:before="60" w:after="60"/>
      </w:pPr>
      <w:r w:rsidRPr="00F324D7">
        <w:fldChar w:fldCharType="begin"/>
      </w:r>
      <w:r w:rsidRPr="00F324D7">
        <w:instrText>HYPERLINK "https://docdb.cept.org/document/450"</w:instrText>
      </w:r>
      <w:r w:rsidRPr="00F324D7">
        <w:fldChar w:fldCharType="separate"/>
      </w:r>
      <w:r w:rsidRPr="00F324D7">
        <w:rPr>
          <w:rStyle w:val="Hyperlink"/>
        </w:rPr>
        <w:t>ECC Recommendation (01)04</w:t>
      </w:r>
      <w:r w:rsidRPr="00F324D7">
        <w:fldChar w:fldCharType="end"/>
      </w:r>
      <w:bookmarkEnd w:id="23"/>
      <w:r w:rsidR="00D31A0F" w:rsidRPr="00F324D7">
        <w:rPr>
          <w:rFonts w:cs="Arial"/>
        </w:rPr>
        <w:t>:</w:t>
      </w:r>
      <w:r w:rsidR="00E51065" w:rsidRPr="00F324D7">
        <w:rPr>
          <w:rFonts w:cs="Arial"/>
        </w:rPr>
        <w:t xml:space="preserve"> “Recommended guidelines for the accommodation and assignment of multimedia wireless systems (MWS) and point-to-point (P-P) fixed wireless systems in the frequency band 40.5-43.5 GHz”, approved </w:t>
      </w:r>
      <w:r w:rsidRPr="00F324D7">
        <w:rPr>
          <w:rFonts w:cs="Arial"/>
        </w:rPr>
        <w:t>May 2014</w:t>
      </w:r>
    </w:p>
    <w:p w14:paraId="1A310ED5" w14:textId="04C22326" w:rsidR="00500E08" w:rsidRDefault="00A95820" w:rsidP="001345DC">
      <w:pPr>
        <w:pStyle w:val="ECCReference"/>
        <w:numPr>
          <w:ilvl w:val="0"/>
          <w:numId w:val="8"/>
        </w:numPr>
        <w:spacing w:before="60" w:after="60"/>
      </w:pPr>
      <w:bookmarkStart w:id="24" w:name="_Ref132985260"/>
      <w:r w:rsidRPr="00F324D7">
        <w:t>Directive 2014/53/EU of the European Parliament and of the Council of 16 April 2014 on the harmonisation of the laws of the Member States relating to the making available on the market of radio equipment and repealing Directive 1999/5/EC</w:t>
      </w:r>
      <w:bookmarkEnd w:id="15"/>
      <w:bookmarkEnd w:id="16"/>
      <w:bookmarkEnd w:id="24"/>
    </w:p>
    <w:p w14:paraId="429F4149" w14:textId="75BB1CAD" w:rsidR="00BC13D4" w:rsidRDefault="00BC13D4" w:rsidP="00A52424">
      <w:pPr>
        <w:pStyle w:val="reference"/>
      </w:pPr>
      <w:bookmarkStart w:id="25" w:name="_Ref134766967"/>
      <w:r w:rsidRPr="00BC13D4">
        <w:t>Report ITU-R SM.2091</w:t>
      </w:r>
      <w:bookmarkEnd w:id="25"/>
      <w:r w:rsidR="00595330">
        <w:t>: “</w:t>
      </w:r>
      <w:r w:rsidR="00595330" w:rsidRPr="0021746D">
        <w:rPr>
          <w:rFonts w:eastAsia="Calibri"/>
          <w:szCs w:val="22"/>
          <w:lang w:val="en-GB"/>
        </w:rPr>
        <w:t>Studies related to the impact of active space services allocated in adjacent</w:t>
      </w:r>
      <w:r w:rsidR="0021746D" w:rsidRPr="0021746D">
        <w:rPr>
          <w:rFonts w:eastAsia="Calibri"/>
          <w:szCs w:val="22"/>
          <w:lang w:val="en-GB"/>
        </w:rPr>
        <w:t xml:space="preserve"> </w:t>
      </w:r>
      <w:r w:rsidR="00595330" w:rsidRPr="0021746D">
        <w:rPr>
          <w:rFonts w:eastAsia="Calibri"/>
          <w:szCs w:val="22"/>
          <w:lang w:val="en-GB"/>
        </w:rPr>
        <w:t>or nearby bands on radio astronomy service</w:t>
      </w:r>
      <w:r w:rsidR="0021746D">
        <w:rPr>
          <w:rFonts w:eastAsia="Calibri"/>
          <w:szCs w:val="22"/>
          <w:lang w:val="en-GB"/>
        </w:rPr>
        <w:t>”</w:t>
      </w:r>
    </w:p>
    <w:p w14:paraId="2DDA73AC" w14:textId="202D53F9" w:rsidR="00CB1CD9" w:rsidRDefault="00CB1CD9" w:rsidP="001345DC">
      <w:pPr>
        <w:pStyle w:val="ECCReference"/>
        <w:numPr>
          <w:ilvl w:val="0"/>
          <w:numId w:val="8"/>
        </w:numPr>
        <w:spacing w:before="60" w:after="60"/>
      </w:pPr>
      <w:bookmarkStart w:id="26" w:name="_Ref134766976"/>
      <w:r w:rsidRPr="000B5135">
        <w:t>Recommendation ITU-R SM.1633-0</w:t>
      </w:r>
      <w:r>
        <w:t xml:space="preserve">, Annex 18: </w:t>
      </w:r>
      <w:r w:rsidR="00FE48AD">
        <w:t>“</w:t>
      </w:r>
      <w:r>
        <w:t>C</w:t>
      </w:r>
      <w:r w:rsidRPr="00CB1CD9">
        <w:t>ompatibility analysis between RAS systems operating in the 42.5-43.5 GHz band and FSS and BSS</w:t>
      </w:r>
      <w:bookmarkEnd w:id="26"/>
      <w:r w:rsidR="00FE48AD">
        <w:t>”</w:t>
      </w:r>
    </w:p>
    <w:p w14:paraId="26CB2DBE" w14:textId="77777777" w:rsidR="00BF75CB" w:rsidRPr="00F324D7" w:rsidRDefault="00BF75CB" w:rsidP="00BF75CB">
      <w:pPr>
        <w:pStyle w:val="ECCReference"/>
        <w:tabs>
          <w:tab w:val="clear" w:pos="397"/>
        </w:tabs>
      </w:pPr>
    </w:p>
    <w:sectPr w:rsidR="00BF75CB" w:rsidRPr="00F324D7"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FC38" w14:textId="77777777" w:rsidR="00BE6D6A" w:rsidRDefault="00BE6D6A" w:rsidP="006C03D0">
      <w:r>
        <w:separator/>
      </w:r>
    </w:p>
  </w:endnote>
  <w:endnote w:type="continuationSeparator" w:id="0">
    <w:p w14:paraId="2B72E3AA" w14:textId="77777777" w:rsidR="00BE6D6A" w:rsidRDefault="00BE6D6A" w:rsidP="006C03D0">
      <w:r>
        <w:continuationSeparator/>
      </w:r>
    </w:p>
  </w:endnote>
  <w:endnote w:type="continuationNotice" w:id="1">
    <w:p w14:paraId="71F3FADC" w14:textId="77777777" w:rsidR="00BE6D6A" w:rsidRDefault="00BE6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EDCD" w14:textId="77777777" w:rsidR="00BE6D6A" w:rsidRDefault="00BE6D6A" w:rsidP="006C03D0">
      <w:r>
        <w:separator/>
      </w:r>
    </w:p>
  </w:footnote>
  <w:footnote w:type="continuationSeparator" w:id="0">
    <w:p w14:paraId="37015A98" w14:textId="77777777" w:rsidR="00BE6D6A" w:rsidRDefault="00BE6D6A" w:rsidP="006C03D0">
      <w:r>
        <w:continuationSeparator/>
      </w:r>
    </w:p>
  </w:footnote>
  <w:footnote w:type="continuationNotice" w:id="1">
    <w:p w14:paraId="16EC722D" w14:textId="77777777" w:rsidR="00BE6D6A" w:rsidRDefault="00BE6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DE3D" w14:textId="57750351" w:rsidR="00FA4704" w:rsidRPr="00107926" w:rsidRDefault="00B03382">
    <w:pPr>
      <w:pStyle w:val="Header"/>
      <w:rPr>
        <w:lang w:val="en-GB"/>
      </w:rPr>
    </w:pPr>
    <w:r w:rsidRPr="00107926">
      <w:rPr>
        <w:lang w:val="en-GB"/>
      </w:rPr>
      <w:t>ECC/DEC/</w:t>
    </w:r>
    <w:r w:rsidR="00FA4704" w:rsidRPr="00107926">
      <w:rPr>
        <w:lang w:val="en-GB"/>
      </w:rPr>
      <w:t>(</w:t>
    </w:r>
    <w:r w:rsidR="000F66CB">
      <w:rPr>
        <w:lang w:val="en-GB"/>
      </w:rPr>
      <w:t>23</w:t>
    </w:r>
    <w:r w:rsidR="00FA4704" w:rsidRPr="00107926">
      <w:rPr>
        <w:lang w:val="en-GB"/>
      </w:rPr>
      <w:t>)</w:t>
    </w:r>
    <w:r w:rsidR="000F66CB">
      <w:rPr>
        <w:lang w:val="en-GB"/>
      </w:rPr>
      <w:t>01</w:t>
    </w:r>
    <w:r w:rsidR="00FA4704" w:rsidRPr="00107926">
      <w:rPr>
        <w:lang w:val="en-GB"/>
      </w:rPr>
      <w:t xml:space="preserve"> Page </w:t>
    </w:r>
    <w:r w:rsidR="00FA4704">
      <w:fldChar w:fldCharType="begin"/>
    </w:r>
    <w:r w:rsidR="00FA4704">
      <w:instrText xml:space="preserve"> PAGE  \* Arabic  \* MERGEFORMAT </w:instrText>
    </w:r>
    <w:r w:rsidR="00FA4704">
      <w:fldChar w:fldCharType="separate"/>
    </w:r>
    <w:r w:rsidR="001B1F5E" w:rsidRPr="00107926">
      <w:rPr>
        <w:lang w:val="en-GB"/>
      </w:rPr>
      <w:t>4</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206E" w14:textId="3F0D2772" w:rsidR="00FA4704" w:rsidRPr="00107926" w:rsidRDefault="00534C3D" w:rsidP="006C03D0">
    <w:pPr>
      <w:pStyle w:val="Header"/>
      <w:jc w:val="right"/>
      <w:rPr>
        <w:lang w:val="en-GB"/>
      </w:rPr>
    </w:pPr>
    <w:r w:rsidRPr="00107926">
      <w:rPr>
        <w:lang w:val="en-GB"/>
      </w:rPr>
      <w:t>ECC/DEC/(</w:t>
    </w:r>
    <w:r w:rsidR="000F66CB">
      <w:rPr>
        <w:lang w:val="en-GB"/>
      </w:rPr>
      <w:t>23</w:t>
    </w:r>
    <w:r w:rsidR="000F66CB" w:rsidRPr="00107926">
      <w:rPr>
        <w:lang w:val="en-GB"/>
      </w:rPr>
      <w:t>)</w:t>
    </w:r>
    <w:r w:rsidR="000F66CB">
      <w:rPr>
        <w:lang w:val="en-GB"/>
      </w:rPr>
      <w:t xml:space="preserve">01 </w:t>
    </w:r>
    <w:r w:rsidR="00FA4704" w:rsidRPr="00107926">
      <w:rPr>
        <w:lang w:val="en-GB"/>
      </w:rPr>
      <w:t xml:space="preserve"> Page </w:t>
    </w:r>
    <w:r w:rsidR="00FA4704">
      <w:fldChar w:fldCharType="begin"/>
    </w:r>
    <w:r w:rsidR="00FA4704">
      <w:instrText xml:space="preserve"> PAGE  \* Arabic  \* MERGEFORMAT </w:instrText>
    </w:r>
    <w:r w:rsidR="00FA4704">
      <w:fldChar w:fldCharType="separate"/>
    </w:r>
    <w:r w:rsidR="001B1F5E" w:rsidRPr="00107926">
      <w:rPr>
        <w:lang w:val="en-GB"/>
      </w:rPr>
      <w:t>3</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C62D" w14:textId="6084887D" w:rsidR="00FA4704" w:rsidRDefault="00FA4704" w:rsidP="00563C99">
    <w:pPr>
      <w:pStyle w:val="Header"/>
      <w:jc w:val="right"/>
    </w:pPr>
    <w:r w:rsidRPr="00563C99">
      <w:rPr>
        <w:noProof/>
        <w:sz w:val="20"/>
        <w:szCs w:val="20"/>
        <w:lang w:val="da-DK" w:eastAsia="da-DK"/>
      </w:rPr>
      <w:drawing>
        <wp:anchor distT="0" distB="0" distL="114300" distR="114300" simplePos="0" relativeHeight="251658240" behindDoc="0" locked="0" layoutInCell="1" allowOverlap="1" wp14:anchorId="388DA1F1" wp14:editId="2C8A7058">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563C99">
      <w:rPr>
        <w:noProof/>
        <w:sz w:val="20"/>
        <w:szCs w:val="20"/>
        <w:lang w:val="da-DK" w:eastAsia="da-DK"/>
      </w:rPr>
      <w:drawing>
        <wp:anchor distT="0" distB="0" distL="114300" distR="114300" simplePos="0" relativeHeight="251657216" behindDoc="0" locked="0" layoutInCell="1" allowOverlap="1" wp14:anchorId="5604B8FC" wp14:editId="0E396D4C">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0B8"/>
    <w:multiLevelType w:val="hybridMultilevel"/>
    <w:tmpl w:val="0D5CBE5C"/>
    <w:lvl w:ilvl="0" w:tplc="6B4A692A">
      <w:start w:val="1"/>
      <w:numFmt w:val="decimal"/>
      <w:lvlText w:val="%1)"/>
      <w:lvlJc w:val="left"/>
      <w:pPr>
        <w:tabs>
          <w:tab w:val="num" w:pos="4547"/>
        </w:tabs>
        <w:ind w:left="4547" w:hanging="360"/>
      </w:pPr>
      <w:rPr>
        <w:rFonts w:hint="default"/>
      </w:rPr>
    </w:lvl>
    <w:lvl w:ilvl="1" w:tplc="04130019">
      <w:start w:val="1"/>
      <w:numFmt w:val="lowerLetter"/>
      <w:lvlText w:val="%2."/>
      <w:lvlJc w:val="left"/>
      <w:pPr>
        <w:tabs>
          <w:tab w:val="num" w:pos="5267"/>
        </w:tabs>
        <w:ind w:left="5267" w:hanging="360"/>
      </w:pPr>
    </w:lvl>
    <w:lvl w:ilvl="2" w:tplc="0413001B">
      <w:start w:val="1"/>
      <w:numFmt w:val="lowerRoman"/>
      <w:lvlText w:val="%3."/>
      <w:lvlJc w:val="right"/>
      <w:pPr>
        <w:tabs>
          <w:tab w:val="num" w:pos="5987"/>
        </w:tabs>
        <w:ind w:left="5987" w:hanging="180"/>
      </w:pPr>
    </w:lvl>
    <w:lvl w:ilvl="3" w:tplc="0413000F">
      <w:start w:val="1"/>
      <w:numFmt w:val="decimal"/>
      <w:lvlText w:val="%4."/>
      <w:lvlJc w:val="left"/>
      <w:pPr>
        <w:tabs>
          <w:tab w:val="num" w:pos="6707"/>
        </w:tabs>
        <w:ind w:left="6707" w:hanging="360"/>
      </w:pPr>
    </w:lvl>
    <w:lvl w:ilvl="4" w:tplc="04130019">
      <w:start w:val="1"/>
      <w:numFmt w:val="lowerLetter"/>
      <w:lvlText w:val="%5."/>
      <w:lvlJc w:val="left"/>
      <w:pPr>
        <w:tabs>
          <w:tab w:val="num" w:pos="7427"/>
        </w:tabs>
        <w:ind w:left="7427" w:hanging="360"/>
      </w:pPr>
    </w:lvl>
    <w:lvl w:ilvl="5" w:tplc="0413001B">
      <w:start w:val="1"/>
      <w:numFmt w:val="lowerRoman"/>
      <w:lvlText w:val="%6."/>
      <w:lvlJc w:val="right"/>
      <w:pPr>
        <w:tabs>
          <w:tab w:val="num" w:pos="8147"/>
        </w:tabs>
        <w:ind w:left="8147" w:hanging="180"/>
      </w:pPr>
    </w:lvl>
    <w:lvl w:ilvl="6" w:tplc="0413000F">
      <w:start w:val="1"/>
      <w:numFmt w:val="decimal"/>
      <w:lvlText w:val="%7."/>
      <w:lvlJc w:val="left"/>
      <w:pPr>
        <w:tabs>
          <w:tab w:val="num" w:pos="8867"/>
        </w:tabs>
        <w:ind w:left="8867" w:hanging="360"/>
      </w:pPr>
    </w:lvl>
    <w:lvl w:ilvl="7" w:tplc="04130019">
      <w:start w:val="1"/>
      <w:numFmt w:val="lowerLetter"/>
      <w:lvlText w:val="%8."/>
      <w:lvlJc w:val="left"/>
      <w:pPr>
        <w:tabs>
          <w:tab w:val="num" w:pos="9587"/>
        </w:tabs>
        <w:ind w:left="9587" w:hanging="360"/>
      </w:pPr>
    </w:lvl>
    <w:lvl w:ilvl="8" w:tplc="0413001B">
      <w:start w:val="1"/>
      <w:numFmt w:val="lowerRoman"/>
      <w:lvlText w:val="%9."/>
      <w:lvlJc w:val="right"/>
      <w:pPr>
        <w:tabs>
          <w:tab w:val="num" w:pos="10307"/>
        </w:tabs>
        <w:ind w:left="10307" w:hanging="180"/>
      </w:pPr>
    </w:lvl>
  </w:abstractNum>
  <w:abstractNum w:abstractNumId="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12F4188"/>
    <w:multiLevelType w:val="multilevel"/>
    <w:tmpl w:val="EF8C6246"/>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2" w15:restartNumberingAfterBreak="0">
    <w:nsid w:val="331D2CAF"/>
    <w:multiLevelType w:val="multilevel"/>
    <w:tmpl w:val="67C69F3A"/>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3"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D163F7A"/>
    <w:multiLevelType w:val="multilevel"/>
    <w:tmpl w:val="5DACF3D0"/>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4C0D4B94"/>
    <w:multiLevelType w:val="singleLevel"/>
    <w:tmpl w:val="751884E6"/>
    <w:lvl w:ilvl="0">
      <w:start w:val="1"/>
      <w:numFmt w:val="lowerLetter"/>
      <w:lvlText w:val="%1)"/>
      <w:legacy w:legacy="1" w:legacySpace="0" w:legacyIndent="360"/>
      <w:lvlJc w:val="left"/>
      <w:pPr>
        <w:ind w:left="360" w:hanging="360"/>
      </w:pPr>
    </w:lvl>
  </w:abstractNum>
  <w:abstractNum w:abstractNumId="22"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23"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4" w15:restartNumberingAfterBreak="0">
    <w:nsid w:val="63D244CF"/>
    <w:multiLevelType w:val="hybridMultilevel"/>
    <w:tmpl w:val="E8769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8235BE"/>
    <w:multiLevelType w:val="hybridMultilevel"/>
    <w:tmpl w:val="8632D364"/>
    <w:lvl w:ilvl="0" w:tplc="33B8668A">
      <w:start w:val="1"/>
      <w:numFmt w:val="lowerLetter"/>
      <w:lvlText w:val="%1)"/>
      <w:lvlJc w:val="left"/>
      <w:pPr>
        <w:ind w:left="720" w:hanging="360"/>
      </w:pPr>
      <w:rPr>
        <w:color w:val="D2232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7"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8"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abstractNum w:abstractNumId="32" w15:restartNumberingAfterBreak="0">
    <w:nsid w:val="7D9D33C5"/>
    <w:multiLevelType w:val="singleLevel"/>
    <w:tmpl w:val="312817C8"/>
    <w:lvl w:ilvl="0">
      <w:start w:val="1"/>
      <w:numFmt w:val="decimal"/>
      <w:lvlText w:val="%1."/>
      <w:legacy w:legacy="1" w:legacySpace="0" w:legacyIndent="360"/>
      <w:lvlJc w:val="left"/>
      <w:pPr>
        <w:ind w:left="360" w:hanging="360"/>
      </w:pPr>
      <w:rPr>
        <w:color w:val="D2232A"/>
      </w:rPr>
    </w:lvl>
  </w:abstractNum>
  <w:abstractNum w:abstractNumId="33"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3855701">
    <w:abstractNumId w:val="16"/>
  </w:num>
  <w:num w:numId="2" w16cid:durableId="717584944">
    <w:abstractNumId w:val="29"/>
  </w:num>
  <w:num w:numId="3" w16cid:durableId="85734458">
    <w:abstractNumId w:val="19"/>
  </w:num>
  <w:num w:numId="4" w16cid:durableId="1040782916">
    <w:abstractNumId w:val="5"/>
  </w:num>
  <w:num w:numId="5" w16cid:durableId="845368173">
    <w:abstractNumId w:val="23"/>
  </w:num>
  <w:num w:numId="6" w16cid:durableId="1511946757">
    <w:abstractNumId w:val="13"/>
  </w:num>
  <w:num w:numId="7" w16cid:durableId="173614287">
    <w:abstractNumId w:val="11"/>
  </w:num>
  <w:num w:numId="8" w16cid:durableId="676349068">
    <w:abstractNumId w:val="18"/>
  </w:num>
  <w:num w:numId="9" w16cid:durableId="1618834646">
    <w:abstractNumId w:val="17"/>
  </w:num>
  <w:num w:numId="10" w16cid:durableId="1227570337">
    <w:abstractNumId w:val="14"/>
  </w:num>
  <w:num w:numId="11" w16cid:durableId="986780173">
    <w:abstractNumId w:val="18"/>
    <w:lvlOverride w:ilvl="0">
      <w:startOverride w:val="1"/>
    </w:lvlOverride>
  </w:num>
  <w:num w:numId="12" w16cid:durableId="1798841132">
    <w:abstractNumId w:val="4"/>
  </w:num>
  <w:num w:numId="13" w16cid:durableId="130024571">
    <w:abstractNumId w:val="2"/>
  </w:num>
  <w:num w:numId="14" w16cid:durableId="571737194">
    <w:abstractNumId w:val="27"/>
  </w:num>
  <w:num w:numId="15" w16cid:durableId="2035761692">
    <w:abstractNumId w:val="26"/>
  </w:num>
  <w:num w:numId="16" w16cid:durableId="107432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7270724">
    <w:abstractNumId w:val="9"/>
  </w:num>
  <w:num w:numId="18" w16cid:durableId="1258519173">
    <w:abstractNumId w:val="10"/>
  </w:num>
  <w:num w:numId="19" w16cid:durableId="1140264268">
    <w:abstractNumId w:val="28"/>
  </w:num>
  <w:num w:numId="20" w16cid:durableId="1827164670">
    <w:abstractNumId w:val="15"/>
  </w:num>
  <w:num w:numId="21" w16cid:durableId="1512909777">
    <w:abstractNumId w:val="30"/>
  </w:num>
  <w:num w:numId="22" w16cid:durableId="2131125628">
    <w:abstractNumId w:val="33"/>
  </w:num>
  <w:num w:numId="23" w16cid:durableId="632517521">
    <w:abstractNumId w:val="0"/>
  </w:num>
  <w:num w:numId="24" w16cid:durableId="43138921">
    <w:abstractNumId w:val="3"/>
  </w:num>
  <w:num w:numId="25" w16cid:durableId="1285115452">
    <w:abstractNumId w:val="1"/>
  </w:num>
  <w:num w:numId="26" w16cid:durableId="437717014">
    <w:abstractNumId w:val="12"/>
  </w:num>
  <w:num w:numId="27" w16cid:durableId="2044162351">
    <w:abstractNumId w:val="7"/>
  </w:num>
  <w:num w:numId="28" w16cid:durableId="1197736690">
    <w:abstractNumId w:val="20"/>
  </w:num>
  <w:num w:numId="29" w16cid:durableId="2017146938">
    <w:abstractNumId w:val="22"/>
  </w:num>
  <w:num w:numId="30" w16cid:durableId="592007222">
    <w:abstractNumId w:val="31"/>
  </w:num>
  <w:num w:numId="31" w16cid:durableId="367149933">
    <w:abstractNumId w:val="6"/>
  </w:num>
  <w:num w:numId="32" w16cid:durableId="1144857654">
    <w:abstractNumId w:val="8"/>
  </w:num>
  <w:num w:numId="33" w16cid:durableId="2110931483">
    <w:abstractNumId w:val="12"/>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4" w16cid:durableId="1871258955">
    <w:abstractNumId w:val="12"/>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5" w16cid:durableId="1301423053">
    <w:abstractNumId w:val="20"/>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6" w16cid:durableId="17407106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4158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2405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4817288">
    <w:abstractNumId w:val="24"/>
  </w:num>
  <w:num w:numId="40" w16cid:durableId="783578567">
    <w:abstractNumId w:val="21"/>
  </w:num>
  <w:num w:numId="41" w16cid:durableId="683943484">
    <w:abstractNumId w:val="32"/>
  </w:num>
  <w:num w:numId="42" w16cid:durableId="793907084">
    <w:abstractNumId w:val="25"/>
  </w:num>
  <w:num w:numId="43" w16cid:durableId="1544824918">
    <w:abstractNumId w:val="20"/>
  </w:num>
  <w:num w:numId="44" w16cid:durableId="306981344">
    <w:abstractNumId w:val="20"/>
  </w:num>
  <w:num w:numId="45" w16cid:durableId="854267246">
    <w:abstractNumId w:val="20"/>
  </w:num>
  <w:num w:numId="46" w16cid:durableId="741607554">
    <w:abstractNumId w:val="20"/>
  </w:num>
  <w:num w:numId="47" w16cid:durableId="1857424044">
    <w:abstractNumId w:val="20"/>
  </w:num>
  <w:num w:numId="48" w16cid:durableId="105592865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0012648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50622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7">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7F"/>
    <w:rsid w:val="000100FE"/>
    <w:rsid w:val="00013A20"/>
    <w:rsid w:val="0002110A"/>
    <w:rsid w:val="00031379"/>
    <w:rsid w:val="000405EB"/>
    <w:rsid w:val="0005130F"/>
    <w:rsid w:val="000571C2"/>
    <w:rsid w:val="00061638"/>
    <w:rsid w:val="000646DB"/>
    <w:rsid w:val="0007155A"/>
    <w:rsid w:val="00072B81"/>
    <w:rsid w:val="00080A1A"/>
    <w:rsid w:val="000875CC"/>
    <w:rsid w:val="0009384D"/>
    <w:rsid w:val="00095726"/>
    <w:rsid w:val="000A2C9F"/>
    <w:rsid w:val="000B110A"/>
    <w:rsid w:val="000B1E2D"/>
    <w:rsid w:val="000B38A4"/>
    <w:rsid w:val="000B5135"/>
    <w:rsid w:val="000B64AA"/>
    <w:rsid w:val="000C183F"/>
    <w:rsid w:val="000C2DAB"/>
    <w:rsid w:val="000C5A8C"/>
    <w:rsid w:val="000D2044"/>
    <w:rsid w:val="000D6E75"/>
    <w:rsid w:val="000F3919"/>
    <w:rsid w:val="000F66CB"/>
    <w:rsid w:val="00102E7B"/>
    <w:rsid w:val="00107926"/>
    <w:rsid w:val="0012186E"/>
    <w:rsid w:val="001345DC"/>
    <w:rsid w:val="001357D0"/>
    <w:rsid w:val="0013619B"/>
    <w:rsid w:val="00136C15"/>
    <w:rsid w:val="00137561"/>
    <w:rsid w:val="00137BDC"/>
    <w:rsid w:val="001541C9"/>
    <w:rsid w:val="001541DC"/>
    <w:rsid w:val="00175E4F"/>
    <w:rsid w:val="001800D1"/>
    <w:rsid w:val="00190787"/>
    <w:rsid w:val="0019078C"/>
    <w:rsid w:val="001A3EF6"/>
    <w:rsid w:val="001B1F5E"/>
    <w:rsid w:val="001B4611"/>
    <w:rsid w:val="001C0D0E"/>
    <w:rsid w:val="001C46EA"/>
    <w:rsid w:val="001E0C8D"/>
    <w:rsid w:val="001E1691"/>
    <w:rsid w:val="001E2172"/>
    <w:rsid w:val="0020171B"/>
    <w:rsid w:val="0021746D"/>
    <w:rsid w:val="00221091"/>
    <w:rsid w:val="002252EA"/>
    <w:rsid w:val="00230910"/>
    <w:rsid w:val="002314CC"/>
    <w:rsid w:val="002400D3"/>
    <w:rsid w:val="00256892"/>
    <w:rsid w:val="002720C6"/>
    <w:rsid w:val="002741A5"/>
    <w:rsid w:val="0027560B"/>
    <w:rsid w:val="00275AA6"/>
    <w:rsid w:val="00290054"/>
    <w:rsid w:val="002A33EA"/>
    <w:rsid w:val="002A5AE1"/>
    <w:rsid w:val="002B0C07"/>
    <w:rsid w:val="002C1988"/>
    <w:rsid w:val="002C3E1C"/>
    <w:rsid w:val="002C54D2"/>
    <w:rsid w:val="002C6994"/>
    <w:rsid w:val="002E0B8B"/>
    <w:rsid w:val="002F47F2"/>
    <w:rsid w:val="00301E4E"/>
    <w:rsid w:val="00306FD4"/>
    <w:rsid w:val="00314F38"/>
    <w:rsid w:val="00316FA4"/>
    <w:rsid w:val="00331952"/>
    <w:rsid w:val="003411FB"/>
    <w:rsid w:val="00341528"/>
    <w:rsid w:val="00347F57"/>
    <w:rsid w:val="00354ABC"/>
    <w:rsid w:val="00355A18"/>
    <w:rsid w:val="0036459A"/>
    <w:rsid w:val="0038152D"/>
    <w:rsid w:val="00384E54"/>
    <w:rsid w:val="00385137"/>
    <w:rsid w:val="00387BEA"/>
    <w:rsid w:val="003938CB"/>
    <w:rsid w:val="00394DB8"/>
    <w:rsid w:val="003B1C97"/>
    <w:rsid w:val="003E4582"/>
    <w:rsid w:val="003F3883"/>
    <w:rsid w:val="0041228F"/>
    <w:rsid w:val="004126B5"/>
    <w:rsid w:val="00412E32"/>
    <w:rsid w:val="00417B54"/>
    <w:rsid w:val="004329EB"/>
    <w:rsid w:val="004462DB"/>
    <w:rsid w:val="00453C08"/>
    <w:rsid w:val="00453E93"/>
    <w:rsid w:val="004628F9"/>
    <w:rsid w:val="00474FBC"/>
    <w:rsid w:val="004923C8"/>
    <w:rsid w:val="00496EE8"/>
    <w:rsid w:val="004C02E2"/>
    <w:rsid w:val="004C730D"/>
    <w:rsid w:val="004D3E3C"/>
    <w:rsid w:val="004D4301"/>
    <w:rsid w:val="004F7230"/>
    <w:rsid w:val="00500E08"/>
    <w:rsid w:val="0051129E"/>
    <w:rsid w:val="00515605"/>
    <w:rsid w:val="00534C3D"/>
    <w:rsid w:val="00536715"/>
    <w:rsid w:val="00537265"/>
    <w:rsid w:val="0054492D"/>
    <w:rsid w:val="00547718"/>
    <w:rsid w:val="00563C99"/>
    <w:rsid w:val="00565956"/>
    <w:rsid w:val="0059314A"/>
    <w:rsid w:val="00595330"/>
    <w:rsid w:val="005A5584"/>
    <w:rsid w:val="005B27F0"/>
    <w:rsid w:val="005B499C"/>
    <w:rsid w:val="005C1FF7"/>
    <w:rsid w:val="005D58EC"/>
    <w:rsid w:val="005F17F6"/>
    <w:rsid w:val="005F7AD5"/>
    <w:rsid w:val="00602C65"/>
    <w:rsid w:val="00616A04"/>
    <w:rsid w:val="00632140"/>
    <w:rsid w:val="006449C3"/>
    <w:rsid w:val="00645BE0"/>
    <w:rsid w:val="0064637E"/>
    <w:rsid w:val="0065273B"/>
    <w:rsid w:val="00655A5B"/>
    <w:rsid w:val="00660FDC"/>
    <w:rsid w:val="00661A3C"/>
    <w:rsid w:val="006645E5"/>
    <w:rsid w:val="00675207"/>
    <w:rsid w:val="00675D50"/>
    <w:rsid w:val="00677EEE"/>
    <w:rsid w:val="00693057"/>
    <w:rsid w:val="006A6BD5"/>
    <w:rsid w:val="006A7743"/>
    <w:rsid w:val="006B035B"/>
    <w:rsid w:val="006B54E5"/>
    <w:rsid w:val="006C03D0"/>
    <w:rsid w:val="006C41F1"/>
    <w:rsid w:val="006C4B75"/>
    <w:rsid w:val="006E6900"/>
    <w:rsid w:val="006F4E18"/>
    <w:rsid w:val="0070052E"/>
    <w:rsid w:val="00707D6B"/>
    <w:rsid w:val="00713DBA"/>
    <w:rsid w:val="00724D1C"/>
    <w:rsid w:val="007562B7"/>
    <w:rsid w:val="00762ACC"/>
    <w:rsid w:val="0076723C"/>
    <w:rsid w:val="0077447B"/>
    <w:rsid w:val="007834B3"/>
    <w:rsid w:val="0078526F"/>
    <w:rsid w:val="00785D0B"/>
    <w:rsid w:val="00794BD9"/>
    <w:rsid w:val="007A210A"/>
    <w:rsid w:val="007B4F67"/>
    <w:rsid w:val="007C6571"/>
    <w:rsid w:val="007D3319"/>
    <w:rsid w:val="007D547D"/>
    <w:rsid w:val="007D6DC5"/>
    <w:rsid w:val="007E08F8"/>
    <w:rsid w:val="007E100F"/>
    <w:rsid w:val="007E23E4"/>
    <w:rsid w:val="00805D17"/>
    <w:rsid w:val="008134CC"/>
    <w:rsid w:val="00815AAB"/>
    <w:rsid w:val="0081666B"/>
    <w:rsid w:val="008171D6"/>
    <w:rsid w:val="00820D4A"/>
    <w:rsid w:val="00823A6C"/>
    <w:rsid w:val="008271DC"/>
    <w:rsid w:val="00831F0A"/>
    <w:rsid w:val="00840E49"/>
    <w:rsid w:val="00842B6C"/>
    <w:rsid w:val="008632A8"/>
    <w:rsid w:val="00876F27"/>
    <w:rsid w:val="00877F96"/>
    <w:rsid w:val="00892272"/>
    <w:rsid w:val="00892E55"/>
    <w:rsid w:val="008A78DD"/>
    <w:rsid w:val="008B4F79"/>
    <w:rsid w:val="008C0C72"/>
    <w:rsid w:val="008C570F"/>
    <w:rsid w:val="008E0308"/>
    <w:rsid w:val="008E109E"/>
    <w:rsid w:val="008E5C63"/>
    <w:rsid w:val="008F0542"/>
    <w:rsid w:val="008F5944"/>
    <w:rsid w:val="009059A2"/>
    <w:rsid w:val="00915A31"/>
    <w:rsid w:val="00922730"/>
    <w:rsid w:val="009250A6"/>
    <w:rsid w:val="009343F0"/>
    <w:rsid w:val="00937643"/>
    <w:rsid w:val="0093777E"/>
    <w:rsid w:val="009706A0"/>
    <w:rsid w:val="00975DA5"/>
    <w:rsid w:val="00992C39"/>
    <w:rsid w:val="00995C49"/>
    <w:rsid w:val="00996A9A"/>
    <w:rsid w:val="009C24D3"/>
    <w:rsid w:val="009C4C6F"/>
    <w:rsid w:val="009C5158"/>
    <w:rsid w:val="009D568B"/>
    <w:rsid w:val="009D63DF"/>
    <w:rsid w:val="009D67FD"/>
    <w:rsid w:val="009E2E23"/>
    <w:rsid w:val="009E559E"/>
    <w:rsid w:val="00A1372F"/>
    <w:rsid w:val="00A14CC0"/>
    <w:rsid w:val="00A15970"/>
    <w:rsid w:val="00A2165E"/>
    <w:rsid w:val="00A27EB8"/>
    <w:rsid w:val="00A40BAE"/>
    <w:rsid w:val="00A41673"/>
    <w:rsid w:val="00A51D72"/>
    <w:rsid w:val="00A65674"/>
    <w:rsid w:val="00A65E47"/>
    <w:rsid w:val="00A76C5A"/>
    <w:rsid w:val="00A8085A"/>
    <w:rsid w:val="00A91290"/>
    <w:rsid w:val="00A94CE8"/>
    <w:rsid w:val="00A95820"/>
    <w:rsid w:val="00AA29F4"/>
    <w:rsid w:val="00AA7529"/>
    <w:rsid w:val="00AB27A3"/>
    <w:rsid w:val="00AB40C7"/>
    <w:rsid w:val="00AB5EEE"/>
    <w:rsid w:val="00AC0B35"/>
    <w:rsid w:val="00AD37E4"/>
    <w:rsid w:val="00AD4C09"/>
    <w:rsid w:val="00AE20A8"/>
    <w:rsid w:val="00AF6350"/>
    <w:rsid w:val="00AF72D1"/>
    <w:rsid w:val="00AF777B"/>
    <w:rsid w:val="00B00C22"/>
    <w:rsid w:val="00B03382"/>
    <w:rsid w:val="00B07BB7"/>
    <w:rsid w:val="00B16B32"/>
    <w:rsid w:val="00B23041"/>
    <w:rsid w:val="00B2406C"/>
    <w:rsid w:val="00B3273C"/>
    <w:rsid w:val="00B33FFB"/>
    <w:rsid w:val="00B44E29"/>
    <w:rsid w:val="00B63BA1"/>
    <w:rsid w:val="00B65A74"/>
    <w:rsid w:val="00B76AA8"/>
    <w:rsid w:val="00B80AA6"/>
    <w:rsid w:val="00B826E2"/>
    <w:rsid w:val="00B95D11"/>
    <w:rsid w:val="00BC13D4"/>
    <w:rsid w:val="00BC3066"/>
    <w:rsid w:val="00BC3C12"/>
    <w:rsid w:val="00BD327F"/>
    <w:rsid w:val="00BE10BF"/>
    <w:rsid w:val="00BE6D6A"/>
    <w:rsid w:val="00BE7020"/>
    <w:rsid w:val="00BF4B2A"/>
    <w:rsid w:val="00BF75CB"/>
    <w:rsid w:val="00C05738"/>
    <w:rsid w:val="00C11F9C"/>
    <w:rsid w:val="00C1340F"/>
    <w:rsid w:val="00C2227A"/>
    <w:rsid w:val="00C26F2A"/>
    <w:rsid w:val="00C45188"/>
    <w:rsid w:val="00C5088D"/>
    <w:rsid w:val="00C64D00"/>
    <w:rsid w:val="00C65080"/>
    <w:rsid w:val="00C665E0"/>
    <w:rsid w:val="00C76EA8"/>
    <w:rsid w:val="00C77A76"/>
    <w:rsid w:val="00C87744"/>
    <w:rsid w:val="00C9427C"/>
    <w:rsid w:val="00CA4EB9"/>
    <w:rsid w:val="00CB1CD9"/>
    <w:rsid w:val="00CC550C"/>
    <w:rsid w:val="00CE4FB6"/>
    <w:rsid w:val="00CE54B2"/>
    <w:rsid w:val="00CF2BBD"/>
    <w:rsid w:val="00CF3C81"/>
    <w:rsid w:val="00CF6643"/>
    <w:rsid w:val="00CF75C8"/>
    <w:rsid w:val="00D00718"/>
    <w:rsid w:val="00D03DCD"/>
    <w:rsid w:val="00D11FBE"/>
    <w:rsid w:val="00D1341E"/>
    <w:rsid w:val="00D14E6F"/>
    <w:rsid w:val="00D27E48"/>
    <w:rsid w:val="00D31A0F"/>
    <w:rsid w:val="00D34AE4"/>
    <w:rsid w:val="00D4298C"/>
    <w:rsid w:val="00D75755"/>
    <w:rsid w:val="00D83C51"/>
    <w:rsid w:val="00D84B44"/>
    <w:rsid w:val="00D90B0A"/>
    <w:rsid w:val="00DA090D"/>
    <w:rsid w:val="00DA2956"/>
    <w:rsid w:val="00DA34F1"/>
    <w:rsid w:val="00DC0568"/>
    <w:rsid w:val="00DC0622"/>
    <w:rsid w:val="00DC2345"/>
    <w:rsid w:val="00DC5DE1"/>
    <w:rsid w:val="00DD3DDF"/>
    <w:rsid w:val="00DD4B9F"/>
    <w:rsid w:val="00DF0F05"/>
    <w:rsid w:val="00DF2042"/>
    <w:rsid w:val="00DF38DA"/>
    <w:rsid w:val="00DF6337"/>
    <w:rsid w:val="00E007D3"/>
    <w:rsid w:val="00E04185"/>
    <w:rsid w:val="00E0529B"/>
    <w:rsid w:val="00E11C33"/>
    <w:rsid w:val="00E132AB"/>
    <w:rsid w:val="00E36178"/>
    <w:rsid w:val="00E47DF5"/>
    <w:rsid w:val="00E51065"/>
    <w:rsid w:val="00E65E22"/>
    <w:rsid w:val="00E67577"/>
    <w:rsid w:val="00E73D39"/>
    <w:rsid w:val="00E91D6E"/>
    <w:rsid w:val="00EA435F"/>
    <w:rsid w:val="00EC7F60"/>
    <w:rsid w:val="00F055EB"/>
    <w:rsid w:val="00F10503"/>
    <w:rsid w:val="00F11379"/>
    <w:rsid w:val="00F177F1"/>
    <w:rsid w:val="00F22B2F"/>
    <w:rsid w:val="00F315E0"/>
    <w:rsid w:val="00F324D7"/>
    <w:rsid w:val="00F326ED"/>
    <w:rsid w:val="00F32EE8"/>
    <w:rsid w:val="00F55D6D"/>
    <w:rsid w:val="00F6308D"/>
    <w:rsid w:val="00F66152"/>
    <w:rsid w:val="00F67488"/>
    <w:rsid w:val="00F72EA5"/>
    <w:rsid w:val="00F73867"/>
    <w:rsid w:val="00F81C89"/>
    <w:rsid w:val="00F8771E"/>
    <w:rsid w:val="00FA431B"/>
    <w:rsid w:val="00FA46DF"/>
    <w:rsid w:val="00FA4704"/>
    <w:rsid w:val="00FA5FBD"/>
    <w:rsid w:val="00FD7532"/>
    <w:rsid w:val="00FE48AD"/>
    <w:rsid w:val="00FF303C"/>
    <w:rsid w:val="00FF660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7">
      <o:colormru v:ext="edit" colors="#7b6c58,#887e6e,#d2232a,#57433e,#b0a696"/>
    </o:shapedefaults>
    <o:shapelayout v:ext="edit">
      <o:idmap v:ext="edit" data="2"/>
    </o:shapelayout>
  </w:shapeDefaults>
  <w:decimalSymbol w:val="."/>
  <w:listSeparator w:val=","/>
  <w14:docId w14:val="237B340C"/>
  <w15:docId w15:val="{71B9A76B-47BD-4724-9FDF-85D6422F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013A20"/>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8F0542"/>
    <w:pPr>
      <w:keepNext/>
      <w:numPr>
        <w:numId w:val="1"/>
      </w:numPr>
      <w:spacing w:before="44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0B64AA"/>
    <w:pPr>
      <w:spacing w:after="0"/>
      <w:ind w:left="567" w:hanging="567"/>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BulletsLv1">
    <w:name w:val="ECC Bullets Lv1"/>
    <w:basedOn w:val="Normal"/>
    <w:qFormat/>
    <w:rsid w:val="000100FE"/>
    <w:pPr>
      <w:numPr>
        <w:numId w:val="25"/>
      </w:numPr>
      <w:tabs>
        <w:tab w:val="left" w:pos="340"/>
      </w:tabs>
      <w:spacing w:before="60"/>
      <w:ind w:left="340" w:hanging="340"/>
      <w:jc w:val="both"/>
    </w:pPr>
    <w:rPr>
      <w:rFonts w:eastAsia="Calibri"/>
      <w:szCs w:val="22"/>
      <w:lang w:val="en-GB"/>
    </w:rPr>
  </w:style>
  <w:style w:type="paragraph" w:customStyle="1" w:styleId="ECCReference">
    <w:name w:val="ECC Reference"/>
    <w:basedOn w:val="Normal"/>
    <w:qFormat/>
    <w:rsid w:val="000100FE"/>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0100FE"/>
    <w:pPr>
      <w:numPr>
        <w:numId w:val="27"/>
      </w:numPr>
      <w:shd w:val="solid" w:color="FFFF00" w:fill="auto"/>
      <w:spacing w:before="120" w:after="60"/>
      <w:jc w:val="both"/>
    </w:pPr>
    <w:rPr>
      <w:rFonts w:ascii="Arial" w:eastAsia="Calibri" w:hAnsi="Arial"/>
      <w:szCs w:val="22"/>
      <w:lang w:val="da-DK" w:eastAsia="de-DE"/>
    </w:rPr>
  </w:style>
  <w:style w:type="character" w:customStyle="1" w:styleId="ECCHLyellow">
    <w:name w:val="ECC HL yellow"/>
    <w:basedOn w:val="DefaultParagraphFont"/>
    <w:uiPriority w:val="1"/>
    <w:qFormat/>
    <w:rsid w:val="000100FE"/>
    <w:rPr>
      <w:rFonts w:ascii="Arial" w:eastAsia="Calibri" w:hAnsi="Arial"/>
      <w:i w:val="0"/>
      <w:sz w:val="20"/>
      <w:szCs w:val="22"/>
      <w:bdr w:val="none" w:sz="0" w:space="0" w:color="auto"/>
      <w:shd w:val="solid" w:color="FFFF00" w:fill="auto"/>
      <w:lang w:val="en-GB"/>
    </w:rPr>
  </w:style>
  <w:style w:type="character" w:styleId="CommentReference">
    <w:name w:val="annotation reference"/>
    <w:basedOn w:val="DefaultParagraphFont"/>
    <w:unhideWhenUsed/>
    <w:rsid w:val="000100FE"/>
    <w:rPr>
      <w:sz w:val="16"/>
      <w:szCs w:val="16"/>
    </w:rPr>
  </w:style>
  <w:style w:type="paragraph" w:styleId="CommentText">
    <w:name w:val="annotation text"/>
    <w:basedOn w:val="Normal"/>
    <w:link w:val="CommentTextChar"/>
    <w:unhideWhenUsed/>
    <w:rsid w:val="000100FE"/>
    <w:pPr>
      <w:spacing w:before="240" w:after="60"/>
      <w:jc w:val="both"/>
    </w:pPr>
    <w:rPr>
      <w:rFonts w:eastAsia="Calibri"/>
      <w:szCs w:val="20"/>
      <w:lang w:val="en-GB"/>
    </w:rPr>
  </w:style>
  <w:style w:type="character" w:customStyle="1" w:styleId="CommentTextChar">
    <w:name w:val="Comment Text Char"/>
    <w:basedOn w:val="DefaultParagraphFont"/>
    <w:link w:val="CommentText"/>
    <w:rsid w:val="000100FE"/>
    <w:rPr>
      <w:rFonts w:ascii="Arial" w:eastAsia="Calibri" w:hAnsi="Arial"/>
    </w:rPr>
  </w:style>
  <w:style w:type="paragraph" w:styleId="CommentSubject">
    <w:name w:val="annotation subject"/>
    <w:basedOn w:val="CommentText"/>
    <w:next w:val="CommentText"/>
    <w:link w:val="CommentSubjectChar"/>
    <w:uiPriority w:val="99"/>
    <w:semiHidden/>
    <w:unhideWhenUsed/>
    <w:rsid w:val="000100FE"/>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0100FE"/>
    <w:rPr>
      <w:rFonts w:ascii="Arial" w:eastAsia="Calibri" w:hAnsi="Arial"/>
      <w:b/>
      <w:bCs/>
      <w:lang w:val="en-US"/>
    </w:rPr>
  </w:style>
  <w:style w:type="character" w:styleId="PlaceholderText">
    <w:name w:val="Placeholder Text"/>
    <w:basedOn w:val="DefaultParagraphFont"/>
    <w:uiPriority w:val="99"/>
    <w:semiHidden/>
    <w:rsid w:val="005F17F6"/>
    <w:rPr>
      <w:color w:val="808080"/>
    </w:rPr>
  </w:style>
  <w:style w:type="paragraph" w:customStyle="1" w:styleId="ECCHLboldanditalics">
    <w:name w:val="ECC HL bold and italics"/>
    <w:basedOn w:val="Normal"/>
    <w:qFormat/>
    <w:rsid w:val="008F5944"/>
    <w:pPr>
      <w:spacing w:before="240" w:after="60"/>
      <w:jc w:val="both"/>
    </w:pPr>
    <w:rPr>
      <w:rFonts w:eastAsia="Calibri"/>
      <w:b/>
      <w:bCs/>
      <w:i/>
      <w:szCs w:val="30"/>
      <w:lang w:val="en-GB"/>
    </w:rPr>
  </w:style>
  <w:style w:type="paragraph" w:customStyle="1" w:styleId="ECCAnnexheading1">
    <w:name w:val="ECC Annex heading1"/>
    <w:next w:val="Normal"/>
    <w:autoRedefine/>
    <w:qFormat/>
    <w:rsid w:val="00C05738"/>
    <w:pPr>
      <w:keepNext/>
      <w:pageBreakBefore/>
      <w:spacing w:before="240" w:after="60"/>
      <w:jc w:val="both"/>
      <w:outlineLvl w:val="0"/>
    </w:pPr>
    <w:rPr>
      <w:rFonts w:ascii="Arial" w:hAnsi="Arial"/>
      <w:b/>
      <w:caps/>
      <w:color w:val="D2232A"/>
      <w:lang w:val="da-DK"/>
    </w:rPr>
  </w:style>
  <w:style w:type="paragraph" w:styleId="Caption">
    <w:name w:val="caption"/>
    <w:aliases w:val="ECC Figure Caption"/>
    <w:next w:val="Normal"/>
    <w:link w:val="CaptionChar"/>
    <w:qFormat/>
    <w:rsid w:val="006645E5"/>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6645E5"/>
    <w:pPr>
      <w:numPr>
        <w:numId w:val="0"/>
      </w:numPr>
      <w:tabs>
        <w:tab w:val="left" w:pos="680"/>
      </w:tabs>
      <w:ind w:left="680" w:hanging="340"/>
    </w:pPr>
  </w:style>
  <w:style w:type="paragraph" w:customStyle="1" w:styleId="ECCBulletsLv3">
    <w:name w:val="ECC Bullets Lv3"/>
    <w:basedOn w:val="ECCBulletsLv1"/>
    <w:rsid w:val="006645E5"/>
    <w:pPr>
      <w:numPr>
        <w:numId w:val="0"/>
      </w:numPr>
      <w:tabs>
        <w:tab w:val="left" w:pos="1021"/>
      </w:tabs>
      <w:ind w:left="1020" w:hanging="340"/>
    </w:pPr>
  </w:style>
  <w:style w:type="paragraph" w:customStyle="1" w:styleId="ECCLetteredList">
    <w:name w:val="ECC Lettered List"/>
    <w:qFormat/>
    <w:rsid w:val="00F8771E"/>
    <w:pPr>
      <w:numPr>
        <w:numId w:val="28"/>
      </w:numPr>
      <w:spacing w:before="240"/>
      <w:jc w:val="both"/>
    </w:pPr>
    <w:rPr>
      <w:rFonts w:ascii="Arial" w:hAnsi="Arial"/>
    </w:rPr>
  </w:style>
  <w:style w:type="paragraph" w:customStyle="1" w:styleId="ECCFiguregraphcentred">
    <w:name w:val="ECC Figure/graph centred"/>
    <w:next w:val="Normal"/>
    <w:qFormat/>
    <w:rsid w:val="00175E4F"/>
    <w:pPr>
      <w:spacing w:before="240" w:after="240"/>
      <w:jc w:val="center"/>
    </w:pPr>
    <w:rPr>
      <w:rFonts w:ascii="Arial" w:hAnsi="Arial"/>
      <w:noProof/>
      <w:lang w:val="de-DE" w:eastAsia="de-DE"/>
    </w:rPr>
  </w:style>
  <w:style w:type="paragraph" w:customStyle="1" w:styleId="ECCTableHeaderwhitefont">
    <w:name w:val="ECC Table Header white font"/>
    <w:qFormat/>
    <w:rsid w:val="006645E5"/>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6645E5"/>
    <w:pPr>
      <w:keepNext/>
      <w:spacing w:after="60"/>
    </w:pPr>
    <w:rPr>
      <w:rFonts w:eastAsia="Calibri"/>
      <w:szCs w:val="22"/>
      <w:lang w:val="en-GB"/>
    </w:rPr>
  </w:style>
  <w:style w:type="paragraph" w:customStyle="1" w:styleId="ECCHeadingnonumbering">
    <w:name w:val="ECC Heading no numbering"/>
    <w:next w:val="NormalWeb"/>
    <w:rsid w:val="006645E5"/>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6645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6645E5"/>
    <w:rPr>
      <w:rFonts w:ascii="Arial" w:hAnsi="Arial"/>
      <w:b/>
      <w:bCs/>
      <w:color w:val="D2232A"/>
      <w:lang w:val="da-DK"/>
    </w:rPr>
  </w:style>
  <w:style w:type="paragraph" w:styleId="NormalWeb">
    <w:name w:val="Normal (Web)"/>
    <w:basedOn w:val="Normal"/>
    <w:uiPriority w:val="99"/>
    <w:semiHidden/>
    <w:unhideWhenUsed/>
    <w:rsid w:val="006645E5"/>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6645E5"/>
    <w:pPr>
      <w:keepNext/>
      <w:numPr>
        <w:ilvl w:val="0"/>
        <w:numId w:val="0"/>
      </w:numPr>
      <w:tabs>
        <w:tab w:val="num" w:pos="720"/>
      </w:tabs>
      <w:spacing w:after="60"/>
      <w:ind w:left="720" w:hanging="720"/>
      <w:jc w:val="both"/>
      <w:outlineLvl w:val="2"/>
    </w:pPr>
    <w:rPr>
      <w:szCs w:val="20"/>
      <w:lang w:val="en-GB"/>
    </w:rPr>
  </w:style>
  <w:style w:type="paragraph" w:customStyle="1" w:styleId="ECCNumberedListlevel2">
    <w:name w:val="ECC Numbered List level 2"/>
    <w:qFormat/>
    <w:rsid w:val="006645E5"/>
    <w:pPr>
      <w:tabs>
        <w:tab w:val="num" w:pos="680"/>
      </w:tabs>
      <w:spacing w:before="240"/>
      <w:ind w:left="680" w:hanging="340"/>
      <w:jc w:val="both"/>
    </w:pPr>
    <w:rPr>
      <w:rFonts w:eastAsia="Calibri"/>
    </w:rPr>
  </w:style>
  <w:style w:type="paragraph" w:customStyle="1" w:styleId="ECCLetteredListLevel2">
    <w:name w:val="ECC Lettered List Level 2"/>
    <w:basedOn w:val="ECCLetteredList"/>
    <w:qFormat/>
    <w:rsid w:val="006645E5"/>
    <w:pPr>
      <w:numPr>
        <w:ilvl w:val="1"/>
      </w:numPr>
    </w:pPr>
  </w:style>
  <w:style w:type="character" w:styleId="UnresolvedMention">
    <w:name w:val="Unresolved Mention"/>
    <w:basedOn w:val="DefaultParagraphFont"/>
    <w:uiPriority w:val="99"/>
    <w:semiHidden/>
    <w:unhideWhenUsed/>
    <w:rsid w:val="008C570F"/>
    <w:rPr>
      <w:color w:val="605E5C"/>
      <w:shd w:val="clear" w:color="auto" w:fill="E1DFDD"/>
    </w:rPr>
  </w:style>
  <w:style w:type="character" w:customStyle="1" w:styleId="FootnoteTextChar">
    <w:name w:val="Footnote Text Char"/>
    <w:basedOn w:val="DefaultParagraphFont"/>
    <w:link w:val="FootnoteText"/>
    <w:uiPriority w:val="99"/>
    <w:qFormat/>
    <w:locked/>
    <w:rsid w:val="002F47F2"/>
    <w:rPr>
      <w:rFonts w:ascii="Arial" w:hAnsi="Arial"/>
      <w:lang w:val="en-US"/>
    </w:rPr>
  </w:style>
  <w:style w:type="paragraph" w:styleId="Revision">
    <w:name w:val="Revision"/>
    <w:hidden/>
    <w:uiPriority w:val="99"/>
    <w:semiHidden/>
    <w:rsid w:val="00BC3066"/>
    <w:rPr>
      <w:rFonts w:ascii="Arial" w:hAnsi="Arial"/>
      <w:szCs w:val="24"/>
      <w:lang w:val="en-US"/>
    </w:rPr>
  </w:style>
  <w:style w:type="paragraph" w:customStyle="1" w:styleId="Brief">
    <w:name w:val="Brief"/>
    <w:rsid w:val="00BC3066"/>
    <w:pPr>
      <w:widowControl w:val="0"/>
      <w:tabs>
        <w:tab w:val="left" w:pos="720"/>
        <w:tab w:val="left" w:pos="1440"/>
        <w:tab w:val="left" w:pos="2160"/>
        <w:tab w:val="left" w:pos="2880"/>
      </w:tabs>
      <w:spacing w:before="120"/>
      <w:jc w:val="both"/>
    </w:pPr>
    <w:rPr>
      <w:rFonts w:ascii="Times" w:hAnsi="Times"/>
      <w:lang w:val="fr-FR"/>
    </w:rPr>
  </w:style>
  <w:style w:type="paragraph" w:styleId="BodyText2">
    <w:name w:val="Body Text 2"/>
    <w:basedOn w:val="Normal"/>
    <w:link w:val="BodyText2Char"/>
    <w:unhideWhenUsed/>
    <w:rsid w:val="00FA46DF"/>
    <w:pPr>
      <w:spacing w:after="120" w:line="480" w:lineRule="auto"/>
    </w:pPr>
  </w:style>
  <w:style w:type="character" w:customStyle="1" w:styleId="BodyText2Char">
    <w:name w:val="Body Text 2 Char"/>
    <w:basedOn w:val="DefaultParagraphFont"/>
    <w:link w:val="BodyText2"/>
    <w:rsid w:val="00FA46DF"/>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afonso\Downloads\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AC2F-D2A4-4D7F-BAA5-983A5546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1</TotalTime>
  <Pages>6</Pages>
  <Words>1736</Words>
  <Characters>9896</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New ECC Report Style</vt:lpstr>
      <vt:lpstr>New ECC Report Style</vt:lpstr>
    </vt:vector>
  </TitlesOfParts>
  <Company>ECO</Company>
  <LinksUpToDate>false</LinksUpToDate>
  <CharactersWithSpaces>11609</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(23)01</dc:title>
  <dc:creator>ECC</dc:creator>
  <dc:description>This template is used as guidance to draft ECC Reports.</dc:description>
  <cp:lastModifiedBy>ECO</cp:lastModifiedBy>
  <cp:revision>2</cp:revision>
  <cp:lastPrinted>1901-01-01T00:00:00Z</cp:lastPrinted>
  <dcterms:created xsi:type="dcterms:W3CDTF">2023-07-10T11:09:00Z</dcterms:created>
  <dcterms:modified xsi:type="dcterms:W3CDTF">2023-07-10T11:09:00Z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2023-07-04T16:09:19Z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00d38e43-299c-4d86-bb10-4d4528a850b5</vt:lpwstr>
  </property>
  <property fmtid="{D5CDD505-2E9C-101B-9397-08002B2CF9AE}" pid="8" name="MSIP_Label_5a50d26f-5c2c-4137-8396-1b24eb24286c_ContentBits">
    <vt:lpwstr>0</vt:lpwstr>
  </property>
</Properties>
</file>