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2238" w14:textId="77777777" w:rsidR="006C03D0" w:rsidRPr="003D1680" w:rsidRDefault="006C03D0" w:rsidP="00C7391E">
      <w:pPr>
        <w:pStyle w:val="Heading1"/>
      </w:pPr>
    </w:p>
    <w:p w14:paraId="077ED02F" w14:textId="77777777" w:rsidR="006C03D0" w:rsidRPr="00C37E1D" w:rsidRDefault="006C03D0" w:rsidP="003D6014">
      <w:pPr>
        <w:jc w:val="both"/>
        <w:rPr>
          <w:lang w:val="en-GB"/>
        </w:rPr>
      </w:pPr>
    </w:p>
    <w:p w14:paraId="27054C14" w14:textId="77777777" w:rsidR="006C03D0" w:rsidRPr="00C37E1D" w:rsidRDefault="006C03D0" w:rsidP="003D6014">
      <w:pPr>
        <w:jc w:val="both"/>
        <w:rPr>
          <w:lang w:val="en-GB"/>
        </w:rPr>
      </w:pPr>
    </w:p>
    <w:p w14:paraId="11446D2A" w14:textId="77777777" w:rsidR="006C03D0" w:rsidRPr="00C37E1D" w:rsidRDefault="006C03D0" w:rsidP="003D6014">
      <w:pPr>
        <w:jc w:val="both"/>
        <w:rPr>
          <w:lang w:val="en-GB"/>
        </w:rPr>
      </w:pPr>
    </w:p>
    <w:p w14:paraId="091CAC31" w14:textId="77777777" w:rsidR="006C03D0" w:rsidRPr="00C37E1D" w:rsidRDefault="007C6571" w:rsidP="003D6014">
      <w:pPr>
        <w:jc w:val="both"/>
        <w:rPr>
          <w:b/>
          <w:sz w:val="24"/>
          <w:lang w:val="en-GB"/>
        </w:rPr>
      </w:pPr>
      <w:r w:rsidRPr="00C37E1D">
        <w:rPr>
          <w:b/>
          <w:noProof/>
          <w:sz w:val="24"/>
          <w:lang w:val="en-GB"/>
        </w:rPr>
        <mc:AlternateContent>
          <mc:Choice Requires="wpg">
            <w:drawing>
              <wp:anchor distT="0" distB="0" distL="114300" distR="114300" simplePos="0" relativeHeight="251657728" behindDoc="0" locked="0" layoutInCell="1" allowOverlap="1" wp14:anchorId="630EED01" wp14:editId="4EA7305B">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32125" w14:textId="35E1219C" w:rsidR="002E290D" w:rsidRPr="00FE1795" w:rsidRDefault="002E290D" w:rsidP="006C03D0">
                              <w:pPr>
                                <w:rPr>
                                  <w:color w:val="57433E"/>
                                  <w:sz w:val="68"/>
                                </w:rPr>
                              </w:pPr>
                              <w:r w:rsidRPr="00FE1795">
                                <w:rPr>
                                  <w:color w:val="FFFFFF"/>
                                  <w:sz w:val="68"/>
                                </w:rPr>
                                <w:t xml:space="preserve">ECC Decision </w:t>
                              </w:r>
                              <w:r w:rsidRPr="001E2FAA">
                                <w:rPr>
                                  <w:color w:val="887E6E"/>
                                  <w:sz w:val="68"/>
                                </w:rPr>
                                <w:t>(</w:t>
                              </w:r>
                              <w:r w:rsidR="00802E96">
                                <w:rPr>
                                  <w:color w:val="887E6E"/>
                                  <w:sz w:val="68"/>
                                </w:rPr>
                                <w:t>22</w:t>
                              </w:r>
                              <w:r w:rsidRPr="001E2FAA">
                                <w:rPr>
                                  <w:color w:val="887E6E"/>
                                  <w:sz w:val="68"/>
                                </w:rPr>
                                <w:t>)</w:t>
                              </w:r>
                              <w:r w:rsidR="00802E96">
                                <w:rPr>
                                  <w:color w:val="887E6E"/>
                                  <w:sz w:val="68"/>
                                </w:rPr>
                                <w:t>07</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0EED01"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7FE32125" w14:textId="35E1219C" w:rsidR="002E290D" w:rsidRPr="00FE1795" w:rsidRDefault="002E290D" w:rsidP="006C03D0">
                        <w:pPr>
                          <w:rPr>
                            <w:color w:val="57433E"/>
                            <w:sz w:val="68"/>
                          </w:rPr>
                        </w:pPr>
                        <w:r w:rsidRPr="00FE1795">
                          <w:rPr>
                            <w:color w:val="FFFFFF"/>
                            <w:sz w:val="68"/>
                          </w:rPr>
                          <w:t xml:space="preserve">ECC Decision </w:t>
                        </w:r>
                        <w:r w:rsidRPr="001E2FAA">
                          <w:rPr>
                            <w:color w:val="887E6E"/>
                            <w:sz w:val="68"/>
                          </w:rPr>
                          <w:t>(</w:t>
                        </w:r>
                        <w:r w:rsidR="00802E96">
                          <w:rPr>
                            <w:color w:val="887E6E"/>
                            <w:sz w:val="68"/>
                          </w:rPr>
                          <w:t>22</w:t>
                        </w:r>
                        <w:r w:rsidRPr="001E2FAA">
                          <w:rPr>
                            <w:color w:val="887E6E"/>
                            <w:sz w:val="68"/>
                          </w:rPr>
                          <w:t>)</w:t>
                        </w:r>
                        <w:r w:rsidR="00802E96">
                          <w:rPr>
                            <w:color w:val="887E6E"/>
                            <w:sz w:val="68"/>
                          </w:rPr>
                          <w:t>07</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2C0695AA" w14:textId="77777777" w:rsidR="006C03D0" w:rsidRPr="00C37E1D" w:rsidRDefault="006C03D0" w:rsidP="003D6014">
      <w:pPr>
        <w:jc w:val="both"/>
        <w:rPr>
          <w:b/>
          <w:sz w:val="24"/>
          <w:lang w:val="en-GB"/>
        </w:rPr>
      </w:pPr>
    </w:p>
    <w:p w14:paraId="13A867A3" w14:textId="77777777" w:rsidR="006C03D0" w:rsidRPr="00C37E1D" w:rsidRDefault="006C03D0" w:rsidP="003D6014">
      <w:pPr>
        <w:jc w:val="both"/>
        <w:rPr>
          <w:b/>
          <w:sz w:val="24"/>
          <w:lang w:val="en-GB"/>
        </w:rPr>
      </w:pPr>
    </w:p>
    <w:p w14:paraId="3E9C99A1" w14:textId="77777777" w:rsidR="006C03D0" w:rsidRPr="00C37E1D" w:rsidRDefault="006C03D0" w:rsidP="003D6014">
      <w:pPr>
        <w:jc w:val="both"/>
        <w:rPr>
          <w:b/>
          <w:sz w:val="24"/>
          <w:lang w:val="en-GB"/>
        </w:rPr>
      </w:pPr>
    </w:p>
    <w:p w14:paraId="18BE7EEC" w14:textId="77777777" w:rsidR="006C03D0" w:rsidRPr="00C37E1D" w:rsidRDefault="006C03D0" w:rsidP="003D6014">
      <w:pPr>
        <w:jc w:val="both"/>
        <w:rPr>
          <w:b/>
          <w:sz w:val="24"/>
          <w:lang w:val="en-GB"/>
        </w:rPr>
      </w:pPr>
    </w:p>
    <w:p w14:paraId="5F17D782" w14:textId="77777777" w:rsidR="006C03D0" w:rsidRPr="00C37E1D" w:rsidRDefault="006C03D0" w:rsidP="003D6014">
      <w:pPr>
        <w:jc w:val="both"/>
        <w:rPr>
          <w:b/>
          <w:sz w:val="24"/>
          <w:lang w:val="en-GB"/>
        </w:rPr>
      </w:pPr>
    </w:p>
    <w:p w14:paraId="30B383C6" w14:textId="77777777" w:rsidR="006C03D0" w:rsidRPr="00C37E1D" w:rsidRDefault="006C03D0" w:rsidP="003D6014">
      <w:pPr>
        <w:jc w:val="both"/>
        <w:rPr>
          <w:b/>
          <w:sz w:val="24"/>
          <w:lang w:val="en-GB"/>
        </w:rPr>
      </w:pPr>
    </w:p>
    <w:p w14:paraId="71D30BD5" w14:textId="77777777" w:rsidR="006C03D0" w:rsidRPr="00C37E1D" w:rsidRDefault="006C03D0" w:rsidP="003D6014">
      <w:pPr>
        <w:jc w:val="both"/>
        <w:rPr>
          <w:b/>
          <w:sz w:val="24"/>
          <w:lang w:val="en-GB"/>
        </w:rPr>
      </w:pPr>
    </w:p>
    <w:p w14:paraId="4879E077" w14:textId="77777777" w:rsidR="006C03D0" w:rsidRPr="00C37E1D" w:rsidRDefault="006C03D0" w:rsidP="003D6014">
      <w:pPr>
        <w:jc w:val="both"/>
        <w:rPr>
          <w:b/>
          <w:sz w:val="24"/>
          <w:lang w:val="en-GB"/>
        </w:rPr>
      </w:pPr>
    </w:p>
    <w:p w14:paraId="06A51943" w14:textId="77777777" w:rsidR="006C03D0" w:rsidRPr="00C37E1D" w:rsidRDefault="006C03D0" w:rsidP="003D6014">
      <w:pPr>
        <w:jc w:val="both"/>
        <w:rPr>
          <w:b/>
          <w:sz w:val="24"/>
          <w:lang w:val="en-GB"/>
        </w:rPr>
      </w:pPr>
    </w:p>
    <w:p w14:paraId="06C6E5A0" w14:textId="77777777" w:rsidR="006C03D0" w:rsidRPr="00C37E1D" w:rsidRDefault="006C03D0" w:rsidP="003D6014">
      <w:pPr>
        <w:jc w:val="both"/>
        <w:rPr>
          <w:sz w:val="24"/>
          <w:lang w:val="en-GB"/>
        </w:rPr>
      </w:pPr>
    </w:p>
    <w:p w14:paraId="1763ED24" w14:textId="77777777" w:rsidR="006C03D0" w:rsidRPr="00C37E1D" w:rsidRDefault="006C03D0" w:rsidP="003D6014">
      <w:pPr>
        <w:jc w:val="both"/>
        <w:rPr>
          <w:sz w:val="24"/>
          <w:lang w:val="en-GB"/>
        </w:rPr>
      </w:pPr>
    </w:p>
    <w:p w14:paraId="60A80EFA" w14:textId="77777777" w:rsidR="00E77A8B" w:rsidRPr="00C37E1D" w:rsidRDefault="00E77A8B" w:rsidP="003D6014">
      <w:pPr>
        <w:jc w:val="both"/>
        <w:rPr>
          <w:sz w:val="32"/>
          <w:lang w:val="en-GB"/>
        </w:rPr>
      </w:pPr>
    </w:p>
    <w:p w14:paraId="53899D51" w14:textId="445AB9B0" w:rsidR="00B56A64" w:rsidRPr="00C37E1D" w:rsidRDefault="00B56A64" w:rsidP="00F64691">
      <w:pPr>
        <w:jc w:val="both"/>
        <w:rPr>
          <w:sz w:val="32"/>
          <w:highlight w:val="yellow"/>
          <w:lang w:val="en-GB"/>
        </w:rPr>
      </w:pPr>
    </w:p>
    <w:p w14:paraId="1B7DB629" w14:textId="326D98C0" w:rsidR="000C5D27" w:rsidRPr="007A3C78" w:rsidRDefault="009466B9" w:rsidP="000C5D27">
      <w:pPr>
        <w:pStyle w:val="Reporttitledescription"/>
        <w:rPr>
          <w:rStyle w:val="ECCHLgreen"/>
        </w:rPr>
      </w:pPr>
      <w:bookmarkStart w:id="0" w:name="_Hlk108543403"/>
      <w:r w:rsidRPr="007A3C78">
        <w:rPr>
          <w:color w:val="auto"/>
          <w:lang w:val="en-GB"/>
        </w:rPr>
        <w:t>Harmoni</w:t>
      </w:r>
      <w:r w:rsidR="00E46776" w:rsidRPr="007A3C78">
        <w:rPr>
          <w:color w:val="auto"/>
          <w:lang w:val="en-GB"/>
        </w:rPr>
        <w:t>s</w:t>
      </w:r>
      <w:r w:rsidRPr="007A3C78">
        <w:rPr>
          <w:color w:val="auto"/>
          <w:lang w:val="en-GB"/>
        </w:rPr>
        <w:t>ed technical conditions f</w:t>
      </w:r>
      <w:r w:rsidR="00180F98" w:rsidRPr="007A3C78">
        <w:rPr>
          <w:color w:val="auto"/>
          <w:lang w:val="en-GB"/>
        </w:rPr>
        <w:t>or</w:t>
      </w:r>
      <w:r w:rsidRPr="007A3C78">
        <w:rPr>
          <w:color w:val="auto"/>
          <w:lang w:val="en-GB"/>
        </w:rPr>
        <w:t xml:space="preserve"> the usage of aerial UE for communications based on LTE and 5G NR in the </w:t>
      </w:r>
      <w:r w:rsidR="002A59EF" w:rsidRPr="007A3C78">
        <w:rPr>
          <w:color w:val="auto"/>
          <w:lang w:val="en-GB"/>
        </w:rPr>
        <w:t xml:space="preserve">bands </w:t>
      </w:r>
      <w:r w:rsidR="00BA325D" w:rsidRPr="007A3C78">
        <w:rPr>
          <w:color w:val="auto"/>
        </w:rPr>
        <w:t xml:space="preserve">703-733 MHz, 832-862 MHz, </w:t>
      </w:r>
      <w:r w:rsidR="00B510AE" w:rsidRPr="007A3C78">
        <w:rPr>
          <w:color w:val="auto"/>
        </w:rPr>
        <w:t xml:space="preserve">880-915 MHz, </w:t>
      </w:r>
      <w:r w:rsidR="00BA325D" w:rsidRPr="007A3C78">
        <w:rPr>
          <w:color w:val="auto"/>
        </w:rPr>
        <w:t>1710</w:t>
      </w:r>
      <w:r w:rsidR="008A08D1">
        <w:rPr>
          <w:color w:val="auto"/>
        </w:rPr>
        <w:t> </w:t>
      </w:r>
      <w:r w:rsidR="00BA325D" w:rsidRPr="007A3C78">
        <w:rPr>
          <w:color w:val="auto"/>
        </w:rPr>
        <w:t>-</w:t>
      </w:r>
      <w:r w:rsidR="008A08D1">
        <w:rPr>
          <w:color w:val="auto"/>
        </w:rPr>
        <w:t> </w:t>
      </w:r>
      <w:r w:rsidR="00BA325D" w:rsidRPr="007A3C78">
        <w:rPr>
          <w:color w:val="auto"/>
        </w:rPr>
        <w:t>1785 MHz, 1920-1980 MHz, 2500-2570 MHz and</w:t>
      </w:r>
      <w:r w:rsidR="00586BFF">
        <w:rPr>
          <w:color w:val="auto"/>
        </w:rPr>
        <w:t> </w:t>
      </w:r>
      <w:r w:rsidR="00BA325D" w:rsidRPr="007A3C78">
        <w:rPr>
          <w:color w:val="auto"/>
        </w:rPr>
        <w:t>2570-2620 MHz</w:t>
      </w:r>
      <w:bookmarkEnd w:id="0"/>
      <w:r w:rsidR="002A59EF" w:rsidRPr="007A3C78">
        <w:rPr>
          <w:color w:val="auto"/>
        </w:rPr>
        <w:t xml:space="preserve"> harmonised for MFCN</w:t>
      </w:r>
    </w:p>
    <w:p w14:paraId="40C1F579" w14:textId="018FE34F" w:rsidR="000C5D27" w:rsidRPr="00C37E1D" w:rsidRDefault="00776103" w:rsidP="000C5D27">
      <w:pPr>
        <w:pStyle w:val="Reporttitledescription"/>
        <w:rPr>
          <w:b/>
          <w:color w:val="auto"/>
          <w:sz w:val="18"/>
          <w:lang w:val="en-GB"/>
        </w:rPr>
      </w:pPr>
      <w:r>
        <w:rPr>
          <w:b/>
          <w:color w:val="auto"/>
          <w:sz w:val="18"/>
          <w:lang w:val="en-GB"/>
        </w:rPr>
        <w:fldChar w:fldCharType="begin">
          <w:ffData>
            <w:name w:val="Text8"/>
            <w:enabled/>
            <w:calcOnExit w:val="0"/>
            <w:textInput>
              <w:default w:val="approved 18 November 2022"/>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18 November 2022</w:t>
      </w:r>
      <w:r>
        <w:rPr>
          <w:b/>
          <w:color w:val="auto"/>
          <w:sz w:val="18"/>
          <w:lang w:val="en-GB"/>
        </w:rPr>
        <w:fldChar w:fldCharType="end"/>
      </w:r>
      <w:bookmarkEnd w:id="1"/>
    </w:p>
    <w:p w14:paraId="6BF2EDBC" w14:textId="7E39F1E2" w:rsidR="000C5D27" w:rsidRPr="00C37E1D" w:rsidRDefault="000C5D27" w:rsidP="000C5D27">
      <w:pPr>
        <w:pStyle w:val="Lastupdated"/>
        <w:rPr>
          <w:b/>
          <w:lang w:val="en-GB"/>
        </w:rPr>
      </w:pPr>
      <w:r w:rsidRPr="00C37E1D">
        <w:rPr>
          <w:b/>
          <w:lang w:val="en-GB"/>
        </w:rPr>
        <w:fldChar w:fldCharType="begin">
          <w:ffData>
            <w:name w:val="Text3"/>
            <w:enabled/>
            <w:calcOnExit w:val="0"/>
            <w:textInput/>
          </w:ffData>
        </w:fldChar>
      </w:r>
      <w:bookmarkStart w:id="2" w:name="Text3"/>
      <w:r w:rsidRPr="00C37E1D">
        <w:rPr>
          <w:b/>
          <w:lang w:val="en-GB"/>
        </w:rPr>
        <w:instrText xml:space="preserve"> FORMTEXT </w:instrText>
      </w:r>
      <w:r w:rsidRPr="00C37E1D">
        <w:rPr>
          <w:b/>
          <w:lang w:val="en-GB"/>
        </w:rPr>
      </w:r>
      <w:r w:rsidRPr="00C37E1D">
        <w:rPr>
          <w:b/>
          <w:lang w:val="en-GB"/>
        </w:rPr>
        <w:fldChar w:fldCharType="separate"/>
      </w:r>
      <w:r w:rsidRPr="00C37E1D">
        <w:rPr>
          <w:b/>
          <w:lang w:val="en-GB"/>
        </w:rPr>
        <w:t> </w:t>
      </w:r>
      <w:r w:rsidRPr="00C37E1D">
        <w:rPr>
          <w:b/>
          <w:lang w:val="en-GB"/>
        </w:rPr>
        <w:t> </w:t>
      </w:r>
      <w:r w:rsidRPr="00C37E1D">
        <w:rPr>
          <w:b/>
          <w:lang w:val="en-GB"/>
        </w:rPr>
        <w:t> </w:t>
      </w:r>
      <w:r w:rsidRPr="00C37E1D">
        <w:rPr>
          <w:b/>
          <w:lang w:val="en-GB"/>
        </w:rPr>
        <w:t> </w:t>
      </w:r>
      <w:r w:rsidRPr="00C37E1D">
        <w:rPr>
          <w:b/>
          <w:lang w:val="en-GB"/>
        </w:rPr>
        <w:t> </w:t>
      </w:r>
      <w:r w:rsidRPr="00C37E1D">
        <w:rPr>
          <w:b/>
          <w:lang w:val="en-GB"/>
        </w:rPr>
        <w:fldChar w:fldCharType="end"/>
      </w:r>
      <w:bookmarkEnd w:id="2"/>
    </w:p>
    <w:p w14:paraId="619729C6" w14:textId="77777777" w:rsidR="000C5D27" w:rsidRPr="00C37E1D" w:rsidRDefault="000C5D27" w:rsidP="000C5D27">
      <w:pPr>
        <w:pStyle w:val="Lastupdated"/>
        <w:rPr>
          <w:b/>
          <w:lang w:val="en-GB"/>
        </w:rPr>
      </w:pPr>
    </w:p>
    <w:p w14:paraId="5F4C2F12" w14:textId="14192BD3" w:rsidR="00DA57F9" w:rsidRPr="00C37E1D" w:rsidRDefault="00DA57F9" w:rsidP="00E01618">
      <w:pPr>
        <w:pStyle w:val="ListParagraph"/>
        <w:jc w:val="both"/>
        <w:rPr>
          <w:b/>
          <w:sz w:val="24"/>
          <w:lang w:val="en-GB"/>
        </w:rPr>
      </w:pPr>
    </w:p>
    <w:p w14:paraId="0EBB3F52" w14:textId="77777777" w:rsidR="006C03D0" w:rsidRPr="003D1680" w:rsidRDefault="005F7AD5" w:rsidP="00C7391E">
      <w:pPr>
        <w:pStyle w:val="Heading1"/>
      </w:pPr>
      <w:r w:rsidRPr="003D1680">
        <w:lastRenderedPageBreak/>
        <w:t>explanato</w:t>
      </w:r>
      <w:r w:rsidR="007D1EB3" w:rsidRPr="003D1680">
        <w:t>ry memorandum</w:t>
      </w:r>
    </w:p>
    <w:p w14:paraId="4078EA75" w14:textId="536F40F3" w:rsidR="006C03D0" w:rsidRPr="00C37E1D" w:rsidRDefault="007D1EB3" w:rsidP="0037319C">
      <w:pPr>
        <w:pStyle w:val="Heading2"/>
        <w:rPr>
          <w:lang w:val="en-GB"/>
        </w:rPr>
      </w:pPr>
      <w:r w:rsidRPr="00C37E1D">
        <w:rPr>
          <w:lang w:val="en-GB"/>
        </w:rPr>
        <w:t>INTRODUCTION</w:t>
      </w:r>
    </w:p>
    <w:p w14:paraId="79C750C9" w14:textId="526E05D3" w:rsidR="006C03D0" w:rsidRDefault="003F5F47" w:rsidP="00586BFF">
      <w:pPr>
        <w:pStyle w:val="ECCParagraph"/>
      </w:pPr>
      <w:r w:rsidRPr="003D1680">
        <w:t>In CEPT countries</w:t>
      </w:r>
      <w:r w:rsidR="007D1EB3" w:rsidRPr="003D1680">
        <w:t xml:space="preserve">, there is a fast-growing demand to operate </w:t>
      </w:r>
      <w:r w:rsidR="0000712D" w:rsidRPr="003D1680">
        <w:t>aerial UE</w:t>
      </w:r>
      <w:r w:rsidR="0000712D" w:rsidRPr="00A0762C">
        <w:t xml:space="preserve"> </w:t>
      </w:r>
      <w:r w:rsidR="00DE4A67" w:rsidRPr="00A0762C">
        <w:t>(User equipment)</w:t>
      </w:r>
      <w:r w:rsidR="00DE4A67" w:rsidRPr="002A59EF">
        <w:t xml:space="preserve"> </w:t>
      </w:r>
      <w:r w:rsidR="007D1EB3" w:rsidRPr="003D1680">
        <w:t xml:space="preserve">in particular under beyond-visual-line-of-sight (BVLOS) conditions, mainly for professional purposes. To enable </w:t>
      </w:r>
      <w:r w:rsidR="00251ED2" w:rsidRPr="003D1680">
        <w:t>these kinds of applications</w:t>
      </w:r>
      <w:r w:rsidR="007D1EB3" w:rsidRPr="003D1680">
        <w:t xml:space="preserve">, there is the need for communication links between the </w:t>
      </w:r>
      <w:r w:rsidR="0000712D" w:rsidRPr="003D1680">
        <w:t xml:space="preserve">aerial UE </w:t>
      </w:r>
      <w:r w:rsidR="007D1EB3" w:rsidRPr="003D1680">
        <w:t xml:space="preserve">and </w:t>
      </w:r>
      <w:r w:rsidR="0097712C" w:rsidRPr="003D1680">
        <w:t>mobile/fixed communication networks (</w:t>
      </w:r>
      <w:r w:rsidR="007D1EB3" w:rsidRPr="003D1680">
        <w:t>MFCN</w:t>
      </w:r>
      <w:r w:rsidR="0097712C" w:rsidRPr="003D1680">
        <w:t>)</w:t>
      </w:r>
      <w:r w:rsidR="007D1EB3" w:rsidRPr="003D1680">
        <w:t xml:space="preserve"> </w:t>
      </w:r>
      <w:r w:rsidR="00746734" w:rsidRPr="003D1680">
        <w:t>using bands harmonised for MFCN.</w:t>
      </w:r>
    </w:p>
    <w:p w14:paraId="0F4C194C" w14:textId="0F3F0CF5" w:rsidR="009F53D1" w:rsidRPr="00E04392" w:rsidRDefault="009F53D1" w:rsidP="00586BFF">
      <w:pPr>
        <w:spacing w:before="240" w:after="60"/>
        <w:jc w:val="both"/>
      </w:pPr>
      <w:r w:rsidRPr="00E04392">
        <w:t xml:space="preserve">In this Decision, the term aerial UE refers to </w:t>
      </w:r>
      <w:proofErr w:type="gramStart"/>
      <w:r w:rsidRPr="00E04392">
        <w:t>an</w:t>
      </w:r>
      <w:proofErr w:type="gramEnd"/>
      <w:r w:rsidRPr="00E04392">
        <w:t xml:space="preserve"> UE supporting UAS features and services and requiring </w:t>
      </w:r>
      <w:r w:rsidR="003C1EA0">
        <w:t>a</w:t>
      </w:r>
      <w:r w:rsidRPr="00E04392">
        <w:t xml:space="preserve">n aerial subscription. An aerial UE is installed either on-board an Unmanned Aircraft (e.g. drones) or on-board manned aircraft (e.g. helicopter). It identifies itself to the mobile network as being in this class. </w:t>
      </w:r>
    </w:p>
    <w:p w14:paraId="6E731764" w14:textId="76EA6844" w:rsidR="007D1EB3" w:rsidRPr="00E04392" w:rsidRDefault="003F5F47" w:rsidP="00586BFF">
      <w:pPr>
        <w:spacing w:before="240" w:after="60"/>
        <w:jc w:val="both"/>
      </w:pPr>
      <w:r w:rsidRPr="00E04392">
        <w:t xml:space="preserve">Based on </w:t>
      </w:r>
      <w:r w:rsidR="007D1EB3" w:rsidRPr="00E04392">
        <w:t>CEPT analysis (</w:t>
      </w:r>
      <w:r w:rsidRPr="00E04392">
        <w:t xml:space="preserve">see </w:t>
      </w:r>
      <w:r w:rsidR="007D1EB3" w:rsidRPr="00E04392">
        <w:t xml:space="preserve">ECC </w:t>
      </w:r>
      <w:r w:rsidR="00746734" w:rsidRPr="00E04392">
        <w:t>R</w:t>
      </w:r>
      <w:r w:rsidR="007D1EB3" w:rsidRPr="00E04392">
        <w:t>eport 309</w:t>
      </w:r>
      <w:r w:rsidR="00A05A69" w:rsidRPr="00E04392">
        <w:t xml:space="preserve"> </w:t>
      </w:r>
      <w:r w:rsidR="00A05A69" w:rsidRPr="00E04392">
        <w:fldChar w:fldCharType="begin"/>
      </w:r>
      <w:r w:rsidR="00A05A69" w:rsidRPr="00E04392">
        <w:instrText xml:space="preserve"> REF _Ref103342543 \r \h </w:instrText>
      </w:r>
      <w:r w:rsidR="000D3791" w:rsidRPr="00E04392">
        <w:instrText xml:space="preserve"> \* MERGEFORMAT </w:instrText>
      </w:r>
      <w:r w:rsidR="00A05A69" w:rsidRPr="00E04392">
        <w:fldChar w:fldCharType="separate"/>
      </w:r>
      <w:r w:rsidR="001F3A6B">
        <w:t>[1]</w:t>
      </w:r>
      <w:r w:rsidR="00A05A69" w:rsidRPr="00E04392">
        <w:fldChar w:fldCharType="end"/>
      </w:r>
      <w:r w:rsidR="00FD422E" w:rsidRPr="00E04392">
        <w:t xml:space="preserve"> and </w:t>
      </w:r>
      <w:r w:rsidR="007569EB" w:rsidRPr="00E04392">
        <w:t>ECC Report 348</w:t>
      </w:r>
      <w:r w:rsidR="00A05A69" w:rsidRPr="00E04392">
        <w:t xml:space="preserve"> </w:t>
      </w:r>
      <w:r w:rsidR="00A05A69" w:rsidRPr="00E04392">
        <w:rPr>
          <w:highlight w:val="yellow"/>
        </w:rPr>
        <w:fldChar w:fldCharType="begin"/>
      </w:r>
      <w:r w:rsidR="00A05A69" w:rsidRPr="00E04392">
        <w:instrText xml:space="preserve"> REF _Ref103342552 \r \h </w:instrText>
      </w:r>
      <w:r w:rsidR="000D3791" w:rsidRPr="00E04392">
        <w:rPr>
          <w:highlight w:val="yellow"/>
        </w:rPr>
        <w:instrText xml:space="preserve"> \* MERGEFORMAT </w:instrText>
      </w:r>
      <w:r w:rsidR="00A05A69" w:rsidRPr="00E04392">
        <w:rPr>
          <w:highlight w:val="yellow"/>
        </w:rPr>
      </w:r>
      <w:r w:rsidR="00A05A69" w:rsidRPr="00E04392">
        <w:rPr>
          <w:highlight w:val="yellow"/>
        </w:rPr>
        <w:fldChar w:fldCharType="separate"/>
      </w:r>
      <w:r w:rsidR="001F3A6B">
        <w:t>[2]</w:t>
      </w:r>
      <w:r w:rsidR="00A05A69" w:rsidRPr="00E04392">
        <w:rPr>
          <w:highlight w:val="yellow"/>
        </w:rPr>
        <w:fldChar w:fldCharType="end"/>
      </w:r>
      <w:r w:rsidR="007D1EB3" w:rsidRPr="00E04392">
        <w:t>), this ECC Decision provides harmonised technical conditions for the usage of aerial UE for communications in the following MFCN harmoni</w:t>
      </w:r>
      <w:r w:rsidR="00755B25" w:rsidRPr="00E04392">
        <w:t>s</w:t>
      </w:r>
      <w:r w:rsidR="007D1EB3" w:rsidRPr="00E04392">
        <w:t xml:space="preserve">ed bands: </w:t>
      </w:r>
      <w:r w:rsidR="00D27301" w:rsidRPr="00E04392">
        <w:t xml:space="preserve">703-733 MHz, 832-862 MHz, 880-915 MHz, 1710-1785 MHz, 1920-1980 MHz, 2500-2570 MHz and 2570-2620 </w:t>
      </w:r>
      <w:r w:rsidR="001C05A3" w:rsidRPr="00E04392">
        <w:t>MHz</w:t>
      </w:r>
      <w:r w:rsidR="001C05A3">
        <w:t>.</w:t>
      </w:r>
      <w:r w:rsidR="001F1DA8" w:rsidRPr="00E04392">
        <w:t xml:space="preserve"> This framework</w:t>
      </w:r>
      <w:r w:rsidRPr="00E04392">
        <w:t xml:space="preserve"> </w:t>
      </w:r>
      <w:r w:rsidR="001F1DA8" w:rsidRPr="00E04392">
        <w:t>does not address civil aviation regulation</w:t>
      </w:r>
      <w:r w:rsidR="001739AA" w:rsidRPr="00E04392">
        <w:t>.</w:t>
      </w:r>
    </w:p>
    <w:p w14:paraId="50555894" w14:textId="6E1B7E1F" w:rsidR="006C03D0" w:rsidRPr="00667794" w:rsidRDefault="005F7AD5" w:rsidP="0037319C">
      <w:pPr>
        <w:pStyle w:val="Heading2"/>
        <w:rPr>
          <w:lang w:val="en-GB"/>
        </w:rPr>
      </w:pPr>
      <w:r w:rsidRPr="00667794">
        <w:rPr>
          <w:lang w:val="en-GB"/>
        </w:rPr>
        <w:t>BACKGROUND</w:t>
      </w:r>
    </w:p>
    <w:p w14:paraId="42ACA14A" w14:textId="5432D9F1" w:rsidR="001B18A8" w:rsidRPr="003D1680" w:rsidRDefault="007D1EB3" w:rsidP="003D6014">
      <w:pPr>
        <w:pStyle w:val="ECCParagraph"/>
        <w:rPr>
          <w:szCs w:val="20"/>
          <w:highlight w:val="green"/>
        </w:rPr>
      </w:pPr>
      <w:r w:rsidRPr="003D1680">
        <w:t>Further to market demands expressed d</w:t>
      </w:r>
      <w:r w:rsidR="003F5F47" w:rsidRPr="003D1680">
        <w:t xml:space="preserve">uring </w:t>
      </w:r>
      <w:r w:rsidR="00CC27AE" w:rsidRPr="003D1680">
        <w:t xml:space="preserve">a </w:t>
      </w:r>
      <w:r w:rsidR="0052373A" w:rsidRPr="003D1680">
        <w:t xml:space="preserve">CEPT </w:t>
      </w:r>
      <w:r w:rsidRPr="003D1680">
        <w:t>workshop</w:t>
      </w:r>
      <w:r w:rsidR="003F5F47" w:rsidRPr="003D1680">
        <w:t xml:space="preserve"> </w:t>
      </w:r>
      <w:r w:rsidR="00681209" w:rsidRPr="003D1680">
        <w:t>on 29-30 May 2018</w:t>
      </w:r>
      <w:r w:rsidRPr="003D1680">
        <w:t>,</w:t>
      </w:r>
      <w:r w:rsidR="003F5F47" w:rsidRPr="003D1680">
        <w:t xml:space="preserve"> ECC</w:t>
      </w:r>
      <w:r w:rsidRPr="003D1680">
        <w:t xml:space="preserve"> analys</w:t>
      </w:r>
      <w:r w:rsidR="00DB68E3" w:rsidRPr="003D1680">
        <w:t>ed the conditions for the usage</w:t>
      </w:r>
      <w:r w:rsidRPr="003D1680">
        <w:t xml:space="preserve"> </w:t>
      </w:r>
      <w:r w:rsidR="00DB68E3" w:rsidRPr="003D1680">
        <w:t>of aerial UE</w:t>
      </w:r>
      <w:r w:rsidR="003E41E1" w:rsidRPr="003D1680">
        <w:t xml:space="preserve"> </w:t>
      </w:r>
      <w:r w:rsidR="00DB68E3" w:rsidRPr="003D1680">
        <w:t>for communications in the following MFCN harmoni</w:t>
      </w:r>
      <w:r w:rsidR="00755B25" w:rsidRPr="003D1680">
        <w:t>s</w:t>
      </w:r>
      <w:r w:rsidR="00DB68E3" w:rsidRPr="003D1680">
        <w:t xml:space="preserve">ed bands: 700 MHz, 800 MHz, 900 MHz, 1800 MHz, 2 GHz, 2.6 GHz, 3.4-3.8 GHz (with AAS BS scenario only for that band) (see ECC </w:t>
      </w:r>
      <w:r w:rsidR="00746734" w:rsidRPr="003D1680">
        <w:t>R</w:t>
      </w:r>
      <w:r w:rsidR="00DB68E3" w:rsidRPr="003D1680">
        <w:t xml:space="preserve">eport 309). </w:t>
      </w:r>
      <w:r w:rsidR="00DE593A" w:rsidRPr="003D1680">
        <w:t>Such studies only considered scenarios where one UE is located on the flying platform</w:t>
      </w:r>
      <w:r w:rsidR="00FF47F7" w:rsidRPr="003D1680">
        <w:t>.</w:t>
      </w:r>
    </w:p>
    <w:p w14:paraId="4C6C4334" w14:textId="48C92CE5" w:rsidR="00FD422E" w:rsidRPr="003D1680" w:rsidRDefault="00FD422E" w:rsidP="003D6014">
      <w:pPr>
        <w:pStyle w:val="ECCParagraph"/>
        <w:rPr>
          <w:szCs w:val="20"/>
        </w:rPr>
      </w:pPr>
      <w:r w:rsidRPr="003D1680">
        <w:rPr>
          <w:szCs w:val="20"/>
        </w:rPr>
        <w:t>After the approval of ECC Report 309</w:t>
      </w:r>
      <w:r w:rsidR="008C10F8" w:rsidRPr="003D1680">
        <w:rPr>
          <w:szCs w:val="20"/>
        </w:rPr>
        <w:t>,</w:t>
      </w:r>
      <w:r w:rsidRPr="003D1680">
        <w:rPr>
          <w:szCs w:val="20"/>
        </w:rPr>
        <w:t xml:space="preserve"> ECC recognised a demand for further studies of aerial UE connected to 5G NR AAS base stations on the ground in the 1.8 GHz, 2 GHz and 2.6 GHz frequency bands and developed </w:t>
      </w:r>
      <w:r w:rsidR="007569EB" w:rsidRPr="003D1680">
        <w:rPr>
          <w:szCs w:val="20"/>
        </w:rPr>
        <w:t>ECC Report 348</w:t>
      </w:r>
      <w:r w:rsidRPr="003D1680">
        <w:rPr>
          <w:szCs w:val="20"/>
        </w:rPr>
        <w:t xml:space="preserve"> accordingly.</w:t>
      </w:r>
    </w:p>
    <w:p w14:paraId="68CA58FE" w14:textId="507CA9CC" w:rsidR="00292584" w:rsidRDefault="00480443" w:rsidP="00667794">
      <w:pPr>
        <w:spacing w:before="240" w:after="60"/>
        <w:jc w:val="both"/>
      </w:pPr>
      <w:r w:rsidRPr="003D1680">
        <w:t>According to ECC Report 309</w:t>
      </w:r>
      <w:r w:rsidR="00FF47F7" w:rsidRPr="003D1680">
        <w:t xml:space="preserve"> and </w:t>
      </w:r>
      <w:r w:rsidR="007569EB" w:rsidRPr="003D1680">
        <w:t xml:space="preserve">ECC </w:t>
      </w:r>
      <w:r w:rsidR="007569EB" w:rsidRPr="000C4203">
        <w:t>Report 348</w:t>
      </w:r>
      <w:r w:rsidRPr="000C4203">
        <w:t xml:space="preserve">, </w:t>
      </w:r>
      <w:r w:rsidR="0064670D" w:rsidRPr="000C4203">
        <w:t>the</w:t>
      </w:r>
      <w:r w:rsidR="00A70C48" w:rsidRPr="000C4203">
        <w:t xml:space="preserve"> communication links of </w:t>
      </w:r>
      <w:r w:rsidR="00564DF7" w:rsidRPr="000C4203">
        <w:t>aerial UE</w:t>
      </w:r>
      <w:r w:rsidR="001739AA" w:rsidRPr="000C4203">
        <w:t xml:space="preserve"> </w:t>
      </w:r>
      <w:r w:rsidR="00A70C48" w:rsidRPr="000C4203">
        <w:t>are intended to be used primarily for data communication within MFCN bands.</w:t>
      </w:r>
    </w:p>
    <w:p w14:paraId="4C5A5753" w14:textId="598ADA2A" w:rsidR="00D7097D" w:rsidRPr="000C4203" w:rsidRDefault="00A70C48" w:rsidP="00667794">
      <w:pPr>
        <w:spacing w:before="240" w:after="60"/>
        <w:jc w:val="both"/>
      </w:pPr>
      <w:r w:rsidRPr="000C4203">
        <w:t>This ECC Decision has been developed on the basis of</w:t>
      </w:r>
      <w:r w:rsidR="00614DDD" w:rsidRPr="000C4203">
        <w:t xml:space="preserve"> assumptions,</w:t>
      </w:r>
      <w:r w:rsidRPr="000C4203">
        <w:t xml:space="preserve"> </w:t>
      </w:r>
      <w:proofErr w:type="gramStart"/>
      <w:r w:rsidRPr="000C4203">
        <w:t>analysis</w:t>
      </w:r>
      <w:proofErr w:type="gramEnd"/>
      <w:r w:rsidRPr="000C4203">
        <w:t xml:space="preserve"> and </w:t>
      </w:r>
      <w:r w:rsidR="00A1231C" w:rsidRPr="000C4203">
        <w:t xml:space="preserve">main </w:t>
      </w:r>
      <w:r w:rsidRPr="000C4203">
        <w:t>conclusions of ECC Report 309</w:t>
      </w:r>
      <w:r w:rsidR="00AC6C1F" w:rsidRPr="000C4203">
        <w:t xml:space="preserve"> </w:t>
      </w:r>
      <w:r w:rsidR="00AD6922" w:rsidRPr="000C4203">
        <w:t xml:space="preserve">and </w:t>
      </w:r>
      <w:r w:rsidR="007569EB" w:rsidRPr="000C4203">
        <w:t>ECC Report 348</w:t>
      </w:r>
      <w:r w:rsidR="00363739" w:rsidRPr="000C4203">
        <w:t>.</w:t>
      </w:r>
      <w:r w:rsidR="00AD6922" w:rsidRPr="000C4203">
        <w:t xml:space="preserve"> </w:t>
      </w:r>
      <w:r w:rsidR="004E2DCE" w:rsidRPr="000C4203">
        <w:t xml:space="preserve">These Reports </w:t>
      </w:r>
      <w:r w:rsidR="00777261" w:rsidRPr="000C4203">
        <w:t xml:space="preserve">assume that aerial UE </w:t>
      </w:r>
      <w:proofErr w:type="gramStart"/>
      <w:r w:rsidR="00777261" w:rsidRPr="000C4203">
        <w:t>use</w:t>
      </w:r>
      <w:proofErr w:type="gramEnd"/>
      <w:r w:rsidR="00777261" w:rsidRPr="000C4203">
        <w:t xml:space="preserve"> data payload. </w:t>
      </w:r>
      <w:r w:rsidR="00DD2595" w:rsidRPr="000C4203">
        <w:t xml:space="preserve">For aerial UE that do not use data </w:t>
      </w:r>
      <w:r w:rsidR="00D82BBC" w:rsidRPr="000C4203">
        <w:t>pay</w:t>
      </w:r>
      <w:r w:rsidR="00DD2595" w:rsidRPr="000C4203">
        <w:t>load</w:t>
      </w:r>
      <w:r w:rsidR="00D01E1C" w:rsidRPr="000C4203">
        <w:t xml:space="preserve"> </w:t>
      </w:r>
      <w:r w:rsidR="004F601C" w:rsidRPr="000C4203">
        <w:t xml:space="preserve">(i.e. command and control </w:t>
      </w:r>
      <w:r w:rsidR="00FD1CE4" w:rsidRPr="000C4203">
        <w:t>aerial UE</w:t>
      </w:r>
      <w:r w:rsidR="004F601C" w:rsidRPr="000C4203">
        <w:t xml:space="preserve"> only)</w:t>
      </w:r>
      <w:r w:rsidR="00E363D5" w:rsidRPr="000C4203">
        <w:t xml:space="preserve"> </w:t>
      </w:r>
      <w:r w:rsidR="00D01E1C" w:rsidRPr="000C4203">
        <w:t>less stringent regulatory provision</w:t>
      </w:r>
      <w:r w:rsidR="00602299" w:rsidRPr="000C4203">
        <w:t>s</w:t>
      </w:r>
      <w:r w:rsidR="00D01E1C" w:rsidRPr="000C4203">
        <w:t xml:space="preserve"> might be </w:t>
      </w:r>
      <w:r w:rsidR="00DE4964" w:rsidRPr="000C4203">
        <w:t>applicable</w:t>
      </w:r>
      <w:r w:rsidR="00D01E1C" w:rsidRPr="000C4203">
        <w:t xml:space="preserve"> but </w:t>
      </w:r>
      <w:r w:rsidR="00DD2595" w:rsidRPr="000C4203">
        <w:t xml:space="preserve">further studies are </w:t>
      </w:r>
      <w:r w:rsidR="00AB77A1" w:rsidRPr="000C4203">
        <w:t>required</w:t>
      </w:r>
      <w:r w:rsidR="004D37C7" w:rsidRPr="000C4203">
        <w:t xml:space="preserve"> before these provisions can be relaxed</w:t>
      </w:r>
      <w:r w:rsidR="00DD2595" w:rsidRPr="000C4203">
        <w:t>.</w:t>
      </w:r>
    </w:p>
    <w:p w14:paraId="4CC81A69" w14:textId="49053063" w:rsidR="00AD1FEC" w:rsidRDefault="00873306" w:rsidP="00667794">
      <w:pPr>
        <w:spacing w:before="240" w:after="60"/>
        <w:jc w:val="both"/>
      </w:pPr>
      <w:r w:rsidRPr="003D1680">
        <w:t>In accordance with market demands and in order to use a technology widely available, the</w:t>
      </w:r>
      <w:r w:rsidR="00B4702B" w:rsidRPr="003D1680">
        <w:t xml:space="preserve"> initial</w:t>
      </w:r>
      <w:r w:rsidRPr="003D1680">
        <w:t xml:space="preserve"> ECC studies</w:t>
      </w:r>
      <w:r w:rsidR="00B4702B" w:rsidRPr="003D1680">
        <w:t xml:space="preserve"> (ECC Report 309)</w:t>
      </w:r>
      <w:r w:rsidRPr="003D1680">
        <w:t xml:space="preserve"> </w:t>
      </w:r>
      <w:r w:rsidR="00A630D8" w:rsidRPr="003D1680">
        <w:t xml:space="preserve">mainly </w:t>
      </w:r>
      <w:r w:rsidRPr="003D1680">
        <w:t xml:space="preserve">focused on LTE which provides extensive MFCN coverage in CEPT countries. </w:t>
      </w:r>
      <w:r w:rsidR="00A02724" w:rsidRPr="003D1680">
        <w:t xml:space="preserve">Additional analysis included in the </w:t>
      </w:r>
      <w:r w:rsidR="007569EB" w:rsidRPr="003D1680">
        <w:t>ECC Report 348</w:t>
      </w:r>
      <w:r w:rsidR="00A02724" w:rsidRPr="003D1680">
        <w:t xml:space="preserve"> extended conclusions of ECC </w:t>
      </w:r>
      <w:r w:rsidR="00B4702B" w:rsidRPr="003D1680">
        <w:t>R</w:t>
      </w:r>
      <w:r w:rsidR="00A02724" w:rsidRPr="003D1680">
        <w:t xml:space="preserve">eport 309 </w:t>
      </w:r>
      <w:r w:rsidR="00C9757C" w:rsidRPr="003D1680">
        <w:t xml:space="preserve">for </w:t>
      </w:r>
      <w:r w:rsidR="0094413E" w:rsidRPr="003D1680">
        <w:t xml:space="preserve">the usage of </w:t>
      </w:r>
      <w:r w:rsidR="005E18D3" w:rsidRPr="003D1680">
        <w:t>aer</w:t>
      </w:r>
      <w:r w:rsidR="00083AE3" w:rsidRPr="003D1680">
        <w:t>i</w:t>
      </w:r>
      <w:r w:rsidR="005E18D3" w:rsidRPr="003D1680">
        <w:t>a</w:t>
      </w:r>
      <w:r w:rsidR="00083AE3" w:rsidRPr="003D1680">
        <w:t>l</w:t>
      </w:r>
      <w:r w:rsidR="005E18D3" w:rsidRPr="003D1680">
        <w:t xml:space="preserve"> UE </w:t>
      </w:r>
      <w:r w:rsidR="0094413E" w:rsidRPr="000C4203">
        <w:t xml:space="preserve">in </w:t>
      </w:r>
      <w:r w:rsidR="00511FB2" w:rsidRPr="000C4203">
        <w:t xml:space="preserve">the </w:t>
      </w:r>
      <w:r w:rsidR="00C9757C" w:rsidRPr="000C4203">
        <w:t>1</w:t>
      </w:r>
      <w:r w:rsidR="00F45053" w:rsidRPr="000C4203">
        <w:t>.</w:t>
      </w:r>
      <w:r w:rsidR="00C9757C" w:rsidRPr="000C4203">
        <w:t>8</w:t>
      </w:r>
      <w:r w:rsidR="00F45053" w:rsidRPr="000C4203">
        <w:t xml:space="preserve"> G</w:t>
      </w:r>
      <w:r w:rsidR="00C9757C" w:rsidRPr="000C4203">
        <w:t>H</w:t>
      </w:r>
      <w:r w:rsidR="00F25993" w:rsidRPr="000C4203">
        <w:t>z</w:t>
      </w:r>
      <w:r w:rsidR="00C9757C" w:rsidRPr="000C4203">
        <w:t>, 2</w:t>
      </w:r>
      <w:r w:rsidR="00F45053" w:rsidRPr="000C4203">
        <w:t>.</w:t>
      </w:r>
      <w:r w:rsidR="00C9757C" w:rsidRPr="000C4203">
        <w:t xml:space="preserve">1 </w:t>
      </w:r>
      <w:r w:rsidR="00F45053" w:rsidRPr="000C4203">
        <w:t>G</w:t>
      </w:r>
      <w:r w:rsidR="00C9757C" w:rsidRPr="000C4203">
        <w:t>H</w:t>
      </w:r>
      <w:r w:rsidR="00F25993" w:rsidRPr="000C4203">
        <w:t>z</w:t>
      </w:r>
      <w:r w:rsidR="00C9757C" w:rsidRPr="000C4203">
        <w:t xml:space="preserve"> and 2</w:t>
      </w:r>
      <w:r w:rsidR="00F45053" w:rsidRPr="000C4203">
        <w:t>.</w:t>
      </w:r>
      <w:r w:rsidR="00C9757C" w:rsidRPr="000C4203">
        <w:t>6</w:t>
      </w:r>
      <w:r w:rsidR="007C6079" w:rsidRPr="000C4203">
        <w:t xml:space="preserve"> G</w:t>
      </w:r>
      <w:r w:rsidR="00C9757C" w:rsidRPr="000C4203">
        <w:t xml:space="preserve">Hz </w:t>
      </w:r>
      <w:r w:rsidR="0094413E" w:rsidRPr="000C4203">
        <w:t xml:space="preserve">frequency bands with MFCN AAS base stations. </w:t>
      </w:r>
      <w:r w:rsidR="007569EB" w:rsidRPr="000C4203">
        <w:t>ECC Report 348</w:t>
      </w:r>
      <w:r w:rsidR="007C6079" w:rsidRPr="000C4203">
        <w:t xml:space="preserve"> </w:t>
      </w:r>
      <w:r w:rsidR="00511FB2" w:rsidRPr="000C4203">
        <w:t xml:space="preserve">also </w:t>
      </w:r>
      <w:r w:rsidR="007C6079" w:rsidRPr="000C4203">
        <w:t>includes a technology comparison between LTE and 5G NR.</w:t>
      </w:r>
      <w:r w:rsidR="00AD1FEC" w:rsidRPr="000C4203">
        <w:t xml:space="preserve"> Based on this analysis, technical and operational conditions such as OOBE limits or no-transmit zone based on the studies from the ECC Report 309 are valid for both LTE and 5G NR aerial UE.</w:t>
      </w:r>
    </w:p>
    <w:p w14:paraId="7C61137D" w14:textId="07B18ACA" w:rsidR="00A02724" w:rsidRDefault="00A02724" w:rsidP="002B15AF">
      <w:pPr>
        <w:spacing w:before="240" w:after="60"/>
        <w:jc w:val="both"/>
      </w:pPr>
      <w:r w:rsidRPr="000C4203">
        <w:t>This harmoni</w:t>
      </w:r>
      <w:r w:rsidR="00755B25" w:rsidRPr="000C4203">
        <w:t>s</w:t>
      </w:r>
      <w:r w:rsidRPr="000C4203">
        <w:t xml:space="preserve">ed framework is limited to these </w:t>
      </w:r>
      <w:r w:rsidR="00AD1FEC" w:rsidRPr="000C4203">
        <w:t>two</w:t>
      </w:r>
      <w:r w:rsidRPr="000C4203">
        <w:t xml:space="preserve"> MFCN technologies which are already deployed and available in different MFCN frequency bands. </w:t>
      </w:r>
      <w:r w:rsidR="00614DDD" w:rsidRPr="000C4203">
        <w:t xml:space="preserve">Studies have been </w:t>
      </w:r>
      <w:r w:rsidR="00511FB2" w:rsidRPr="000C4203">
        <w:t xml:space="preserve">performed </w:t>
      </w:r>
      <w:r w:rsidR="00614DDD" w:rsidRPr="000C4203">
        <w:t>based on standardised LTE</w:t>
      </w:r>
      <w:r w:rsidR="005333EC" w:rsidRPr="000C4203">
        <w:t xml:space="preserve"> and 5G NR</w:t>
      </w:r>
      <w:r w:rsidR="00614DDD" w:rsidRPr="000C4203">
        <w:t xml:space="preserve"> UE with usage of aerial UE </w:t>
      </w:r>
      <w:r w:rsidR="00F80E97" w:rsidRPr="000C4203">
        <w:t xml:space="preserve">operating </w:t>
      </w:r>
      <w:r w:rsidR="00614DDD" w:rsidRPr="000C4203">
        <w:t xml:space="preserve">up to 10000 m </w:t>
      </w:r>
      <w:r w:rsidR="00F80E97" w:rsidRPr="000C4203">
        <w:t xml:space="preserve">altitude </w:t>
      </w:r>
      <w:r w:rsidR="00614DDD" w:rsidRPr="000C4203">
        <w:t xml:space="preserve">with the assumption of usage of already existing MFCN </w:t>
      </w:r>
      <w:r w:rsidR="00CE3ECB" w:rsidRPr="000C4203">
        <w:t xml:space="preserve">base stations </w:t>
      </w:r>
      <w:r w:rsidR="00614DDD" w:rsidRPr="000C4203">
        <w:t>(BS), which are typically deployed to provide effective coverage at ground level. At this stage, ECC noted that mobile operators do not intend to develop specific network planning to respond to these new aerial use</w:t>
      </w:r>
      <w:r w:rsidR="00873306" w:rsidRPr="000C4203">
        <w:t xml:space="preserve"> cases</w:t>
      </w:r>
      <w:r w:rsidR="00614DDD" w:rsidRPr="000C4203">
        <w:t>.</w:t>
      </w:r>
    </w:p>
    <w:p w14:paraId="2E95E9BC" w14:textId="3EE05C0B" w:rsidR="00873306" w:rsidRPr="000C4203" w:rsidRDefault="00873306" w:rsidP="002B15AF">
      <w:pPr>
        <w:spacing w:before="240" w:after="60"/>
        <w:jc w:val="both"/>
      </w:pPr>
      <w:r w:rsidRPr="000C4203">
        <w:t xml:space="preserve">In addition to the already harmonised technical conditions for MFCN bands </w:t>
      </w:r>
      <w:r w:rsidR="00B01C53" w:rsidRPr="000C4203">
        <w:t xml:space="preserve">and for spectrum compatibility purposes, </w:t>
      </w:r>
      <w:r w:rsidR="00B76405" w:rsidRPr="000C4203">
        <w:t>the</w:t>
      </w:r>
      <w:r w:rsidR="002614CF" w:rsidRPr="000C4203">
        <w:t>re</w:t>
      </w:r>
      <w:r w:rsidR="00B76405" w:rsidRPr="000C4203">
        <w:t xml:space="preserve"> is the need to define </w:t>
      </w:r>
      <w:r w:rsidR="00292584" w:rsidRPr="000C4203">
        <w:t>som</w:t>
      </w:r>
      <w:r w:rsidR="00A66E77" w:rsidRPr="000C4203">
        <w:t xml:space="preserve">e </w:t>
      </w:r>
      <w:r w:rsidR="00EA6A99" w:rsidRPr="000C4203">
        <w:t xml:space="preserve">spectrum </w:t>
      </w:r>
      <w:r w:rsidR="00A66E77" w:rsidRPr="000C4203">
        <w:t>operational restrictions</w:t>
      </w:r>
      <w:r w:rsidR="00101C16" w:rsidRPr="000C4203">
        <w:t xml:space="preserve">. This can be </w:t>
      </w:r>
      <w:r w:rsidR="00D3226A" w:rsidRPr="000C4203">
        <w:t>done</w:t>
      </w:r>
      <w:r w:rsidR="00101C16" w:rsidRPr="000C4203">
        <w:t xml:space="preserve"> using</w:t>
      </w:r>
      <w:r w:rsidR="00292584" w:rsidRPr="000C4203">
        <w:t xml:space="preserve"> </w:t>
      </w:r>
      <w:r w:rsidR="00A66E77" w:rsidRPr="000C4203">
        <w:t>“</w:t>
      </w:r>
      <w:r w:rsidR="00292584" w:rsidRPr="000C4203">
        <w:t>no-</w:t>
      </w:r>
      <w:r w:rsidR="005333EC" w:rsidRPr="000C4203">
        <w:t>transmit</w:t>
      </w:r>
      <w:r w:rsidR="00292584" w:rsidRPr="000C4203">
        <w:t xml:space="preserve"> zones</w:t>
      </w:r>
      <w:r w:rsidR="00A66E77" w:rsidRPr="000C4203">
        <w:t xml:space="preserve">”, </w:t>
      </w:r>
      <w:r w:rsidR="00D91715" w:rsidRPr="000C4203">
        <w:t xml:space="preserve">which </w:t>
      </w:r>
      <w:r w:rsidR="00246C41" w:rsidRPr="000C4203">
        <w:t>should</w:t>
      </w:r>
      <w:r w:rsidR="00A66E77" w:rsidRPr="000C4203">
        <w:t xml:space="preserve"> be defined at national level</w:t>
      </w:r>
      <w:r w:rsidR="00886931" w:rsidRPr="000C4203">
        <w:t xml:space="preserve"> as a geographical area where aerial UE are not allowed to operate in a certain frequency band</w:t>
      </w:r>
      <w:r w:rsidR="003D0CA7" w:rsidRPr="000C4203">
        <w:t>.</w:t>
      </w:r>
      <w:r w:rsidR="00E04392">
        <w:t xml:space="preserve"> </w:t>
      </w:r>
      <w:r w:rsidR="004D5AD9" w:rsidRPr="000C4203">
        <w:t xml:space="preserve">Another </w:t>
      </w:r>
      <w:r w:rsidR="000D54D6" w:rsidRPr="000C4203">
        <w:t>measure</w:t>
      </w:r>
      <w:r w:rsidR="004D5AD9" w:rsidRPr="000C4203">
        <w:t xml:space="preserve"> to achieve coexistence is to </w:t>
      </w:r>
      <w:r w:rsidR="004401DC" w:rsidRPr="000C4203">
        <w:t xml:space="preserve">define </w:t>
      </w:r>
      <w:r w:rsidR="00292584" w:rsidRPr="000C4203">
        <w:t xml:space="preserve">additional </w:t>
      </w:r>
      <w:r w:rsidR="009D122E" w:rsidRPr="000C4203">
        <w:t xml:space="preserve">OOB </w:t>
      </w:r>
      <w:r w:rsidR="00292584" w:rsidRPr="000C4203">
        <w:t xml:space="preserve">emission limits specific to aerial UE </w:t>
      </w:r>
      <w:r w:rsidR="00F63FA2" w:rsidRPr="000C4203">
        <w:t>(</w:t>
      </w:r>
      <w:r w:rsidR="00292584" w:rsidRPr="000C4203">
        <w:t xml:space="preserve">to avoid interference to other services in some </w:t>
      </w:r>
      <w:r w:rsidR="00C56DDA" w:rsidRPr="000C4203">
        <w:t xml:space="preserve">other </w:t>
      </w:r>
      <w:r w:rsidR="00292584" w:rsidRPr="000C4203">
        <w:t>bands</w:t>
      </w:r>
      <w:r w:rsidR="00F63FA2" w:rsidRPr="000C4203">
        <w:t xml:space="preserve"> </w:t>
      </w:r>
      <w:r w:rsidR="003F29F5" w:rsidRPr="000C4203">
        <w:t>(</w:t>
      </w:r>
      <w:r w:rsidR="00F63FA2" w:rsidRPr="000C4203">
        <w:t>e.g. to protect MetSat at 1675-1710 MHz</w:t>
      </w:r>
      <w:r w:rsidR="003D0CA7" w:rsidRPr="000C4203">
        <w:t>)</w:t>
      </w:r>
      <w:r w:rsidR="00AB2115" w:rsidRPr="000C4203">
        <w:t xml:space="preserve">. </w:t>
      </w:r>
      <w:r w:rsidR="00246C41" w:rsidRPr="000C4203">
        <w:t>The requirement</w:t>
      </w:r>
      <w:r w:rsidR="00CA5B52" w:rsidRPr="000C4203">
        <w:t xml:space="preserve"> </w:t>
      </w:r>
      <w:r w:rsidR="00245771" w:rsidRPr="000C4203">
        <w:t>may apply to aerial UE</w:t>
      </w:r>
      <w:r w:rsidR="00B0575E" w:rsidRPr="000C4203">
        <w:t xml:space="preserve"> according</w:t>
      </w:r>
      <w:r w:rsidR="005333EC" w:rsidRPr="000C4203">
        <w:t xml:space="preserve"> to</w:t>
      </w:r>
      <w:r w:rsidR="00B0575E" w:rsidRPr="000C4203">
        <w:t xml:space="preserve"> their operational </w:t>
      </w:r>
      <w:r w:rsidR="00B0575E" w:rsidRPr="000C4203">
        <w:lastRenderedPageBreak/>
        <w:t>frequency band</w:t>
      </w:r>
      <w:r w:rsidR="002D0D07" w:rsidRPr="000C4203">
        <w:t>, e.g. aerial UE operating in a specific band or specific channel</w:t>
      </w:r>
      <w:r w:rsidR="00D00B7F" w:rsidRPr="000C4203">
        <w:t xml:space="preserve"> </w:t>
      </w:r>
      <w:r w:rsidR="00245771" w:rsidRPr="000C4203">
        <w:t xml:space="preserve">(see </w:t>
      </w:r>
      <w:r w:rsidR="00D00B7F" w:rsidRPr="000C4203">
        <w:t>n</w:t>
      </w:r>
      <w:r w:rsidR="00245771" w:rsidRPr="000C4203">
        <w:t>o-fly zone definition set out in ECC Report 309</w:t>
      </w:r>
      <w:r w:rsidR="007B3DBC">
        <w:t xml:space="preserve"> </w:t>
      </w:r>
      <w:r w:rsidR="007B3DBC">
        <w:fldChar w:fldCharType="begin"/>
      </w:r>
      <w:r w:rsidR="007B3DBC">
        <w:instrText xml:space="preserve"> REF _Ref103342543 \r \h </w:instrText>
      </w:r>
      <w:r w:rsidR="007B3DBC">
        <w:fldChar w:fldCharType="separate"/>
      </w:r>
      <w:r w:rsidR="001F3A6B">
        <w:t>[1]</w:t>
      </w:r>
      <w:r w:rsidR="007B3DBC">
        <w:fldChar w:fldCharType="end"/>
      </w:r>
      <w:r w:rsidR="005333EC" w:rsidRPr="000C4203">
        <w:t>, in this Decision referred to as “no-transmit zone”</w:t>
      </w:r>
      <w:r w:rsidR="00245771" w:rsidRPr="000C4203">
        <w:t>).</w:t>
      </w:r>
      <w:r w:rsidRPr="000C4203">
        <w:t xml:space="preserve"> </w:t>
      </w:r>
      <w:r w:rsidR="00653B5B" w:rsidRPr="000C4203">
        <w:t>In some cases, operation of aerial UE also requires respective cross</w:t>
      </w:r>
      <w:r w:rsidR="007A0843" w:rsidRPr="000C4203">
        <w:t>-</w:t>
      </w:r>
      <w:r w:rsidR="00653B5B" w:rsidRPr="000C4203">
        <w:t>border coordination agreements.</w:t>
      </w:r>
    </w:p>
    <w:p w14:paraId="7836CF26" w14:textId="3F840322" w:rsidR="0069705B" w:rsidRDefault="00873306" w:rsidP="00667794">
      <w:pPr>
        <w:pStyle w:val="ECCParagraph"/>
      </w:pPr>
      <w:r w:rsidRPr="003D1680">
        <w:t xml:space="preserve">The </w:t>
      </w:r>
      <w:r w:rsidR="007A0843" w:rsidRPr="003D1680">
        <w:t xml:space="preserve">defined </w:t>
      </w:r>
      <w:r w:rsidR="00653B5B" w:rsidRPr="003D1680">
        <w:t xml:space="preserve">spectrum </w:t>
      </w:r>
      <w:r w:rsidR="00B76405" w:rsidRPr="003D1680">
        <w:t>operational restrictions an</w:t>
      </w:r>
      <w:r w:rsidR="00C440D1" w:rsidRPr="003D1680">
        <w:t>d</w:t>
      </w:r>
      <w:r w:rsidR="00B76405" w:rsidRPr="003D1680">
        <w:t>/or additional emission limits are</w:t>
      </w:r>
      <w:r w:rsidR="00CF0238" w:rsidRPr="003D1680">
        <w:t xml:space="preserve"> mostly</w:t>
      </w:r>
      <w:r w:rsidR="00B76405" w:rsidRPr="003D1680">
        <w:t xml:space="preserve"> independent from the used MFCN technology. </w:t>
      </w:r>
      <w:r w:rsidR="00CF0238" w:rsidRPr="003D1680">
        <w:t xml:space="preserve">Even </w:t>
      </w:r>
      <w:r w:rsidR="00DE5917" w:rsidRPr="003D1680">
        <w:t>though</w:t>
      </w:r>
      <w:r w:rsidR="00CF0238" w:rsidRPr="003D1680">
        <w:t xml:space="preserve"> ECC Report </w:t>
      </w:r>
      <w:r w:rsidR="0083757A" w:rsidRPr="003D1680">
        <w:t>3</w:t>
      </w:r>
      <w:r w:rsidR="00CF0238" w:rsidRPr="003D1680">
        <w:t xml:space="preserve">09 studies focused on LTE technology, there is no fundamental difference between LTE and </w:t>
      </w:r>
      <w:r w:rsidR="00CD1B03" w:rsidRPr="003D1680">
        <w:t xml:space="preserve">5G </w:t>
      </w:r>
      <w:r w:rsidR="00CF0238" w:rsidRPr="003D1680">
        <w:t>NR</w:t>
      </w:r>
      <w:r w:rsidR="00CD1B03" w:rsidRPr="003D1680">
        <w:t xml:space="preserve"> (non-AAS)</w:t>
      </w:r>
      <w:r w:rsidR="007A0843" w:rsidRPr="003D1680">
        <w:t>.</w:t>
      </w:r>
      <w:r w:rsidR="00CF0238" w:rsidRPr="003D1680">
        <w:t xml:space="preserve"> </w:t>
      </w:r>
      <w:r w:rsidR="007A0843" w:rsidRPr="003D1680">
        <w:t>Therefore,</w:t>
      </w:r>
      <w:r w:rsidR="00CF0238" w:rsidRPr="003D1680">
        <w:t xml:space="preserve"> the conclusions in ECC </w:t>
      </w:r>
      <w:r w:rsidR="003C6738" w:rsidRPr="003D1680">
        <w:t>R</w:t>
      </w:r>
      <w:r w:rsidR="00CF0238" w:rsidRPr="003D1680">
        <w:t xml:space="preserve">eport 309 </w:t>
      </w:r>
      <w:r w:rsidR="00931E3F" w:rsidRPr="003D1680">
        <w:t xml:space="preserve">are </w:t>
      </w:r>
      <w:r w:rsidR="00CF0238" w:rsidRPr="003D1680">
        <w:t>valid for both</w:t>
      </w:r>
      <w:r w:rsidR="004A0A5D" w:rsidRPr="003D1680">
        <w:t xml:space="preserve"> and </w:t>
      </w:r>
      <w:r w:rsidR="007A0843" w:rsidRPr="003D1680">
        <w:t xml:space="preserve">are </w:t>
      </w:r>
      <w:r w:rsidR="004A0A5D" w:rsidRPr="003B6281">
        <w:t>confirmed in</w:t>
      </w:r>
      <w:r w:rsidR="004A0A5D" w:rsidRPr="003D1680">
        <w:t xml:space="preserve"> </w:t>
      </w:r>
      <w:r w:rsidR="007569EB" w:rsidRPr="003D1680">
        <w:t>ECC Report 348</w:t>
      </w:r>
      <w:r w:rsidR="00C324A3">
        <w:t xml:space="preserve"> </w:t>
      </w:r>
      <w:r w:rsidR="00C324A3" w:rsidRPr="00E04392">
        <w:rPr>
          <w:highlight w:val="yellow"/>
        </w:rPr>
        <w:fldChar w:fldCharType="begin"/>
      </w:r>
      <w:r w:rsidR="00C324A3" w:rsidRPr="00E04392">
        <w:instrText xml:space="preserve"> REF _Ref103342552 \r \h </w:instrText>
      </w:r>
      <w:r w:rsidR="00C324A3" w:rsidRPr="00E04392">
        <w:rPr>
          <w:highlight w:val="yellow"/>
        </w:rPr>
        <w:instrText xml:space="preserve"> \* MERGEFORMAT </w:instrText>
      </w:r>
      <w:r w:rsidR="00C324A3" w:rsidRPr="00E04392">
        <w:rPr>
          <w:highlight w:val="yellow"/>
        </w:rPr>
      </w:r>
      <w:r w:rsidR="00C324A3" w:rsidRPr="00E04392">
        <w:rPr>
          <w:highlight w:val="yellow"/>
        </w:rPr>
        <w:fldChar w:fldCharType="separate"/>
      </w:r>
      <w:r w:rsidR="00C324A3">
        <w:t>[2]</w:t>
      </w:r>
      <w:r w:rsidR="00C324A3" w:rsidRPr="00E04392">
        <w:rPr>
          <w:highlight w:val="yellow"/>
        </w:rPr>
        <w:fldChar w:fldCharType="end"/>
      </w:r>
      <w:r w:rsidR="00CF0238" w:rsidRPr="003D1680">
        <w:t>.</w:t>
      </w:r>
    </w:p>
    <w:p w14:paraId="316D1CC7" w14:textId="10E9778D" w:rsidR="00DF3AA5" w:rsidRPr="003B6281" w:rsidRDefault="00916E35" w:rsidP="00667794">
      <w:pPr>
        <w:pStyle w:val="ECCParagraph"/>
      </w:pPr>
      <w:r w:rsidRPr="003B6281">
        <w:t>FRMCS cab-radio</w:t>
      </w:r>
      <w:r w:rsidR="00DB0555" w:rsidRPr="003B6281">
        <w:t xml:space="preserve"> receivers at 1900-1910 MHz </w:t>
      </w:r>
      <w:r w:rsidRPr="003B6281">
        <w:t>are assumed to be designed in a way that ensures robustness against blocking signals emitted by aerial UE</w:t>
      </w:r>
      <w:r w:rsidR="00DF3AA5" w:rsidRPr="003B6281">
        <w:t xml:space="preserve"> (ETSI standards on FRMCS cab-radio receivers to be consistent with relevant requirements from CEPT </w:t>
      </w:r>
      <w:r w:rsidR="007432F3" w:rsidRPr="003B6281">
        <w:t>R</w:t>
      </w:r>
      <w:r w:rsidR="00DF3AA5" w:rsidRPr="003B6281">
        <w:t xml:space="preserve">eport 76 </w:t>
      </w:r>
      <w:r w:rsidR="00B67065" w:rsidRPr="003B6281">
        <w:fldChar w:fldCharType="begin"/>
      </w:r>
      <w:r w:rsidR="00B67065" w:rsidRPr="003B6281">
        <w:instrText xml:space="preserve"> REF _Ref110331000 \r \h </w:instrText>
      </w:r>
      <w:r w:rsidR="00592F3F" w:rsidRPr="003B6281">
        <w:instrText xml:space="preserve"> \* MERGEFORMAT </w:instrText>
      </w:r>
      <w:r w:rsidR="00B67065" w:rsidRPr="003B6281">
        <w:fldChar w:fldCharType="separate"/>
      </w:r>
      <w:r w:rsidR="001F3A6B">
        <w:t>[3]</w:t>
      </w:r>
      <w:r w:rsidR="00B67065" w:rsidRPr="003B6281">
        <w:fldChar w:fldCharType="end"/>
      </w:r>
      <w:r w:rsidR="00B67065" w:rsidRPr="003B6281">
        <w:t xml:space="preserve"> </w:t>
      </w:r>
      <w:r w:rsidR="00DF3AA5" w:rsidRPr="003B6281">
        <w:t xml:space="preserve">and </w:t>
      </w:r>
      <w:r w:rsidR="00E71D9E" w:rsidRPr="003B6281">
        <w:t xml:space="preserve">Commission Implementing </w:t>
      </w:r>
      <w:r w:rsidR="00DF3AA5" w:rsidRPr="003B6281">
        <w:t>Decision</w:t>
      </w:r>
      <w:r w:rsidR="00B84CE7" w:rsidRPr="003B6281">
        <w:t xml:space="preserve"> </w:t>
      </w:r>
      <w:r w:rsidR="00E71D9E" w:rsidRPr="003B6281">
        <w:t xml:space="preserve">on RMR (EU) </w:t>
      </w:r>
      <w:r w:rsidR="00B84CE7" w:rsidRPr="003B6281">
        <w:t>2021/1730</w:t>
      </w:r>
      <w:r w:rsidR="00B67065" w:rsidRPr="003B6281">
        <w:t xml:space="preserve"> </w:t>
      </w:r>
      <w:r w:rsidR="00B67065" w:rsidRPr="003B6281">
        <w:fldChar w:fldCharType="begin"/>
      </w:r>
      <w:r w:rsidR="00B67065" w:rsidRPr="003B6281">
        <w:instrText xml:space="preserve"> REF _Ref104993105 \r \h </w:instrText>
      </w:r>
      <w:r w:rsidR="00592F3F" w:rsidRPr="003B6281">
        <w:instrText xml:space="preserve"> \* MERGEFORMAT </w:instrText>
      </w:r>
      <w:r w:rsidR="00B67065" w:rsidRPr="003B6281">
        <w:fldChar w:fldCharType="separate"/>
      </w:r>
      <w:r w:rsidR="001F3A6B">
        <w:t>[4]</w:t>
      </w:r>
      <w:r w:rsidR="00B67065" w:rsidRPr="003B6281">
        <w:fldChar w:fldCharType="end"/>
      </w:r>
      <w:r w:rsidR="003C6738" w:rsidRPr="003B6281">
        <w:t>)</w:t>
      </w:r>
      <w:r w:rsidR="001279D1" w:rsidRPr="003B6281">
        <w:t>.</w:t>
      </w:r>
    </w:p>
    <w:p w14:paraId="5F159B6A" w14:textId="54433C26" w:rsidR="00A262B4" w:rsidRPr="003D1680" w:rsidRDefault="00A262B4" w:rsidP="00667794">
      <w:pPr>
        <w:pStyle w:val="ECCParagraph"/>
      </w:pPr>
      <w:r w:rsidRPr="003D1680">
        <w:t>Regarding the 2 GHz band (1920-1980 MHz), ECC Report 309 contains several studies, which used different methodologies and assumptions for the number of aerial UE</w:t>
      </w:r>
      <w:r w:rsidR="00345CAB" w:rsidRPr="003D1680">
        <w:t xml:space="preserve"> and</w:t>
      </w:r>
      <w:r w:rsidRPr="003D1680">
        <w:t xml:space="preserve"> consequently has different options for the regulatory measures to provide compatibility. This Decision is based on the “Approach 2” option</w:t>
      </w:r>
      <w:r w:rsidR="00345CAB" w:rsidRPr="003D1680">
        <w:t xml:space="preserve"> of ECC Report </w:t>
      </w:r>
      <w:r w:rsidR="00EB5C22" w:rsidRPr="003D1680">
        <w:t>309.</w:t>
      </w:r>
    </w:p>
    <w:p w14:paraId="4F49A7BD" w14:textId="31FA71BB" w:rsidR="006A7F72" w:rsidRPr="009D7093" w:rsidRDefault="00484151" w:rsidP="00667794">
      <w:pPr>
        <w:pStyle w:val="ECCParagraph"/>
      </w:pPr>
      <w:r w:rsidRPr="009D7093">
        <w:t xml:space="preserve">The </w:t>
      </w:r>
      <w:r w:rsidR="000D6C5C" w:rsidRPr="009D7093">
        <w:t>coexistence conditions</w:t>
      </w:r>
      <w:r w:rsidR="007C2E38" w:rsidRPr="009D7093">
        <w:t xml:space="preserve"> </w:t>
      </w:r>
      <w:r w:rsidR="00125EA2" w:rsidRPr="009D7093">
        <w:t xml:space="preserve">(see </w:t>
      </w:r>
      <w:r w:rsidR="00DC63AB">
        <w:fldChar w:fldCharType="begin"/>
      </w:r>
      <w:r w:rsidR="00DC63AB">
        <w:instrText xml:space="preserve"> REF _Ref103672100 \r \h </w:instrText>
      </w:r>
      <w:r w:rsidR="00DC63AB">
        <w:fldChar w:fldCharType="separate"/>
      </w:r>
      <w:r w:rsidR="00DC63AB">
        <w:t>A</w:t>
      </w:r>
      <w:r w:rsidR="00C324A3">
        <w:t>nnex</w:t>
      </w:r>
      <w:r w:rsidR="00DC63AB">
        <w:t xml:space="preserve"> 1</w:t>
      </w:r>
      <w:r w:rsidR="00DC63AB">
        <w:fldChar w:fldCharType="end"/>
      </w:r>
      <w:r w:rsidR="00125EA2">
        <w:t>)</w:t>
      </w:r>
      <w:r w:rsidR="00125EA2" w:rsidRPr="009D7093">
        <w:t xml:space="preserve"> </w:t>
      </w:r>
      <w:r w:rsidRPr="009D7093">
        <w:t>have been developed under the assumption tha</w:t>
      </w:r>
      <w:r w:rsidR="00DB613A" w:rsidRPr="009D7093">
        <w:t xml:space="preserve">t </w:t>
      </w:r>
      <w:r w:rsidR="00680C3C" w:rsidRPr="009D7093">
        <w:t>the</w:t>
      </w:r>
      <w:r w:rsidR="004E6233" w:rsidRPr="009D7093">
        <w:t xml:space="preserve">re is the </w:t>
      </w:r>
      <w:r w:rsidR="00FF4CD2" w:rsidRPr="009D7093">
        <w:t>mechanism</w:t>
      </w:r>
      <w:r w:rsidR="004E6233" w:rsidRPr="009D7093">
        <w:t xml:space="preserve"> </w:t>
      </w:r>
      <w:r w:rsidR="000D6C5C" w:rsidRPr="009D7093">
        <w:t xml:space="preserve">to differentiate between an aerial UE and a </w:t>
      </w:r>
      <w:r w:rsidR="00D95DD1" w:rsidRPr="009D7093">
        <w:t xml:space="preserve">conventional </w:t>
      </w:r>
      <w:r w:rsidR="000D6C5C" w:rsidRPr="009D7093">
        <w:t>UE</w:t>
      </w:r>
      <w:r w:rsidR="00723677" w:rsidRPr="009D7093">
        <w:t xml:space="preserve"> and this </w:t>
      </w:r>
      <w:r w:rsidR="00FF4CD2" w:rsidRPr="009D7093">
        <w:t xml:space="preserve">mechanism </w:t>
      </w:r>
      <w:r w:rsidR="00723677" w:rsidRPr="009D7093">
        <w:t>cannot be changed by the end-user</w:t>
      </w:r>
      <w:r w:rsidR="00243958" w:rsidRPr="009D7093">
        <w:t>.</w:t>
      </w:r>
      <w:r w:rsidR="009D7093" w:rsidRPr="009D7093">
        <w:t xml:space="preserve"> </w:t>
      </w:r>
      <w:r w:rsidR="00AA3D7B" w:rsidRPr="009D7093">
        <w:t>A mechanism is necessary to ensure that aerial UE respect no-transmit zones</w:t>
      </w:r>
      <w:r w:rsidR="00BD26BD" w:rsidRPr="009D7093">
        <w:t>.</w:t>
      </w:r>
      <w:r w:rsidR="00555B2C" w:rsidRPr="009D7093">
        <w:t xml:space="preserve"> </w:t>
      </w:r>
    </w:p>
    <w:p w14:paraId="30DAA4B5" w14:textId="5DED995A" w:rsidR="00082789" w:rsidRDefault="000733D8" w:rsidP="003D6014">
      <w:pPr>
        <w:pStyle w:val="ECCParagraph"/>
      </w:pPr>
      <w:r w:rsidRPr="009D7093">
        <w:t>In addition, to manage the potential interference to MFCN, the control of aerial UE density may be necessary.</w:t>
      </w:r>
    </w:p>
    <w:p w14:paraId="48245AF3" w14:textId="2595DD18" w:rsidR="00725E24" w:rsidRDefault="00F7654A" w:rsidP="003D6014">
      <w:pPr>
        <w:pStyle w:val="ECCParagraph"/>
      </w:pPr>
      <w:r w:rsidRPr="009D7093">
        <w:t xml:space="preserve">There is no interference </w:t>
      </w:r>
      <w:r w:rsidR="00292584" w:rsidRPr="009D7093">
        <w:t>between neighbouring FDD MFCN networks operating in adjacent channels</w:t>
      </w:r>
      <w:r w:rsidR="003C6738" w:rsidRPr="009D7093">
        <w:t>.</w:t>
      </w:r>
    </w:p>
    <w:p w14:paraId="4590C8EE" w14:textId="3BF1D926" w:rsidR="002E67BE" w:rsidRPr="009D7093" w:rsidRDefault="00B84CE7" w:rsidP="003D6014">
      <w:pPr>
        <w:pStyle w:val="ECCParagraph"/>
      </w:pPr>
      <w:r w:rsidRPr="009D7093">
        <w:t xml:space="preserve">As </w:t>
      </w:r>
      <w:r w:rsidR="006D17E0" w:rsidRPr="009D7093">
        <w:t xml:space="preserve">is the case for </w:t>
      </w:r>
      <w:r w:rsidRPr="009D7093">
        <w:t>other UE operating under the control of an MFCN network, t</w:t>
      </w:r>
      <w:r w:rsidR="00EB59DB" w:rsidRPr="009D7093">
        <w:t xml:space="preserve">he </w:t>
      </w:r>
      <w:r w:rsidR="00F27FBF" w:rsidRPr="009D7093">
        <w:t>aerial UE</w:t>
      </w:r>
      <w:r w:rsidR="00EB59DB" w:rsidRPr="009D7093">
        <w:t xml:space="preserve"> usage on MFCN networks </w:t>
      </w:r>
      <w:r w:rsidRPr="009D7093">
        <w:t>may</w:t>
      </w:r>
      <w:r w:rsidR="00EB59DB" w:rsidRPr="009D7093">
        <w:t xml:space="preserve"> benefit from international roaming.</w:t>
      </w:r>
    </w:p>
    <w:p w14:paraId="65ED2A5F" w14:textId="59F05C9C" w:rsidR="00261256" w:rsidRPr="003D1680" w:rsidRDefault="00261256" w:rsidP="003D6014">
      <w:pPr>
        <w:pStyle w:val="ECCParagraph"/>
      </w:pPr>
      <w:r w:rsidRPr="003D1680">
        <w:t>ECC noted that the following frequency bands</w:t>
      </w:r>
      <w:r w:rsidR="002E290D" w:rsidRPr="003D1680">
        <w:t>:</w:t>
      </w:r>
      <w:r w:rsidR="001347B5" w:rsidRPr="003D1680">
        <w:t xml:space="preserve"> 703-733</w:t>
      </w:r>
      <w:r w:rsidR="002E290D" w:rsidRPr="003D1680">
        <w:t xml:space="preserve"> </w:t>
      </w:r>
      <w:r w:rsidR="001347B5" w:rsidRPr="003D1680">
        <w:t>MHz, 832-862</w:t>
      </w:r>
      <w:r w:rsidR="002E290D" w:rsidRPr="003D1680">
        <w:t xml:space="preserve"> </w:t>
      </w:r>
      <w:r w:rsidR="001347B5" w:rsidRPr="003D1680">
        <w:t>MHz, 880-915</w:t>
      </w:r>
      <w:r w:rsidR="002E290D" w:rsidRPr="003D1680">
        <w:t xml:space="preserve"> </w:t>
      </w:r>
      <w:r w:rsidR="001347B5" w:rsidRPr="003D1680">
        <w:t>MHz, 2500-2570</w:t>
      </w:r>
      <w:r w:rsidR="002E290D" w:rsidRPr="003D1680">
        <w:t xml:space="preserve"> </w:t>
      </w:r>
      <w:r w:rsidR="001347B5" w:rsidRPr="003D1680">
        <w:t>MHz, 2570-2620</w:t>
      </w:r>
      <w:r w:rsidR="002E290D" w:rsidRPr="003D1680">
        <w:t xml:space="preserve"> </w:t>
      </w:r>
      <w:r w:rsidR="001347B5" w:rsidRPr="003D1680">
        <w:t>MHz</w:t>
      </w:r>
      <w:r w:rsidR="00496331" w:rsidRPr="003D1680">
        <w:t xml:space="preserve"> </w:t>
      </w:r>
      <w:r w:rsidR="001347B5" w:rsidRPr="003D1680">
        <w:t>and 3400-3600</w:t>
      </w:r>
      <w:r w:rsidR="002E290D" w:rsidRPr="003D1680">
        <w:t xml:space="preserve"> </w:t>
      </w:r>
      <w:r w:rsidR="001347B5" w:rsidRPr="003D1680">
        <w:t>MHz</w:t>
      </w:r>
      <w:r w:rsidR="00F07EED" w:rsidRPr="003D1680">
        <w:t xml:space="preserve"> </w:t>
      </w:r>
      <w:r w:rsidRPr="003D1680">
        <w:t>are allocated to Mobile except aeronautical mobile service in Region 1 (Radio Regulations</w:t>
      </w:r>
      <w:r w:rsidR="009D5666" w:rsidRPr="003D1680">
        <w:t>)</w:t>
      </w:r>
      <w:r w:rsidRPr="003D1680">
        <w:t xml:space="preserve">. </w:t>
      </w:r>
      <w:r w:rsidR="00D00B7F" w:rsidRPr="003D1680">
        <w:t>Nevertheless,</w:t>
      </w:r>
      <w:r w:rsidR="009D5666" w:rsidRPr="003D1680">
        <w:t xml:space="preserve"> s</w:t>
      </w:r>
      <w:r w:rsidRPr="003D1680">
        <w:t>tudies performed by CEPT in ECC Report 309</w:t>
      </w:r>
      <w:r w:rsidR="00EB1DE6" w:rsidRPr="003D1680">
        <w:t xml:space="preserve"> and </w:t>
      </w:r>
      <w:r w:rsidR="007569EB" w:rsidRPr="003D1680">
        <w:t>ECC Report 348</w:t>
      </w:r>
      <w:r w:rsidRPr="003D1680">
        <w:t xml:space="preserve"> </w:t>
      </w:r>
      <w:r w:rsidR="00F01857" w:rsidRPr="003D1680">
        <w:t>provide</w:t>
      </w:r>
      <w:r w:rsidR="005A75CF" w:rsidRPr="003D1680">
        <w:t xml:space="preserve"> </w:t>
      </w:r>
      <w:r w:rsidRPr="003D1680">
        <w:t xml:space="preserve">the technical and operational </w:t>
      </w:r>
      <w:r w:rsidR="00F01857" w:rsidRPr="003D1680">
        <w:t xml:space="preserve">background </w:t>
      </w:r>
      <w:r w:rsidRPr="003D1680">
        <w:t xml:space="preserve">conditions which </w:t>
      </w:r>
      <w:r w:rsidR="00F01857" w:rsidRPr="003D1680">
        <w:t xml:space="preserve">form </w:t>
      </w:r>
      <w:r w:rsidRPr="003D1680">
        <w:t xml:space="preserve">the basis for this ECC Decision providing a harmonised framework to be implemented on national basis. In addition, CEPT will develop relevant guidance for usage of </w:t>
      </w:r>
      <w:r w:rsidR="002E290D" w:rsidRPr="003D1680">
        <w:t>a</w:t>
      </w:r>
      <w:r w:rsidRPr="003D1680">
        <w:t>erial UE at the border usages. These ECC deliverables</w:t>
      </w:r>
      <w:r w:rsidR="009D5666" w:rsidRPr="003D1680">
        <w:t xml:space="preserve"> are providing </w:t>
      </w:r>
      <w:r w:rsidR="00D83B0D" w:rsidRPr="003D1680">
        <w:t xml:space="preserve">operational and </w:t>
      </w:r>
      <w:r w:rsidR="009D5666" w:rsidRPr="003D1680">
        <w:t>technical conditions for</w:t>
      </w:r>
      <w:r w:rsidRPr="003D1680">
        <w:t xml:space="preserve"> use of </w:t>
      </w:r>
      <w:r w:rsidR="002E290D" w:rsidRPr="003D1680">
        <w:t>a</w:t>
      </w:r>
      <w:r w:rsidRPr="003D1680">
        <w:t>erial UE as an application in these frequency bands avoiding harmful interference into services in-band and in adjacent bands.</w:t>
      </w:r>
    </w:p>
    <w:p w14:paraId="6A6706FC" w14:textId="6043B3C0" w:rsidR="00602E80" w:rsidRDefault="004433B9" w:rsidP="003D6014">
      <w:pPr>
        <w:pStyle w:val="ECCParagraph"/>
      </w:pPr>
      <w:r w:rsidRPr="004433B9">
        <w:t xml:space="preserve">The next review of this ECC Decision will assess relevant impact of technology evolution, mechanisms to enable aerial UE to respect the frequency band dependent no-transmit-zones, specific aerial UE use case scenarios and will consider if the band 3.4-3.8 GHz can be included in this Decision. </w:t>
      </w:r>
    </w:p>
    <w:p w14:paraId="44EB7DFF" w14:textId="77777777" w:rsidR="006C03D0" w:rsidRPr="00CD2B44" w:rsidRDefault="005F7AD5" w:rsidP="0037319C">
      <w:pPr>
        <w:pStyle w:val="Heading2"/>
        <w:rPr>
          <w:lang w:val="en-GB"/>
        </w:rPr>
      </w:pPr>
      <w:r w:rsidRPr="00CD2B44">
        <w:rPr>
          <w:lang w:val="en-GB"/>
        </w:rPr>
        <w:t>REQUIREMENT FOR AN ECC DECISION</w:t>
      </w:r>
    </w:p>
    <w:p w14:paraId="194D6C71" w14:textId="57E474EE" w:rsidR="00DF5563" w:rsidRPr="003C1566" w:rsidRDefault="001F1DA8" w:rsidP="00CB3BE5">
      <w:pPr>
        <w:spacing w:before="240" w:after="60"/>
        <w:jc w:val="both"/>
      </w:pPr>
      <w:r w:rsidRPr="003C1566">
        <w:t>To ensure confidence of</w:t>
      </w:r>
      <w:r w:rsidR="00DF5563" w:rsidRPr="003C1566">
        <w:t xml:space="preserve"> all spectrum users, including</w:t>
      </w:r>
      <w:r w:rsidRPr="003C1566">
        <w:t xml:space="preserve"> </w:t>
      </w:r>
      <w:r w:rsidR="006914A8" w:rsidRPr="003C1566">
        <w:t xml:space="preserve">those </w:t>
      </w:r>
      <w:r w:rsidRPr="003C1566">
        <w:t>in adjacent bands</w:t>
      </w:r>
      <w:r w:rsidR="00E0012A" w:rsidRPr="003C1566">
        <w:t>, there is a need for an</w:t>
      </w:r>
      <w:r w:rsidR="00DF5563" w:rsidRPr="003C1566">
        <w:t xml:space="preserve"> ECC </w:t>
      </w:r>
      <w:r w:rsidR="00105AF2">
        <w:t>D</w:t>
      </w:r>
      <w:r w:rsidR="00DF5563" w:rsidRPr="003C1566">
        <w:t>ecision providing harmoni</w:t>
      </w:r>
      <w:r w:rsidR="00755B25" w:rsidRPr="003C1566">
        <w:t>s</w:t>
      </w:r>
      <w:r w:rsidR="00DF5563" w:rsidRPr="003C1566">
        <w:t>ed technical conditions of the usage of aerial UE for communications based on LTE</w:t>
      </w:r>
      <w:r w:rsidR="0018722E" w:rsidRPr="003C1566">
        <w:t xml:space="preserve"> and</w:t>
      </w:r>
      <w:r w:rsidR="007A4578" w:rsidRPr="003C1566">
        <w:t xml:space="preserve"> 5G</w:t>
      </w:r>
      <w:r w:rsidR="0018722E" w:rsidRPr="003C1566">
        <w:t xml:space="preserve"> NR</w:t>
      </w:r>
      <w:r w:rsidR="00DF5563" w:rsidRPr="003C1566">
        <w:t xml:space="preserve"> in the following MFCN harmoni</w:t>
      </w:r>
      <w:r w:rsidR="00755B25" w:rsidRPr="003C1566">
        <w:t>s</w:t>
      </w:r>
      <w:r w:rsidR="00DF5563" w:rsidRPr="003C1566">
        <w:t xml:space="preserve">ed bands: </w:t>
      </w:r>
      <w:r w:rsidR="007505E1" w:rsidRPr="003C1566">
        <w:t>703-733 MHz, 832-862 MHz, 880-915 MHz, 1710</w:t>
      </w:r>
      <w:r w:rsidR="00CB3BE5">
        <w:t> </w:t>
      </w:r>
      <w:r w:rsidR="007505E1" w:rsidRPr="003C1566">
        <w:t>-</w:t>
      </w:r>
      <w:r w:rsidR="00CB3BE5">
        <w:t> </w:t>
      </w:r>
      <w:r w:rsidR="007505E1" w:rsidRPr="003C1566">
        <w:t xml:space="preserve">1785 MHz, 1920-1980 MHz, 2500-2570 </w:t>
      </w:r>
      <w:proofErr w:type="gramStart"/>
      <w:r w:rsidR="007505E1" w:rsidRPr="003C1566">
        <w:t>MHz</w:t>
      </w:r>
      <w:proofErr w:type="gramEnd"/>
      <w:r w:rsidR="007505E1" w:rsidRPr="003C1566">
        <w:t xml:space="preserve"> and 2570-2620 MHz.</w:t>
      </w:r>
    </w:p>
    <w:p w14:paraId="3ED977B5" w14:textId="090DA26E" w:rsidR="006C03D0" w:rsidRPr="00C5109C" w:rsidRDefault="005F7AD5" w:rsidP="00C7391E">
      <w:pPr>
        <w:pStyle w:val="Heading1"/>
      </w:pPr>
      <w:r w:rsidRPr="00C5109C">
        <w:rPr>
          <w:rStyle w:val="ECCHLgreen"/>
          <w:shd w:val="clear" w:color="auto" w:fill="auto"/>
        </w:rPr>
        <w:lastRenderedPageBreak/>
        <w:t>ECC Decision of</w:t>
      </w:r>
      <w:r w:rsidR="00A8085A" w:rsidRPr="00C5109C">
        <w:rPr>
          <w:rStyle w:val="ECCHLgreen"/>
          <w:shd w:val="clear" w:color="auto" w:fill="auto"/>
        </w:rPr>
        <w:t xml:space="preserve"> </w:t>
      </w:r>
      <w:r w:rsidR="00776103">
        <w:rPr>
          <w:rStyle w:val="ECCHLgreen"/>
          <w:shd w:val="clear" w:color="auto" w:fill="auto"/>
        </w:rPr>
        <w:t xml:space="preserve">18 november </w:t>
      </w:r>
      <w:r w:rsidR="00333AAA">
        <w:rPr>
          <w:rStyle w:val="ECCHLgreen"/>
          <w:shd w:val="clear" w:color="auto" w:fill="auto"/>
        </w:rPr>
        <w:t>2022</w:t>
      </w:r>
      <w:r w:rsidR="00A8085A" w:rsidRPr="00C5109C">
        <w:rPr>
          <w:rStyle w:val="ECCHLgreen"/>
          <w:shd w:val="clear" w:color="auto" w:fill="auto"/>
        </w:rPr>
        <w:t xml:space="preserve"> </w:t>
      </w:r>
      <w:r w:rsidRPr="00C5109C">
        <w:rPr>
          <w:rStyle w:val="ECCHLgreen"/>
          <w:shd w:val="clear" w:color="auto" w:fill="auto"/>
        </w:rPr>
        <w:t>on</w:t>
      </w:r>
      <w:r w:rsidR="00A8085A" w:rsidRPr="00C5109C">
        <w:rPr>
          <w:rStyle w:val="ECCHLgreen"/>
          <w:shd w:val="clear" w:color="auto" w:fill="auto"/>
        </w:rPr>
        <w:t xml:space="preserve"> </w:t>
      </w:r>
      <w:r w:rsidR="00FF317E" w:rsidRPr="00C5109C">
        <w:rPr>
          <w:rStyle w:val="ECCHLgreen"/>
          <w:shd w:val="clear" w:color="auto" w:fill="auto"/>
        </w:rPr>
        <w:t>Harmonised technical conditions f</w:t>
      </w:r>
      <w:r w:rsidR="00F67B8D">
        <w:rPr>
          <w:rStyle w:val="ECCHLgreen"/>
          <w:shd w:val="clear" w:color="auto" w:fill="auto"/>
        </w:rPr>
        <w:t>or</w:t>
      </w:r>
      <w:r w:rsidR="00FF317E" w:rsidRPr="00C5109C">
        <w:rPr>
          <w:rStyle w:val="ECCHLgreen"/>
          <w:shd w:val="clear" w:color="auto" w:fill="auto"/>
        </w:rPr>
        <w:t xml:space="preserve"> the usage of aerial UE for communications based on LTE</w:t>
      </w:r>
      <w:r w:rsidR="0000712D" w:rsidRPr="00C5109C">
        <w:rPr>
          <w:rStyle w:val="ECCHLgreen"/>
          <w:shd w:val="clear" w:color="auto" w:fill="auto"/>
        </w:rPr>
        <w:t xml:space="preserve"> and 5g NR</w:t>
      </w:r>
      <w:r w:rsidR="00FF317E" w:rsidRPr="00C5109C">
        <w:rPr>
          <w:rStyle w:val="ECCHLgreen"/>
          <w:shd w:val="clear" w:color="auto" w:fill="auto"/>
        </w:rPr>
        <w:t xml:space="preserve"> in the</w:t>
      </w:r>
      <w:r w:rsidR="00BE3190" w:rsidRPr="003C1566">
        <w:rPr>
          <w:rStyle w:val="ECCHLgreen"/>
          <w:shd w:val="clear" w:color="auto" w:fill="auto"/>
        </w:rPr>
        <w:t xml:space="preserve"> </w:t>
      </w:r>
      <w:r w:rsidR="00055193" w:rsidRPr="003C1566">
        <w:rPr>
          <w:rStyle w:val="ECCHLgreen"/>
          <w:shd w:val="clear" w:color="auto" w:fill="auto"/>
        </w:rPr>
        <w:t>703-733</w:t>
      </w:r>
      <w:r w:rsidR="00055193" w:rsidRPr="00C5109C">
        <w:rPr>
          <w:rStyle w:val="ECCHLgreen"/>
          <w:shd w:val="clear" w:color="auto" w:fill="auto"/>
        </w:rPr>
        <w:t xml:space="preserve"> MHz, </w:t>
      </w:r>
      <w:r w:rsidR="00055193" w:rsidRPr="003C1566">
        <w:rPr>
          <w:rStyle w:val="ECCHLgreen"/>
          <w:shd w:val="clear" w:color="auto" w:fill="auto"/>
        </w:rPr>
        <w:t>832-862</w:t>
      </w:r>
      <w:r w:rsidR="00055193" w:rsidRPr="00C5109C">
        <w:t xml:space="preserve"> MHz, </w:t>
      </w:r>
      <w:r w:rsidR="00055193" w:rsidRPr="003C1566">
        <w:rPr>
          <w:rStyle w:val="ECCHLgreen"/>
          <w:shd w:val="clear" w:color="auto" w:fill="auto"/>
        </w:rPr>
        <w:t>880-915</w:t>
      </w:r>
      <w:r w:rsidR="00055193" w:rsidRPr="00C5109C">
        <w:t xml:space="preserve"> MHz</w:t>
      </w:r>
      <w:r w:rsidR="00055193" w:rsidRPr="003C1566">
        <w:rPr>
          <w:rStyle w:val="ECCHLgreen"/>
          <w:shd w:val="clear" w:color="auto" w:fill="auto"/>
        </w:rPr>
        <w:t xml:space="preserve"> ,1710-1785</w:t>
      </w:r>
      <w:r w:rsidR="00055193" w:rsidRPr="00C5109C">
        <w:t xml:space="preserve"> MHz, </w:t>
      </w:r>
      <w:r w:rsidR="00055193" w:rsidRPr="003C1566">
        <w:rPr>
          <w:rStyle w:val="ECCHLgreen"/>
          <w:shd w:val="clear" w:color="auto" w:fill="auto"/>
        </w:rPr>
        <w:t>1920-1980 MHz, 2500-2570 MHz</w:t>
      </w:r>
      <w:r w:rsidR="00055193" w:rsidRPr="00C5109C">
        <w:t xml:space="preserve"> and </w:t>
      </w:r>
      <w:r w:rsidR="00055193" w:rsidRPr="003C1566">
        <w:rPr>
          <w:rStyle w:val="ECCHLgreen"/>
          <w:shd w:val="clear" w:color="auto" w:fill="auto"/>
        </w:rPr>
        <w:t>2570-2620 MHz</w:t>
      </w:r>
      <w:r w:rsidR="003D1680" w:rsidRPr="003C1566">
        <w:rPr>
          <w:rStyle w:val="ECCHLgreen"/>
          <w:shd w:val="clear" w:color="auto" w:fill="auto"/>
        </w:rPr>
        <w:t xml:space="preserve"> </w:t>
      </w:r>
      <w:r w:rsidR="00AE3230" w:rsidRPr="003C1566">
        <w:rPr>
          <w:rStyle w:val="ECCHLgreen"/>
          <w:shd w:val="clear" w:color="auto" w:fill="auto"/>
        </w:rPr>
        <w:t>MFCN harmonised bands</w:t>
      </w:r>
      <w:r w:rsidR="004A68DF" w:rsidRPr="00C5109C">
        <w:t xml:space="preserve"> (ECC decision (</w:t>
      </w:r>
      <w:r w:rsidR="00AF4AD4" w:rsidRPr="00C5109C">
        <w:t>22</w:t>
      </w:r>
      <w:r w:rsidR="004A68DF" w:rsidRPr="00C5109C">
        <w:t>)</w:t>
      </w:r>
      <w:r w:rsidR="00AF4AD4" w:rsidRPr="00C5109C">
        <w:t>07</w:t>
      </w:r>
      <w:r w:rsidR="005B1A54">
        <w:t>)</w:t>
      </w:r>
    </w:p>
    <w:p w14:paraId="37D23006" w14:textId="2183B261" w:rsidR="006C03D0" w:rsidRPr="003D1680" w:rsidRDefault="005F7AD5" w:rsidP="003D6014">
      <w:pPr>
        <w:pStyle w:val="ECCParagraph"/>
      </w:pPr>
      <w:r w:rsidRPr="003D1680">
        <w:t>“The European Conference of Postal and Telecommunications Administrations,</w:t>
      </w:r>
    </w:p>
    <w:p w14:paraId="158924C8" w14:textId="77777777" w:rsidR="00242640" w:rsidRPr="00721ECE" w:rsidRDefault="00242640" w:rsidP="003D6014">
      <w:pPr>
        <w:pStyle w:val="ECCParagraph"/>
        <w:rPr>
          <w:i/>
          <w:iCs/>
          <w:color w:val="D2232A"/>
        </w:rPr>
      </w:pPr>
      <w:r w:rsidRPr="00721ECE">
        <w:rPr>
          <w:i/>
          <w:iCs/>
          <w:color w:val="D2232A"/>
        </w:rPr>
        <w:t>considering</w:t>
      </w:r>
    </w:p>
    <w:p w14:paraId="4954D4E3" w14:textId="2CE3BB34" w:rsidR="00E65E22" w:rsidRPr="00C5109C" w:rsidRDefault="007432F3"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242640" w:rsidRPr="00C5109C">
        <w:rPr>
          <w:lang w:val="en-GB"/>
        </w:rPr>
        <w:t xml:space="preserve">hat </w:t>
      </w:r>
      <w:r w:rsidR="00E65E22" w:rsidRPr="00C5109C">
        <w:rPr>
          <w:lang w:val="en-GB"/>
        </w:rPr>
        <w:t>ECC</w:t>
      </w:r>
      <w:r w:rsidR="00FF317E" w:rsidRPr="00C5109C">
        <w:rPr>
          <w:lang w:val="en-GB"/>
        </w:rPr>
        <w:t xml:space="preserve"> Report 309 </w:t>
      </w:r>
      <w:r w:rsidR="007B3DBC" w:rsidRPr="00C5109C">
        <w:rPr>
          <w:lang w:val="en-GB"/>
        </w:rPr>
        <w:fldChar w:fldCharType="begin"/>
      </w:r>
      <w:r w:rsidR="007B3DBC" w:rsidRPr="00C5109C">
        <w:rPr>
          <w:lang w:val="en-GB"/>
        </w:rPr>
        <w:instrText xml:space="preserve"> REF _Ref103342543 \r \h </w:instrText>
      </w:r>
      <w:r w:rsidR="007B3DBC" w:rsidRPr="00C5109C">
        <w:rPr>
          <w:lang w:val="en-GB"/>
        </w:rPr>
      </w:r>
      <w:r w:rsidR="007B3DBC" w:rsidRPr="00C5109C">
        <w:rPr>
          <w:lang w:val="en-GB"/>
        </w:rPr>
        <w:fldChar w:fldCharType="separate"/>
      </w:r>
      <w:r w:rsidR="001F3A6B">
        <w:rPr>
          <w:lang w:val="en-GB"/>
        </w:rPr>
        <w:t>[1]</w:t>
      </w:r>
      <w:r w:rsidR="007B3DBC" w:rsidRPr="00C5109C">
        <w:rPr>
          <w:lang w:val="en-GB"/>
        </w:rPr>
        <w:fldChar w:fldCharType="end"/>
      </w:r>
      <w:r w:rsidR="007B3DBC" w:rsidRPr="00C5109C">
        <w:rPr>
          <w:lang w:val="en-GB"/>
        </w:rPr>
        <w:t xml:space="preserve"> </w:t>
      </w:r>
      <w:r w:rsidR="00FF317E" w:rsidRPr="00C5109C">
        <w:rPr>
          <w:lang w:val="en-GB"/>
        </w:rPr>
        <w:t>provides an analysis of conditions of usage of aerial UE for communications based on LTE in various harmoni</w:t>
      </w:r>
      <w:r w:rsidR="003E2626" w:rsidRPr="00C5109C">
        <w:rPr>
          <w:lang w:val="en-GB"/>
        </w:rPr>
        <w:t>s</w:t>
      </w:r>
      <w:r w:rsidR="00FF317E" w:rsidRPr="00C5109C">
        <w:rPr>
          <w:lang w:val="en-GB"/>
        </w:rPr>
        <w:t xml:space="preserve">ed MFCN </w:t>
      </w:r>
      <w:r w:rsidR="00E04392" w:rsidRPr="00C5109C">
        <w:rPr>
          <w:lang w:val="en-GB"/>
        </w:rPr>
        <w:t>bands</w:t>
      </w:r>
      <w:r w:rsidR="001C05A3" w:rsidRPr="00C5109C">
        <w:rPr>
          <w:lang w:val="en-GB"/>
        </w:rPr>
        <w:t>;</w:t>
      </w:r>
    </w:p>
    <w:p w14:paraId="722B596D" w14:textId="4037E338" w:rsidR="00447EB7" w:rsidRPr="00C5109C" w:rsidRDefault="00447EB7"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 xml:space="preserve">that there is no technical difference between LTE and 5G NR non-AAS, relevant operational and technical conditions are also valid for both LTE and 5G NR non-AAS (see ECC Report </w:t>
      </w:r>
      <w:r w:rsidR="009F7336" w:rsidRPr="00C5109C">
        <w:rPr>
          <w:lang w:val="en-GB"/>
        </w:rPr>
        <w:t>281</w:t>
      </w:r>
      <w:r w:rsidR="00042686" w:rsidRPr="00C5109C">
        <w:rPr>
          <w:lang w:val="en-GB"/>
        </w:rPr>
        <w:t xml:space="preserve"> </w:t>
      </w:r>
      <w:r w:rsidR="00042686" w:rsidRPr="00C5109C">
        <w:rPr>
          <w:lang w:val="en-GB"/>
        </w:rPr>
        <w:fldChar w:fldCharType="begin"/>
      </w:r>
      <w:r w:rsidR="00042686" w:rsidRPr="003D1680">
        <w:rPr>
          <w:lang w:val="en-GB"/>
        </w:rPr>
        <w:instrText xml:space="preserve"> REF _Ref103672492 \r \h </w:instrText>
      </w:r>
      <w:r w:rsidR="00042686" w:rsidRPr="00C5109C">
        <w:rPr>
          <w:lang w:val="en-GB"/>
        </w:rPr>
      </w:r>
      <w:r w:rsidR="00042686" w:rsidRPr="00C5109C">
        <w:rPr>
          <w:lang w:val="en-GB"/>
        </w:rPr>
        <w:fldChar w:fldCharType="separate"/>
      </w:r>
      <w:r w:rsidR="001F3A6B">
        <w:rPr>
          <w:lang w:val="en-GB"/>
        </w:rPr>
        <w:t>[5]</w:t>
      </w:r>
      <w:r w:rsidR="00042686" w:rsidRPr="00C5109C">
        <w:rPr>
          <w:lang w:val="en-GB"/>
        </w:rPr>
        <w:fldChar w:fldCharType="end"/>
      </w:r>
      <w:r w:rsidR="009F7336" w:rsidRPr="003D1680">
        <w:rPr>
          <w:lang w:val="en-GB"/>
        </w:rPr>
        <w:t xml:space="preserve">, </w:t>
      </w:r>
      <w:r w:rsidR="00DB1A60" w:rsidRPr="00C5109C">
        <w:rPr>
          <w:lang w:val="en-GB"/>
        </w:rPr>
        <w:t>ECC Report</w:t>
      </w:r>
      <w:r w:rsidR="00DB1A60">
        <w:rPr>
          <w:lang w:val="en-GB"/>
        </w:rPr>
        <w:t xml:space="preserve"> </w:t>
      </w:r>
      <w:r w:rsidR="009F7336" w:rsidRPr="003D1680">
        <w:rPr>
          <w:lang w:val="en-GB"/>
        </w:rPr>
        <w:t>297</w:t>
      </w:r>
      <w:r w:rsidR="009F60E3">
        <w:rPr>
          <w:lang w:val="en-GB"/>
        </w:rPr>
        <w:t xml:space="preserve"> </w:t>
      </w:r>
      <w:r w:rsidR="009F60E3">
        <w:rPr>
          <w:lang w:val="en-GB"/>
        </w:rPr>
        <w:fldChar w:fldCharType="begin"/>
      </w:r>
      <w:r w:rsidR="009F60E3">
        <w:rPr>
          <w:lang w:val="en-GB"/>
        </w:rPr>
        <w:instrText xml:space="preserve"> REF _Ref112071889 \r \h </w:instrText>
      </w:r>
      <w:r w:rsidR="009F60E3">
        <w:rPr>
          <w:lang w:val="en-GB"/>
        </w:rPr>
      </w:r>
      <w:r w:rsidR="009F60E3">
        <w:rPr>
          <w:lang w:val="en-GB"/>
        </w:rPr>
        <w:fldChar w:fldCharType="separate"/>
      </w:r>
      <w:r w:rsidR="001F3A6B">
        <w:rPr>
          <w:lang w:val="en-GB"/>
        </w:rPr>
        <w:t>[6]</w:t>
      </w:r>
      <w:r w:rsidR="009F60E3">
        <w:rPr>
          <w:lang w:val="en-GB"/>
        </w:rPr>
        <w:fldChar w:fldCharType="end"/>
      </w:r>
      <w:r w:rsidR="009F7336" w:rsidRPr="003D1680">
        <w:rPr>
          <w:lang w:val="en-GB"/>
        </w:rPr>
        <w:t xml:space="preserve">, </w:t>
      </w:r>
      <w:r w:rsidR="00DB1A60" w:rsidRPr="00C5109C">
        <w:rPr>
          <w:lang w:val="en-GB"/>
        </w:rPr>
        <w:t>ECC Report</w:t>
      </w:r>
      <w:r w:rsidR="00DB1A60">
        <w:rPr>
          <w:lang w:val="en-GB"/>
        </w:rPr>
        <w:t xml:space="preserve"> </w:t>
      </w:r>
      <w:r w:rsidR="009F7336" w:rsidRPr="003D1680">
        <w:rPr>
          <w:lang w:val="en-GB"/>
        </w:rPr>
        <w:t>298</w:t>
      </w:r>
      <w:r w:rsidR="009F60E3">
        <w:rPr>
          <w:lang w:val="en-GB"/>
        </w:rPr>
        <w:t xml:space="preserve"> </w:t>
      </w:r>
      <w:r w:rsidR="009F60E3">
        <w:rPr>
          <w:lang w:val="en-GB"/>
        </w:rPr>
        <w:fldChar w:fldCharType="begin"/>
      </w:r>
      <w:r w:rsidR="009F60E3">
        <w:rPr>
          <w:lang w:val="en-GB"/>
        </w:rPr>
        <w:instrText xml:space="preserve"> REF _Ref112071897 \r \h </w:instrText>
      </w:r>
      <w:r w:rsidR="009F60E3">
        <w:rPr>
          <w:lang w:val="en-GB"/>
        </w:rPr>
      </w:r>
      <w:r w:rsidR="009F60E3">
        <w:rPr>
          <w:lang w:val="en-GB"/>
        </w:rPr>
        <w:fldChar w:fldCharType="separate"/>
      </w:r>
      <w:r w:rsidR="001F3A6B">
        <w:rPr>
          <w:lang w:val="en-GB"/>
        </w:rPr>
        <w:t>[7]</w:t>
      </w:r>
      <w:r w:rsidR="009F60E3">
        <w:rPr>
          <w:lang w:val="en-GB"/>
        </w:rPr>
        <w:fldChar w:fldCharType="end"/>
      </w:r>
      <w:r w:rsidR="0064725A">
        <w:rPr>
          <w:lang w:val="en-GB"/>
        </w:rPr>
        <w:t>,</w:t>
      </w:r>
      <w:r w:rsidR="009F7336" w:rsidRPr="003D1680">
        <w:rPr>
          <w:lang w:val="en-GB"/>
        </w:rPr>
        <w:t xml:space="preserve"> </w:t>
      </w:r>
      <w:r w:rsidR="00DB1A60" w:rsidRPr="00C5109C">
        <w:rPr>
          <w:lang w:val="en-GB"/>
        </w:rPr>
        <w:t>ECC Report</w:t>
      </w:r>
      <w:r w:rsidR="00DB1A60">
        <w:rPr>
          <w:lang w:val="en-GB"/>
        </w:rPr>
        <w:t xml:space="preserve"> </w:t>
      </w:r>
      <w:r w:rsidR="009F7336" w:rsidRPr="003D1680">
        <w:rPr>
          <w:lang w:val="en-GB"/>
        </w:rPr>
        <w:t>308</w:t>
      </w:r>
      <w:r w:rsidR="009F60E3">
        <w:rPr>
          <w:lang w:val="en-GB"/>
        </w:rPr>
        <w:t xml:space="preserve"> </w:t>
      </w:r>
      <w:r w:rsidR="009F60E3">
        <w:rPr>
          <w:lang w:val="en-GB"/>
        </w:rPr>
        <w:fldChar w:fldCharType="begin"/>
      </w:r>
      <w:r w:rsidR="009F60E3">
        <w:rPr>
          <w:lang w:val="en-GB"/>
        </w:rPr>
        <w:instrText xml:space="preserve"> REF _Ref112071902 \r \h </w:instrText>
      </w:r>
      <w:r w:rsidR="009F60E3">
        <w:rPr>
          <w:lang w:val="en-GB"/>
        </w:rPr>
      </w:r>
      <w:r w:rsidR="009F60E3">
        <w:rPr>
          <w:lang w:val="en-GB"/>
        </w:rPr>
        <w:fldChar w:fldCharType="separate"/>
      </w:r>
      <w:r w:rsidR="001F3A6B">
        <w:rPr>
          <w:lang w:val="en-GB"/>
        </w:rPr>
        <w:t>[8]</w:t>
      </w:r>
      <w:r w:rsidR="009F60E3">
        <w:rPr>
          <w:lang w:val="en-GB"/>
        </w:rPr>
        <w:fldChar w:fldCharType="end"/>
      </w:r>
      <w:r w:rsidR="00151749">
        <w:rPr>
          <w:lang w:val="en-GB"/>
        </w:rPr>
        <w:t xml:space="preserve"> and</w:t>
      </w:r>
      <w:r w:rsidR="00C9731C" w:rsidRPr="003D1680">
        <w:rPr>
          <w:lang w:val="en-GB"/>
        </w:rPr>
        <w:t xml:space="preserve"> ECC Report 348 </w:t>
      </w:r>
      <w:r w:rsidR="00762D26">
        <w:rPr>
          <w:lang w:val="en-GB"/>
        </w:rPr>
        <w:fldChar w:fldCharType="begin"/>
      </w:r>
      <w:r w:rsidR="00762D26">
        <w:rPr>
          <w:lang w:val="en-GB"/>
        </w:rPr>
        <w:instrText xml:space="preserve"> REF _Ref103342552 \r \h </w:instrText>
      </w:r>
      <w:r w:rsidR="00762D26">
        <w:rPr>
          <w:lang w:val="en-GB"/>
        </w:rPr>
      </w:r>
      <w:r w:rsidR="00762D26">
        <w:rPr>
          <w:lang w:val="en-GB"/>
        </w:rPr>
        <w:fldChar w:fldCharType="separate"/>
      </w:r>
      <w:r w:rsidR="001F3A6B">
        <w:rPr>
          <w:lang w:val="en-GB"/>
        </w:rPr>
        <w:t>[2]</w:t>
      </w:r>
      <w:r w:rsidR="00762D26">
        <w:rPr>
          <w:lang w:val="en-GB"/>
        </w:rPr>
        <w:fldChar w:fldCharType="end"/>
      </w:r>
      <w:r w:rsidRPr="003D1680">
        <w:rPr>
          <w:lang w:val="en-GB"/>
        </w:rPr>
        <w:t>);</w:t>
      </w:r>
    </w:p>
    <w:p w14:paraId="6CC2B0CF" w14:textId="3B14B14A" w:rsidR="007A4578" w:rsidRPr="00C5109C" w:rsidRDefault="007432F3"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7A4578" w:rsidRPr="00C5109C">
        <w:rPr>
          <w:lang w:val="en-GB"/>
        </w:rPr>
        <w:t xml:space="preserve">hat </w:t>
      </w:r>
      <w:r w:rsidR="007569EB" w:rsidRPr="00C5109C">
        <w:rPr>
          <w:lang w:val="en-GB"/>
        </w:rPr>
        <w:t>ECC Report 348</w:t>
      </w:r>
      <w:r w:rsidR="00505CC6" w:rsidRPr="00C5109C">
        <w:rPr>
          <w:lang w:val="en-GB"/>
        </w:rPr>
        <w:t xml:space="preserve"> </w:t>
      </w:r>
      <w:r w:rsidR="007A4578" w:rsidRPr="00C5109C">
        <w:rPr>
          <w:lang w:val="en-GB"/>
        </w:rPr>
        <w:t xml:space="preserve">provides </w:t>
      </w:r>
      <w:r w:rsidR="00CC0975" w:rsidRPr="00C5109C">
        <w:rPr>
          <w:lang w:val="en-GB"/>
        </w:rPr>
        <w:t>additional</w:t>
      </w:r>
      <w:r w:rsidR="007A4578" w:rsidRPr="00C5109C">
        <w:rPr>
          <w:lang w:val="en-GB"/>
        </w:rPr>
        <w:t xml:space="preserve"> conclusions </w:t>
      </w:r>
      <w:r w:rsidR="000312E5" w:rsidRPr="00C5109C">
        <w:rPr>
          <w:lang w:val="en-GB"/>
        </w:rPr>
        <w:t>to those in</w:t>
      </w:r>
      <w:r w:rsidR="007A4578" w:rsidRPr="00C5109C">
        <w:rPr>
          <w:lang w:val="en-GB"/>
        </w:rPr>
        <w:t xml:space="preserve"> ECC Report 309 </w:t>
      </w:r>
      <w:r w:rsidR="000312E5" w:rsidRPr="00C5109C">
        <w:rPr>
          <w:lang w:val="en-GB"/>
        </w:rPr>
        <w:t>relating to</w:t>
      </w:r>
      <w:r w:rsidR="007A4578" w:rsidRPr="00C5109C">
        <w:rPr>
          <w:lang w:val="en-GB"/>
        </w:rPr>
        <w:t xml:space="preserve"> AAS base stations in the 1.8 GHz, 2 GHz and 2.6 GHz harmoni</w:t>
      </w:r>
      <w:r w:rsidR="003E2626" w:rsidRPr="00C5109C">
        <w:rPr>
          <w:lang w:val="en-GB"/>
        </w:rPr>
        <w:t>s</w:t>
      </w:r>
      <w:r w:rsidR="007A4578" w:rsidRPr="00C5109C">
        <w:rPr>
          <w:lang w:val="en-GB"/>
        </w:rPr>
        <w:t>ed bands</w:t>
      </w:r>
      <w:r w:rsidR="004E7A13" w:rsidRPr="00C5109C">
        <w:rPr>
          <w:lang w:val="en-GB"/>
        </w:rPr>
        <w:t>;</w:t>
      </w:r>
    </w:p>
    <w:p w14:paraId="5D87DAF5" w14:textId="6A1FFE18" w:rsidR="00146422" w:rsidRPr="00C5109C" w:rsidRDefault="00B635FC"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 xml:space="preserve">that compatibility assessment on the band 3.4-3.8 GHz was made in ECC Report 309, </w:t>
      </w:r>
      <w:r w:rsidRPr="00183C2E">
        <w:t>however</w:t>
      </w:r>
      <w:r w:rsidR="00B9226B" w:rsidRPr="00183C2E">
        <w:t>,</w:t>
      </w:r>
      <w:r w:rsidRPr="00183C2E">
        <w:t xml:space="preserve"> this band is excluded from this decision and subject to additional compatibility studies with</w:t>
      </w:r>
      <w:r w:rsidRPr="00C5109C">
        <w:rPr>
          <w:lang w:val="en-GB"/>
        </w:rPr>
        <w:t xml:space="preserve"> </w:t>
      </w:r>
      <w:r w:rsidR="00AA76FF" w:rsidRPr="00C5109C">
        <w:rPr>
          <w:lang w:val="en-GB"/>
        </w:rPr>
        <w:t xml:space="preserve">radio altimeters </w:t>
      </w:r>
      <w:r w:rsidRPr="00C5109C">
        <w:rPr>
          <w:lang w:val="en-GB"/>
        </w:rPr>
        <w:t xml:space="preserve">operating in the band 4.2-4.4 GHz which were not addressed in ECC Report </w:t>
      </w:r>
      <w:r w:rsidR="00E04392" w:rsidRPr="00C5109C">
        <w:rPr>
          <w:lang w:val="en-GB"/>
        </w:rPr>
        <w:t>309</w:t>
      </w:r>
      <w:r w:rsidR="001C05A3" w:rsidRPr="00C5109C">
        <w:rPr>
          <w:lang w:val="en-GB"/>
        </w:rPr>
        <w:t>;</w:t>
      </w:r>
    </w:p>
    <w:p w14:paraId="5677E633" w14:textId="6784BDDB" w:rsidR="009D5666" w:rsidRPr="00C5109C" w:rsidRDefault="007432F3"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242640" w:rsidRPr="00C5109C">
        <w:rPr>
          <w:lang w:val="en-GB"/>
        </w:rPr>
        <w:t>hat t</w:t>
      </w:r>
      <w:r w:rsidR="00FF317E" w:rsidRPr="00C5109C">
        <w:rPr>
          <w:lang w:val="en-GB"/>
        </w:rPr>
        <w:t xml:space="preserve">o ensure confidence for all spectrum users, including </w:t>
      </w:r>
      <w:r w:rsidR="00AA76FF" w:rsidRPr="00C5109C">
        <w:rPr>
          <w:lang w:val="en-GB"/>
        </w:rPr>
        <w:t xml:space="preserve">in </w:t>
      </w:r>
      <w:r w:rsidR="00FF317E" w:rsidRPr="00C5109C">
        <w:rPr>
          <w:lang w:val="en-GB"/>
        </w:rPr>
        <w:t xml:space="preserve">adjacent bands, </w:t>
      </w:r>
      <w:r w:rsidR="006B2A3B" w:rsidRPr="00C5109C">
        <w:rPr>
          <w:lang w:val="en-GB"/>
        </w:rPr>
        <w:t>there is a need for harmoni</w:t>
      </w:r>
      <w:r w:rsidR="003E2626" w:rsidRPr="00C5109C">
        <w:rPr>
          <w:lang w:val="en-GB"/>
        </w:rPr>
        <w:t>s</w:t>
      </w:r>
      <w:r w:rsidR="006B2A3B" w:rsidRPr="00C5109C">
        <w:rPr>
          <w:lang w:val="en-GB"/>
        </w:rPr>
        <w:t xml:space="preserve">ed technical conditions applicable to </w:t>
      </w:r>
      <w:r w:rsidR="00390C41" w:rsidRPr="00C5109C">
        <w:rPr>
          <w:lang w:val="en-GB"/>
        </w:rPr>
        <w:t xml:space="preserve">aerial </w:t>
      </w:r>
      <w:r w:rsidR="006B2A3B" w:rsidRPr="00C5109C">
        <w:rPr>
          <w:lang w:val="en-GB"/>
        </w:rPr>
        <w:t xml:space="preserve">UE which can be identified </w:t>
      </w:r>
      <w:r w:rsidR="00FF317E" w:rsidRPr="00C5109C">
        <w:rPr>
          <w:lang w:val="en-GB"/>
        </w:rPr>
        <w:t>in the suitable MF</w:t>
      </w:r>
      <w:r w:rsidR="00DF5563" w:rsidRPr="00C5109C">
        <w:rPr>
          <w:lang w:val="en-GB"/>
        </w:rPr>
        <w:t>CN bands</w:t>
      </w:r>
      <w:r w:rsidR="004E7A13" w:rsidRPr="00C5109C">
        <w:rPr>
          <w:lang w:val="en-GB"/>
        </w:rPr>
        <w:t>;</w:t>
      </w:r>
    </w:p>
    <w:p w14:paraId="50C71548" w14:textId="433FB5DC" w:rsidR="003D6014" w:rsidRPr="00C5109C" w:rsidRDefault="0004796D"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E22F1B" w:rsidRPr="00C5109C">
        <w:rPr>
          <w:lang w:val="en-GB"/>
        </w:rPr>
        <w:t xml:space="preserve">hat </w:t>
      </w:r>
      <w:r w:rsidR="00254ED8" w:rsidRPr="00C5109C">
        <w:rPr>
          <w:lang w:val="en-GB"/>
        </w:rPr>
        <w:t xml:space="preserve">the </w:t>
      </w:r>
      <w:r w:rsidR="00E22F1B" w:rsidRPr="00C5109C">
        <w:rPr>
          <w:lang w:val="en-GB"/>
        </w:rPr>
        <w:t>703-733</w:t>
      </w:r>
      <w:r w:rsidR="004E7A13" w:rsidRPr="00C5109C">
        <w:rPr>
          <w:lang w:val="en-GB"/>
        </w:rPr>
        <w:t xml:space="preserve"> </w:t>
      </w:r>
      <w:r w:rsidR="00E22F1B" w:rsidRPr="00C5109C">
        <w:rPr>
          <w:lang w:val="en-GB"/>
        </w:rPr>
        <w:t>MHz, 832-862</w:t>
      </w:r>
      <w:r w:rsidR="004E7A13" w:rsidRPr="00C5109C">
        <w:rPr>
          <w:lang w:val="en-GB"/>
        </w:rPr>
        <w:t xml:space="preserve"> </w:t>
      </w:r>
      <w:r w:rsidR="00E22F1B" w:rsidRPr="00C5109C">
        <w:rPr>
          <w:lang w:val="en-GB"/>
        </w:rPr>
        <w:t>MHz, 880-915</w:t>
      </w:r>
      <w:r w:rsidR="004E7A13" w:rsidRPr="00C5109C">
        <w:rPr>
          <w:lang w:val="en-GB"/>
        </w:rPr>
        <w:t xml:space="preserve"> </w:t>
      </w:r>
      <w:r w:rsidR="00E22F1B" w:rsidRPr="00C5109C">
        <w:rPr>
          <w:lang w:val="en-GB"/>
        </w:rPr>
        <w:t>MHz, 2500-2570</w:t>
      </w:r>
      <w:r w:rsidR="004E7A13" w:rsidRPr="00C5109C">
        <w:rPr>
          <w:lang w:val="en-GB"/>
        </w:rPr>
        <w:t xml:space="preserve"> </w:t>
      </w:r>
      <w:r w:rsidR="00E22F1B" w:rsidRPr="00C5109C">
        <w:rPr>
          <w:lang w:val="en-GB"/>
        </w:rPr>
        <w:t>MHz</w:t>
      </w:r>
      <w:r w:rsidR="00481350" w:rsidRPr="00C5109C">
        <w:rPr>
          <w:lang w:val="en-GB"/>
        </w:rPr>
        <w:t xml:space="preserve"> and</w:t>
      </w:r>
      <w:r w:rsidR="00E22F1B" w:rsidRPr="00C5109C">
        <w:rPr>
          <w:lang w:val="en-GB"/>
        </w:rPr>
        <w:t xml:space="preserve"> 2570-2620</w:t>
      </w:r>
      <w:r w:rsidR="004E7A13" w:rsidRPr="00C5109C">
        <w:rPr>
          <w:lang w:val="en-GB"/>
        </w:rPr>
        <w:t xml:space="preserve"> </w:t>
      </w:r>
      <w:r w:rsidR="00E22F1B" w:rsidRPr="00C5109C">
        <w:rPr>
          <w:lang w:val="en-GB"/>
        </w:rPr>
        <w:t>MHz</w:t>
      </w:r>
      <w:r w:rsidR="00496331" w:rsidRPr="00C5109C">
        <w:rPr>
          <w:lang w:val="en-GB"/>
        </w:rPr>
        <w:t xml:space="preserve"> </w:t>
      </w:r>
      <w:r w:rsidR="00E22F1B" w:rsidRPr="00C5109C">
        <w:rPr>
          <w:lang w:val="en-GB"/>
        </w:rPr>
        <w:t xml:space="preserve">frequency bands are allocated to Mobile except aeronautical mobile service in </w:t>
      </w:r>
      <w:r w:rsidR="00211981" w:rsidRPr="00C5109C">
        <w:rPr>
          <w:lang w:val="en-GB"/>
        </w:rPr>
        <w:t xml:space="preserve">most of the </w:t>
      </w:r>
      <w:r w:rsidR="004B6581" w:rsidRPr="00C5109C">
        <w:rPr>
          <w:lang w:val="en-GB"/>
        </w:rPr>
        <w:t>CEPT</w:t>
      </w:r>
      <w:r w:rsidR="00211981" w:rsidRPr="00C5109C">
        <w:rPr>
          <w:lang w:val="en-GB"/>
        </w:rPr>
        <w:t xml:space="preserve"> countries</w:t>
      </w:r>
      <w:r w:rsidR="004E7A13" w:rsidRPr="00C5109C">
        <w:rPr>
          <w:lang w:val="en-GB"/>
        </w:rPr>
        <w:t>;</w:t>
      </w:r>
    </w:p>
    <w:p w14:paraId="1438300F" w14:textId="52DEBB42" w:rsidR="004E7A13" w:rsidRPr="00EB6694" w:rsidRDefault="001A7B78" w:rsidP="003C1EA0">
      <w:pPr>
        <w:pStyle w:val="ListParagraph"/>
        <w:numPr>
          <w:ilvl w:val="0"/>
          <w:numId w:val="12"/>
        </w:numPr>
        <w:tabs>
          <w:tab w:val="left" w:pos="567"/>
        </w:tabs>
        <w:spacing w:after="240"/>
        <w:ind w:left="567" w:hanging="567"/>
        <w:contextualSpacing w:val="0"/>
        <w:jc w:val="both"/>
        <w:rPr>
          <w:lang w:val="en-GB"/>
        </w:rPr>
      </w:pPr>
      <w:r w:rsidRPr="00C5109C">
        <w:rPr>
          <w:lang w:val="en-GB"/>
        </w:rPr>
        <w:t>t</w:t>
      </w:r>
      <w:r w:rsidR="00EB59DB" w:rsidRPr="00C5109C">
        <w:rPr>
          <w:lang w:val="en-GB"/>
        </w:rPr>
        <w:t xml:space="preserve">hat </w:t>
      </w:r>
      <w:r w:rsidR="006B472A" w:rsidRPr="00C5109C">
        <w:rPr>
          <w:lang w:val="en-GB"/>
        </w:rPr>
        <w:t>t</w:t>
      </w:r>
      <w:r w:rsidR="00EB59DB" w:rsidRPr="00C5109C">
        <w:rPr>
          <w:lang w:val="en-GB"/>
        </w:rPr>
        <w:t xml:space="preserve">he term aerial UE, used in this ECC Decision, </w:t>
      </w:r>
      <w:r w:rsidR="00AA1303" w:rsidRPr="00183C2E">
        <w:t>refers to an UE supporting UAS features and services and requiring an aerial subscription. An aerial UE is installed either on-board an Unmanned Aircraft (e.g. drones) or on-board manned aircraft (e.g. helicopter). It identifies itself to the mobile network as being in this class</w:t>
      </w:r>
      <w:r w:rsidR="001C05A3">
        <w:t>;</w:t>
      </w:r>
    </w:p>
    <w:p w14:paraId="0088546F" w14:textId="06D63861" w:rsidR="000D6C5C" w:rsidRPr="00EB6694" w:rsidRDefault="004E7A13"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 xml:space="preserve">that </w:t>
      </w:r>
      <w:r w:rsidR="003153FB" w:rsidRPr="00EB6694">
        <w:rPr>
          <w:lang w:val="en-GB"/>
        </w:rPr>
        <w:t>this ECC Decision refers to non</w:t>
      </w:r>
      <w:r w:rsidR="007432F3" w:rsidRPr="00EB6694">
        <w:rPr>
          <w:lang w:val="en-GB"/>
        </w:rPr>
        <w:t>-</w:t>
      </w:r>
      <w:r w:rsidR="003153FB" w:rsidRPr="00EB6694">
        <w:rPr>
          <w:lang w:val="en-GB"/>
        </w:rPr>
        <w:t>AAS aerial UE only</w:t>
      </w:r>
      <w:r w:rsidRPr="00EB6694">
        <w:rPr>
          <w:lang w:val="en-GB"/>
        </w:rPr>
        <w:t>;</w:t>
      </w:r>
    </w:p>
    <w:p w14:paraId="362A558C" w14:textId="5CC570F6" w:rsidR="00A92363" w:rsidRPr="00A92363" w:rsidRDefault="000D6C5C" w:rsidP="003C1EA0">
      <w:pPr>
        <w:pStyle w:val="ListParagraph"/>
        <w:numPr>
          <w:ilvl w:val="0"/>
          <w:numId w:val="12"/>
        </w:numPr>
        <w:tabs>
          <w:tab w:val="left" w:pos="567"/>
        </w:tabs>
        <w:spacing w:after="240"/>
        <w:ind w:left="567" w:hanging="567"/>
        <w:contextualSpacing w:val="0"/>
        <w:jc w:val="both"/>
      </w:pPr>
      <w:r w:rsidRPr="00EB6694">
        <w:rPr>
          <w:lang w:val="en-GB"/>
        </w:rPr>
        <w:t>that</w:t>
      </w:r>
      <w:r w:rsidR="00957121" w:rsidRPr="00EB6694">
        <w:rPr>
          <w:lang w:val="en-GB"/>
        </w:rPr>
        <w:t xml:space="preserve"> this </w:t>
      </w:r>
      <w:r w:rsidR="00D71C95" w:rsidRPr="00183C2E">
        <w:rPr>
          <w:lang w:val="en-GB"/>
        </w:rPr>
        <w:t>ECC</w:t>
      </w:r>
      <w:r w:rsidR="00957121" w:rsidRPr="00B12236">
        <w:rPr>
          <w:lang w:val="en-GB"/>
        </w:rPr>
        <w:t xml:space="preserve"> </w:t>
      </w:r>
      <w:r w:rsidR="001A7B78" w:rsidRPr="00EB6694">
        <w:rPr>
          <w:lang w:val="en-GB"/>
        </w:rPr>
        <w:t>D</w:t>
      </w:r>
      <w:r w:rsidR="00957121" w:rsidRPr="00EB6694">
        <w:rPr>
          <w:lang w:val="en-GB"/>
        </w:rPr>
        <w:t xml:space="preserve">ecision has been developed </w:t>
      </w:r>
      <w:r w:rsidR="00902803" w:rsidRPr="00183C2E">
        <w:t xml:space="preserve">under the assumption that there is the </w:t>
      </w:r>
      <w:r w:rsidR="008268CD" w:rsidRPr="00183C2E">
        <w:t>mecha</w:t>
      </w:r>
      <w:r w:rsidR="002A3086" w:rsidRPr="00183C2E">
        <w:t>nism</w:t>
      </w:r>
      <w:r w:rsidR="00902803" w:rsidRPr="00183C2E">
        <w:t xml:space="preserve"> to differentiate between an aerial UE and a conventional UE</w:t>
      </w:r>
      <w:r w:rsidR="00902803" w:rsidRPr="00EB6694" w:rsidDel="00902803">
        <w:rPr>
          <w:lang w:val="en-GB"/>
        </w:rPr>
        <w:t xml:space="preserve"> </w:t>
      </w:r>
      <w:r w:rsidR="00382801" w:rsidRPr="00EB6694">
        <w:rPr>
          <w:lang w:val="en-GB"/>
        </w:rPr>
        <w:t>and</w:t>
      </w:r>
      <w:r w:rsidR="00382801" w:rsidRPr="00183C2E">
        <w:rPr>
          <w:lang w:val="en-GB"/>
        </w:rPr>
        <w:t xml:space="preserve"> that this </w:t>
      </w:r>
      <w:r w:rsidR="00173BBE" w:rsidRPr="00183C2E">
        <w:rPr>
          <w:lang w:val="en-GB"/>
        </w:rPr>
        <w:t>mechanism</w:t>
      </w:r>
      <w:r w:rsidR="00385C0D" w:rsidRPr="00183C2E">
        <w:rPr>
          <w:lang w:val="en-GB"/>
        </w:rPr>
        <w:t xml:space="preserve"> </w:t>
      </w:r>
      <w:r w:rsidR="0063309F" w:rsidRPr="00183C2E">
        <w:rPr>
          <w:lang w:val="en-GB"/>
        </w:rPr>
        <w:t>cannot be changed by the end-user</w:t>
      </w:r>
      <w:r w:rsidR="00A92363">
        <w:rPr>
          <w:lang w:val="en-GB"/>
        </w:rPr>
        <w:t>;</w:t>
      </w:r>
    </w:p>
    <w:p w14:paraId="5BD1A83E" w14:textId="30FEB31E" w:rsidR="007055D0" w:rsidRPr="00183C2E" w:rsidRDefault="001A7B78" w:rsidP="003C1EA0">
      <w:pPr>
        <w:pStyle w:val="ListParagraph"/>
        <w:numPr>
          <w:ilvl w:val="0"/>
          <w:numId w:val="12"/>
        </w:numPr>
        <w:tabs>
          <w:tab w:val="left" w:pos="567"/>
        </w:tabs>
        <w:spacing w:after="240"/>
        <w:ind w:left="567" w:hanging="567"/>
        <w:contextualSpacing w:val="0"/>
        <w:jc w:val="both"/>
      </w:pPr>
      <w:r w:rsidRPr="00183C2E">
        <w:t>t</w:t>
      </w:r>
      <w:r w:rsidR="007055D0" w:rsidRPr="00183C2E">
        <w:t xml:space="preserve">hat </w:t>
      </w:r>
      <w:r w:rsidR="00025A1D" w:rsidRPr="00183C2E">
        <w:t xml:space="preserve">the </w:t>
      </w:r>
      <w:r w:rsidR="007055D0" w:rsidRPr="00183C2E">
        <w:t>mechanism</w:t>
      </w:r>
      <w:r w:rsidR="00D15C92" w:rsidRPr="00183C2E">
        <w:t xml:space="preserve"> to differentiate aerial UE from other UE</w:t>
      </w:r>
      <w:r w:rsidR="00162EE5" w:rsidRPr="00183C2E">
        <w:t>,</w:t>
      </w:r>
      <w:r w:rsidR="00B53A6F" w:rsidRPr="00183C2E">
        <w:t xml:space="preserve"> </w:t>
      </w:r>
      <w:r w:rsidR="00025A1D" w:rsidRPr="00183C2E">
        <w:t>should allow</w:t>
      </w:r>
      <w:r w:rsidR="00B53A6F" w:rsidRPr="00183C2E">
        <w:t xml:space="preserve"> </w:t>
      </w:r>
      <w:r w:rsidR="007055D0" w:rsidRPr="00183C2E">
        <w:t xml:space="preserve">mobile operators to </w:t>
      </w:r>
      <w:r w:rsidR="00061DB5" w:rsidRPr="00183C2E">
        <w:t>identify aerial UE</w:t>
      </w:r>
      <w:r w:rsidR="00C557B3" w:rsidRPr="00183C2E">
        <w:t xml:space="preserve"> </w:t>
      </w:r>
      <w:r w:rsidR="00061DB5" w:rsidRPr="00183C2E">
        <w:t xml:space="preserve">and </w:t>
      </w:r>
      <w:r w:rsidR="0060620C" w:rsidRPr="00183C2E">
        <w:t xml:space="preserve">to </w:t>
      </w:r>
      <w:r w:rsidR="007055D0" w:rsidRPr="00183C2E">
        <w:t>manage self-interference</w:t>
      </w:r>
      <w:r w:rsidR="004E7A13" w:rsidRPr="00183C2E">
        <w:t>;</w:t>
      </w:r>
    </w:p>
    <w:p w14:paraId="0DAD3192" w14:textId="319A08FD" w:rsidR="00EB59DB" w:rsidRPr="00EB6694" w:rsidRDefault="001A7B78"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 xml:space="preserve">that </w:t>
      </w:r>
      <w:r w:rsidR="004E7A13" w:rsidRPr="00EB6694">
        <w:rPr>
          <w:lang w:val="en-GB"/>
        </w:rPr>
        <w:t xml:space="preserve">the </w:t>
      </w:r>
      <w:r w:rsidR="00EB59DB" w:rsidRPr="00EB6694">
        <w:rPr>
          <w:lang w:val="en-GB"/>
        </w:rPr>
        <w:t>scenario for commercial aircraft connectivity differs from those addressed by this ECC Decision</w:t>
      </w:r>
      <w:r w:rsidR="004E7A13" w:rsidRPr="00EB6694">
        <w:rPr>
          <w:lang w:val="en-GB"/>
        </w:rPr>
        <w:t>;</w:t>
      </w:r>
    </w:p>
    <w:p w14:paraId="7B1EFBC6" w14:textId="31E8693F" w:rsidR="000000F4" w:rsidRPr="00EB6694" w:rsidRDefault="007432F3"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t</w:t>
      </w:r>
      <w:r w:rsidR="00C14ACE" w:rsidRPr="00EB6694">
        <w:rPr>
          <w:lang w:val="en-GB"/>
        </w:rPr>
        <w:t>hat v</w:t>
      </w:r>
      <w:r w:rsidR="002327A9" w:rsidRPr="00EB6694">
        <w:rPr>
          <w:lang w:val="en-GB"/>
        </w:rPr>
        <w:t>arious types of terrestrial radars operat</w:t>
      </w:r>
      <w:r w:rsidR="00C14ACE" w:rsidRPr="00EB6694">
        <w:rPr>
          <w:lang w:val="en-GB"/>
        </w:rPr>
        <w:t>ing</w:t>
      </w:r>
      <w:r w:rsidR="002327A9" w:rsidRPr="00EB6694">
        <w:rPr>
          <w:lang w:val="en-GB"/>
        </w:rPr>
        <w:t xml:space="preserve"> above 2.7 GHz are already subject to national</w:t>
      </w:r>
      <w:r w:rsidR="004573E2" w:rsidRPr="00EB6694">
        <w:rPr>
          <w:lang w:val="en-GB"/>
        </w:rPr>
        <w:t>ly determined</w:t>
      </w:r>
      <w:r w:rsidR="002327A9" w:rsidRPr="00EB6694">
        <w:rPr>
          <w:lang w:val="en-GB"/>
        </w:rPr>
        <w:t xml:space="preserve"> coordination zone</w:t>
      </w:r>
      <w:r w:rsidR="004E7A13" w:rsidRPr="00EB6694">
        <w:rPr>
          <w:lang w:val="en-GB"/>
        </w:rPr>
        <w:t>s</w:t>
      </w:r>
      <w:r w:rsidR="007929CF" w:rsidRPr="00183C2E">
        <w:t xml:space="preserve">, which </w:t>
      </w:r>
      <w:r w:rsidR="002327A9" w:rsidRPr="00EB6694">
        <w:rPr>
          <w:lang w:val="en-GB"/>
        </w:rPr>
        <w:t>are larger tha</w:t>
      </w:r>
      <w:r w:rsidR="00146951" w:rsidRPr="00EB6694">
        <w:rPr>
          <w:lang w:val="en-GB"/>
        </w:rPr>
        <w:t>n</w:t>
      </w:r>
      <w:r w:rsidR="002327A9" w:rsidRPr="00EB6694">
        <w:rPr>
          <w:lang w:val="en-GB"/>
        </w:rPr>
        <w:t xml:space="preserve"> the separation distance (lower than 1 km</w:t>
      </w:r>
      <w:r w:rsidR="00057D4B" w:rsidRPr="00EB6694">
        <w:rPr>
          <w:lang w:val="en-GB"/>
        </w:rPr>
        <w:t>)</w:t>
      </w:r>
      <w:r w:rsidR="002327A9" w:rsidRPr="00EB6694">
        <w:rPr>
          <w:lang w:val="en-GB"/>
        </w:rPr>
        <w:t xml:space="preserve"> required to avoid blocking effect</w:t>
      </w:r>
      <w:r w:rsidR="004E7A13" w:rsidRPr="00EB6694">
        <w:rPr>
          <w:lang w:val="en-GB"/>
        </w:rPr>
        <w:t>s</w:t>
      </w:r>
      <w:r w:rsidR="002327A9" w:rsidRPr="00EB6694">
        <w:rPr>
          <w:lang w:val="en-GB"/>
        </w:rPr>
        <w:t xml:space="preserve"> on any kind of the radars operating above 2700 MHz caused by aerial </w:t>
      </w:r>
      <w:r w:rsidR="004E7A13" w:rsidRPr="00EB6694">
        <w:rPr>
          <w:lang w:val="en-GB"/>
        </w:rPr>
        <w:t xml:space="preserve">UE </w:t>
      </w:r>
      <w:r w:rsidR="002327A9" w:rsidRPr="00EB6694">
        <w:rPr>
          <w:lang w:val="en-GB"/>
        </w:rPr>
        <w:t>band emissions below 2620 MHz</w:t>
      </w:r>
      <w:r w:rsidR="000A2CF1" w:rsidRPr="00EB6694">
        <w:rPr>
          <w:lang w:val="en-GB"/>
        </w:rPr>
        <w:t>;</w:t>
      </w:r>
    </w:p>
    <w:p w14:paraId="7FF1BBA6" w14:textId="588E0805" w:rsidR="000000F4" w:rsidRPr="00183C2E" w:rsidRDefault="000000F4" w:rsidP="003C1EA0">
      <w:pPr>
        <w:pStyle w:val="ListParagraph"/>
        <w:numPr>
          <w:ilvl w:val="0"/>
          <w:numId w:val="12"/>
        </w:numPr>
        <w:tabs>
          <w:tab w:val="left" w:pos="567"/>
        </w:tabs>
        <w:spacing w:after="240"/>
        <w:ind w:left="567" w:hanging="567"/>
        <w:contextualSpacing w:val="0"/>
        <w:jc w:val="both"/>
      </w:pPr>
      <w:r w:rsidRPr="00183C2E">
        <w:t>that a no-transmit zone in this Decision is defined as a geographical area where aerial UE are not allowed to transmi</w:t>
      </w:r>
      <w:r w:rsidR="008B748B" w:rsidRPr="00183C2E">
        <w:t>t</w:t>
      </w:r>
      <w:r w:rsidRPr="00183C2E">
        <w:t xml:space="preserve"> for spectrum compatibility purposes </w:t>
      </w:r>
      <w:proofErr w:type="gramStart"/>
      <w:r w:rsidRPr="00183C2E">
        <w:t>in a given</w:t>
      </w:r>
      <w:proofErr w:type="gramEnd"/>
      <w:r w:rsidRPr="00183C2E">
        <w:t xml:space="preserve"> harmoni</w:t>
      </w:r>
      <w:r w:rsidR="003E2626" w:rsidRPr="00183C2E">
        <w:t>s</w:t>
      </w:r>
      <w:r w:rsidRPr="00183C2E">
        <w:t>ed MFCN band or part of it</w:t>
      </w:r>
      <w:r w:rsidR="000A2CF1" w:rsidRPr="00183C2E">
        <w:t>;</w:t>
      </w:r>
    </w:p>
    <w:p w14:paraId="460A400D" w14:textId="77777777" w:rsidR="00C27FC7" w:rsidRPr="00EB6694" w:rsidRDefault="000A2CF1"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that national studies are needed, as appropriate, to define no-transmit zones for spectrum compatibility purposes, for aerial UE operating in the relevant frequency bands;</w:t>
      </w:r>
      <w:r w:rsidR="00C27FC7" w:rsidRPr="00C27FC7">
        <w:t xml:space="preserve"> </w:t>
      </w:r>
    </w:p>
    <w:p w14:paraId="070347BB" w14:textId="3EBF2564" w:rsidR="00DB44A9" w:rsidRPr="00EB6694" w:rsidRDefault="00C27FC7" w:rsidP="00EB6694">
      <w:pPr>
        <w:pStyle w:val="ListParagraph"/>
        <w:numPr>
          <w:ilvl w:val="0"/>
          <w:numId w:val="12"/>
        </w:numPr>
        <w:tabs>
          <w:tab w:val="left" w:pos="567"/>
        </w:tabs>
        <w:spacing w:after="240"/>
        <w:ind w:left="567" w:hanging="567"/>
        <w:contextualSpacing w:val="0"/>
        <w:jc w:val="both"/>
      </w:pPr>
      <w:r w:rsidRPr="00F40A47">
        <w:t>that a mechanism is necessary to ensure that aerial UE respect no-transmit zones;</w:t>
      </w:r>
    </w:p>
    <w:p w14:paraId="6D535851" w14:textId="3A86FC10" w:rsidR="002A3818" w:rsidRPr="00EB6694" w:rsidRDefault="00576CB5"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lastRenderedPageBreak/>
        <w:t>t</w:t>
      </w:r>
      <w:r w:rsidR="00242640" w:rsidRPr="00EB6694">
        <w:rPr>
          <w:lang w:val="en-GB"/>
        </w:rPr>
        <w:t>hat</w:t>
      </w:r>
      <w:r w:rsidR="00273D9F" w:rsidRPr="00EB6694">
        <w:rPr>
          <w:lang w:val="en-GB"/>
        </w:rPr>
        <w:t xml:space="preserve"> </w:t>
      </w:r>
      <w:r w:rsidR="009B4EA7" w:rsidRPr="00EB6694">
        <w:rPr>
          <w:lang w:val="en-GB"/>
        </w:rPr>
        <w:t>FRMCS cab-radios</w:t>
      </w:r>
      <w:r w:rsidR="00273D9F" w:rsidRPr="00EB6694">
        <w:rPr>
          <w:lang w:val="en-GB"/>
        </w:rPr>
        <w:t xml:space="preserve"> in 1900-1910 MHz</w:t>
      </w:r>
      <w:r w:rsidR="009B4EA7" w:rsidRPr="00EB6694">
        <w:rPr>
          <w:lang w:val="en-GB"/>
        </w:rPr>
        <w:t xml:space="preserve"> are assu</w:t>
      </w:r>
      <w:r w:rsidR="00273D9F" w:rsidRPr="00EB6694">
        <w:rPr>
          <w:lang w:val="en-GB"/>
        </w:rPr>
        <w:t xml:space="preserve">med to </w:t>
      </w:r>
      <w:r w:rsidR="008B748B" w:rsidRPr="00EB6694">
        <w:rPr>
          <w:lang w:val="en-GB"/>
        </w:rPr>
        <w:t>be compliant</w:t>
      </w:r>
      <w:r w:rsidR="00646AC0" w:rsidRPr="00EB6694">
        <w:rPr>
          <w:lang w:val="en-GB"/>
        </w:rPr>
        <w:t xml:space="preserve"> with relevant FRMCS receiver requirements from CEPT </w:t>
      </w:r>
      <w:r w:rsidR="004A48DC" w:rsidRPr="00EB6694">
        <w:rPr>
          <w:lang w:val="en-GB"/>
        </w:rPr>
        <w:t>R</w:t>
      </w:r>
      <w:r w:rsidR="00646AC0" w:rsidRPr="00EB6694">
        <w:rPr>
          <w:lang w:val="en-GB"/>
        </w:rPr>
        <w:t xml:space="preserve">eport 76 </w:t>
      </w:r>
      <w:r w:rsidR="00711A13" w:rsidRPr="00EB6694">
        <w:rPr>
          <w:lang w:val="en-GB"/>
        </w:rPr>
        <w:fldChar w:fldCharType="begin"/>
      </w:r>
      <w:r w:rsidR="00711A13" w:rsidRPr="003D1680">
        <w:rPr>
          <w:lang w:val="en-GB"/>
        </w:rPr>
        <w:instrText xml:space="preserve"> REF _Ref104993099 \r \h </w:instrText>
      </w:r>
      <w:r w:rsidR="00711A13" w:rsidRPr="00EB6694">
        <w:rPr>
          <w:lang w:val="en-GB"/>
        </w:rPr>
      </w:r>
      <w:r w:rsidR="00711A13" w:rsidRPr="00EB6694">
        <w:rPr>
          <w:lang w:val="en-GB"/>
        </w:rPr>
        <w:fldChar w:fldCharType="separate"/>
      </w:r>
      <w:r w:rsidR="00A768BD" w:rsidRPr="00EB6694">
        <w:rPr>
          <w:lang w:val="en-GB"/>
        </w:rPr>
        <w:t>[</w:t>
      </w:r>
      <w:r w:rsidR="00A768BD" w:rsidRPr="003D1680">
        <w:rPr>
          <w:lang w:val="en-GB"/>
        </w:rPr>
        <w:t>3</w:t>
      </w:r>
      <w:r w:rsidR="00A768BD" w:rsidRPr="00EB6694">
        <w:rPr>
          <w:lang w:val="en-GB"/>
        </w:rPr>
        <w:t>]</w:t>
      </w:r>
      <w:r w:rsidR="00711A13" w:rsidRPr="00EB6694">
        <w:rPr>
          <w:lang w:val="en-GB"/>
        </w:rPr>
        <w:fldChar w:fldCharType="end"/>
      </w:r>
      <w:r w:rsidR="00711A13" w:rsidRPr="00EB6694">
        <w:rPr>
          <w:lang w:val="en-GB"/>
        </w:rPr>
        <w:t xml:space="preserve"> </w:t>
      </w:r>
      <w:r w:rsidR="00646AC0" w:rsidRPr="00EB6694">
        <w:rPr>
          <w:lang w:val="en-GB"/>
        </w:rPr>
        <w:t xml:space="preserve">and </w:t>
      </w:r>
      <w:r w:rsidR="00E71D9E" w:rsidRPr="00EB6694">
        <w:rPr>
          <w:lang w:val="en-GB"/>
        </w:rPr>
        <w:t xml:space="preserve">Commission Implementing </w:t>
      </w:r>
      <w:r w:rsidR="00646AC0" w:rsidRPr="00EB6694">
        <w:rPr>
          <w:lang w:val="en-GB"/>
        </w:rPr>
        <w:t xml:space="preserve">Decision on RMR </w:t>
      </w:r>
      <w:r w:rsidR="007E5686" w:rsidRPr="00EB6694">
        <w:rPr>
          <w:lang w:val="en-GB"/>
        </w:rPr>
        <w:t>(</w:t>
      </w:r>
      <w:r w:rsidR="00E71D9E" w:rsidRPr="00EB6694">
        <w:rPr>
          <w:lang w:val="en-GB"/>
        </w:rPr>
        <w:t xml:space="preserve">(EU) </w:t>
      </w:r>
      <w:r w:rsidR="004623DE" w:rsidRPr="00EB6694">
        <w:rPr>
          <w:lang w:val="en-GB"/>
        </w:rPr>
        <w:t>2021</w:t>
      </w:r>
      <w:r w:rsidR="007E5686" w:rsidRPr="00EB6694">
        <w:rPr>
          <w:lang w:val="en-GB"/>
        </w:rPr>
        <w:t>/1730)</w:t>
      </w:r>
      <w:r w:rsidR="00864A6F" w:rsidRPr="00EB6694">
        <w:rPr>
          <w:lang w:val="en-GB"/>
        </w:rPr>
        <w:t xml:space="preserve"> </w:t>
      </w:r>
      <w:r w:rsidR="00711A13" w:rsidRPr="00EB6694">
        <w:rPr>
          <w:lang w:val="en-GB"/>
        </w:rPr>
        <w:fldChar w:fldCharType="begin"/>
      </w:r>
      <w:r w:rsidR="00711A13" w:rsidRPr="00EB6694">
        <w:rPr>
          <w:lang w:val="en-GB"/>
        </w:rPr>
        <w:instrText xml:space="preserve"> REF _Ref104993105 \r \h </w:instrText>
      </w:r>
      <w:r w:rsidR="00711A13" w:rsidRPr="00EB6694">
        <w:rPr>
          <w:lang w:val="en-GB"/>
        </w:rPr>
      </w:r>
      <w:r w:rsidR="00711A13" w:rsidRPr="00EB6694">
        <w:rPr>
          <w:lang w:val="en-GB"/>
        </w:rPr>
        <w:fldChar w:fldCharType="separate"/>
      </w:r>
      <w:r w:rsidR="00A768BD" w:rsidRPr="00EB6694">
        <w:rPr>
          <w:lang w:val="en-GB"/>
        </w:rPr>
        <w:t>[</w:t>
      </w:r>
      <w:r w:rsidR="00A768BD" w:rsidRPr="003D1680">
        <w:rPr>
          <w:lang w:val="en-GB"/>
        </w:rPr>
        <w:t>4</w:t>
      </w:r>
      <w:r w:rsidR="00A768BD" w:rsidRPr="00EB6694">
        <w:rPr>
          <w:lang w:val="en-GB"/>
        </w:rPr>
        <w:t>]</w:t>
      </w:r>
      <w:r w:rsidR="00711A13" w:rsidRPr="00EB6694">
        <w:rPr>
          <w:lang w:val="en-GB"/>
        </w:rPr>
        <w:fldChar w:fldCharType="end"/>
      </w:r>
      <w:r w:rsidR="00711A13" w:rsidRPr="00EB6694">
        <w:rPr>
          <w:lang w:val="en-GB"/>
        </w:rPr>
        <w:t xml:space="preserve"> </w:t>
      </w:r>
      <w:r w:rsidR="00864A6F" w:rsidRPr="00EB6694">
        <w:rPr>
          <w:lang w:val="en-GB"/>
        </w:rPr>
        <w:t>applicable</w:t>
      </w:r>
      <w:r w:rsidR="003C1EC2" w:rsidRPr="00EB6694">
        <w:rPr>
          <w:lang w:val="en-GB"/>
        </w:rPr>
        <w:t xml:space="preserve"> </w:t>
      </w:r>
      <w:r w:rsidR="009E0682" w:rsidRPr="00EB6694">
        <w:rPr>
          <w:lang w:val="en-GB"/>
        </w:rPr>
        <w:t xml:space="preserve">to </w:t>
      </w:r>
      <w:r w:rsidR="003C1EC2" w:rsidRPr="00EB6694">
        <w:rPr>
          <w:lang w:val="en-GB"/>
        </w:rPr>
        <w:t>EU member states only</w:t>
      </w:r>
      <w:r w:rsidR="00E71D9E" w:rsidRPr="00EB6694">
        <w:rPr>
          <w:lang w:val="en-GB"/>
        </w:rPr>
        <w:t>;</w:t>
      </w:r>
    </w:p>
    <w:p w14:paraId="7AA2B0AC" w14:textId="5F4702A7" w:rsidR="00746A31" w:rsidRPr="00EB6694" w:rsidRDefault="0056146B"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 xml:space="preserve">that there is a need for </w:t>
      </w:r>
      <w:r w:rsidR="00EA7C33" w:rsidRPr="00216E90">
        <w:rPr>
          <w:lang w:val="en-GB"/>
        </w:rPr>
        <w:t xml:space="preserve">specific </w:t>
      </w:r>
      <w:r w:rsidRPr="00EB6694">
        <w:rPr>
          <w:lang w:val="en-GB"/>
        </w:rPr>
        <w:t>OOBE limits for aerial UE in some frequency bands</w:t>
      </w:r>
      <w:r w:rsidR="00D30D72" w:rsidRPr="00183C2E">
        <w:t xml:space="preserve"> to avoid interference to other services in some </w:t>
      </w:r>
      <w:r w:rsidR="008D0A8B" w:rsidRPr="00183C2E">
        <w:t xml:space="preserve">other </w:t>
      </w:r>
      <w:r w:rsidR="00D30D72" w:rsidRPr="00183C2E">
        <w:t>bands</w:t>
      </w:r>
      <w:r w:rsidR="0046478C" w:rsidRPr="00183C2E">
        <w:t xml:space="preserve"> (e.g. to protect MetSat </w:t>
      </w:r>
      <w:r w:rsidR="001A6795" w:rsidRPr="00183C2E">
        <w:t>or</w:t>
      </w:r>
      <w:r w:rsidR="0046478C" w:rsidRPr="00183C2E">
        <w:t xml:space="preserve"> </w:t>
      </w:r>
      <w:r w:rsidR="001A6795" w:rsidRPr="00183C2E">
        <w:t>radar operations)</w:t>
      </w:r>
      <w:r w:rsidR="001C05A3">
        <w:t>;</w:t>
      </w:r>
    </w:p>
    <w:p w14:paraId="703B0467" w14:textId="2F3897CF" w:rsidR="00005AE6" w:rsidRPr="00EB6694" w:rsidRDefault="00EF74D8"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t</w:t>
      </w:r>
      <w:r w:rsidR="006A130F" w:rsidRPr="00EB6694">
        <w:rPr>
          <w:lang w:val="en-GB"/>
        </w:rPr>
        <w:t>hat the band 1427-1518 MHz is harmonised for MFCN SDL but excluded from the scope of this ECC Decision due to foreseen bi-directional or uplink communications from aerial UE to the network</w:t>
      </w:r>
      <w:r w:rsidRPr="00EB6694">
        <w:rPr>
          <w:lang w:val="en-GB"/>
        </w:rPr>
        <w:t>;</w:t>
      </w:r>
    </w:p>
    <w:p w14:paraId="489DB7A7" w14:textId="36D209B1" w:rsidR="00902855" w:rsidRPr="00EB6694" w:rsidRDefault="007918D0" w:rsidP="001C05A3">
      <w:pPr>
        <w:pStyle w:val="ListParagraph"/>
        <w:numPr>
          <w:ilvl w:val="0"/>
          <w:numId w:val="12"/>
        </w:numPr>
        <w:tabs>
          <w:tab w:val="left" w:pos="567"/>
        </w:tabs>
        <w:spacing w:after="240"/>
        <w:ind w:left="567" w:hanging="567"/>
        <w:contextualSpacing w:val="0"/>
        <w:jc w:val="both"/>
        <w:rPr>
          <w:lang w:val="en-GB"/>
        </w:rPr>
      </w:pPr>
      <w:r w:rsidRPr="00EB6694">
        <w:rPr>
          <w:lang w:val="en-GB"/>
        </w:rPr>
        <w:t>t</w:t>
      </w:r>
      <w:r w:rsidR="00053618" w:rsidRPr="00EB6694">
        <w:rPr>
          <w:lang w:val="en-GB"/>
        </w:rPr>
        <w:t>hat th</w:t>
      </w:r>
      <w:r w:rsidR="005F0CC3" w:rsidRPr="00EB6694">
        <w:rPr>
          <w:lang w:val="en-GB"/>
        </w:rPr>
        <w:t>is</w:t>
      </w:r>
      <w:r w:rsidR="00053618" w:rsidRPr="00EB6694">
        <w:rPr>
          <w:lang w:val="en-GB"/>
        </w:rPr>
        <w:t xml:space="preserve"> ECC </w:t>
      </w:r>
      <w:r w:rsidR="005F0CC3" w:rsidRPr="00EB6694">
        <w:rPr>
          <w:lang w:val="en-GB"/>
        </w:rPr>
        <w:t>Decision</w:t>
      </w:r>
      <w:r w:rsidR="00053618" w:rsidRPr="00EB6694">
        <w:rPr>
          <w:lang w:val="en-GB"/>
        </w:rPr>
        <w:t xml:space="preserve"> is without prejudice </w:t>
      </w:r>
      <w:r w:rsidR="00FE62CF" w:rsidRPr="00EB6694">
        <w:rPr>
          <w:lang w:val="en-GB"/>
        </w:rPr>
        <w:t xml:space="preserve">to </w:t>
      </w:r>
      <w:r w:rsidR="005F0CC3" w:rsidRPr="00EB6694">
        <w:rPr>
          <w:lang w:val="en-GB"/>
        </w:rPr>
        <w:t>other</w:t>
      </w:r>
      <w:r w:rsidR="00053618" w:rsidRPr="00EB6694">
        <w:rPr>
          <w:lang w:val="en-GB"/>
        </w:rPr>
        <w:t xml:space="preserve"> regulation on aerial UE, in particular at EU level </w:t>
      </w:r>
      <w:r w:rsidR="005F0CC3" w:rsidRPr="00EB6694">
        <w:rPr>
          <w:lang w:val="en-GB"/>
        </w:rPr>
        <w:t>on</w:t>
      </w:r>
      <w:r w:rsidR="00053618" w:rsidRPr="00EB6694">
        <w:rPr>
          <w:lang w:val="en-GB"/>
        </w:rPr>
        <w:t xml:space="preserve"> </w:t>
      </w:r>
      <w:r w:rsidR="00771C31" w:rsidRPr="00EB6694">
        <w:rPr>
          <w:lang w:val="en-GB"/>
        </w:rPr>
        <w:t>UAS</w:t>
      </w:r>
      <w:r w:rsidR="00053618" w:rsidRPr="00EB6694">
        <w:rPr>
          <w:lang w:val="en-GB"/>
        </w:rPr>
        <w:t xml:space="preserve"> </w:t>
      </w:r>
      <w:r w:rsidR="005F0CC3" w:rsidRPr="00EB6694">
        <w:rPr>
          <w:lang w:val="en-GB"/>
        </w:rPr>
        <w:t xml:space="preserve">categories </w:t>
      </w:r>
      <w:r w:rsidR="00053618" w:rsidRPr="00EB6694">
        <w:rPr>
          <w:lang w:val="en-GB"/>
        </w:rPr>
        <w:t>(open, specific, certified) and relevant requirements to be fulfilled</w:t>
      </w:r>
      <w:r w:rsidR="009C704B" w:rsidRPr="00EB6694">
        <w:rPr>
          <w:lang w:val="en-GB"/>
        </w:rPr>
        <w:t>;</w:t>
      </w:r>
    </w:p>
    <w:p w14:paraId="716EA919" w14:textId="453D98C3" w:rsidR="00B5243D" w:rsidRPr="00EB6694" w:rsidRDefault="00B75D3B" w:rsidP="003C1EA0">
      <w:pPr>
        <w:pStyle w:val="ListParagraph"/>
        <w:numPr>
          <w:ilvl w:val="0"/>
          <w:numId w:val="12"/>
        </w:numPr>
        <w:tabs>
          <w:tab w:val="left" w:pos="567"/>
        </w:tabs>
        <w:spacing w:after="240"/>
        <w:ind w:left="567" w:hanging="567"/>
        <w:contextualSpacing w:val="0"/>
        <w:jc w:val="both"/>
        <w:rPr>
          <w:lang w:val="en-GB"/>
        </w:rPr>
      </w:pPr>
      <w:r w:rsidRPr="00EB6694">
        <w:rPr>
          <w:lang w:val="en-GB"/>
        </w:rPr>
        <w:t>that</w:t>
      </w:r>
      <w:r w:rsidR="00614DDD" w:rsidRPr="00EB6694">
        <w:rPr>
          <w:lang w:val="en-GB"/>
        </w:rPr>
        <w:t xml:space="preserve"> </w:t>
      </w:r>
      <w:r w:rsidR="004E7753" w:rsidRPr="00EB6694">
        <w:rPr>
          <w:lang w:val="en-GB"/>
        </w:rPr>
        <w:t>for compatibility purpose</w:t>
      </w:r>
      <w:r w:rsidR="00C110AC" w:rsidRPr="00EB6694">
        <w:rPr>
          <w:lang w:val="en-GB"/>
        </w:rPr>
        <w:t xml:space="preserve">s the </w:t>
      </w:r>
      <w:r w:rsidR="00614DDD" w:rsidRPr="00EB6694">
        <w:rPr>
          <w:lang w:val="en-GB"/>
        </w:rPr>
        <w:t>use of MFCN for the communication links of aerial UE within a country may be restricted in certain frequency bands and/or in some geographical areas due to national laws other than national telecommunication laws or the table of frequency allocations of that country</w:t>
      </w:r>
      <w:r w:rsidR="009C704B" w:rsidRPr="00EB6694">
        <w:rPr>
          <w:lang w:val="en-GB"/>
        </w:rPr>
        <w:t>;</w:t>
      </w:r>
    </w:p>
    <w:p w14:paraId="67D09423" w14:textId="519C508B" w:rsidR="000E55AB" w:rsidRPr="00183C2E" w:rsidRDefault="00C25E09" w:rsidP="0014213F">
      <w:pPr>
        <w:pStyle w:val="ListParagraph"/>
        <w:numPr>
          <w:ilvl w:val="0"/>
          <w:numId w:val="12"/>
        </w:numPr>
        <w:tabs>
          <w:tab w:val="left" w:pos="567"/>
        </w:tabs>
        <w:spacing w:after="240"/>
        <w:ind w:left="567" w:hanging="567"/>
        <w:contextualSpacing w:val="0"/>
        <w:jc w:val="both"/>
        <w:rPr>
          <w:shd w:val="solid" w:color="92D050" w:fill="auto"/>
        </w:rPr>
      </w:pPr>
      <w:r w:rsidRPr="00183C2E">
        <w:t xml:space="preserve">that </w:t>
      </w:r>
      <w:r w:rsidR="00AF2856" w:rsidRPr="00183C2E">
        <w:t xml:space="preserve">in </w:t>
      </w:r>
      <w:r w:rsidR="00FE0A17" w:rsidRPr="00183C2E">
        <w:t>this ECC Decision</w:t>
      </w:r>
      <w:r w:rsidR="00A93295" w:rsidRPr="00183C2E">
        <w:t xml:space="preserve"> </w:t>
      </w:r>
      <w:r w:rsidR="00AF2856" w:rsidRPr="00183C2E">
        <w:t xml:space="preserve">it is </w:t>
      </w:r>
      <w:r w:rsidR="00A93295" w:rsidRPr="00183C2E">
        <w:t>assume</w:t>
      </w:r>
      <w:r w:rsidR="00AF2856" w:rsidRPr="00183C2E">
        <w:t>d</w:t>
      </w:r>
      <w:r w:rsidR="008B777B" w:rsidRPr="00183C2E">
        <w:t xml:space="preserve"> </w:t>
      </w:r>
      <w:r w:rsidR="008B777B" w:rsidRPr="00F40A47">
        <w:t>that</w:t>
      </w:r>
      <w:r w:rsidR="00FE0A17" w:rsidRPr="00F40A47">
        <w:t xml:space="preserve"> </w:t>
      </w:r>
      <w:r w:rsidRPr="00F40A47">
        <w:t xml:space="preserve">aerial </w:t>
      </w:r>
      <w:r w:rsidRPr="00183C2E">
        <w:t>U</w:t>
      </w:r>
      <w:r w:rsidR="000E55AB" w:rsidRPr="00183C2E">
        <w:t>E</w:t>
      </w:r>
      <w:r w:rsidR="00A93295" w:rsidRPr="00183C2E">
        <w:t>s</w:t>
      </w:r>
      <w:r w:rsidRPr="00F40A47">
        <w:t xml:space="preserve"> have a height reporting capability</w:t>
      </w:r>
      <w:r w:rsidR="009179B8" w:rsidRPr="00F40A47">
        <w:t>;</w:t>
      </w:r>
    </w:p>
    <w:p w14:paraId="74A75699" w14:textId="7487C55F" w:rsidR="003D1AFD" w:rsidRPr="00EB6694" w:rsidRDefault="003D1AFD" w:rsidP="003C1EA0">
      <w:pPr>
        <w:pStyle w:val="ECCParagraph"/>
        <w:numPr>
          <w:ilvl w:val="0"/>
          <w:numId w:val="12"/>
        </w:numPr>
        <w:ind w:left="567" w:hanging="567"/>
      </w:pPr>
      <w:r w:rsidRPr="00EB6694">
        <w:t>that in order to contribute to a future review of this framework, CEPT administrations should rapidly report in case of interference to CGC 2GHz</w:t>
      </w:r>
      <w:r w:rsidR="00596598" w:rsidRPr="00EB6694">
        <w:t xml:space="preserve"> </w:t>
      </w:r>
      <w:r w:rsidR="004048D2" w:rsidRPr="00EB6694">
        <w:t>base stations (see definition of CGC as “Complementary Ground Component” in ECC</w:t>
      </w:r>
      <w:r w:rsidR="00042686" w:rsidRPr="00EB6694">
        <w:t xml:space="preserve"> Decision </w:t>
      </w:r>
      <w:r w:rsidR="004048D2" w:rsidRPr="00EB6694">
        <w:t>(06)09</w:t>
      </w:r>
      <w:r w:rsidR="00E11027">
        <w:t xml:space="preserve"> </w:t>
      </w:r>
      <w:r w:rsidR="00E11027">
        <w:fldChar w:fldCharType="begin"/>
      </w:r>
      <w:r w:rsidR="00E11027">
        <w:instrText xml:space="preserve"> REF _Ref104993165 \r \h </w:instrText>
      </w:r>
      <w:r w:rsidR="00E11027">
        <w:fldChar w:fldCharType="separate"/>
      </w:r>
      <w:r w:rsidR="00E11027">
        <w:t>[9]</w:t>
      </w:r>
      <w:r w:rsidR="00E11027">
        <w:fldChar w:fldCharType="end"/>
      </w:r>
      <w:r w:rsidR="004048D2" w:rsidRPr="003D1680">
        <w:t>)</w:t>
      </w:r>
      <w:r w:rsidR="004048D2" w:rsidRPr="00EB6694">
        <w:t xml:space="preserve"> </w:t>
      </w:r>
      <w:r w:rsidR="00596598" w:rsidRPr="00EB6694">
        <w:t>due to</w:t>
      </w:r>
      <w:r w:rsidRPr="00EB6694">
        <w:t xml:space="preserve"> aerial U</w:t>
      </w:r>
      <w:r w:rsidR="00E85ED3" w:rsidRPr="00EB6694">
        <w:t>E</w:t>
      </w:r>
      <w:r w:rsidRPr="00EB6694">
        <w:t xml:space="preserve"> </w:t>
      </w:r>
      <w:r w:rsidR="00596598" w:rsidRPr="00EB6694">
        <w:t xml:space="preserve">in </w:t>
      </w:r>
      <w:r w:rsidRPr="00EB6694">
        <w:t>1920-1980 MHz and their resolution to the Office;</w:t>
      </w:r>
    </w:p>
    <w:p w14:paraId="7F96192A" w14:textId="1847AFB8" w:rsidR="006A130F" w:rsidRPr="003D1680" w:rsidRDefault="00E65E22" w:rsidP="003C1EA0">
      <w:pPr>
        <w:pStyle w:val="ECCParagraph"/>
        <w:numPr>
          <w:ilvl w:val="0"/>
          <w:numId w:val="12"/>
        </w:numPr>
        <w:ind w:left="567" w:hanging="567"/>
        <w:rPr>
          <w:rStyle w:val="ECCHLgreen"/>
        </w:rPr>
      </w:pPr>
      <w:r w:rsidRPr="00EB6694">
        <w:t>that in EU/EF</w:t>
      </w:r>
      <w:r w:rsidR="006A130F" w:rsidRPr="00EB6694">
        <w:t xml:space="preserve">TA countries the aerial UE equipment intended to be used under </w:t>
      </w:r>
      <w:r w:rsidR="0004796D" w:rsidRPr="00EB6694">
        <w:t>open and specific categories</w:t>
      </w:r>
      <w:r w:rsidR="006A130F" w:rsidRPr="00EB6694">
        <w:t xml:space="preserve"> </w:t>
      </w:r>
      <w:r w:rsidRPr="00EB6694">
        <w:t>under the scope of this Decision shall comply with the RE Directive</w:t>
      </w:r>
      <w:r w:rsidR="00F4116A" w:rsidRPr="00EB6694">
        <w:t xml:space="preserve"> </w:t>
      </w:r>
      <w:r w:rsidR="00F4116A" w:rsidRPr="00EB6694">
        <w:fldChar w:fldCharType="begin"/>
      </w:r>
      <w:r w:rsidR="00F4116A" w:rsidRPr="003D1680">
        <w:instrText xml:space="preserve"> REF _Ref104215820 \r \h </w:instrText>
      </w:r>
      <w:r w:rsidR="00F4116A" w:rsidRPr="00EB6694">
        <w:fldChar w:fldCharType="separate"/>
      </w:r>
      <w:r w:rsidR="001F3A6B">
        <w:t>[10]</w:t>
      </w:r>
      <w:r w:rsidR="00F4116A" w:rsidRPr="00EB6694">
        <w:fldChar w:fldCharType="end"/>
      </w:r>
      <w:r w:rsidRPr="00EB6694">
        <w:t>. Conformity with the essential requirements of the RE Directive may be demonstrated by compliance with the applicable</w:t>
      </w:r>
      <w:r w:rsidRPr="003D1680">
        <w:rPr>
          <w:rStyle w:val="ECCHLgreen"/>
        </w:rPr>
        <w:t xml:space="preserve"> </w:t>
      </w:r>
      <w:r w:rsidRPr="00EB6694">
        <w:t>harmonised European standard(s) or by using the other conformity assessment procedures set out in the RE Directive.</w:t>
      </w:r>
    </w:p>
    <w:p w14:paraId="29956A86" w14:textId="77777777" w:rsidR="009179B8" w:rsidRPr="003D1680" w:rsidRDefault="009179B8" w:rsidP="009179B8">
      <w:pPr>
        <w:pStyle w:val="ECCParagraph"/>
        <w:rPr>
          <w:rFonts w:cs="Arial"/>
          <w:i/>
          <w:color w:val="D2232A"/>
        </w:rPr>
      </w:pPr>
      <w:r w:rsidRPr="003D1680">
        <w:rPr>
          <w:rFonts w:cs="Arial"/>
          <w:i/>
          <w:color w:val="D2232A"/>
        </w:rPr>
        <w:t>DECIDES</w:t>
      </w:r>
    </w:p>
    <w:p w14:paraId="707AB8AA" w14:textId="1806D6A2" w:rsidR="000E61D6" w:rsidRPr="00EB6694" w:rsidRDefault="00A41673" w:rsidP="00EB6694">
      <w:pPr>
        <w:pStyle w:val="NumberedList"/>
      </w:pPr>
      <w:r w:rsidRPr="00EB6694">
        <w:t xml:space="preserve">that the </w:t>
      </w:r>
      <w:r w:rsidR="00F32EE8" w:rsidRPr="00EB6694">
        <w:t>purpose of this ECC</w:t>
      </w:r>
      <w:r w:rsidRPr="00EB6694">
        <w:t xml:space="preserve"> Decision</w:t>
      </w:r>
      <w:r w:rsidR="00DC3297" w:rsidRPr="00EB6694">
        <w:t xml:space="preserve"> is</w:t>
      </w:r>
      <w:r w:rsidR="00DC3297" w:rsidRPr="003D1680">
        <w:t xml:space="preserve"> to </w:t>
      </w:r>
      <w:r w:rsidR="000E004F" w:rsidRPr="003D1680">
        <w:t>harmonise the</w:t>
      </w:r>
      <w:r w:rsidR="00217808" w:rsidRPr="003D1680">
        <w:t xml:space="preserve"> operational and </w:t>
      </w:r>
      <w:r w:rsidR="00A448C2" w:rsidRPr="003D1680">
        <w:t>technical conditions</w:t>
      </w:r>
      <w:r w:rsidR="00431165" w:rsidRPr="003D1680">
        <w:t xml:space="preserve"> in the following harmonised MFCN frequency bands: </w:t>
      </w:r>
      <w:r w:rsidR="00FF4A10" w:rsidRPr="00183C2E">
        <w:t>703-733 MHz, 832-862 M</w:t>
      </w:r>
      <w:r w:rsidR="00FF4A10" w:rsidRPr="00EB6694">
        <w:t xml:space="preserve">Hz, </w:t>
      </w:r>
      <w:r w:rsidR="00FF4A10" w:rsidRPr="00183C2E">
        <w:t>880-915</w:t>
      </w:r>
      <w:r w:rsidR="00FF4A10" w:rsidRPr="00EB6694">
        <w:t xml:space="preserve"> MHz, </w:t>
      </w:r>
      <w:r w:rsidR="00FF4A10" w:rsidRPr="00183C2E">
        <w:t>1710-1785</w:t>
      </w:r>
      <w:r w:rsidR="00FF4A10" w:rsidRPr="00EB6694">
        <w:t xml:space="preserve"> MHz, </w:t>
      </w:r>
      <w:r w:rsidR="00FF4A10" w:rsidRPr="00183C2E">
        <w:t>1920-1980 MHz, 2500-2570 MHz and 2570-2620 MHz.</w:t>
      </w:r>
      <w:r w:rsidR="00FF4A10" w:rsidRPr="003D1680">
        <w:t xml:space="preserve"> </w:t>
      </w:r>
      <w:r w:rsidR="00A448C2" w:rsidRPr="00EB6694">
        <w:t xml:space="preserve">for the </w:t>
      </w:r>
      <w:r w:rsidR="000E004F" w:rsidRPr="00EB6694">
        <w:t>us</w:t>
      </w:r>
      <w:r w:rsidR="005A28BA" w:rsidRPr="00EB6694">
        <w:t xml:space="preserve">age </w:t>
      </w:r>
      <w:r w:rsidR="000E004F" w:rsidRPr="00EB6694">
        <w:t xml:space="preserve">of </w:t>
      </w:r>
      <w:r w:rsidR="00D15C92" w:rsidRPr="00EB6694">
        <w:t>“</w:t>
      </w:r>
      <w:r w:rsidR="000E004F" w:rsidRPr="00EB6694">
        <w:t>aerial UE</w:t>
      </w:r>
      <w:r w:rsidR="00D15C92" w:rsidRPr="00EB6694">
        <w:t>”</w:t>
      </w:r>
      <w:r w:rsidR="00FE7B29" w:rsidRPr="00EB6694">
        <w:t xml:space="preserve"> as defined in </w:t>
      </w:r>
      <w:r w:rsidR="00DC63AB">
        <w:fldChar w:fldCharType="begin"/>
      </w:r>
      <w:r w:rsidR="00DC63AB">
        <w:instrText xml:space="preserve"> REF _Ref103672100 \r \h </w:instrText>
      </w:r>
      <w:r w:rsidR="00DC63AB">
        <w:fldChar w:fldCharType="separate"/>
      </w:r>
      <w:r w:rsidR="00DC63AB">
        <w:t>A</w:t>
      </w:r>
      <w:r w:rsidR="002E15B4">
        <w:t>nnex</w:t>
      </w:r>
      <w:r w:rsidR="00DC63AB">
        <w:t xml:space="preserve"> 1</w:t>
      </w:r>
      <w:r w:rsidR="00DC63AB">
        <w:fldChar w:fldCharType="end"/>
      </w:r>
      <w:r w:rsidR="009C704B" w:rsidRPr="00330D3F">
        <w:rPr>
          <w:lang w:val="en-US"/>
        </w:rPr>
        <w:t>;</w:t>
      </w:r>
    </w:p>
    <w:p w14:paraId="4BEF9EBE" w14:textId="6EFBD002" w:rsidR="00353D72" w:rsidRPr="003D1680" w:rsidRDefault="00DF726A" w:rsidP="00611409">
      <w:pPr>
        <w:pStyle w:val="NumberedList"/>
      </w:pPr>
      <w:r w:rsidRPr="003D1680">
        <w:t>that depending on the market demand</w:t>
      </w:r>
      <w:r w:rsidR="006E0206" w:rsidRPr="003D1680">
        <w:t>,</w:t>
      </w:r>
      <w:r w:rsidRPr="003D1680">
        <w:t xml:space="preserve"> CEPT administrations shall allow the usage of aerial UE in the 880-915 MHz and 1920-1980 MHz </w:t>
      </w:r>
      <w:r w:rsidR="00611409" w:rsidRPr="003D1680">
        <w:t>frequency</w:t>
      </w:r>
      <w:r w:rsidRPr="003D1680">
        <w:t xml:space="preserve"> band without specific </w:t>
      </w:r>
      <w:r w:rsidR="00611409" w:rsidRPr="003D1680">
        <w:t>operational and technical conditions beyond those already applicable to UE in ECC Decision</w:t>
      </w:r>
      <w:r w:rsidR="006E0206" w:rsidRPr="003D1680">
        <w:t>s</w:t>
      </w:r>
      <w:r w:rsidR="00611409" w:rsidRPr="003D1680">
        <w:t xml:space="preserve"> in the given bands</w:t>
      </w:r>
      <w:r w:rsidR="00C06008" w:rsidRPr="003D1680">
        <w:t>;</w:t>
      </w:r>
    </w:p>
    <w:p w14:paraId="40728AF5" w14:textId="750326E0" w:rsidR="005043AD" w:rsidRPr="003D1680" w:rsidRDefault="00CB582D" w:rsidP="00EB6694">
      <w:pPr>
        <w:pStyle w:val="NumberedList"/>
      </w:pPr>
      <w:r w:rsidRPr="00183C2E">
        <w:t>t</w:t>
      </w:r>
      <w:r w:rsidR="00942186" w:rsidRPr="00183C2E">
        <w:t xml:space="preserve">hat </w:t>
      </w:r>
      <w:r w:rsidR="0047298A" w:rsidRPr="00183C2E">
        <w:t>for operation</w:t>
      </w:r>
      <w:r w:rsidR="00EB00D0" w:rsidRPr="00183C2E">
        <w:t xml:space="preserve"> of aerial UEs </w:t>
      </w:r>
      <w:r w:rsidR="0057720A" w:rsidRPr="00183C2E">
        <w:t xml:space="preserve">in the bands 703-733 MHz, 832-862 MHz, 1710-1785 MHz, 2500-2570 MHz and 2570-2620 MHz, </w:t>
      </w:r>
      <w:r w:rsidR="005A28BA" w:rsidRPr="00183C2E">
        <w:t>CEPT a</w:t>
      </w:r>
      <w:r w:rsidR="00942186" w:rsidRPr="00183C2E">
        <w:t>dministrations</w:t>
      </w:r>
      <w:r w:rsidR="000E004F" w:rsidRPr="00183C2E">
        <w:t xml:space="preserve"> shall</w:t>
      </w:r>
      <w:r w:rsidR="005A28BA" w:rsidRPr="00183C2E">
        <w:t xml:space="preserve"> </w:t>
      </w:r>
      <w:r w:rsidR="000E004F" w:rsidRPr="00183C2E">
        <w:t>implement</w:t>
      </w:r>
      <w:r w:rsidR="000E61D6" w:rsidRPr="00183C2E">
        <w:t xml:space="preserve"> </w:t>
      </w:r>
      <w:r w:rsidR="000E004F" w:rsidRPr="00183C2E">
        <w:t xml:space="preserve">the </w:t>
      </w:r>
      <w:r w:rsidR="000E61D6" w:rsidRPr="00183C2E">
        <w:t>operational and technical conditi</w:t>
      </w:r>
      <w:r w:rsidR="000E004F" w:rsidRPr="00183C2E">
        <w:t>ons</w:t>
      </w:r>
      <w:r w:rsidR="00FE7B29" w:rsidRPr="00183C2E">
        <w:t xml:space="preserve"> </w:t>
      </w:r>
      <w:r w:rsidR="005A28BA" w:rsidRPr="00183C2E">
        <w:t xml:space="preserve"> </w:t>
      </w:r>
      <w:r w:rsidR="00476AAB" w:rsidRPr="00183C2E">
        <w:t xml:space="preserve">as defined </w:t>
      </w:r>
      <w:r w:rsidR="005A28BA" w:rsidRPr="00183C2E">
        <w:t xml:space="preserve">in </w:t>
      </w:r>
      <w:r w:rsidR="00DC63AB" w:rsidRPr="00183C2E">
        <w:fldChar w:fldCharType="begin"/>
      </w:r>
      <w:r w:rsidR="00DC63AB" w:rsidRPr="00183C2E">
        <w:instrText xml:space="preserve"> REF _Ref103672100 \r \h </w:instrText>
      </w:r>
      <w:r w:rsidR="00476AAB" w:rsidRPr="00183C2E">
        <w:instrText xml:space="preserve"> \* MERGEFORMAT </w:instrText>
      </w:r>
      <w:r w:rsidR="00DC63AB" w:rsidRPr="00183C2E">
        <w:fldChar w:fldCharType="separate"/>
      </w:r>
      <w:r w:rsidR="00A768BD" w:rsidRPr="00183C2E">
        <w:t>A</w:t>
      </w:r>
      <w:r w:rsidR="00C929E0" w:rsidRPr="00183C2E">
        <w:t>nnex</w:t>
      </w:r>
      <w:r w:rsidR="00A768BD" w:rsidRPr="00183C2E">
        <w:t xml:space="preserve"> 1</w:t>
      </w:r>
      <w:r w:rsidR="00DC63AB" w:rsidRPr="00183C2E">
        <w:fldChar w:fldCharType="end"/>
      </w:r>
      <w:r w:rsidR="001C05A3">
        <w:t>;</w:t>
      </w:r>
    </w:p>
    <w:p w14:paraId="14367124" w14:textId="41417B94" w:rsidR="00BB77E2" w:rsidRPr="003D1680" w:rsidRDefault="00D520F9" w:rsidP="003C1EA0">
      <w:pPr>
        <w:pStyle w:val="NumberedList"/>
        <w:spacing w:after="120"/>
      </w:pPr>
      <w:r w:rsidRPr="003D1680">
        <w:t>t</w:t>
      </w:r>
      <w:r w:rsidR="00D0188E" w:rsidRPr="003D1680">
        <w:rPr>
          <w:iCs/>
        </w:rPr>
        <w:t>hat no-</w:t>
      </w:r>
      <w:r w:rsidR="00D77385" w:rsidRPr="003D1680">
        <w:rPr>
          <w:iCs/>
        </w:rPr>
        <w:t>transmit</w:t>
      </w:r>
      <w:r w:rsidR="00D0188E" w:rsidRPr="003D1680">
        <w:rPr>
          <w:iCs/>
        </w:rPr>
        <w:t xml:space="preserve"> zone</w:t>
      </w:r>
      <w:r w:rsidR="007053A5" w:rsidRPr="003D1680">
        <w:rPr>
          <w:iCs/>
        </w:rPr>
        <w:t>s</w:t>
      </w:r>
      <w:r w:rsidR="00D0188E" w:rsidRPr="003D1680">
        <w:rPr>
          <w:iCs/>
        </w:rPr>
        <w:t xml:space="preserve"> </w:t>
      </w:r>
      <w:r w:rsidR="001E615F" w:rsidRPr="003D1680">
        <w:rPr>
          <w:iCs/>
        </w:rPr>
        <w:t xml:space="preserve">as described in this Decision </w:t>
      </w:r>
      <w:r w:rsidR="00D0188E" w:rsidRPr="003D1680">
        <w:rPr>
          <w:iCs/>
        </w:rPr>
        <w:t xml:space="preserve">should be </w:t>
      </w:r>
      <w:r w:rsidR="001E615F" w:rsidRPr="003D1680">
        <w:rPr>
          <w:iCs/>
        </w:rPr>
        <w:t xml:space="preserve">defined and </w:t>
      </w:r>
      <w:r w:rsidR="00D0188E" w:rsidRPr="003D1680">
        <w:rPr>
          <w:iCs/>
        </w:rPr>
        <w:t>implemented at national level</w:t>
      </w:r>
      <w:r w:rsidR="00A32769" w:rsidRPr="003D1680">
        <w:rPr>
          <w:iCs/>
        </w:rPr>
        <w:t xml:space="preserve"> and where necessary coordinated with neighbouring countries</w:t>
      </w:r>
      <w:r w:rsidR="00B9718F" w:rsidRPr="003D1680">
        <w:rPr>
          <w:iCs/>
        </w:rPr>
        <w:t>;</w:t>
      </w:r>
    </w:p>
    <w:p w14:paraId="69DE0342" w14:textId="18B157AF" w:rsidR="00183C2E" w:rsidRDefault="009F6E95" w:rsidP="00731E56">
      <w:pPr>
        <w:pStyle w:val="NumberedList"/>
      </w:pPr>
      <w:r w:rsidRPr="003D1680">
        <w:t>that administrations are invited to monitor and report annually to the Office on the effects of this ECC Decision</w:t>
      </w:r>
      <w:r w:rsidR="006650F9" w:rsidRPr="003D1680">
        <w:t xml:space="preserve"> in their countr</w:t>
      </w:r>
      <w:r w:rsidR="008E6E2F" w:rsidRPr="003D1680">
        <w:t>ies</w:t>
      </w:r>
      <w:r w:rsidR="00531BFE" w:rsidRPr="003D1680">
        <w:t>;</w:t>
      </w:r>
    </w:p>
    <w:p w14:paraId="737DFE8A" w14:textId="5B947875" w:rsidR="007053A5" w:rsidRPr="003D1680" w:rsidRDefault="00781B4D" w:rsidP="00731E56">
      <w:pPr>
        <w:pStyle w:val="NumberedList"/>
      </w:pPr>
      <w:r w:rsidRPr="003D1680">
        <w:t>t</w:t>
      </w:r>
      <w:r w:rsidR="007053A5" w:rsidRPr="003D1680">
        <w:t xml:space="preserve">hat </w:t>
      </w:r>
      <w:r w:rsidR="003B5168" w:rsidRPr="003D1680">
        <w:t>ECC</w:t>
      </w:r>
      <w:r w:rsidR="007053A5" w:rsidRPr="003D1680">
        <w:t xml:space="preserve"> shall review this decision within </w:t>
      </w:r>
      <w:r w:rsidRPr="003D1680">
        <w:t>3</w:t>
      </w:r>
      <w:r w:rsidR="007053A5" w:rsidRPr="003D1680">
        <w:t xml:space="preserve"> years</w:t>
      </w:r>
      <w:r w:rsidR="003B5168" w:rsidRPr="003D1680">
        <w:t>,</w:t>
      </w:r>
      <w:r w:rsidR="007053A5" w:rsidRPr="003D1680">
        <w:t xml:space="preserve"> </w:t>
      </w:r>
      <w:r w:rsidRPr="003D1680">
        <w:t xml:space="preserve">in </w:t>
      </w:r>
      <w:r w:rsidR="003B5168" w:rsidRPr="003D1680">
        <w:t>particular</w:t>
      </w:r>
      <w:r w:rsidR="00596598" w:rsidRPr="003D1680">
        <w:t>,</w:t>
      </w:r>
      <w:r w:rsidR="003B5168" w:rsidRPr="003D1680">
        <w:t xml:space="preserve"> </w:t>
      </w:r>
      <w:r w:rsidRPr="003D1680">
        <w:t>to reassess</w:t>
      </w:r>
      <w:r w:rsidR="00596598" w:rsidRPr="003D1680">
        <w:t xml:space="preserve">, if </w:t>
      </w:r>
      <w:r w:rsidR="005A0002" w:rsidRPr="003D1680">
        <w:t>needed</w:t>
      </w:r>
      <w:r w:rsidR="00EC04E9" w:rsidRPr="003D1680">
        <w:t>,</w:t>
      </w:r>
      <w:r w:rsidR="005A0002" w:rsidRPr="003D1680">
        <w:t xml:space="preserve"> the</w:t>
      </w:r>
      <w:r w:rsidRPr="003D1680">
        <w:t xml:space="preserve"> protection of CGC base stations</w:t>
      </w:r>
      <w:r w:rsidR="003B5168" w:rsidRPr="003D1680">
        <w:t xml:space="preserve"> from aerial UE</w:t>
      </w:r>
      <w:r w:rsidR="00A32769" w:rsidRPr="003D1680">
        <w:t xml:space="preserve"> in the 2 GHz frequency band</w:t>
      </w:r>
      <w:r w:rsidR="00345CAB" w:rsidRPr="003D1680">
        <w:t xml:space="preserve"> and to assess if the band 3.4-3.8 GHz can be included in this Decision</w:t>
      </w:r>
      <w:r w:rsidRPr="003D1680">
        <w:t>;</w:t>
      </w:r>
    </w:p>
    <w:p w14:paraId="5EACF9F2" w14:textId="3F899EA4" w:rsidR="00713DBA" w:rsidRPr="003D1680" w:rsidRDefault="00713DBA" w:rsidP="003D6014">
      <w:pPr>
        <w:pStyle w:val="NumberedList"/>
      </w:pPr>
      <w:r w:rsidRPr="003D1680">
        <w:t xml:space="preserve">that this Decision </w:t>
      </w:r>
      <w:r w:rsidRPr="003D1680">
        <w:rPr>
          <w:b/>
        </w:rPr>
        <w:t>enters into force</w:t>
      </w:r>
      <w:r w:rsidRPr="003D1680">
        <w:t xml:space="preserve"> on</w:t>
      </w:r>
      <w:r w:rsidR="00B617BD">
        <w:t>18 November 2022</w:t>
      </w:r>
      <w:r w:rsidRPr="003D1680">
        <w:t>;</w:t>
      </w:r>
    </w:p>
    <w:p w14:paraId="2CFD9D8B" w14:textId="6D9E4D44" w:rsidR="00713DBA" w:rsidRPr="003D1680" w:rsidRDefault="00D90B0A" w:rsidP="003D6014">
      <w:pPr>
        <w:pStyle w:val="NumberedList"/>
      </w:pPr>
      <w:r w:rsidRPr="003D1680">
        <w:t>that the preferred</w:t>
      </w:r>
      <w:r w:rsidR="00713DBA" w:rsidRPr="003D1680">
        <w:t xml:space="preserve"> </w:t>
      </w:r>
      <w:r w:rsidR="00713DBA" w:rsidRPr="003D1680">
        <w:rPr>
          <w:b/>
        </w:rPr>
        <w:t>date for implementation</w:t>
      </w:r>
      <w:r w:rsidR="00713DBA" w:rsidRPr="003D1680">
        <w:t xml:space="preserve"> of this Decision shall be </w:t>
      </w:r>
      <w:r w:rsidR="00456F77">
        <w:t>18 May 2023</w:t>
      </w:r>
      <w:r w:rsidR="00713DBA" w:rsidRPr="003D1680">
        <w:t>;</w:t>
      </w:r>
    </w:p>
    <w:p w14:paraId="1891B52A" w14:textId="147E6D70" w:rsidR="006C03D0" w:rsidRPr="003D1680" w:rsidRDefault="00713DBA" w:rsidP="003D6014">
      <w:pPr>
        <w:pStyle w:val="NumberedList"/>
        <w:keepNext/>
      </w:pPr>
      <w:r w:rsidRPr="003D1680">
        <w:lastRenderedPageBreak/>
        <w:t xml:space="preserve">that CEPT administrations shall communicate the </w:t>
      </w:r>
      <w:r w:rsidRPr="003D1680">
        <w:rPr>
          <w:b/>
        </w:rPr>
        <w:t>national measures</w:t>
      </w:r>
      <w:r w:rsidRPr="003D1680">
        <w:t xml:space="preserve"> implementing this Decision to the ECC Chairman and the Office when th</w:t>
      </w:r>
      <w:r w:rsidR="00F32EE8" w:rsidRPr="003D1680">
        <w:t>is ECC</w:t>
      </w:r>
      <w:r w:rsidRPr="003D1680">
        <w:t xml:space="preserve"> Decision is nationally implemented</w:t>
      </w:r>
      <w:r w:rsidRPr="003E77A5">
        <w:t>.</w:t>
      </w:r>
      <w:r>
        <w:t>”</w:t>
      </w:r>
    </w:p>
    <w:p w14:paraId="28DFD3AB" w14:textId="77777777" w:rsidR="001C46EA" w:rsidRPr="003D1680" w:rsidRDefault="001C46EA" w:rsidP="003D6014">
      <w:pPr>
        <w:pStyle w:val="ECCParagraph"/>
        <w:keepNext/>
      </w:pPr>
    </w:p>
    <w:p w14:paraId="2DC7FE92" w14:textId="77777777" w:rsidR="001C46EA" w:rsidRPr="003D1680" w:rsidRDefault="001C46EA" w:rsidP="003D6014">
      <w:pPr>
        <w:pStyle w:val="ECCParagraph"/>
        <w:keepNext/>
        <w:rPr>
          <w:i/>
          <w:color w:val="D2232A"/>
        </w:rPr>
      </w:pPr>
      <w:r w:rsidRPr="003D1680">
        <w:rPr>
          <w:i/>
          <w:color w:val="D2232A"/>
        </w:rPr>
        <w:t xml:space="preserve">Note: </w:t>
      </w:r>
    </w:p>
    <w:p w14:paraId="6C7DEA66" w14:textId="6DC5B6AD" w:rsidR="001C46EA" w:rsidRPr="003D1680" w:rsidRDefault="001C46EA" w:rsidP="003D6014">
      <w:pPr>
        <w:pStyle w:val="ECCParagraph"/>
        <w:keepNext/>
      </w:pPr>
      <w:r w:rsidRPr="003D1680">
        <w:rPr>
          <w:i/>
          <w:szCs w:val="20"/>
        </w:rPr>
        <w:t xml:space="preserve">Please check the Office documentation database </w:t>
      </w:r>
      <w:hyperlink r:id="rId11" w:history="1">
        <w:r w:rsidR="00B44377" w:rsidRPr="003D1680">
          <w:rPr>
            <w:rStyle w:val="Hyperlink"/>
            <w:i/>
            <w:szCs w:val="20"/>
          </w:rPr>
          <w:t>https://docdb.cept.org</w:t>
        </w:r>
      </w:hyperlink>
      <w:r w:rsidR="00B44377" w:rsidRPr="003D1680">
        <w:rPr>
          <w:i/>
          <w:szCs w:val="20"/>
        </w:rPr>
        <w:t xml:space="preserve"> </w:t>
      </w:r>
      <w:r w:rsidRPr="003D1680">
        <w:rPr>
          <w:i/>
          <w:szCs w:val="20"/>
        </w:rPr>
        <w:t>for the up to date position on the implementation of this and other ECC Decisions.</w:t>
      </w:r>
    </w:p>
    <w:p w14:paraId="35963035" w14:textId="1A2BE9AD" w:rsidR="006C03D0" w:rsidRPr="003D1680" w:rsidRDefault="00242640" w:rsidP="00C7391E">
      <w:pPr>
        <w:pStyle w:val="ECCAnnex-heading1"/>
      </w:pPr>
      <w:bookmarkStart w:id="3" w:name="_Ref103672100"/>
      <w:r w:rsidRPr="003D1680">
        <w:lastRenderedPageBreak/>
        <w:t xml:space="preserve">HarMonised OPERATIONAL AND TECHNICAL </w:t>
      </w:r>
      <w:r w:rsidR="00942186" w:rsidRPr="003D1680">
        <w:t>pARAMETERS</w:t>
      </w:r>
      <w:bookmarkEnd w:id="3"/>
    </w:p>
    <w:p w14:paraId="23F18AC9" w14:textId="4DBE0D8C" w:rsidR="003D0BE0" w:rsidRPr="00183C2E" w:rsidRDefault="00242640" w:rsidP="007150C9">
      <w:pPr>
        <w:pStyle w:val="ECCParagraph"/>
      </w:pPr>
      <w:r w:rsidRPr="00183C2E">
        <w:t xml:space="preserve">This annex provides harmonised </w:t>
      </w:r>
      <w:r w:rsidR="006B4941" w:rsidRPr="00183C2E">
        <w:t xml:space="preserve">operational </w:t>
      </w:r>
      <w:r w:rsidRPr="00183C2E">
        <w:t xml:space="preserve">and technical conditions </w:t>
      </w:r>
      <w:r w:rsidR="003D6014" w:rsidRPr="00183C2E">
        <w:t>to be implemented by CEPT administrations in order to allow the usage of aerial UE</w:t>
      </w:r>
      <w:r w:rsidR="00051EE7" w:rsidRPr="00183C2E">
        <w:t xml:space="preserve"> </w:t>
      </w:r>
      <w:r w:rsidR="005069A3" w:rsidRPr="00183C2E">
        <w:t>according to considerings g) and i)</w:t>
      </w:r>
      <w:r w:rsidR="003D6014" w:rsidRPr="00183C2E">
        <w:t xml:space="preserve"> in</w:t>
      </w:r>
      <w:r w:rsidR="0004796D" w:rsidRPr="00183C2E">
        <w:t xml:space="preserve"> relevant MFCN harmonised bands:</w:t>
      </w:r>
      <w:r w:rsidR="003D6014" w:rsidRPr="00183C2E">
        <w:t xml:space="preserve"> 703-733 MHz, 832-862 MHz, 1710-1785 MHz, 2500-2570 MHz</w:t>
      </w:r>
      <w:r w:rsidR="00942081" w:rsidRPr="00183C2E">
        <w:t xml:space="preserve"> and</w:t>
      </w:r>
      <w:r w:rsidR="003D6014" w:rsidRPr="00183C2E">
        <w:t xml:space="preserve"> 2570-2620 MHz</w:t>
      </w:r>
      <w:r w:rsidR="00942081" w:rsidRPr="00183C2E">
        <w:t>.</w:t>
      </w:r>
    </w:p>
    <w:p w14:paraId="0281B0C0" w14:textId="141D9934" w:rsidR="009C774D" w:rsidRPr="003D1680" w:rsidRDefault="009C774D" w:rsidP="007150C9">
      <w:pPr>
        <w:pStyle w:val="ECCParagraph"/>
      </w:pPr>
      <w:r w:rsidRPr="003D1680">
        <w:t xml:space="preserve">National studies are needed, as </w:t>
      </w:r>
      <w:r w:rsidRPr="00183C2E">
        <w:t xml:space="preserve">appropriate, to define </w:t>
      </w:r>
      <w:r w:rsidR="00B6777D" w:rsidRPr="00183C2E">
        <w:t xml:space="preserve">and to implement </w:t>
      </w:r>
      <w:r w:rsidRPr="00183C2E">
        <w:t xml:space="preserve">no-transmit zones for spectrum compatibility purposes, for aerial UE operating in the </w:t>
      </w:r>
      <w:r w:rsidR="00603A3E" w:rsidRPr="00183C2E">
        <w:t xml:space="preserve">respective </w:t>
      </w:r>
      <w:r w:rsidRPr="00183C2E">
        <w:t>frequency bands</w:t>
      </w:r>
      <w:r w:rsidR="00603A3E" w:rsidRPr="00183C2E">
        <w:t xml:space="preserve"> defined </w:t>
      </w:r>
      <w:r w:rsidR="006575BE" w:rsidRPr="00183C2E">
        <w:t>below</w:t>
      </w:r>
      <w:r w:rsidRPr="00183C2E">
        <w:t>. Furthermore, there is a need for OOBE limits for aerial UE in some frequency bands. There is no need for additional measures in 880-915 MHz and 1920-1980 MHz at this time.</w:t>
      </w:r>
    </w:p>
    <w:p w14:paraId="3EF161FB" w14:textId="77777777" w:rsidR="006650F9" w:rsidRPr="003D1680" w:rsidRDefault="006650F9" w:rsidP="001A0482">
      <w:pPr>
        <w:pStyle w:val="ECCAnnexheading2"/>
      </w:pPr>
      <w:r w:rsidRPr="003D1680">
        <w:t xml:space="preserve">Technical conditions </w:t>
      </w:r>
    </w:p>
    <w:p w14:paraId="3AE27D14" w14:textId="4F03BB93" w:rsidR="00B76206" w:rsidRPr="00183C2E" w:rsidRDefault="006650F9" w:rsidP="007150C9">
      <w:pPr>
        <w:pStyle w:val="ECCParagraph"/>
      </w:pPr>
      <w:r w:rsidRPr="003D1680">
        <w:t xml:space="preserve">These technical conditions are additional requirements specific to aerial </w:t>
      </w:r>
      <w:r w:rsidRPr="00183C2E">
        <w:t>UE. If not mentioned,</w:t>
      </w:r>
      <w:r w:rsidR="000455A6" w:rsidRPr="00183C2E">
        <w:t xml:space="preserve"> </w:t>
      </w:r>
      <w:r w:rsidRPr="00183C2E">
        <w:t>aerial UE shall meet as appropriate the requirements that already apply to UE in each relevant ECC Decision applicable to MFCN.</w:t>
      </w:r>
    </w:p>
    <w:p w14:paraId="6CA206DA" w14:textId="77777777" w:rsidR="006650F9" w:rsidRPr="003D1680" w:rsidRDefault="006650F9" w:rsidP="007150C9">
      <w:pPr>
        <w:pStyle w:val="ECCParagraph"/>
      </w:pPr>
      <w:r w:rsidRPr="003D1680">
        <w:t>There is a need for OOBE limits for aerial UE operating in the following frequency bands:</w:t>
      </w:r>
    </w:p>
    <w:p w14:paraId="1EEDD5CE" w14:textId="71C0419F" w:rsidR="006650F9" w:rsidRPr="00183C2E" w:rsidRDefault="006650F9" w:rsidP="006650F9">
      <w:pPr>
        <w:pStyle w:val="ECCParagraph"/>
        <w:rPr>
          <w:b/>
        </w:rPr>
      </w:pPr>
      <w:r w:rsidRPr="00183C2E">
        <w:rPr>
          <w:b/>
        </w:rPr>
        <w:t>1710-1785 MHz</w:t>
      </w:r>
      <w:r w:rsidR="00475AAE" w:rsidRPr="00183C2E">
        <w:rPr>
          <w:b/>
        </w:rPr>
        <w:t>:</w:t>
      </w:r>
      <w:r w:rsidRPr="00183C2E">
        <w:rPr>
          <w:b/>
        </w:rPr>
        <w:t xml:space="preserve"> </w:t>
      </w:r>
      <w:r w:rsidR="001C05A3">
        <w:rPr>
          <w:b/>
        </w:rPr>
        <w:t>P</w:t>
      </w:r>
      <w:r w:rsidRPr="00183C2E">
        <w:rPr>
          <w:b/>
        </w:rPr>
        <w:t>rotection</w:t>
      </w:r>
      <w:r w:rsidRPr="0014213F">
        <w:rPr>
          <w:b/>
        </w:rPr>
        <w:t xml:space="preserve"> of MetSat operating in the 1675-1710 MHz frequency band</w:t>
      </w:r>
    </w:p>
    <w:p w14:paraId="252FF603" w14:textId="23E22479" w:rsidR="006650F9" w:rsidRPr="00183C2E" w:rsidRDefault="006650F9" w:rsidP="007150C9">
      <w:pPr>
        <w:pStyle w:val="ECCParBulleted"/>
      </w:pPr>
      <w:r w:rsidRPr="00183C2E">
        <w:t>Out</w:t>
      </w:r>
      <w:r w:rsidR="00942081" w:rsidRPr="00183C2E">
        <w:t>-</w:t>
      </w:r>
      <w:r w:rsidRPr="00183C2E">
        <w:t>of</w:t>
      </w:r>
      <w:r w:rsidR="00942081" w:rsidRPr="00183C2E">
        <w:t>-b</w:t>
      </w:r>
      <w:r w:rsidRPr="00183C2E">
        <w:t>and limit: -40 dBm/MHz in the frequency range 1675-1710 MHz for aerial UE operating in 1710</w:t>
      </w:r>
      <w:r w:rsidR="00990F3C">
        <w:t> – </w:t>
      </w:r>
      <w:r w:rsidRPr="00183C2E">
        <w:t>1785 MHz</w:t>
      </w:r>
      <w:r w:rsidR="00042686" w:rsidRPr="00183C2E">
        <w:t>.</w:t>
      </w:r>
      <w:r w:rsidR="006B4941" w:rsidRPr="00183C2E">
        <w:t xml:space="preserve"> </w:t>
      </w:r>
    </w:p>
    <w:p w14:paraId="3BFD9114" w14:textId="7378C31E" w:rsidR="006650F9" w:rsidRPr="00183C2E" w:rsidRDefault="00B652B8" w:rsidP="006650F9">
      <w:pPr>
        <w:pStyle w:val="ECCParagraph"/>
        <w:rPr>
          <w:b/>
        </w:rPr>
      </w:pPr>
      <w:r w:rsidRPr="00183C2E">
        <w:rPr>
          <w:b/>
        </w:rPr>
        <w:t>2500-2570 MHz</w:t>
      </w:r>
      <w:r w:rsidR="00CD5EE1" w:rsidRPr="00183C2E">
        <w:rPr>
          <w:b/>
        </w:rPr>
        <w:t>/</w:t>
      </w:r>
      <w:r w:rsidRPr="00183C2E">
        <w:rPr>
          <w:b/>
        </w:rPr>
        <w:t>2570-2620 MHz</w:t>
      </w:r>
      <w:r w:rsidR="00717F9B" w:rsidRPr="00183C2E">
        <w:rPr>
          <w:b/>
        </w:rPr>
        <w:t xml:space="preserve">: </w:t>
      </w:r>
      <w:r w:rsidR="001C05A3">
        <w:rPr>
          <w:b/>
        </w:rPr>
        <w:t>P</w:t>
      </w:r>
      <w:r w:rsidR="00717F9B" w:rsidRPr="00183C2E">
        <w:rPr>
          <w:b/>
        </w:rPr>
        <w:t xml:space="preserve">rotection of RAS operating </w:t>
      </w:r>
      <w:r w:rsidR="005A6DBA" w:rsidRPr="00183C2E">
        <w:rPr>
          <w:b/>
        </w:rPr>
        <w:t xml:space="preserve">in </w:t>
      </w:r>
      <w:r w:rsidR="00717F9B" w:rsidRPr="00183C2E">
        <w:rPr>
          <w:b/>
        </w:rPr>
        <w:t>2690–2700</w:t>
      </w:r>
      <w:r w:rsidR="00071026" w:rsidRPr="00183C2E">
        <w:rPr>
          <w:b/>
        </w:rPr>
        <w:t xml:space="preserve"> MHz</w:t>
      </w:r>
      <w:r w:rsidR="005A6DBA" w:rsidRPr="00183C2E">
        <w:rPr>
          <w:b/>
        </w:rPr>
        <w:t xml:space="preserve"> and radars operating </w:t>
      </w:r>
      <w:r w:rsidR="00734130" w:rsidRPr="00183C2E">
        <w:rPr>
          <w:b/>
        </w:rPr>
        <w:t>in 2700-2900 MHz</w:t>
      </w:r>
    </w:p>
    <w:p w14:paraId="47FD6C4B" w14:textId="3C236085" w:rsidR="006650F9" w:rsidRPr="0014213F" w:rsidRDefault="006650F9" w:rsidP="007150C9">
      <w:pPr>
        <w:pStyle w:val="ECCParBulleted"/>
      </w:pPr>
      <w:r w:rsidRPr="00183C2E">
        <w:t>Out</w:t>
      </w:r>
      <w:r w:rsidR="00942081" w:rsidRPr="00183C2E">
        <w:t>-</w:t>
      </w:r>
      <w:r w:rsidRPr="00183C2E">
        <w:t>of</w:t>
      </w:r>
      <w:r w:rsidR="00942081" w:rsidRPr="00183C2E">
        <w:t>-</w:t>
      </w:r>
      <w:r w:rsidRPr="00183C2E">
        <w:t>band limit: -50 dBm/MHz in the frequency range 2690-2900 MHz for aerial UE operating in 2500</w:t>
      </w:r>
      <w:r w:rsidR="00990F3C">
        <w:t> </w:t>
      </w:r>
      <w:r w:rsidRPr="00183C2E">
        <w:t>-</w:t>
      </w:r>
      <w:r w:rsidR="00990F3C">
        <w:t> </w:t>
      </w:r>
      <w:r w:rsidRPr="00183C2E">
        <w:t>2570 MHz or 2570-2620 MHz</w:t>
      </w:r>
      <w:r w:rsidR="000132A4" w:rsidRPr="00183C2E">
        <w:t>.</w:t>
      </w:r>
    </w:p>
    <w:p w14:paraId="4D5DCAE8" w14:textId="6C28B607" w:rsidR="006C03D0" w:rsidRPr="003D1680" w:rsidRDefault="001A753F" w:rsidP="001A0482">
      <w:pPr>
        <w:pStyle w:val="ECCAnnexheading2"/>
      </w:pPr>
      <w:r w:rsidRPr="003D1680">
        <w:t xml:space="preserve">Operational conditions </w:t>
      </w:r>
    </w:p>
    <w:p w14:paraId="70DC1371" w14:textId="32CD595C" w:rsidR="00A00D1E" w:rsidRPr="003D1680" w:rsidRDefault="00A00D1E" w:rsidP="00E75EF0">
      <w:pPr>
        <w:pStyle w:val="ECCParagraph"/>
      </w:pPr>
      <w:r w:rsidRPr="003D1680">
        <w:t xml:space="preserve">The operational conditions </w:t>
      </w:r>
      <w:r w:rsidR="00F057DA" w:rsidRPr="003D1680">
        <w:t xml:space="preserve">to be defined and implemented </w:t>
      </w:r>
      <w:r w:rsidR="004F3C8F" w:rsidRPr="003D1680">
        <w:t xml:space="preserve">at </w:t>
      </w:r>
      <w:r w:rsidR="00F057DA" w:rsidRPr="003D1680">
        <w:t xml:space="preserve">national level </w:t>
      </w:r>
      <w:r w:rsidR="00CC0170" w:rsidRPr="003D1680">
        <w:t>provide additional measures</w:t>
      </w:r>
      <w:r w:rsidR="00F057DA" w:rsidRPr="003D1680">
        <w:t xml:space="preserve"> to the technical condi</w:t>
      </w:r>
      <w:r w:rsidR="00516C01" w:rsidRPr="003D1680">
        <w:t xml:space="preserve">tions in order to protect </w:t>
      </w:r>
      <w:r w:rsidR="00E001B4" w:rsidRPr="003D1680">
        <w:t xml:space="preserve">other </w:t>
      </w:r>
      <w:r w:rsidR="00516C01" w:rsidRPr="003D1680">
        <w:t>services.</w:t>
      </w:r>
    </w:p>
    <w:p w14:paraId="223DFE79" w14:textId="188F7E46" w:rsidR="006F7C11" w:rsidRPr="00183C2E" w:rsidRDefault="006F7C11" w:rsidP="003D6014">
      <w:pPr>
        <w:pStyle w:val="ECCParagraph"/>
        <w:rPr>
          <w:b/>
        </w:rPr>
      </w:pPr>
      <w:r w:rsidRPr="003D1680">
        <w:rPr>
          <w:b/>
        </w:rPr>
        <w:t>70</w:t>
      </w:r>
      <w:r w:rsidR="00AB03C0" w:rsidRPr="003D1680">
        <w:rPr>
          <w:b/>
        </w:rPr>
        <w:t>3-733</w:t>
      </w:r>
      <w:r w:rsidRPr="003D1680">
        <w:rPr>
          <w:b/>
        </w:rPr>
        <w:t xml:space="preserve"> MHz</w:t>
      </w:r>
      <w:r w:rsidR="00E84234">
        <w:rPr>
          <w:b/>
        </w:rPr>
        <w:t>:</w:t>
      </w:r>
      <w:r w:rsidR="00DC1A13" w:rsidRPr="003D1680">
        <w:rPr>
          <w:b/>
        </w:rPr>
        <w:t xml:space="preserve"> </w:t>
      </w:r>
      <w:r w:rsidR="001C05A3" w:rsidRPr="00183C2E">
        <w:rPr>
          <w:b/>
        </w:rPr>
        <w:t xml:space="preserve">Protection </w:t>
      </w:r>
      <w:r w:rsidR="00DC1A13" w:rsidRPr="00183C2E">
        <w:rPr>
          <w:b/>
        </w:rPr>
        <w:t>of DTT receivers and RAS sites</w:t>
      </w:r>
    </w:p>
    <w:p w14:paraId="070814AA" w14:textId="50B29239" w:rsidR="00BC026E" w:rsidRPr="003D1680" w:rsidRDefault="004D21E7" w:rsidP="007150C9">
      <w:pPr>
        <w:pStyle w:val="ECCParBulleted"/>
      </w:pPr>
      <w:r w:rsidRPr="003D1680">
        <w:t xml:space="preserve">Aerial UE operating in 703-733 MHz should </w:t>
      </w:r>
      <w:r w:rsidR="004D6063" w:rsidRPr="003D1680">
        <w:t xml:space="preserve">not </w:t>
      </w:r>
      <w:r w:rsidR="00DE132D" w:rsidRPr="00183C2E">
        <w:t xml:space="preserve">transmit </w:t>
      </w:r>
      <w:r w:rsidR="001848D2" w:rsidRPr="00183C2E">
        <w:t>when less than</w:t>
      </w:r>
      <w:r w:rsidR="004D6063" w:rsidRPr="003D1680">
        <w:t xml:space="preserve"> </w:t>
      </w:r>
      <w:r w:rsidRPr="003D1680">
        <w:t>30 m above ground level to avoid interference to DTT receivers</w:t>
      </w:r>
      <w:r w:rsidR="0011202D" w:rsidRPr="003D1680">
        <w:rPr>
          <w:rStyle w:val="FootnoteReference"/>
        </w:rPr>
        <w:footnoteReference w:id="2"/>
      </w:r>
      <w:r w:rsidR="00A12FFC" w:rsidRPr="003D1680">
        <w:rPr>
          <w:lang w:eastAsia="en-GB"/>
        </w:rPr>
        <w:t>;</w:t>
      </w:r>
    </w:p>
    <w:p w14:paraId="36AD6E9F" w14:textId="28B38ABF" w:rsidR="001A753F" w:rsidRPr="003D1680" w:rsidRDefault="00242640" w:rsidP="007150C9">
      <w:pPr>
        <w:pStyle w:val="ECCParBulleted"/>
      </w:pPr>
      <w:r w:rsidRPr="003D1680">
        <w:t>National</w:t>
      </w:r>
      <w:r w:rsidR="004573E2" w:rsidRPr="003D1680">
        <w:t>ly determined</w:t>
      </w:r>
      <w:r w:rsidRPr="003D1680">
        <w:t xml:space="preserve"> no-</w:t>
      </w:r>
      <w:r w:rsidR="00D77385" w:rsidRPr="003D1680">
        <w:t>transmit</w:t>
      </w:r>
      <w:r w:rsidRPr="003D1680">
        <w:t xml:space="preserve"> zone</w:t>
      </w:r>
      <w:r w:rsidR="00C25979" w:rsidRPr="003D1680">
        <w:t>s</w:t>
      </w:r>
      <w:r w:rsidRPr="003D1680">
        <w:t xml:space="preserve"> </w:t>
      </w:r>
      <w:r w:rsidR="00202C69" w:rsidRPr="003D1680">
        <w:t xml:space="preserve">are </w:t>
      </w:r>
      <w:r w:rsidR="0067697E" w:rsidRPr="003D1680">
        <w:t>requi</w:t>
      </w:r>
      <w:r w:rsidR="007E0BF9" w:rsidRPr="003D1680">
        <w:t xml:space="preserve">red </w:t>
      </w:r>
      <w:r w:rsidRPr="003D1680">
        <w:t xml:space="preserve">around RAS sites </w:t>
      </w:r>
      <w:r w:rsidR="00EB72B8" w:rsidRPr="003D1680">
        <w:t xml:space="preserve">operating </w:t>
      </w:r>
      <w:r w:rsidRPr="003D1680">
        <w:t xml:space="preserve">in 1400-1427 MHz for </w:t>
      </w:r>
      <w:r w:rsidR="00EB72B8" w:rsidRPr="003D1680">
        <w:t>aerial UE</w:t>
      </w:r>
      <w:r w:rsidR="00C25979" w:rsidRPr="003D1680">
        <w:t xml:space="preserve"> </w:t>
      </w:r>
      <w:r w:rsidRPr="003D1680">
        <w:t>operating in the 703-71</w:t>
      </w:r>
      <w:r w:rsidR="00AB03C0" w:rsidRPr="003D1680">
        <w:t>8</w:t>
      </w:r>
      <w:r w:rsidRPr="003D1680">
        <w:t xml:space="preserve"> MHz frequency band</w:t>
      </w:r>
      <w:r w:rsidR="009B6F45" w:rsidRPr="003D1680">
        <w:t>,</w:t>
      </w:r>
      <w:r w:rsidR="00642642" w:rsidRPr="003D1680">
        <w:t xml:space="preserve"> as appropriate</w:t>
      </w:r>
      <w:r w:rsidR="00884D6D" w:rsidRPr="003D1680">
        <w:t>.</w:t>
      </w:r>
    </w:p>
    <w:p w14:paraId="36798FBF" w14:textId="2162D1D0" w:rsidR="004D21E7" w:rsidRPr="003D1680" w:rsidRDefault="009B4EA7" w:rsidP="003D6014">
      <w:pPr>
        <w:pStyle w:val="ECCParagraph"/>
        <w:rPr>
          <w:b/>
        </w:rPr>
      </w:pPr>
      <w:r w:rsidRPr="003D1680">
        <w:rPr>
          <w:b/>
        </w:rPr>
        <w:t>8</w:t>
      </w:r>
      <w:r w:rsidR="00AB03C0" w:rsidRPr="003D1680">
        <w:rPr>
          <w:b/>
        </w:rPr>
        <w:t>32-837</w:t>
      </w:r>
      <w:r w:rsidRPr="003D1680">
        <w:rPr>
          <w:b/>
        </w:rPr>
        <w:t xml:space="preserve"> MHz</w:t>
      </w:r>
      <w:r w:rsidR="00683A0E" w:rsidRPr="00183C2E">
        <w:rPr>
          <w:b/>
        </w:rPr>
        <w:t xml:space="preserve">: </w:t>
      </w:r>
      <w:r w:rsidR="001C05A3" w:rsidRPr="00183C2E">
        <w:rPr>
          <w:b/>
        </w:rPr>
        <w:t xml:space="preserve">Protection </w:t>
      </w:r>
      <w:r w:rsidR="00683A0E" w:rsidRPr="00183C2E">
        <w:rPr>
          <w:b/>
        </w:rPr>
        <w:t>of RAS sites</w:t>
      </w:r>
    </w:p>
    <w:p w14:paraId="1DC0DB26" w14:textId="15161E5D" w:rsidR="002A0C11" w:rsidRPr="003D1680" w:rsidRDefault="00242640" w:rsidP="007150C9">
      <w:pPr>
        <w:pStyle w:val="ECCParBulleted"/>
      </w:pPr>
      <w:r w:rsidRPr="003D1680">
        <w:t>National</w:t>
      </w:r>
      <w:r w:rsidR="004573E2" w:rsidRPr="003D1680">
        <w:t>ly determined</w:t>
      </w:r>
      <w:r w:rsidRPr="003D1680">
        <w:t xml:space="preserve"> no-</w:t>
      </w:r>
      <w:r w:rsidR="00D77385" w:rsidRPr="003D1680">
        <w:t>transmi</w:t>
      </w:r>
      <w:r w:rsidR="002C638B" w:rsidRPr="003D1680">
        <w:t>t zone</w:t>
      </w:r>
      <w:r w:rsidR="00884D6D" w:rsidRPr="003D1680">
        <w:t>s</w:t>
      </w:r>
      <w:r w:rsidRPr="003D1680">
        <w:t xml:space="preserve"> </w:t>
      </w:r>
      <w:r w:rsidR="00AA130C" w:rsidRPr="003D1680">
        <w:t xml:space="preserve">are </w:t>
      </w:r>
      <w:r w:rsidR="007E0BF9" w:rsidRPr="003D1680">
        <w:t xml:space="preserve">required </w:t>
      </w:r>
      <w:r w:rsidRPr="003D1680">
        <w:t xml:space="preserve">around RAS sites </w:t>
      </w:r>
      <w:r w:rsidR="00EB72B8" w:rsidRPr="003D1680">
        <w:t xml:space="preserve">operating </w:t>
      </w:r>
      <w:r w:rsidRPr="003D1680">
        <w:t xml:space="preserve">in 1660-1670 MHz for </w:t>
      </w:r>
      <w:r w:rsidR="00EB72B8" w:rsidRPr="003D1680">
        <w:t>aerial UE</w:t>
      </w:r>
      <w:r w:rsidR="00884D6D" w:rsidRPr="003D1680">
        <w:t xml:space="preserve"> </w:t>
      </w:r>
      <w:r w:rsidRPr="003D1680">
        <w:t>operating in the 832-83</w:t>
      </w:r>
      <w:r w:rsidR="005F4D39" w:rsidRPr="003D1680">
        <w:t>7</w:t>
      </w:r>
      <w:r w:rsidRPr="003D1680">
        <w:t xml:space="preserve"> MHz frequency band</w:t>
      </w:r>
      <w:r w:rsidR="00642642" w:rsidRPr="003D1680">
        <w:t>, as appropriate</w:t>
      </w:r>
      <w:r w:rsidR="00884D6D" w:rsidRPr="003D1680">
        <w:t>.</w:t>
      </w:r>
    </w:p>
    <w:p w14:paraId="144CB7E1" w14:textId="5AD3A7C0" w:rsidR="0098717C" w:rsidRPr="00183C2E" w:rsidRDefault="002D49BE" w:rsidP="003D6014">
      <w:pPr>
        <w:pStyle w:val="ECCParagraph"/>
        <w:rPr>
          <w:b/>
        </w:rPr>
      </w:pPr>
      <w:r w:rsidRPr="003D1680">
        <w:rPr>
          <w:b/>
        </w:rPr>
        <w:t>2500-2570 MHz</w:t>
      </w:r>
      <w:r w:rsidR="00CD5EE1" w:rsidRPr="00183C2E">
        <w:rPr>
          <w:b/>
        </w:rPr>
        <w:t>/</w:t>
      </w:r>
      <w:r w:rsidRPr="003D1680">
        <w:rPr>
          <w:b/>
        </w:rPr>
        <w:t>2570-2620 MHz</w:t>
      </w:r>
      <w:r w:rsidR="00705A06" w:rsidRPr="00183C2E">
        <w:rPr>
          <w:b/>
        </w:rPr>
        <w:t xml:space="preserve">: </w:t>
      </w:r>
      <w:r w:rsidR="001C05A3" w:rsidRPr="00183C2E">
        <w:rPr>
          <w:b/>
        </w:rPr>
        <w:t xml:space="preserve">Protection </w:t>
      </w:r>
      <w:r w:rsidR="00705A06" w:rsidRPr="00183C2E">
        <w:rPr>
          <w:b/>
        </w:rPr>
        <w:t>of RAS sites</w:t>
      </w:r>
      <w:r w:rsidR="004834DC" w:rsidRPr="00183C2E">
        <w:rPr>
          <w:b/>
        </w:rPr>
        <w:t xml:space="preserve"> and radars</w:t>
      </w:r>
    </w:p>
    <w:p w14:paraId="4047926D" w14:textId="04D7535C" w:rsidR="00EF57AF" w:rsidRPr="003D1680" w:rsidRDefault="00EF59E4" w:rsidP="007150C9">
      <w:pPr>
        <w:pStyle w:val="ECCParBulleted"/>
      </w:pPr>
      <w:r w:rsidRPr="003D1680">
        <w:t>National</w:t>
      </w:r>
      <w:r w:rsidR="004573E2" w:rsidRPr="003D1680">
        <w:t>ly determined</w:t>
      </w:r>
      <w:r w:rsidRPr="003D1680">
        <w:t xml:space="preserve"> no-transmit zones </w:t>
      </w:r>
      <w:r w:rsidR="00AA130C" w:rsidRPr="003D1680">
        <w:t xml:space="preserve">are </w:t>
      </w:r>
      <w:r w:rsidR="001B1DB4" w:rsidRPr="003D1680">
        <w:t xml:space="preserve">required </w:t>
      </w:r>
      <w:r w:rsidRPr="003D1680">
        <w:t>around RAS sites operating in 2690-2700 MHz for aerial UE operating in the 25</w:t>
      </w:r>
      <w:r w:rsidR="007E61A4" w:rsidRPr="003D1680">
        <w:t>0</w:t>
      </w:r>
      <w:r w:rsidRPr="003D1680">
        <w:t>0-</w:t>
      </w:r>
      <w:r w:rsidR="007E61A4" w:rsidRPr="003D1680">
        <w:t>2570 MHz or 2570-</w:t>
      </w:r>
      <w:r w:rsidRPr="003D1680">
        <w:t>2620 MHz frequency band, as appropriate</w:t>
      </w:r>
      <w:r w:rsidR="001C05A3">
        <w:t>;</w:t>
      </w:r>
    </w:p>
    <w:p w14:paraId="1C992A06" w14:textId="2CC17DC8" w:rsidR="00753D74" w:rsidRPr="003D1680" w:rsidRDefault="00753D74" w:rsidP="007150C9">
      <w:pPr>
        <w:pStyle w:val="ECCParBulleted"/>
      </w:pPr>
      <w:r w:rsidRPr="003D1680">
        <w:t>National</w:t>
      </w:r>
      <w:r w:rsidR="004573E2" w:rsidRPr="003D1680">
        <w:t>ly determined</w:t>
      </w:r>
      <w:r w:rsidRPr="003D1680">
        <w:t xml:space="preserve"> no-transmit zones </w:t>
      </w:r>
      <w:r w:rsidR="009C49CE" w:rsidRPr="003D1680">
        <w:t>might be</w:t>
      </w:r>
      <w:r w:rsidR="00AA130C" w:rsidRPr="003D1680">
        <w:t xml:space="preserve"> </w:t>
      </w:r>
      <w:r w:rsidR="001B1DB4" w:rsidRPr="003D1680">
        <w:t xml:space="preserve">required </w:t>
      </w:r>
      <w:r w:rsidRPr="003D1680">
        <w:t xml:space="preserve">around radars operating </w:t>
      </w:r>
      <w:r w:rsidR="006F724B" w:rsidRPr="003D1680">
        <w:t xml:space="preserve">in </w:t>
      </w:r>
      <w:r w:rsidRPr="003D1680">
        <w:t>2700</w:t>
      </w:r>
      <w:r w:rsidR="006F724B" w:rsidRPr="003D1680">
        <w:t xml:space="preserve">-2900 </w:t>
      </w:r>
      <w:r w:rsidRPr="003D1680">
        <w:t>MHz for aerial UE operating in the 2500-2570 MHz or 2570-2620 MHz frequency band.</w:t>
      </w:r>
    </w:p>
    <w:p w14:paraId="18C9DD95" w14:textId="2F2C8138" w:rsidR="006C03D0" w:rsidRPr="003D1680" w:rsidRDefault="005F7AD5" w:rsidP="00C7391E">
      <w:pPr>
        <w:pStyle w:val="ECCAnnex-heading1"/>
      </w:pPr>
      <w:bookmarkStart w:id="4" w:name="_Toc280099660"/>
      <w:r w:rsidRPr="003D1680">
        <w:lastRenderedPageBreak/>
        <w:t>List of reference</w:t>
      </w:r>
      <w:bookmarkEnd w:id="4"/>
      <w:r w:rsidR="007150C9" w:rsidRPr="003D1680">
        <w:t>S</w:t>
      </w:r>
    </w:p>
    <w:p w14:paraId="0D2189E1" w14:textId="77777777" w:rsidR="006C03D0" w:rsidRPr="00237F58" w:rsidRDefault="006C03D0" w:rsidP="003D6014">
      <w:pPr>
        <w:pStyle w:val="reference"/>
        <w:numPr>
          <w:ilvl w:val="0"/>
          <w:numId w:val="0"/>
        </w:numPr>
        <w:ind w:left="397"/>
        <w:jc w:val="both"/>
        <w:rPr>
          <w:lang w:val="en-GB"/>
        </w:rPr>
      </w:pPr>
    </w:p>
    <w:bookmarkStart w:id="5" w:name="_Ref103342543"/>
    <w:bookmarkStart w:id="6" w:name="_Ref112071534"/>
    <w:p w14:paraId="0F4FA068" w14:textId="7F83B350" w:rsidR="00491044" w:rsidRPr="0014213F" w:rsidRDefault="00D96B4D" w:rsidP="00A12FFC">
      <w:pPr>
        <w:pStyle w:val="reference"/>
        <w:spacing w:before="60" w:after="60"/>
        <w:rPr>
          <w:lang w:val="en-GB"/>
        </w:rPr>
      </w:pPr>
      <w:r w:rsidRPr="00237F58">
        <w:rPr>
          <w:lang w:val="en-GB"/>
        </w:rPr>
        <w:fldChar w:fldCharType="begin"/>
      </w:r>
      <w:r w:rsidR="00A12FFC" w:rsidRPr="00237F58">
        <w:rPr>
          <w:lang w:val="en-GB"/>
        </w:rPr>
        <w:instrText>HYPERLINK "https://docdb.cept.org/document/15236"</w:instrText>
      </w:r>
      <w:r w:rsidRPr="00237F58">
        <w:rPr>
          <w:lang w:val="en-GB"/>
        </w:rPr>
      </w:r>
      <w:r w:rsidRPr="00237F58">
        <w:rPr>
          <w:lang w:val="en-GB"/>
        </w:rPr>
        <w:fldChar w:fldCharType="separate"/>
      </w:r>
      <w:r w:rsidR="00A12FFC" w:rsidRPr="00237F58">
        <w:rPr>
          <w:rStyle w:val="Hyperlink"/>
          <w:lang w:val="en-GB"/>
        </w:rPr>
        <w:t>ECC Report 309</w:t>
      </w:r>
      <w:r w:rsidRPr="00237F58">
        <w:rPr>
          <w:lang w:val="en-GB"/>
        </w:rPr>
        <w:fldChar w:fldCharType="end"/>
      </w:r>
      <w:bookmarkEnd w:id="5"/>
      <w:r w:rsidR="00491044" w:rsidRPr="0014213F">
        <w:rPr>
          <w:lang w:val="en-GB"/>
        </w:rPr>
        <w:t>: “Analysis of the usage of aerial UE for communication in current MFCN harmonised bands</w:t>
      </w:r>
      <w:r w:rsidR="00FD523E" w:rsidRPr="0014213F">
        <w:rPr>
          <w:lang w:val="en-GB"/>
        </w:rPr>
        <w:t xml:space="preserve">”, </w:t>
      </w:r>
      <w:r w:rsidR="00491044" w:rsidRPr="0014213F">
        <w:rPr>
          <w:lang w:val="en-GB"/>
        </w:rPr>
        <w:t>approved July 2020</w:t>
      </w:r>
      <w:bookmarkEnd w:id="6"/>
    </w:p>
    <w:bookmarkStart w:id="7" w:name="_Ref103342552"/>
    <w:bookmarkStart w:id="8" w:name="_Ref112071547"/>
    <w:p w14:paraId="76CBA579" w14:textId="403D6F61" w:rsidR="000E2268" w:rsidRPr="009D7093" w:rsidRDefault="004D27B8" w:rsidP="009D7093">
      <w:pPr>
        <w:pStyle w:val="reference"/>
        <w:spacing w:before="60" w:after="60"/>
        <w:jc w:val="both"/>
        <w:rPr>
          <w:lang w:val="en-GB"/>
        </w:rPr>
      </w:pPr>
      <w:r>
        <w:fldChar w:fldCharType="begin"/>
      </w:r>
      <w:r>
        <w:instrText>HYPERLINK "https://docdb.cept.org/document/28570"</w:instrText>
      </w:r>
      <w:r>
        <w:fldChar w:fldCharType="separate"/>
      </w:r>
      <w:r>
        <w:rPr>
          <w:rStyle w:val="Hyperlink"/>
        </w:rPr>
        <w:t>ECC Report 348</w:t>
      </w:r>
      <w:r>
        <w:fldChar w:fldCharType="end"/>
      </w:r>
      <w:r w:rsidR="00622367" w:rsidRPr="0014213F">
        <w:rPr>
          <w:lang w:val="en-GB"/>
        </w:rPr>
        <w:t xml:space="preserve">: </w:t>
      </w:r>
      <w:r w:rsidR="00D6269B">
        <w:rPr>
          <w:lang w:val="en-GB"/>
        </w:rPr>
        <w:t>“</w:t>
      </w:r>
      <w:r w:rsidR="00D6269B" w:rsidRPr="00D6269B">
        <w:rPr>
          <w:lang w:val="en-GB"/>
        </w:rPr>
        <w:t>Usage of aerial UE in 1.8 GHz, 2 GHz and 2.6 GHz frequency bands with MFCN AAS base stations</w:t>
      </w:r>
      <w:r w:rsidR="00D6269B">
        <w:rPr>
          <w:lang w:val="en-GB"/>
        </w:rPr>
        <w:t>”</w:t>
      </w:r>
      <w:bookmarkEnd w:id="7"/>
      <w:bookmarkEnd w:id="8"/>
      <w:r w:rsidR="004A0F38" w:rsidRPr="0014213F">
        <w:rPr>
          <w:lang w:val="en-GB"/>
        </w:rPr>
        <w:t>, approved</w:t>
      </w:r>
      <w:r w:rsidR="004A0F38">
        <w:rPr>
          <w:lang w:val="en-GB"/>
        </w:rPr>
        <w:t xml:space="preserve"> 18 November 2022</w:t>
      </w:r>
    </w:p>
    <w:bookmarkStart w:id="9" w:name="_Ref104993099"/>
    <w:bookmarkStart w:id="10" w:name="_Ref110331000"/>
    <w:p w14:paraId="311A3AF5" w14:textId="30F4D644" w:rsidR="00E740F1" w:rsidRPr="00237F58" w:rsidRDefault="00E740F1" w:rsidP="00E740F1">
      <w:pPr>
        <w:pStyle w:val="reference"/>
        <w:spacing w:before="60" w:after="60"/>
        <w:jc w:val="both"/>
        <w:rPr>
          <w:lang w:val="en-GB"/>
        </w:rPr>
      </w:pPr>
      <w:r w:rsidRPr="00237F58">
        <w:rPr>
          <w:lang w:val="en-GB"/>
        </w:rPr>
        <w:fldChar w:fldCharType="begin"/>
      </w:r>
      <w:r w:rsidRPr="00237F58">
        <w:rPr>
          <w:lang w:val="en-GB"/>
        </w:rPr>
        <w:instrText>HYPERLINK "https://docdb.cept.org/document/16735"</w:instrText>
      </w:r>
      <w:r w:rsidRPr="00237F58">
        <w:rPr>
          <w:lang w:val="en-GB"/>
        </w:rPr>
      </w:r>
      <w:r w:rsidRPr="00237F58">
        <w:rPr>
          <w:lang w:val="en-GB"/>
        </w:rPr>
        <w:fldChar w:fldCharType="separate"/>
      </w:r>
      <w:r w:rsidRPr="00237F58">
        <w:rPr>
          <w:rStyle w:val="Hyperlink"/>
          <w:lang w:val="en-GB"/>
        </w:rPr>
        <w:t>CEPT Report 76</w:t>
      </w:r>
      <w:r w:rsidRPr="00237F58">
        <w:rPr>
          <w:lang w:val="en-GB"/>
        </w:rPr>
        <w:fldChar w:fldCharType="end"/>
      </w:r>
      <w:bookmarkEnd w:id="9"/>
      <w:r w:rsidRPr="00237F58">
        <w:rPr>
          <w:lang w:val="en-GB"/>
        </w:rPr>
        <w:t>: “Report from CEPT to the European Commission in response to the Mandate on spectrum for the future railway mobile communications system; Report B: EU-harmonised technical conditions for the future railway mobile radio communications system (Task 5)”, approved November 2020</w:t>
      </w:r>
      <w:bookmarkEnd w:id="10"/>
    </w:p>
    <w:p w14:paraId="1992AF65" w14:textId="77777777" w:rsidR="00E740F1" w:rsidRPr="00237F58" w:rsidRDefault="00E740F1" w:rsidP="00E740F1">
      <w:pPr>
        <w:pStyle w:val="reference"/>
        <w:spacing w:before="60" w:after="60"/>
        <w:jc w:val="both"/>
        <w:rPr>
          <w:lang w:val="en-GB"/>
        </w:rPr>
      </w:pPr>
      <w:bookmarkStart w:id="11" w:name="_Ref104993105"/>
      <w:r w:rsidRPr="00237F58">
        <w:rPr>
          <w:lang w:val="en-GB"/>
        </w:rPr>
        <w:t>Commission Implementing Decision (EU) 2021/1730 of 28 September 2021 on the harmonised use of the paired frequency bands 874,4-880,0 MHz and 919,4-925,0 MHz and of the unpaired frequency band 1900-1910 MHz for Railway Mobile Radio</w:t>
      </w:r>
      <w:bookmarkEnd w:id="11"/>
    </w:p>
    <w:bookmarkStart w:id="12" w:name="_Ref103672492"/>
    <w:p w14:paraId="2FC23FE8" w14:textId="0A4C2A99" w:rsidR="00622367" w:rsidRPr="00237F58" w:rsidRDefault="00DB35BF" w:rsidP="00A12FFC">
      <w:pPr>
        <w:pStyle w:val="reference"/>
        <w:spacing w:before="60" w:after="60"/>
        <w:jc w:val="both"/>
        <w:rPr>
          <w:lang w:val="en-GB"/>
        </w:rPr>
      </w:pPr>
      <w:r w:rsidRPr="0014213F">
        <w:rPr>
          <w:lang w:val="en-GB"/>
        </w:rPr>
        <w:fldChar w:fldCharType="begin"/>
      </w:r>
      <w:r w:rsidRPr="00237F58">
        <w:rPr>
          <w:lang w:val="en-GB"/>
        </w:rPr>
        <w:instrText>HYPERLINK "https://docdb.cept.org/document/3360"</w:instrText>
      </w:r>
      <w:r w:rsidRPr="0014213F">
        <w:rPr>
          <w:lang w:val="en-GB"/>
        </w:rPr>
      </w:r>
      <w:r w:rsidRPr="0014213F">
        <w:rPr>
          <w:lang w:val="en-GB"/>
        </w:rPr>
        <w:fldChar w:fldCharType="separate"/>
      </w:r>
      <w:r w:rsidRPr="00237F58">
        <w:rPr>
          <w:rStyle w:val="Hyperlink"/>
          <w:lang w:val="en-GB"/>
        </w:rPr>
        <w:t>ECC Report 281</w:t>
      </w:r>
      <w:r w:rsidRPr="0014213F">
        <w:rPr>
          <w:lang w:val="en-GB"/>
        </w:rPr>
        <w:fldChar w:fldCharType="end"/>
      </w:r>
      <w:r w:rsidR="00622367" w:rsidRPr="00237F58">
        <w:rPr>
          <w:lang w:val="en-GB"/>
        </w:rPr>
        <w:t>: “Analysis of the suitability of the regulatory technical conditions for 5G MFCN operation in the 3400-3800 MHz band</w:t>
      </w:r>
      <w:r w:rsidR="00FD523E" w:rsidRPr="00237F58">
        <w:rPr>
          <w:lang w:val="en-GB"/>
        </w:rPr>
        <w:t xml:space="preserve">”, </w:t>
      </w:r>
      <w:r w:rsidR="00622367" w:rsidRPr="00237F58">
        <w:rPr>
          <w:lang w:val="en-GB"/>
        </w:rPr>
        <w:t>approved July 2018</w:t>
      </w:r>
    </w:p>
    <w:bookmarkStart w:id="13" w:name="_Ref112071889"/>
    <w:p w14:paraId="4A1A81DF" w14:textId="270AF4BE" w:rsidR="00622367" w:rsidRPr="00237F58" w:rsidRDefault="00E91C21" w:rsidP="00A12FFC">
      <w:pPr>
        <w:pStyle w:val="reference"/>
        <w:spacing w:before="60" w:after="60"/>
        <w:jc w:val="both"/>
        <w:rPr>
          <w:lang w:val="en-GB"/>
        </w:rPr>
      </w:pPr>
      <w:r w:rsidRPr="00237F58">
        <w:fldChar w:fldCharType="begin"/>
      </w:r>
      <w:r w:rsidRPr="00237F58">
        <w:rPr>
          <w:lang w:val="en-GB"/>
        </w:rPr>
        <w:instrText xml:space="preserve"> HYPERLINK "https://docdb.cept.org/document/9068" </w:instrText>
      </w:r>
      <w:r w:rsidRPr="00237F58">
        <w:fldChar w:fldCharType="separate"/>
      </w:r>
      <w:r w:rsidR="00DB35BF" w:rsidRPr="00237F58">
        <w:rPr>
          <w:rStyle w:val="Hyperlink"/>
          <w:lang w:val="en-GB"/>
        </w:rPr>
        <w:t>ECC Report 297</w:t>
      </w:r>
      <w:r w:rsidRPr="00237F58">
        <w:rPr>
          <w:rStyle w:val="Hyperlink"/>
          <w:lang w:val="en-GB"/>
        </w:rPr>
        <w:fldChar w:fldCharType="end"/>
      </w:r>
      <w:r w:rsidR="00622367" w:rsidRPr="00237F58">
        <w:rPr>
          <w:lang w:val="en-GB"/>
        </w:rPr>
        <w:t>: “Analysis of the suitability and update of the regulatory technical conditions for 5G MFCN and AAS operation in the 900 MHz and 1800 MHz bands</w:t>
      </w:r>
      <w:r w:rsidR="00FD523E" w:rsidRPr="00237F58">
        <w:rPr>
          <w:lang w:val="en-GB"/>
        </w:rPr>
        <w:t xml:space="preserve">”, </w:t>
      </w:r>
      <w:r w:rsidR="00622367" w:rsidRPr="00237F58">
        <w:rPr>
          <w:lang w:val="en-GB"/>
        </w:rPr>
        <w:t>approved March 2019</w:t>
      </w:r>
      <w:bookmarkEnd w:id="13"/>
    </w:p>
    <w:bookmarkStart w:id="14" w:name="_Ref112071897"/>
    <w:p w14:paraId="75F512A3" w14:textId="6A5BE999" w:rsidR="00622367" w:rsidRPr="00237F58" w:rsidRDefault="00E91C21" w:rsidP="00A12FFC">
      <w:pPr>
        <w:pStyle w:val="reference"/>
        <w:spacing w:before="60" w:after="60"/>
        <w:jc w:val="both"/>
        <w:rPr>
          <w:lang w:val="en-GB"/>
        </w:rPr>
      </w:pPr>
      <w:r w:rsidRPr="00237F58">
        <w:fldChar w:fldCharType="begin"/>
      </w:r>
      <w:r w:rsidRPr="00237F58">
        <w:rPr>
          <w:lang w:val="en-GB"/>
        </w:rPr>
        <w:instrText xml:space="preserve"> HYPERLINK "https://docdb.cept.org/document/9069" </w:instrText>
      </w:r>
      <w:r w:rsidRPr="00237F58">
        <w:fldChar w:fldCharType="separate"/>
      </w:r>
      <w:r w:rsidR="008A7059" w:rsidRPr="00237F58">
        <w:rPr>
          <w:rStyle w:val="Hyperlink"/>
          <w:lang w:val="en-GB"/>
        </w:rPr>
        <w:t>ECC Report 298</w:t>
      </w:r>
      <w:r w:rsidRPr="00237F58">
        <w:rPr>
          <w:rStyle w:val="Hyperlink"/>
          <w:lang w:val="en-GB"/>
        </w:rPr>
        <w:fldChar w:fldCharType="end"/>
      </w:r>
      <w:r w:rsidR="00622367" w:rsidRPr="00237F58">
        <w:rPr>
          <w:lang w:val="en-GB"/>
        </w:rPr>
        <w:t>: “Analysis of the suitability and update of the regulatory technical conditions for 5G MFCN and AAS operation in the 1920-1980 MHz and 2110-2170 MHz band</w:t>
      </w:r>
      <w:r w:rsidR="00FD523E" w:rsidRPr="00237F58">
        <w:rPr>
          <w:lang w:val="en-GB"/>
        </w:rPr>
        <w:t xml:space="preserve">”, </w:t>
      </w:r>
      <w:r w:rsidR="00622367" w:rsidRPr="00237F58">
        <w:rPr>
          <w:lang w:val="en-GB"/>
        </w:rPr>
        <w:t>approved March 2019</w:t>
      </w:r>
      <w:bookmarkEnd w:id="14"/>
    </w:p>
    <w:bookmarkStart w:id="15" w:name="_Ref112071902"/>
    <w:p w14:paraId="55D8F41F" w14:textId="631D84D9" w:rsidR="00622367" w:rsidRPr="00237F58" w:rsidRDefault="00E91C21" w:rsidP="00A12FFC">
      <w:pPr>
        <w:pStyle w:val="reference"/>
        <w:spacing w:before="60" w:after="60"/>
        <w:jc w:val="both"/>
        <w:rPr>
          <w:lang w:val="en-GB"/>
        </w:rPr>
      </w:pPr>
      <w:r w:rsidRPr="00237F58">
        <w:fldChar w:fldCharType="begin"/>
      </w:r>
      <w:r w:rsidRPr="00237F58">
        <w:rPr>
          <w:lang w:val="en-GB"/>
        </w:rPr>
        <w:instrText xml:space="preserve"> HYPERLINK "https://docdb.cept.org/document/13861" </w:instrText>
      </w:r>
      <w:r w:rsidRPr="00237F58">
        <w:fldChar w:fldCharType="separate"/>
      </w:r>
      <w:r w:rsidR="008A7059" w:rsidRPr="00237F58">
        <w:rPr>
          <w:rStyle w:val="Hyperlink"/>
          <w:lang w:val="en-GB"/>
        </w:rPr>
        <w:t>ECC Report 308</w:t>
      </w:r>
      <w:r w:rsidRPr="00237F58">
        <w:rPr>
          <w:rStyle w:val="Hyperlink"/>
          <w:lang w:val="en-GB"/>
        </w:rPr>
        <w:fldChar w:fldCharType="end"/>
      </w:r>
      <w:r w:rsidR="00622367" w:rsidRPr="00237F58">
        <w:rPr>
          <w:lang w:val="en-GB"/>
        </w:rPr>
        <w:t>: “Analysis of the suitability and update of the regulatory technical conditions for 5G MFCN and AAS operation in the 2500-2690 MHz band</w:t>
      </w:r>
      <w:r w:rsidR="00FD523E" w:rsidRPr="00237F58">
        <w:rPr>
          <w:lang w:val="en-GB"/>
        </w:rPr>
        <w:t xml:space="preserve">”, </w:t>
      </w:r>
      <w:r w:rsidR="00622367" w:rsidRPr="00237F58">
        <w:rPr>
          <w:lang w:val="en-GB"/>
        </w:rPr>
        <w:t>approved March 2020</w:t>
      </w:r>
      <w:bookmarkEnd w:id="15"/>
    </w:p>
    <w:bookmarkStart w:id="16" w:name="_Ref104993165"/>
    <w:p w14:paraId="7F1A1B4E" w14:textId="7E7E52BE" w:rsidR="00622367" w:rsidRPr="00237F58" w:rsidRDefault="007A749C" w:rsidP="00A12FFC">
      <w:pPr>
        <w:pStyle w:val="reference"/>
        <w:spacing w:before="60" w:after="60"/>
        <w:jc w:val="both"/>
        <w:rPr>
          <w:lang w:val="en-GB"/>
        </w:rPr>
      </w:pPr>
      <w:r w:rsidRPr="00237F58">
        <w:fldChar w:fldCharType="begin"/>
      </w:r>
      <w:r w:rsidRPr="00237F58">
        <w:rPr>
          <w:lang w:val="en-GB"/>
        </w:rPr>
        <w:instrText xml:space="preserve"> HYPERLINK "https://docdb.cept.org/document/403" </w:instrText>
      </w:r>
      <w:r w:rsidRPr="00237F58">
        <w:fldChar w:fldCharType="separate"/>
      </w:r>
      <w:r w:rsidR="00E42D7E" w:rsidRPr="00237F58">
        <w:rPr>
          <w:rStyle w:val="Hyperlink"/>
          <w:lang w:val="en-GB"/>
        </w:rPr>
        <w:t>ECC Decision (06)09</w:t>
      </w:r>
      <w:r w:rsidRPr="00237F58">
        <w:rPr>
          <w:rStyle w:val="Hyperlink"/>
          <w:lang w:val="en-GB"/>
        </w:rPr>
        <w:fldChar w:fldCharType="end"/>
      </w:r>
      <w:r w:rsidR="00622367" w:rsidRPr="00237F58">
        <w:rPr>
          <w:lang w:val="en-GB"/>
        </w:rPr>
        <w:t>: “ECC Decision of 1 December 2006 on the designation of the bands 1980-2010 MHz and 2170-2200 MHz for use by systems in the Mobile-Satellite Service including those supplemented by a Complementary Ground Component (CGC</w:t>
      </w:r>
      <w:r w:rsidR="00FD523E" w:rsidRPr="00237F58">
        <w:rPr>
          <w:lang w:val="en-GB"/>
        </w:rPr>
        <w:t xml:space="preserve">)”, </w:t>
      </w:r>
      <w:r w:rsidR="00622367" w:rsidRPr="00237F58">
        <w:rPr>
          <w:lang w:val="en-GB"/>
        </w:rPr>
        <w:t>amended 5 September 2007</w:t>
      </w:r>
      <w:bookmarkEnd w:id="16"/>
    </w:p>
    <w:p w14:paraId="14ECFF68" w14:textId="5E1BEFEB" w:rsidR="003D6014" w:rsidRPr="003D1680" w:rsidRDefault="00F4116A" w:rsidP="00D6269B">
      <w:pPr>
        <w:pStyle w:val="reference"/>
        <w:spacing w:before="60" w:after="60"/>
        <w:jc w:val="both"/>
      </w:pPr>
      <w:bookmarkStart w:id="17" w:name="_Ref104215820"/>
      <w:r w:rsidRPr="003D1680">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12"/>
      <w:bookmarkEnd w:id="17"/>
    </w:p>
    <w:sectPr w:rsidR="003D6014" w:rsidRPr="003D1680" w:rsidSect="006C03D0">
      <w:headerReference w:type="even" r:id="rId12"/>
      <w:headerReference w:type="default" r:id="rId13"/>
      <w:head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F7806" w14:textId="77777777" w:rsidR="00E71456" w:rsidRDefault="00E71456" w:rsidP="006C03D0">
      <w:r>
        <w:separator/>
      </w:r>
    </w:p>
  </w:endnote>
  <w:endnote w:type="continuationSeparator" w:id="0">
    <w:p w14:paraId="140E4C39" w14:textId="77777777" w:rsidR="00E71456" w:rsidRDefault="00E71456" w:rsidP="006C03D0">
      <w:r>
        <w:continuationSeparator/>
      </w:r>
    </w:p>
  </w:endnote>
  <w:endnote w:type="continuationNotice" w:id="1">
    <w:p w14:paraId="1CBC3313" w14:textId="77777777" w:rsidR="00E71456" w:rsidRDefault="00E71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D70D" w14:textId="77777777" w:rsidR="00E71456" w:rsidRDefault="00E71456" w:rsidP="006C03D0">
      <w:r>
        <w:separator/>
      </w:r>
    </w:p>
  </w:footnote>
  <w:footnote w:type="continuationSeparator" w:id="0">
    <w:p w14:paraId="06C786E7" w14:textId="77777777" w:rsidR="00E71456" w:rsidRDefault="00E71456" w:rsidP="006C03D0">
      <w:r>
        <w:continuationSeparator/>
      </w:r>
    </w:p>
  </w:footnote>
  <w:footnote w:type="continuationNotice" w:id="1">
    <w:p w14:paraId="19A9B13B" w14:textId="77777777" w:rsidR="00E71456" w:rsidRDefault="00E71456"/>
  </w:footnote>
  <w:footnote w:id="2">
    <w:p w14:paraId="63BE9557" w14:textId="657F7E80" w:rsidR="002E290D" w:rsidRPr="00D00B7F" w:rsidRDefault="002E290D" w:rsidP="00E35304">
      <w:pPr>
        <w:pStyle w:val="ECCFootnote"/>
        <w:rPr>
          <w:lang w:val="en-GB"/>
        </w:rPr>
      </w:pPr>
      <w:r w:rsidRPr="00A65F78">
        <w:rPr>
          <w:rStyle w:val="FootnoteReference"/>
        </w:rPr>
        <w:footnoteRef/>
      </w:r>
      <w:r w:rsidRPr="00A65F78">
        <w:t xml:space="preserve"> </w:t>
      </w:r>
      <w:r w:rsidRPr="00E35304">
        <w:t>Another frequency band than 703-733 MHz shall be used for landing and take-off</w:t>
      </w:r>
      <w:r w:rsidR="00767B5F" w:rsidRPr="00E3530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D8F4" w14:textId="46E11777" w:rsidR="00C557B3" w:rsidRPr="0014213F" w:rsidRDefault="002E290D" w:rsidP="00806600">
    <w:pPr>
      <w:pStyle w:val="Header"/>
      <w:jc w:val="right"/>
      <w:rPr>
        <w:lang w:val="da-DK"/>
      </w:rPr>
    </w:pPr>
    <w:r>
      <w:rPr>
        <w:lang w:val="da-DK"/>
      </w:rPr>
      <w:t>ECC/DEC/</w:t>
    </w:r>
    <w:r w:rsidRPr="007C5F95">
      <w:rPr>
        <w:lang w:val="da-DK"/>
      </w:rPr>
      <w:t>(</w:t>
    </w:r>
    <w:r w:rsidR="0033501B">
      <w:rPr>
        <w:lang w:val="da-DK"/>
      </w:rPr>
      <w:t>22</w:t>
    </w:r>
    <w:r w:rsidRPr="007C5F95">
      <w:rPr>
        <w:lang w:val="da-DK"/>
      </w:rPr>
      <w:t>)</w:t>
    </w:r>
    <w:r w:rsidR="0033501B">
      <w:rPr>
        <w:lang w:val="da-DK"/>
      </w:rPr>
      <w:t>07</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A272E" w:rsidRPr="008A272E">
      <w:rPr>
        <w:noProof/>
        <w:szCs w:val="16"/>
        <w:lang w:val="da-DK"/>
      </w:rPr>
      <w:t>14</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534D" w14:textId="12D4D28A" w:rsidR="00C557B3" w:rsidRPr="0014213F" w:rsidRDefault="002E290D" w:rsidP="0014213F">
    <w:pPr>
      <w:pStyle w:val="Header"/>
      <w:rPr>
        <w:lang w:val="da-DK"/>
      </w:rPr>
    </w:pPr>
    <w:r>
      <w:rPr>
        <w:lang w:val="da-DK"/>
      </w:rPr>
      <w:t>ECC/DEC/</w:t>
    </w:r>
    <w:r w:rsidRPr="007C5F95">
      <w:rPr>
        <w:lang w:val="da-DK"/>
      </w:rPr>
      <w:t>(</w:t>
    </w:r>
    <w:r w:rsidR="0033501B">
      <w:rPr>
        <w:lang w:val="da-DK"/>
      </w:rPr>
      <w:t>22</w:t>
    </w:r>
    <w:r w:rsidRPr="007C5F95">
      <w:rPr>
        <w:lang w:val="da-DK"/>
      </w:rPr>
      <w:t>)</w:t>
    </w:r>
    <w:r w:rsidR="0033501B">
      <w:rPr>
        <w:lang w:val="da-DK"/>
      </w:rPr>
      <w:t>07</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A272E" w:rsidRPr="008A272E">
      <w:rPr>
        <w:noProof/>
        <w:szCs w:val="16"/>
        <w:lang w:val="da-DK"/>
      </w:rPr>
      <w:t>15</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3D57" w14:textId="3761C49A" w:rsidR="00C557B3" w:rsidRDefault="002E290D">
    <w:pPr>
      <w:pStyle w:val="Header"/>
    </w:pPr>
    <w:r>
      <w:rPr>
        <w:noProof/>
        <w:szCs w:val="20"/>
        <w:lang w:val="de-DE" w:eastAsia="de-DE"/>
      </w:rPr>
      <w:drawing>
        <wp:anchor distT="0" distB="0" distL="114300" distR="114300" simplePos="0" relativeHeight="251676672" behindDoc="0" locked="0" layoutInCell="1" allowOverlap="1" wp14:anchorId="283524EC" wp14:editId="19D6328D">
          <wp:simplePos x="0" y="0"/>
          <wp:positionH relativeFrom="page">
            <wp:posOffset>5717540</wp:posOffset>
          </wp:positionH>
          <wp:positionV relativeFrom="page">
            <wp:posOffset>648335</wp:posOffset>
          </wp:positionV>
          <wp:extent cx="1461770" cy="546100"/>
          <wp:effectExtent l="25400" t="0" r="11430" b="0"/>
          <wp:wrapNone/>
          <wp:docPr id="13"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e-DE" w:eastAsia="de-DE"/>
      </w:rPr>
      <w:drawing>
        <wp:anchor distT="0" distB="0" distL="114300" distR="114300" simplePos="0" relativeHeight="251675648" behindDoc="0" locked="0" layoutInCell="1" allowOverlap="1" wp14:anchorId="495E0345" wp14:editId="36B042D0">
          <wp:simplePos x="0" y="0"/>
          <wp:positionH relativeFrom="page">
            <wp:posOffset>572770</wp:posOffset>
          </wp:positionH>
          <wp:positionV relativeFrom="page">
            <wp:posOffset>457200</wp:posOffset>
          </wp:positionV>
          <wp:extent cx="889000" cy="889000"/>
          <wp:effectExtent l="25400" t="0" r="0" b="0"/>
          <wp:wrapNone/>
          <wp:docPr id="14" name="Picture 14"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90D"/>
    <w:multiLevelType w:val="hybridMultilevel"/>
    <w:tmpl w:val="F6049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B4DBE"/>
    <w:multiLevelType w:val="hybridMultilevel"/>
    <w:tmpl w:val="922620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66393"/>
    <w:multiLevelType w:val="hybridMultilevel"/>
    <w:tmpl w:val="7646F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E7258E"/>
    <w:multiLevelType w:val="multilevel"/>
    <w:tmpl w:val="CC9CF266"/>
    <w:lvl w:ilvl="0">
      <w:start w:val="3400"/>
      <w:numFmt w:val="decimal"/>
      <w:lvlText w:val="%1"/>
      <w:lvlJc w:val="left"/>
      <w:pPr>
        <w:ind w:left="900" w:hanging="900"/>
      </w:pPr>
      <w:rPr>
        <w:rFonts w:hint="default"/>
      </w:rPr>
    </w:lvl>
    <w:lvl w:ilvl="1">
      <w:start w:val="380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664F2"/>
    <w:multiLevelType w:val="hybridMultilevel"/>
    <w:tmpl w:val="ED5C6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72C63"/>
    <w:multiLevelType w:val="hybridMultilevel"/>
    <w:tmpl w:val="06264B3E"/>
    <w:lvl w:ilvl="0" w:tplc="0407000F">
      <w:start w:val="1"/>
      <w:numFmt w:val="decimal"/>
      <w:lvlText w:val="%1."/>
      <w:lvlJc w:val="left"/>
      <w:pPr>
        <w:ind w:left="773" w:hanging="360"/>
      </w:pPr>
    </w:lvl>
    <w:lvl w:ilvl="1" w:tplc="04070019" w:tentative="1">
      <w:start w:val="1"/>
      <w:numFmt w:val="lowerLetter"/>
      <w:lvlText w:val="%2."/>
      <w:lvlJc w:val="left"/>
      <w:pPr>
        <w:ind w:left="1493" w:hanging="360"/>
      </w:pPr>
    </w:lvl>
    <w:lvl w:ilvl="2" w:tplc="0407001B" w:tentative="1">
      <w:start w:val="1"/>
      <w:numFmt w:val="lowerRoman"/>
      <w:lvlText w:val="%3."/>
      <w:lvlJc w:val="right"/>
      <w:pPr>
        <w:ind w:left="2213" w:hanging="180"/>
      </w:pPr>
    </w:lvl>
    <w:lvl w:ilvl="3" w:tplc="0407000F" w:tentative="1">
      <w:start w:val="1"/>
      <w:numFmt w:val="decimal"/>
      <w:lvlText w:val="%4."/>
      <w:lvlJc w:val="left"/>
      <w:pPr>
        <w:ind w:left="2933" w:hanging="360"/>
      </w:pPr>
    </w:lvl>
    <w:lvl w:ilvl="4" w:tplc="04070019" w:tentative="1">
      <w:start w:val="1"/>
      <w:numFmt w:val="lowerLetter"/>
      <w:lvlText w:val="%5."/>
      <w:lvlJc w:val="left"/>
      <w:pPr>
        <w:ind w:left="3653" w:hanging="360"/>
      </w:pPr>
    </w:lvl>
    <w:lvl w:ilvl="5" w:tplc="0407001B" w:tentative="1">
      <w:start w:val="1"/>
      <w:numFmt w:val="lowerRoman"/>
      <w:lvlText w:val="%6."/>
      <w:lvlJc w:val="right"/>
      <w:pPr>
        <w:ind w:left="4373" w:hanging="180"/>
      </w:pPr>
    </w:lvl>
    <w:lvl w:ilvl="6" w:tplc="0407000F" w:tentative="1">
      <w:start w:val="1"/>
      <w:numFmt w:val="decimal"/>
      <w:lvlText w:val="%7."/>
      <w:lvlJc w:val="left"/>
      <w:pPr>
        <w:ind w:left="5093" w:hanging="360"/>
      </w:pPr>
    </w:lvl>
    <w:lvl w:ilvl="7" w:tplc="04070019" w:tentative="1">
      <w:start w:val="1"/>
      <w:numFmt w:val="lowerLetter"/>
      <w:lvlText w:val="%8."/>
      <w:lvlJc w:val="left"/>
      <w:pPr>
        <w:ind w:left="5813" w:hanging="360"/>
      </w:pPr>
    </w:lvl>
    <w:lvl w:ilvl="8" w:tplc="0407001B" w:tentative="1">
      <w:start w:val="1"/>
      <w:numFmt w:val="lowerRoman"/>
      <w:lvlText w:val="%9."/>
      <w:lvlJc w:val="right"/>
      <w:pPr>
        <w:ind w:left="6533" w:hanging="180"/>
      </w:pPr>
    </w:lvl>
  </w:abstractNum>
  <w:abstractNum w:abstractNumId="6"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7"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E60B55"/>
    <w:multiLevelType w:val="hybridMultilevel"/>
    <w:tmpl w:val="F59E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56C81"/>
    <w:multiLevelType w:val="hybridMultilevel"/>
    <w:tmpl w:val="A23A068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2" w15:restartNumberingAfterBreak="0">
    <w:nsid w:val="1F830FBB"/>
    <w:multiLevelType w:val="hybridMultilevel"/>
    <w:tmpl w:val="6FAA3C6A"/>
    <w:lvl w:ilvl="0" w:tplc="04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2F4188"/>
    <w:multiLevelType w:val="multilevel"/>
    <w:tmpl w:val="BF1AD4A4"/>
    <w:lvl w:ilvl="0">
      <w:start w:val="1"/>
      <w:numFmt w:val="decimal"/>
      <w:pStyle w:val="ECCAnnex-heading1"/>
      <w:suff w:val="space"/>
      <w:lvlText w:val="ANNEX %1:"/>
      <w:lvlJc w:val="left"/>
      <w:pPr>
        <w:ind w:left="2411"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7022612"/>
    <w:multiLevelType w:val="multilevel"/>
    <w:tmpl w:val="716A7AE8"/>
    <w:lvl w:ilvl="0">
      <w:start w:val="3400"/>
      <w:numFmt w:val="decimal"/>
      <w:lvlText w:val="%1"/>
      <w:lvlJc w:val="left"/>
      <w:pPr>
        <w:ind w:left="900" w:hanging="900"/>
      </w:pPr>
      <w:rPr>
        <w:rFonts w:hint="default"/>
      </w:rPr>
    </w:lvl>
    <w:lvl w:ilvl="1">
      <w:start w:val="3800"/>
      <w:numFmt w:val="decimal"/>
      <w:lvlText w:val="%1-%2"/>
      <w:lvlJc w:val="left"/>
      <w:pPr>
        <w:ind w:left="1800" w:hanging="900"/>
      </w:pPr>
      <w:rPr>
        <w:rFonts w:hint="default"/>
      </w:rPr>
    </w:lvl>
    <w:lvl w:ilvl="2">
      <w:start w:val="1"/>
      <w:numFmt w:val="decimal"/>
      <w:lvlText w:val="%1-%2.%3"/>
      <w:lvlJc w:val="left"/>
      <w:pPr>
        <w:ind w:left="2700" w:hanging="900"/>
      </w:pPr>
      <w:rPr>
        <w:rFonts w:hint="default"/>
      </w:rPr>
    </w:lvl>
    <w:lvl w:ilvl="3">
      <w:start w:val="1"/>
      <w:numFmt w:val="decimal"/>
      <w:lvlText w:val="%1-%2.%3.%4"/>
      <w:lvlJc w:val="left"/>
      <w:pPr>
        <w:ind w:left="3600" w:hanging="90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15:restartNumberingAfterBreak="0">
    <w:nsid w:val="2F144326"/>
    <w:multiLevelType w:val="hybridMultilevel"/>
    <w:tmpl w:val="06AC6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9A72C9"/>
    <w:multiLevelType w:val="hybridMultilevel"/>
    <w:tmpl w:val="24A64E9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9" w15:restartNumberingAfterBreak="0">
    <w:nsid w:val="331D2CAF"/>
    <w:multiLevelType w:val="multilevel"/>
    <w:tmpl w:val="67C69F3A"/>
    <w:lvl w:ilvl="0">
      <w:start w:val="1"/>
      <w:numFmt w:val="decimal"/>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2"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C9E3BC3"/>
    <w:multiLevelType w:val="hybridMultilevel"/>
    <w:tmpl w:val="E6C81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163F7A"/>
    <w:multiLevelType w:val="multilevel"/>
    <w:tmpl w:val="41026CEE"/>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3E0876B4"/>
    <w:multiLevelType w:val="hybridMultilevel"/>
    <w:tmpl w:val="369C7B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E6242A"/>
    <w:multiLevelType w:val="hybridMultilevel"/>
    <w:tmpl w:val="B310DB84"/>
    <w:lvl w:ilvl="0" w:tplc="0310F5D0">
      <w:start w:val="1"/>
      <w:numFmt w:val="decimal"/>
      <w:pStyle w:val="reference"/>
      <w:lvlText w:val="[%1]"/>
      <w:lvlJc w:val="left"/>
      <w:pPr>
        <w:tabs>
          <w:tab w:val="num" w:pos="397"/>
        </w:tabs>
        <w:ind w:left="397" w:hanging="397"/>
      </w:pPr>
      <w:rPr>
        <w:rFonts w:hint="default"/>
        <w:color w:val="D2232A"/>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D0F79D4"/>
    <w:multiLevelType w:val="multilevel"/>
    <w:tmpl w:val="0B645E3A"/>
    <w:lvl w:ilvl="0">
      <w:start w:val="3400"/>
      <w:numFmt w:val="decimal"/>
      <w:lvlText w:val="%1"/>
      <w:lvlJc w:val="left"/>
      <w:pPr>
        <w:ind w:left="900" w:hanging="900"/>
      </w:pPr>
      <w:rPr>
        <w:rFonts w:hint="default"/>
      </w:rPr>
    </w:lvl>
    <w:lvl w:ilvl="1">
      <w:start w:val="3800"/>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F64A44"/>
    <w:multiLevelType w:val="hybridMultilevel"/>
    <w:tmpl w:val="5BAE9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2" w15:restartNumberingAfterBreak="0">
    <w:nsid w:val="5A734976"/>
    <w:multiLevelType w:val="hybridMultilevel"/>
    <w:tmpl w:val="7B669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A60004"/>
    <w:multiLevelType w:val="hybridMultilevel"/>
    <w:tmpl w:val="1ED06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C05707"/>
    <w:multiLevelType w:val="hybridMultilevel"/>
    <w:tmpl w:val="E4229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7"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1407CB2"/>
    <w:multiLevelType w:val="hybridMultilevel"/>
    <w:tmpl w:val="0CB0FB00"/>
    <w:lvl w:ilvl="0" w:tplc="04070001">
      <w:start w:val="1"/>
      <w:numFmt w:val="bullet"/>
      <w:lvlText w:val=""/>
      <w:lvlJc w:val="left"/>
      <w:pPr>
        <w:ind w:left="810" w:hanging="360"/>
      </w:pPr>
      <w:rPr>
        <w:rFonts w:ascii="Symbol" w:hAnsi="Symbol" w:hint="default"/>
      </w:rPr>
    </w:lvl>
    <w:lvl w:ilvl="1" w:tplc="04070003">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39" w15:restartNumberingAfterBreak="0">
    <w:nsid w:val="792E2C74"/>
    <w:multiLevelType w:val="hybridMultilevel"/>
    <w:tmpl w:val="325EC370"/>
    <w:lvl w:ilvl="0" w:tplc="E1806FB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400A60"/>
    <w:multiLevelType w:val="hybridMultilevel"/>
    <w:tmpl w:val="55204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145469">
    <w:abstractNumId w:val="24"/>
  </w:num>
  <w:num w:numId="2" w16cid:durableId="863979854">
    <w:abstractNumId w:val="40"/>
  </w:num>
  <w:num w:numId="3" w16cid:durableId="205946132">
    <w:abstractNumId w:val="28"/>
  </w:num>
  <w:num w:numId="4" w16cid:durableId="417604897">
    <w:abstractNumId w:val="13"/>
  </w:num>
  <w:num w:numId="5" w16cid:durableId="1565750469">
    <w:abstractNumId w:val="20"/>
  </w:num>
  <w:num w:numId="6" w16cid:durableId="528418559">
    <w:abstractNumId w:val="18"/>
  </w:num>
  <w:num w:numId="7" w16cid:durableId="548567657">
    <w:abstractNumId w:val="27"/>
  </w:num>
  <w:num w:numId="8" w16cid:durableId="480268142">
    <w:abstractNumId w:val="26"/>
  </w:num>
  <w:num w:numId="9" w16cid:durableId="600573791">
    <w:abstractNumId w:val="11"/>
  </w:num>
  <w:num w:numId="10" w16cid:durableId="344403635">
    <w:abstractNumId w:val="36"/>
  </w:num>
  <w:num w:numId="11" w16cid:durableId="1872954231">
    <w:abstractNumId w:val="35"/>
  </w:num>
  <w:num w:numId="12" w16cid:durableId="590436123">
    <w:abstractNumId w:val="16"/>
  </w:num>
  <w:num w:numId="13" w16cid:durableId="1809008575">
    <w:abstractNumId w:val="27"/>
  </w:num>
  <w:num w:numId="14" w16cid:durableId="1566721502">
    <w:abstractNumId w:val="31"/>
  </w:num>
  <w:num w:numId="15" w16cid:durableId="1847791422">
    <w:abstractNumId w:val="21"/>
  </w:num>
  <w:num w:numId="16" w16cid:durableId="1060053384">
    <w:abstractNumId w:val="27"/>
    <w:lvlOverride w:ilvl="0">
      <w:startOverride w:val="1"/>
    </w:lvlOverride>
  </w:num>
  <w:num w:numId="17" w16cid:durableId="1990209886">
    <w:abstractNumId w:val="7"/>
  </w:num>
  <w:num w:numId="18" w16cid:durableId="1457917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0278848">
    <w:abstractNumId w:val="17"/>
  </w:num>
  <w:num w:numId="20" w16cid:durableId="180052541">
    <w:abstractNumId w:val="37"/>
  </w:num>
  <w:num w:numId="21" w16cid:durableId="1954242292">
    <w:abstractNumId w:val="22"/>
  </w:num>
  <w:num w:numId="22" w16cid:durableId="1735159702">
    <w:abstractNumId w:val="41"/>
  </w:num>
  <w:num w:numId="23" w16cid:durableId="1525940600">
    <w:abstractNumId w:val="42"/>
  </w:num>
  <w:num w:numId="24" w16cid:durableId="1195922948">
    <w:abstractNumId w:val="6"/>
  </w:num>
  <w:num w:numId="25" w16cid:durableId="1965846787">
    <w:abstractNumId w:val="10"/>
  </w:num>
  <w:num w:numId="26" w16cid:durableId="596986889">
    <w:abstractNumId w:val="19"/>
  </w:num>
  <w:num w:numId="27" w16cid:durableId="542979308">
    <w:abstractNumId w:val="34"/>
  </w:num>
  <w:num w:numId="28" w16cid:durableId="277567920">
    <w:abstractNumId w:val="32"/>
  </w:num>
  <w:num w:numId="29" w16cid:durableId="760760429">
    <w:abstractNumId w:val="30"/>
  </w:num>
  <w:num w:numId="30" w16cid:durableId="1211068120">
    <w:abstractNumId w:val="9"/>
  </w:num>
  <w:num w:numId="31" w16cid:durableId="1066102196">
    <w:abstractNumId w:val="23"/>
  </w:num>
  <w:num w:numId="32" w16cid:durableId="1972707975">
    <w:abstractNumId w:val="0"/>
  </w:num>
  <w:num w:numId="33" w16cid:durableId="877356674">
    <w:abstractNumId w:val="15"/>
  </w:num>
  <w:num w:numId="34" w16cid:durableId="1920674020">
    <w:abstractNumId w:val="39"/>
  </w:num>
  <w:num w:numId="35" w16cid:durableId="660356936">
    <w:abstractNumId w:val="8"/>
  </w:num>
  <w:num w:numId="36" w16cid:durableId="2116245173">
    <w:abstractNumId w:val="4"/>
  </w:num>
  <w:num w:numId="37" w16cid:durableId="984890522">
    <w:abstractNumId w:val="1"/>
  </w:num>
  <w:num w:numId="38" w16cid:durableId="1060980629">
    <w:abstractNumId w:val="29"/>
  </w:num>
  <w:num w:numId="39" w16cid:durableId="415787462">
    <w:abstractNumId w:val="3"/>
  </w:num>
  <w:num w:numId="40" w16cid:durableId="1386951899">
    <w:abstractNumId w:val="14"/>
  </w:num>
  <w:num w:numId="41" w16cid:durableId="1236818787">
    <w:abstractNumId w:val="43"/>
  </w:num>
  <w:num w:numId="42" w16cid:durableId="145516632">
    <w:abstractNumId w:val="38"/>
  </w:num>
  <w:num w:numId="43" w16cid:durableId="1225870399">
    <w:abstractNumId w:val="25"/>
  </w:num>
  <w:num w:numId="44" w16cid:durableId="1113862705">
    <w:abstractNumId w:val="2"/>
  </w:num>
  <w:num w:numId="45" w16cid:durableId="878202114">
    <w:abstractNumId w:val="33"/>
  </w:num>
  <w:num w:numId="46" w16cid:durableId="917054263">
    <w:abstractNumId w:val="12"/>
  </w:num>
  <w:num w:numId="47" w16cid:durableId="204613051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oNotTrackFormatting/>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31"/>
    <w:rsid w:val="000000F4"/>
    <w:rsid w:val="00001917"/>
    <w:rsid w:val="000020E6"/>
    <w:rsid w:val="00003662"/>
    <w:rsid w:val="00003932"/>
    <w:rsid w:val="00003BE3"/>
    <w:rsid w:val="00004655"/>
    <w:rsid w:val="00004E53"/>
    <w:rsid w:val="00005AE6"/>
    <w:rsid w:val="00005FC1"/>
    <w:rsid w:val="0000712D"/>
    <w:rsid w:val="000079BD"/>
    <w:rsid w:val="00011B76"/>
    <w:rsid w:val="000132A4"/>
    <w:rsid w:val="00013FAF"/>
    <w:rsid w:val="0001604E"/>
    <w:rsid w:val="0001658F"/>
    <w:rsid w:val="00016D80"/>
    <w:rsid w:val="0001734E"/>
    <w:rsid w:val="0001737B"/>
    <w:rsid w:val="000178A0"/>
    <w:rsid w:val="00017ADA"/>
    <w:rsid w:val="000205AE"/>
    <w:rsid w:val="00020A3E"/>
    <w:rsid w:val="0002114D"/>
    <w:rsid w:val="0002116F"/>
    <w:rsid w:val="000215E1"/>
    <w:rsid w:val="000227F6"/>
    <w:rsid w:val="0002469C"/>
    <w:rsid w:val="00025A1D"/>
    <w:rsid w:val="00026042"/>
    <w:rsid w:val="0002621A"/>
    <w:rsid w:val="00026243"/>
    <w:rsid w:val="00026804"/>
    <w:rsid w:val="00026C8B"/>
    <w:rsid w:val="00026ED1"/>
    <w:rsid w:val="00027AF1"/>
    <w:rsid w:val="00030D8F"/>
    <w:rsid w:val="000312E5"/>
    <w:rsid w:val="00031379"/>
    <w:rsid w:val="00031399"/>
    <w:rsid w:val="00031719"/>
    <w:rsid w:val="000322B1"/>
    <w:rsid w:val="000332DE"/>
    <w:rsid w:val="00034590"/>
    <w:rsid w:val="00035827"/>
    <w:rsid w:val="00035A11"/>
    <w:rsid w:val="00035F6C"/>
    <w:rsid w:val="00036A2E"/>
    <w:rsid w:val="00036EA2"/>
    <w:rsid w:val="00042686"/>
    <w:rsid w:val="0004459E"/>
    <w:rsid w:val="000446A5"/>
    <w:rsid w:val="000455A6"/>
    <w:rsid w:val="00046E11"/>
    <w:rsid w:val="0004796D"/>
    <w:rsid w:val="00051433"/>
    <w:rsid w:val="00051EE7"/>
    <w:rsid w:val="00052770"/>
    <w:rsid w:val="00052D4D"/>
    <w:rsid w:val="00053618"/>
    <w:rsid w:val="00053E8E"/>
    <w:rsid w:val="00055193"/>
    <w:rsid w:val="00057922"/>
    <w:rsid w:val="00057D4B"/>
    <w:rsid w:val="000618C3"/>
    <w:rsid w:val="00061DB5"/>
    <w:rsid w:val="00062C67"/>
    <w:rsid w:val="00062D21"/>
    <w:rsid w:val="00063B0E"/>
    <w:rsid w:val="00065116"/>
    <w:rsid w:val="00066029"/>
    <w:rsid w:val="00066FAB"/>
    <w:rsid w:val="00071026"/>
    <w:rsid w:val="00072B81"/>
    <w:rsid w:val="00072CBC"/>
    <w:rsid w:val="000733D8"/>
    <w:rsid w:val="00073D51"/>
    <w:rsid w:val="00080CF1"/>
    <w:rsid w:val="00081C09"/>
    <w:rsid w:val="0008249C"/>
    <w:rsid w:val="00082789"/>
    <w:rsid w:val="00083AE3"/>
    <w:rsid w:val="00083DE5"/>
    <w:rsid w:val="000843B5"/>
    <w:rsid w:val="0008722D"/>
    <w:rsid w:val="00087F1E"/>
    <w:rsid w:val="00090B67"/>
    <w:rsid w:val="0009177F"/>
    <w:rsid w:val="000919F4"/>
    <w:rsid w:val="00092167"/>
    <w:rsid w:val="00092DE6"/>
    <w:rsid w:val="0009346B"/>
    <w:rsid w:val="00094B5F"/>
    <w:rsid w:val="00096C52"/>
    <w:rsid w:val="000A2B48"/>
    <w:rsid w:val="000A2CF1"/>
    <w:rsid w:val="000A3B26"/>
    <w:rsid w:val="000A636B"/>
    <w:rsid w:val="000A6998"/>
    <w:rsid w:val="000A7FE9"/>
    <w:rsid w:val="000B11FB"/>
    <w:rsid w:val="000B32E6"/>
    <w:rsid w:val="000B3820"/>
    <w:rsid w:val="000B41B9"/>
    <w:rsid w:val="000B42C3"/>
    <w:rsid w:val="000B5F63"/>
    <w:rsid w:val="000B62B9"/>
    <w:rsid w:val="000B7130"/>
    <w:rsid w:val="000B74FF"/>
    <w:rsid w:val="000B7CB5"/>
    <w:rsid w:val="000C0268"/>
    <w:rsid w:val="000C183F"/>
    <w:rsid w:val="000C2ED0"/>
    <w:rsid w:val="000C4203"/>
    <w:rsid w:val="000C438C"/>
    <w:rsid w:val="000C47F3"/>
    <w:rsid w:val="000C49B8"/>
    <w:rsid w:val="000C4CAA"/>
    <w:rsid w:val="000C5276"/>
    <w:rsid w:val="000C5394"/>
    <w:rsid w:val="000C5993"/>
    <w:rsid w:val="000C5D27"/>
    <w:rsid w:val="000C6ADB"/>
    <w:rsid w:val="000C6AF0"/>
    <w:rsid w:val="000C771D"/>
    <w:rsid w:val="000C7CFF"/>
    <w:rsid w:val="000D19C4"/>
    <w:rsid w:val="000D3791"/>
    <w:rsid w:val="000D54D6"/>
    <w:rsid w:val="000D6C5C"/>
    <w:rsid w:val="000D6CB9"/>
    <w:rsid w:val="000E004F"/>
    <w:rsid w:val="000E057E"/>
    <w:rsid w:val="000E2268"/>
    <w:rsid w:val="000E53C7"/>
    <w:rsid w:val="000E55AB"/>
    <w:rsid w:val="000E61D6"/>
    <w:rsid w:val="000F01A9"/>
    <w:rsid w:val="000F0D31"/>
    <w:rsid w:val="000F3919"/>
    <w:rsid w:val="000F47E9"/>
    <w:rsid w:val="000F5545"/>
    <w:rsid w:val="000F56E0"/>
    <w:rsid w:val="000F677D"/>
    <w:rsid w:val="00101C16"/>
    <w:rsid w:val="00104814"/>
    <w:rsid w:val="00104C86"/>
    <w:rsid w:val="00105AF2"/>
    <w:rsid w:val="00106321"/>
    <w:rsid w:val="00106FD1"/>
    <w:rsid w:val="001079BF"/>
    <w:rsid w:val="0011202D"/>
    <w:rsid w:val="00112201"/>
    <w:rsid w:val="00112AFA"/>
    <w:rsid w:val="00113DCA"/>
    <w:rsid w:val="00114540"/>
    <w:rsid w:val="00114760"/>
    <w:rsid w:val="0011571D"/>
    <w:rsid w:val="00121324"/>
    <w:rsid w:val="001248F2"/>
    <w:rsid w:val="00125D15"/>
    <w:rsid w:val="00125EA2"/>
    <w:rsid w:val="00125F9A"/>
    <w:rsid w:val="00127253"/>
    <w:rsid w:val="001279D1"/>
    <w:rsid w:val="0013020B"/>
    <w:rsid w:val="0013434A"/>
    <w:rsid w:val="001347B5"/>
    <w:rsid w:val="0013619B"/>
    <w:rsid w:val="00136791"/>
    <w:rsid w:val="00137C0F"/>
    <w:rsid w:val="001403B0"/>
    <w:rsid w:val="0014213F"/>
    <w:rsid w:val="00142A93"/>
    <w:rsid w:val="001457C4"/>
    <w:rsid w:val="00146422"/>
    <w:rsid w:val="00146951"/>
    <w:rsid w:val="00150746"/>
    <w:rsid w:val="00150AF0"/>
    <w:rsid w:val="00151749"/>
    <w:rsid w:val="00154F03"/>
    <w:rsid w:val="00155583"/>
    <w:rsid w:val="00155DF3"/>
    <w:rsid w:val="00156486"/>
    <w:rsid w:val="001567E8"/>
    <w:rsid w:val="00156892"/>
    <w:rsid w:val="001602CB"/>
    <w:rsid w:val="00160E73"/>
    <w:rsid w:val="0016275E"/>
    <w:rsid w:val="00162EE5"/>
    <w:rsid w:val="00162FDC"/>
    <w:rsid w:val="001645CB"/>
    <w:rsid w:val="00164C3E"/>
    <w:rsid w:val="00165E02"/>
    <w:rsid w:val="00166F4B"/>
    <w:rsid w:val="001671BC"/>
    <w:rsid w:val="00170B34"/>
    <w:rsid w:val="00170ED7"/>
    <w:rsid w:val="0017182C"/>
    <w:rsid w:val="001727A5"/>
    <w:rsid w:val="00172DBA"/>
    <w:rsid w:val="001731C0"/>
    <w:rsid w:val="001739AA"/>
    <w:rsid w:val="00173BBE"/>
    <w:rsid w:val="00173F0F"/>
    <w:rsid w:val="001743F1"/>
    <w:rsid w:val="00174D7C"/>
    <w:rsid w:val="001758BF"/>
    <w:rsid w:val="001763CF"/>
    <w:rsid w:val="00177705"/>
    <w:rsid w:val="00177CC2"/>
    <w:rsid w:val="00180F98"/>
    <w:rsid w:val="00181EB6"/>
    <w:rsid w:val="00182296"/>
    <w:rsid w:val="001826A5"/>
    <w:rsid w:val="001834B2"/>
    <w:rsid w:val="001834D0"/>
    <w:rsid w:val="00183C2E"/>
    <w:rsid w:val="001848D2"/>
    <w:rsid w:val="00186B3B"/>
    <w:rsid w:val="0018722E"/>
    <w:rsid w:val="00191025"/>
    <w:rsid w:val="00191BF5"/>
    <w:rsid w:val="00191CE9"/>
    <w:rsid w:val="00195D4A"/>
    <w:rsid w:val="0019646F"/>
    <w:rsid w:val="00196A21"/>
    <w:rsid w:val="0019793F"/>
    <w:rsid w:val="001A0482"/>
    <w:rsid w:val="001A0AB6"/>
    <w:rsid w:val="001A0F6B"/>
    <w:rsid w:val="001A1BDE"/>
    <w:rsid w:val="001A2515"/>
    <w:rsid w:val="001A6795"/>
    <w:rsid w:val="001A753F"/>
    <w:rsid w:val="001A7B78"/>
    <w:rsid w:val="001B155A"/>
    <w:rsid w:val="001B18A8"/>
    <w:rsid w:val="001B1DB4"/>
    <w:rsid w:val="001B1F5E"/>
    <w:rsid w:val="001B2E4D"/>
    <w:rsid w:val="001B4D24"/>
    <w:rsid w:val="001B5318"/>
    <w:rsid w:val="001B7335"/>
    <w:rsid w:val="001B7CE2"/>
    <w:rsid w:val="001B7D37"/>
    <w:rsid w:val="001C05A3"/>
    <w:rsid w:val="001C1B3F"/>
    <w:rsid w:val="001C392C"/>
    <w:rsid w:val="001C46EA"/>
    <w:rsid w:val="001C5496"/>
    <w:rsid w:val="001C7DDC"/>
    <w:rsid w:val="001D0564"/>
    <w:rsid w:val="001D1902"/>
    <w:rsid w:val="001D3145"/>
    <w:rsid w:val="001D49FF"/>
    <w:rsid w:val="001D5BB4"/>
    <w:rsid w:val="001D678C"/>
    <w:rsid w:val="001D76DB"/>
    <w:rsid w:val="001D7B50"/>
    <w:rsid w:val="001E03AA"/>
    <w:rsid w:val="001E08F3"/>
    <w:rsid w:val="001E0C8D"/>
    <w:rsid w:val="001E284F"/>
    <w:rsid w:val="001E3181"/>
    <w:rsid w:val="001E420E"/>
    <w:rsid w:val="001E564F"/>
    <w:rsid w:val="001E615F"/>
    <w:rsid w:val="001E7136"/>
    <w:rsid w:val="001E7742"/>
    <w:rsid w:val="001F1979"/>
    <w:rsid w:val="001F1DA8"/>
    <w:rsid w:val="001F3A6B"/>
    <w:rsid w:val="001F3B36"/>
    <w:rsid w:val="001F4F42"/>
    <w:rsid w:val="001F58F0"/>
    <w:rsid w:val="001F5ABD"/>
    <w:rsid w:val="001F7BF6"/>
    <w:rsid w:val="0020016B"/>
    <w:rsid w:val="002007EA"/>
    <w:rsid w:val="002009F0"/>
    <w:rsid w:val="00202C69"/>
    <w:rsid w:val="00202E5B"/>
    <w:rsid w:val="00202EAF"/>
    <w:rsid w:val="00204FF9"/>
    <w:rsid w:val="00205F6E"/>
    <w:rsid w:val="0020610F"/>
    <w:rsid w:val="00206B04"/>
    <w:rsid w:val="0020716B"/>
    <w:rsid w:val="0020748B"/>
    <w:rsid w:val="002115A6"/>
    <w:rsid w:val="00211981"/>
    <w:rsid w:val="00215516"/>
    <w:rsid w:val="00216E90"/>
    <w:rsid w:val="0021771E"/>
    <w:rsid w:val="00217808"/>
    <w:rsid w:val="00217B8F"/>
    <w:rsid w:val="00220039"/>
    <w:rsid w:val="00220C59"/>
    <w:rsid w:val="00221E25"/>
    <w:rsid w:val="002220E2"/>
    <w:rsid w:val="00222599"/>
    <w:rsid w:val="002237FB"/>
    <w:rsid w:val="00225DC2"/>
    <w:rsid w:val="00230293"/>
    <w:rsid w:val="00231CC5"/>
    <w:rsid w:val="002327A9"/>
    <w:rsid w:val="002334F3"/>
    <w:rsid w:val="002339E4"/>
    <w:rsid w:val="002349A4"/>
    <w:rsid w:val="002350B4"/>
    <w:rsid w:val="00235926"/>
    <w:rsid w:val="00235ADE"/>
    <w:rsid w:val="00236037"/>
    <w:rsid w:val="00236AB7"/>
    <w:rsid w:val="00236B4A"/>
    <w:rsid w:val="00237F58"/>
    <w:rsid w:val="002401FE"/>
    <w:rsid w:val="00242640"/>
    <w:rsid w:val="00242E02"/>
    <w:rsid w:val="00243958"/>
    <w:rsid w:val="00244FC3"/>
    <w:rsid w:val="00245771"/>
    <w:rsid w:val="00246C41"/>
    <w:rsid w:val="00247630"/>
    <w:rsid w:val="00251ED2"/>
    <w:rsid w:val="00254ED8"/>
    <w:rsid w:val="00254F9D"/>
    <w:rsid w:val="002554AD"/>
    <w:rsid w:val="00261256"/>
    <w:rsid w:val="002614CF"/>
    <w:rsid w:val="00261A3F"/>
    <w:rsid w:val="0026370F"/>
    <w:rsid w:val="00264947"/>
    <w:rsid w:val="00264A1E"/>
    <w:rsid w:val="0026647D"/>
    <w:rsid w:val="00266AF8"/>
    <w:rsid w:val="002707C1"/>
    <w:rsid w:val="002710ED"/>
    <w:rsid w:val="0027152A"/>
    <w:rsid w:val="00273507"/>
    <w:rsid w:val="00273D9F"/>
    <w:rsid w:val="002741A5"/>
    <w:rsid w:val="0027589A"/>
    <w:rsid w:val="002762E5"/>
    <w:rsid w:val="0027694B"/>
    <w:rsid w:val="00282A07"/>
    <w:rsid w:val="0028317B"/>
    <w:rsid w:val="00290569"/>
    <w:rsid w:val="00290EBD"/>
    <w:rsid w:val="00292584"/>
    <w:rsid w:val="00294063"/>
    <w:rsid w:val="002977DE"/>
    <w:rsid w:val="002A07C3"/>
    <w:rsid w:val="002A0C11"/>
    <w:rsid w:val="002A129A"/>
    <w:rsid w:val="002A25B7"/>
    <w:rsid w:val="002A3086"/>
    <w:rsid w:val="002A3529"/>
    <w:rsid w:val="002A3818"/>
    <w:rsid w:val="002A4D23"/>
    <w:rsid w:val="002A59EF"/>
    <w:rsid w:val="002A5A9A"/>
    <w:rsid w:val="002A5FEC"/>
    <w:rsid w:val="002A61D1"/>
    <w:rsid w:val="002A749D"/>
    <w:rsid w:val="002B0AB9"/>
    <w:rsid w:val="002B15AF"/>
    <w:rsid w:val="002B20A3"/>
    <w:rsid w:val="002B22A1"/>
    <w:rsid w:val="002B3935"/>
    <w:rsid w:val="002B39CF"/>
    <w:rsid w:val="002B4418"/>
    <w:rsid w:val="002B5693"/>
    <w:rsid w:val="002B580B"/>
    <w:rsid w:val="002C077A"/>
    <w:rsid w:val="002C249A"/>
    <w:rsid w:val="002C34DB"/>
    <w:rsid w:val="002C3F48"/>
    <w:rsid w:val="002C5969"/>
    <w:rsid w:val="002C638B"/>
    <w:rsid w:val="002C76C3"/>
    <w:rsid w:val="002C7AB9"/>
    <w:rsid w:val="002D0D07"/>
    <w:rsid w:val="002D34FC"/>
    <w:rsid w:val="002D3E16"/>
    <w:rsid w:val="002D49BE"/>
    <w:rsid w:val="002D56BD"/>
    <w:rsid w:val="002D6B4A"/>
    <w:rsid w:val="002D6B8D"/>
    <w:rsid w:val="002D7D23"/>
    <w:rsid w:val="002E0DC4"/>
    <w:rsid w:val="002E1027"/>
    <w:rsid w:val="002E15B4"/>
    <w:rsid w:val="002E18E7"/>
    <w:rsid w:val="002E290D"/>
    <w:rsid w:val="002E3A5B"/>
    <w:rsid w:val="002E41FB"/>
    <w:rsid w:val="002E4D78"/>
    <w:rsid w:val="002E67BE"/>
    <w:rsid w:val="002E6BB0"/>
    <w:rsid w:val="002E792A"/>
    <w:rsid w:val="002F013A"/>
    <w:rsid w:val="002F29C7"/>
    <w:rsid w:val="002F3468"/>
    <w:rsid w:val="002F37BE"/>
    <w:rsid w:val="002F3BB8"/>
    <w:rsid w:val="00300F66"/>
    <w:rsid w:val="00301ADE"/>
    <w:rsid w:val="00302C32"/>
    <w:rsid w:val="003037D5"/>
    <w:rsid w:val="00303E7C"/>
    <w:rsid w:val="003040C7"/>
    <w:rsid w:val="00304457"/>
    <w:rsid w:val="003063F9"/>
    <w:rsid w:val="003069D2"/>
    <w:rsid w:val="00306B25"/>
    <w:rsid w:val="003115E6"/>
    <w:rsid w:val="00313EF0"/>
    <w:rsid w:val="003146C9"/>
    <w:rsid w:val="003153FB"/>
    <w:rsid w:val="00315C59"/>
    <w:rsid w:val="00316EC1"/>
    <w:rsid w:val="00316F77"/>
    <w:rsid w:val="00316F89"/>
    <w:rsid w:val="00317B4D"/>
    <w:rsid w:val="00320039"/>
    <w:rsid w:val="0032034A"/>
    <w:rsid w:val="00322094"/>
    <w:rsid w:val="00325262"/>
    <w:rsid w:val="00325C2D"/>
    <w:rsid w:val="00325E91"/>
    <w:rsid w:val="00330D3F"/>
    <w:rsid w:val="00331808"/>
    <w:rsid w:val="0033250A"/>
    <w:rsid w:val="00333AAA"/>
    <w:rsid w:val="0033501B"/>
    <w:rsid w:val="00336486"/>
    <w:rsid w:val="00345CAB"/>
    <w:rsid w:val="00345CB7"/>
    <w:rsid w:val="00346722"/>
    <w:rsid w:val="00350348"/>
    <w:rsid w:val="0035046A"/>
    <w:rsid w:val="0035185E"/>
    <w:rsid w:val="00353D72"/>
    <w:rsid w:val="0035466A"/>
    <w:rsid w:val="003554B8"/>
    <w:rsid w:val="0036075F"/>
    <w:rsid w:val="0036152B"/>
    <w:rsid w:val="00362679"/>
    <w:rsid w:val="00363739"/>
    <w:rsid w:val="003639E7"/>
    <w:rsid w:val="00364448"/>
    <w:rsid w:val="00366472"/>
    <w:rsid w:val="00367747"/>
    <w:rsid w:val="0037319C"/>
    <w:rsid w:val="0037460E"/>
    <w:rsid w:val="00374956"/>
    <w:rsid w:val="0037538D"/>
    <w:rsid w:val="00377233"/>
    <w:rsid w:val="00377F07"/>
    <w:rsid w:val="0038180F"/>
    <w:rsid w:val="00381A5C"/>
    <w:rsid w:val="00382801"/>
    <w:rsid w:val="003829C0"/>
    <w:rsid w:val="00385C0D"/>
    <w:rsid w:val="00386400"/>
    <w:rsid w:val="00387BE8"/>
    <w:rsid w:val="00390C41"/>
    <w:rsid w:val="003912E1"/>
    <w:rsid w:val="00391339"/>
    <w:rsid w:val="0039224A"/>
    <w:rsid w:val="00393BEA"/>
    <w:rsid w:val="003940A8"/>
    <w:rsid w:val="00394E1C"/>
    <w:rsid w:val="00395186"/>
    <w:rsid w:val="00396C4A"/>
    <w:rsid w:val="00396DD5"/>
    <w:rsid w:val="003A09B8"/>
    <w:rsid w:val="003A74D1"/>
    <w:rsid w:val="003A7899"/>
    <w:rsid w:val="003B0467"/>
    <w:rsid w:val="003B3271"/>
    <w:rsid w:val="003B34F0"/>
    <w:rsid w:val="003B38E0"/>
    <w:rsid w:val="003B43F0"/>
    <w:rsid w:val="003B5168"/>
    <w:rsid w:val="003B6281"/>
    <w:rsid w:val="003B7405"/>
    <w:rsid w:val="003C0AB2"/>
    <w:rsid w:val="003C1566"/>
    <w:rsid w:val="003C1EA0"/>
    <w:rsid w:val="003C1EC2"/>
    <w:rsid w:val="003C23F5"/>
    <w:rsid w:val="003C3A92"/>
    <w:rsid w:val="003C4821"/>
    <w:rsid w:val="003C5CCC"/>
    <w:rsid w:val="003C6480"/>
    <w:rsid w:val="003C65C9"/>
    <w:rsid w:val="003C6738"/>
    <w:rsid w:val="003C6A23"/>
    <w:rsid w:val="003C7467"/>
    <w:rsid w:val="003D03E6"/>
    <w:rsid w:val="003D0BE0"/>
    <w:rsid w:val="003D0BFB"/>
    <w:rsid w:val="003D0CA7"/>
    <w:rsid w:val="003D1680"/>
    <w:rsid w:val="003D1AFD"/>
    <w:rsid w:val="003D2328"/>
    <w:rsid w:val="003D358B"/>
    <w:rsid w:val="003D4A90"/>
    <w:rsid w:val="003D5692"/>
    <w:rsid w:val="003D6014"/>
    <w:rsid w:val="003D7F6F"/>
    <w:rsid w:val="003E105F"/>
    <w:rsid w:val="003E139F"/>
    <w:rsid w:val="003E2626"/>
    <w:rsid w:val="003E3564"/>
    <w:rsid w:val="003E3A1C"/>
    <w:rsid w:val="003E4029"/>
    <w:rsid w:val="003E41E1"/>
    <w:rsid w:val="003E4528"/>
    <w:rsid w:val="003E56EC"/>
    <w:rsid w:val="003E6E92"/>
    <w:rsid w:val="003E756B"/>
    <w:rsid w:val="003F06BA"/>
    <w:rsid w:val="003F29F5"/>
    <w:rsid w:val="003F57D9"/>
    <w:rsid w:val="003F59C3"/>
    <w:rsid w:val="003F5D67"/>
    <w:rsid w:val="003F5F47"/>
    <w:rsid w:val="003F7638"/>
    <w:rsid w:val="00401636"/>
    <w:rsid w:val="00402BCD"/>
    <w:rsid w:val="00403BB7"/>
    <w:rsid w:val="004048D2"/>
    <w:rsid w:val="00405199"/>
    <w:rsid w:val="004056C7"/>
    <w:rsid w:val="00406463"/>
    <w:rsid w:val="00406876"/>
    <w:rsid w:val="00407CF9"/>
    <w:rsid w:val="00407D3D"/>
    <w:rsid w:val="00412E32"/>
    <w:rsid w:val="00415099"/>
    <w:rsid w:val="0041680A"/>
    <w:rsid w:val="00416BE9"/>
    <w:rsid w:val="0042067E"/>
    <w:rsid w:val="0042078A"/>
    <w:rsid w:val="00422A00"/>
    <w:rsid w:val="00423B4F"/>
    <w:rsid w:val="00424B3E"/>
    <w:rsid w:val="0042595F"/>
    <w:rsid w:val="00426797"/>
    <w:rsid w:val="00431165"/>
    <w:rsid w:val="0043523C"/>
    <w:rsid w:val="004401DC"/>
    <w:rsid w:val="00441FE4"/>
    <w:rsid w:val="00442D5C"/>
    <w:rsid w:val="004433B9"/>
    <w:rsid w:val="004452D5"/>
    <w:rsid w:val="004459EF"/>
    <w:rsid w:val="00447D6C"/>
    <w:rsid w:val="00447EB7"/>
    <w:rsid w:val="00450F44"/>
    <w:rsid w:val="00450FC0"/>
    <w:rsid w:val="004513B4"/>
    <w:rsid w:val="004516F6"/>
    <w:rsid w:val="004535C8"/>
    <w:rsid w:val="004537AB"/>
    <w:rsid w:val="00453E38"/>
    <w:rsid w:val="004550FD"/>
    <w:rsid w:val="0045584F"/>
    <w:rsid w:val="00456F77"/>
    <w:rsid w:val="004573E2"/>
    <w:rsid w:val="00457C45"/>
    <w:rsid w:val="00457C48"/>
    <w:rsid w:val="00461618"/>
    <w:rsid w:val="00461D67"/>
    <w:rsid w:val="004623DE"/>
    <w:rsid w:val="0046281D"/>
    <w:rsid w:val="0046294E"/>
    <w:rsid w:val="0046478C"/>
    <w:rsid w:val="00464E27"/>
    <w:rsid w:val="00465D4D"/>
    <w:rsid w:val="004677ED"/>
    <w:rsid w:val="0046787C"/>
    <w:rsid w:val="0047298A"/>
    <w:rsid w:val="00472D82"/>
    <w:rsid w:val="00473F2B"/>
    <w:rsid w:val="00474315"/>
    <w:rsid w:val="00475AAE"/>
    <w:rsid w:val="004763E0"/>
    <w:rsid w:val="0047665A"/>
    <w:rsid w:val="00476AAB"/>
    <w:rsid w:val="00476F3E"/>
    <w:rsid w:val="00480443"/>
    <w:rsid w:val="00480C05"/>
    <w:rsid w:val="00481350"/>
    <w:rsid w:val="00481F6E"/>
    <w:rsid w:val="004829B7"/>
    <w:rsid w:val="00482A44"/>
    <w:rsid w:val="00482B96"/>
    <w:rsid w:val="00482E08"/>
    <w:rsid w:val="00483392"/>
    <w:rsid w:val="00483490"/>
    <w:rsid w:val="004834DC"/>
    <w:rsid w:val="00483C5D"/>
    <w:rsid w:val="00484151"/>
    <w:rsid w:val="00484CF6"/>
    <w:rsid w:val="0048700C"/>
    <w:rsid w:val="0048774A"/>
    <w:rsid w:val="004903BF"/>
    <w:rsid w:val="00491044"/>
    <w:rsid w:val="0049121C"/>
    <w:rsid w:val="0049215E"/>
    <w:rsid w:val="00496331"/>
    <w:rsid w:val="00496425"/>
    <w:rsid w:val="00496B48"/>
    <w:rsid w:val="00497A52"/>
    <w:rsid w:val="004A0A5D"/>
    <w:rsid w:val="004A0DBB"/>
    <w:rsid w:val="004A0F38"/>
    <w:rsid w:val="004A3F0B"/>
    <w:rsid w:val="004A456D"/>
    <w:rsid w:val="004A48DC"/>
    <w:rsid w:val="004A5A07"/>
    <w:rsid w:val="004A5B0A"/>
    <w:rsid w:val="004A63E4"/>
    <w:rsid w:val="004A662F"/>
    <w:rsid w:val="004A675D"/>
    <w:rsid w:val="004A68DF"/>
    <w:rsid w:val="004A72D2"/>
    <w:rsid w:val="004A7C8C"/>
    <w:rsid w:val="004B0835"/>
    <w:rsid w:val="004B0CF4"/>
    <w:rsid w:val="004B1576"/>
    <w:rsid w:val="004B2106"/>
    <w:rsid w:val="004B24F4"/>
    <w:rsid w:val="004B4C6A"/>
    <w:rsid w:val="004B6581"/>
    <w:rsid w:val="004C1764"/>
    <w:rsid w:val="004C1846"/>
    <w:rsid w:val="004C1ACF"/>
    <w:rsid w:val="004C2EA8"/>
    <w:rsid w:val="004C730D"/>
    <w:rsid w:val="004D1488"/>
    <w:rsid w:val="004D21E7"/>
    <w:rsid w:val="004D2788"/>
    <w:rsid w:val="004D27B8"/>
    <w:rsid w:val="004D37C7"/>
    <w:rsid w:val="004D4301"/>
    <w:rsid w:val="004D4ABE"/>
    <w:rsid w:val="004D5AD9"/>
    <w:rsid w:val="004D6063"/>
    <w:rsid w:val="004E2DCE"/>
    <w:rsid w:val="004E40EF"/>
    <w:rsid w:val="004E6233"/>
    <w:rsid w:val="004E7753"/>
    <w:rsid w:val="004E7A13"/>
    <w:rsid w:val="004E7D88"/>
    <w:rsid w:val="004F0622"/>
    <w:rsid w:val="004F2764"/>
    <w:rsid w:val="004F3172"/>
    <w:rsid w:val="004F3C8F"/>
    <w:rsid w:val="004F4754"/>
    <w:rsid w:val="004F4813"/>
    <w:rsid w:val="004F5CD1"/>
    <w:rsid w:val="004F601C"/>
    <w:rsid w:val="004F748A"/>
    <w:rsid w:val="00500E06"/>
    <w:rsid w:val="00503796"/>
    <w:rsid w:val="005043AD"/>
    <w:rsid w:val="00505CC6"/>
    <w:rsid w:val="005069A3"/>
    <w:rsid w:val="00507725"/>
    <w:rsid w:val="00510B66"/>
    <w:rsid w:val="00511E9E"/>
    <w:rsid w:val="00511FB2"/>
    <w:rsid w:val="0051303A"/>
    <w:rsid w:val="00513A7E"/>
    <w:rsid w:val="00515447"/>
    <w:rsid w:val="00515464"/>
    <w:rsid w:val="00516C01"/>
    <w:rsid w:val="00517442"/>
    <w:rsid w:val="0051750D"/>
    <w:rsid w:val="00520685"/>
    <w:rsid w:val="00521A8B"/>
    <w:rsid w:val="0052373A"/>
    <w:rsid w:val="00523D83"/>
    <w:rsid w:val="00524057"/>
    <w:rsid w:val="005252DD"/>
    <w:rsid w:val="005254EB"/>
    <w:rsid w:val="005271AF"/>
    <w:rsid w:val="00531B05"/>
    <w:rsid w:val="00531BFE"/>
    <w:rsid w:val="005333EC"/>
    <w:rsid w:val="0053520C"/>
    <w:rsid w:val="005362BC"/>
    <w:rsid w:val="0053673F"/>
    <w:rsid w:val="005371C3"/>
    <w:rsid w:val="00537203"/>
    <w:rsid w:val="00540625"/>
    <w:rsid w:val="00541580"/>
    <w:rsid w:val="0054188F"/>
    <w:rsid w:val="005424D2"/>
    <w:rsid w:val="005425BD"/>
    <w:rsid w:val="00544096"/>
    <w:rsid w:val="00544664"/>
    <w:rsid w:val="005519E9"/>
    <w:rsid w:val="00555B2C"/>
    <w:rsid w:val="00556FA0"/>
    <w:rsid w:val="00557AF9"/>
    <w:rsid w:val="005600E9"/>
    <w:rsid w:val="005602AE"/>
    <w:rsid w:val="00560DB3"/>
    <w:rsid w:val="00561341"/>
    <w:rsid w:val="0056146B"/>
    <w:rsid w:val="0056254A"/>
    <w:rsid w:val="00563572"/>
    <w:rsid w:val="0056381B"/>
    <w:rsid w:val="00563B29"/>
    <w:rsid w:val="00563EB4"/>
    <w:rsid w:val="0056443B"/>
    <w:rsid w:val="00564DF7"/>
    <w:rsid w:val="00566058"/>
    <w:rsid w:val="00567BE1"/>
    <w:rsid w:val="00567FA6"/>
    <w:rsid w:val="005701D7"/>
    <w:rsid w:val="005720B2"/>
    <w:rsid w:val="00574159"/>
    <w:rsid w:val="00574229"/>
    <w:rsid w:val="0057515E"/>
    <w:rsid w:val="00575C20"/>
    <w:rsid w:val="0057607F"/>
    <w:rsid w:val="00576CB5"/>
    <w:rsid w:val="0057720A"/>
    <w:rsid w:val="00577C9B"/>
    <w:rsid w:val="00580A4A"/>
    <w:rsid w:val="0058127C"/>
    <w:rsid w:val="00582158"/>
    <w:rsid w:val="00583D98"/>
    <w:rsid w:val="0058477A"/>
    <w:rsid w:val="00584D6F"/>
    <w:rsid w:val="005852A2"/>
    <w:rsid w:val="00585D82"/>
    <w:rsid w:val="00585F2E"/>
    <w:rsid w:val="00586BFF"/>
    <w:rsid w:val="005918A9"/>
    <w:rsid w:val="00592F3F"/>
    <w:rsid w:val="0059446E"/>
    <w:rsid w:val="00596598"/>
    <w:rsid w:val="005A0002"/>
    <w:rsid w:val="005A0455"/>
    <w:rsid w:val="005A28BA"/>
    <w:rsid w:val="005A2AC9"/>
    <w:rsid w:val="005A3C73"/>
    <w:rsid w:val="005A3E73"/>
    <w:rsid w:val="005A3F00"/>
    <w:rsid w:val="005A45CB"/>
    <w:rsid w:val="005A4724"/>
    <w:rsid w:val="005A4E43"/>
    <w:rsid w:val="005A590F"/>
    <w:rsid w:val="005A6D20"/>
    <w:rsid w:val="005A6DBA"/>
    <w:rsid w:val="005A75CF"/>
    <w:rsid w:val="005B077D"/>
    <w:rsid w:val="005B1120"/>
    <w:rsid w:val="005B1A54"/>
    <w:rsid w:val="005B1AEE"/>
    <w:rsid w:val="005B259D"/>
    <w:rsid w:val="005B2CBE"/>
    <w:rsid w:val="005B39A3"/>
    <w:rsid w:val="005B51FF"/>
    <w:rsid w:val="005B52EB"/>
    <w:rsid w:val="005B6BD9"/>
    <w:rsid w:val="005B7F59"/>
    <w:rsid w:val="005C06F2"/>
    <w:rsid w:val="005C5621"/>
    <w:rsid w:val="005D2BD7"/>
    <w:rsid w:val="005D2EC3"/>
    <w:rsid w:val="005D3E0E"/>
    <w:rsid w:val="005D4959"/>
    <w:rsid w:val="005D6D5D"/>
    <w:rsid w:val="005D6E1A"/>
    <w:rsid w:val="005E0447"/>
    <w:rsid w:val="005E18D3"/>
    <w:rsid w:val="005E1DAD"/>
    <w:rsid w:val="005E2905"/>
    <w:rsid w:val="005E3044"/>
    <w:rsid w:val="005E4F27"/>
    <w:rsid w:val="005E6E8E"/>
    <w:rsid w:val="005F0CC3"/>
    <w:rsid w:val="005F13CC"/>
    <w:rsid w:val="005F2DC1"/>
    <w:rsid w:val="005F4D39"/>
    <w:rsid w:val="005F6598"/>
    <w:rsid w:val="005F76A3"/>
    <w:rsid w:val="005F7AD5"/>
    <w:rsid w:val="00602299"/>
    <w:rsid w:val="00602E80"/>
    <w:rsid w:val="00603A3E"/>
    <w:rsid w:val="00603FF8"/>
    <w:rsid w:val="0060463D"/>
    <w:rsid w:val="0060620C"/>
    <w:rsid w:val="00610EB4"/>
    <w:rsid w:val="00611409"/>
    <w:rsid w:val="00611804"/>
    <w:rsid w:val="00611F42"/>
    <w:rsid w:val="00612887"/>
    <w:rsid w:val="00614DDD"/>
    <w:rsid w:val="00614F8C"/>
    <w:rsid w:val="00615764"/>
    <w:rsid w:val="00622350"/>
    <w:rsid w:val="00622367"/>
    <w:rsid w:val="006253DD"/>
    <w:rsid w:val="006272E0"/>
    <w:rsid w:val="00627E93"/>
    <w:rsid w:val="00630B8E"/>
    <w:rsid w:val="00632194"/>
    <w:rsid w:val="00632980"/>
    <w:rsid w:val="0063309F"/>
    <w:rsid w:val="006334CC"/>
    <w:rsid w:val="00633E7F"/>
    <w:rsid w:val="00634A13"/>
    <w:rsid w:val="006354FC"/>
    <w:rsid w:val="00635AEA"/>
    <w:rsid w:val="006362A5"/>
    <w:rsid w:val="00637D46"/>
    <w:rsid w:val="00640263"/>
    <w:rsid w:val="006415C8"/>
    <w:rsid w:val="00641FB3"/>
    <w:rsid w:val="00642642"/>
    <w:rsid w:val="006426A2"/>
    <w:rsid w:val="00642C52"/>
    <w:rsid w:val="0064333F"/>
    <w:rsid w:val="0064445D"/>
    <w:rsid w:val="00645CF9"/>
    <w:rsid w:val="0064670D"/>
    <w:rsid w:val="00646AC0"/>
    <w:rsid w:val="00646FCE"/>
    <w:rsid w:val="006471CF"/>
    <w:rsid w:val="0064725A"/>
    <w:rsid w:val="00647AF2"/>
    <w:rsid w:val="00650C1A"/>
    <w:rsid w:val="00653B5B"/>
    <w:rsid w:val="00653D65"/>
    <w:rsid w:val="0065466D"/>
    <w:rsid w:val="00654CBB"/>
    <w:rsid w:val="00655592"/>
    <w:rsid w:val="006555D4"/>
    <w:rsid w:val="0065754F"/>
    <w:rsid w:val="006575BE"/>
    <w:rsid w:val="00663206"/>
    <w:rsid w:val="00663D39"/>
    <w:rsid w:val="00663ED3"/>
    <w:rsid w:val="00663F9B"/>
    <w:rsid w:val="0066407D"/>
    <w:rsid w:val="006645A8"/>
    <w:rsid w:val="006650F9"/>
    <w:rsid w:val="00666016"/>
    <w:rsid w:val="0066709C"/>
    <w:rsid w:val="00667794"/>
    <w:rsid w:val="00667AB3"/>
    <w:rsid w:val="00670BFC"/>
    <w:rsid w:val="00671ACB"/>
    <w:rsid w:val="00672214"/>
    <w:rsid w:val="00673F59"/>
    <w:rsid w:val="00673FBE"/>
    <w:rsid w:val="00676046"/>
    <w:rsid w:val="0067697E"/>
    <w:rsid w:val="00680C3C"/>
    <w:rsid w:val="00681209"/>
    <w:rsid w:val="006815D5"/>
    <w:rsid w:val="00681914"/>
    <w:rsid w:val="00683A0E"/>
    <w:rsid w:val="00684AF1"/>
    <w:rsid w:val="0068652F"/>
    <w:rsid w:val="006874BC"/>
    <w:rsid w:val="0069003C"/>
    <w:rsid w:val="00690F56"/>
    <w:rsid w:val="006914A8"/>
    <w:rsid w:val="006917A4"/>
    <w:rsid w:val="00691C1D"/>
    <w:rsid w:val="00692C89"/>
    <w:rsid w:val="00693504"/>
    <w:rsid w:val="006940C1"/>
    <w:rsid w:val="006941DC"/>
    <w:rsid w:val="00695782"/>
    <w:rsid w:val="0069705B"/>
    <w:rsid w:val="006A04FA"/>
    <w:rsid w:val="006A0575"/>
    <w:rsid w:val="006A0BC4"/>
    <w:rsid w:val="006A130F"/>
    <w:rsid w:val="006A1648"/>
    <w:rsid w:val="006A1F02"/>
    <w:rsid w:val="006A7F72"/>
    <w:rsid w:val="006B0461"/>
    <w:rsid w:val="006B0EBA"/>
    <w:rsid w:val="006B2A3B"/>
    <w:rsid w:val="006B472A"/>
    <w:rsid w:val="006B4941"/>
    <w:rsid w:val="006B633B"/>
    <w:rsid w:val="006B7437"/>
    <w:rsid w:val="006B7CBF"/>
    <w:rsid w:val="006C03D0"/>
    <w:rsid w:val="006C2948"/>
    <w:rsid w:val="006C2BA0"/>
    <w:rsid w:val="006C42D3"/>
    <w:rsid w:val="006C4695"/>
    <w:rsid w:val="006C635A"/>
    <w:rsid w:val="006D09D6"/>
    <w:rsid w:val="006D17E0"/>
    <w:rsid w:val="006D1FD5"/>
    <w:rsid w:val="006D7128"/>
    <w:rsid w:val="006E0206"/>
    <w:rsid w:val="006E21D2"/>
    <w:rsid w:val="006E31B1"/>
    <w:rsid w:val="006E4903"/>
    <w:rsid w:val="006E535C"/>
    <w:rsid w:val="006F2087"/>
    <w:rsid w:val="006F4B44"/>
    <w:rsid w:val="006F5993"/>
    <w:rsid w:val="006F724B"/>
    <w:rsid w:val="006F7617"/>
    <w:rsid w:val="006F7C11"/>
    <w:rsid w:val="007000AE"/>
    <w:rsid w:val="00700447"/>
    <w:rsid w:val="0070052E"/>
    <w:rsid w:val="0070188D"/>
    <w:rsid w:val="00702C69"/>
    <w:rsid w:val="00702EA1"/>
    <w:rsid w:val="00703C4A"/>
    <w:rsid w:val="007053A5"/>
    <w:rsid w:val="007055D0"/>
    <w:rsid w:val="00705A06"/>
    <w:rsid w:val="0070671D"/>
    <w:rsid w:val="00711358"/>
    <w:rsid w:val="00711A13"/>
    <w:rsid w:val="00711C31"/>
    <w:rsid w:val="00713DBA"/>
    <w:rsid w:val="00714A12"/>
    <w:rsid w:val="007150C9"/>
    <w:rsid w:val="00716D29"/>
    <w:rsid w:val="00716F6E"/>
    <w:rsid w:val="00717D97"/>
    <w:rsid w:val="00717F9B"/>
    <w:rsid w:val="0072123C"/>
    <w:rsid w:val="00721ECE"/>
    <w:rsid w:val="00722C02"/>
    <w:rsid w:val="00723677"/>
    <w:rsid w:val="00723A83"/>
    <w:rsid w:val="0072589F"/>
    <w:rsid w:val="00725A40"/>
    <w:rsid w:val="00725E24"/>
    <w:rsid w:val="007265EE"/>
    <w:rsid w:val="00727ABA"/>
    <w:rsid w:val="007309A0"/>
    <w:rsid w:val="00733C6E"/>
    <w:rsid w:val="00734130"/>
    <w:rsid w:val="00734809"/>
    <w:rsid w:val="00734DAD"/>
    <w:rsid w:val="0073762E"/>
    <w:rsid w:val="007378C9"/>
    <w:rsid w:val="00741B74"/>
    <w:rsid w:val="0074267A"/>
    <w:rsid w:val="007432F3"/>
    <w:rsid w:val="00743D9D"/>
    <w:rsid w:val="007463BA"/>
    <w:rsid w:val="00746734"/>
    <w:rsid w:val="00746A31"/>
    <w:rsid w:val="007505E1"/>
    <w:rsid w:val="00751E97"/>
    <w:rsid w:val="00752FAF"/>
    <w:rsid w:val="00753D74"/>
    <w:rsid w:val="0075554B"/>
    <w:rsid w:val="00755B25"/>
    <w:rsid w:val="007560D5"/>
    <w:rsid w:val="0075624A"/>
    <w:rsid w:val="007567FF"/>
    <w:rsid w:val="007569EB"/>
    <w:rsid w:val="0075773C"/>
    <w:rsid w:val="00760257"/>
    <w:rsid w:val="00760A56"/>
    <w:rsid w:val="00762D26"/>
    <w:rsid w:val="00763D7F"/>
    <w:rsid w:val="00764CBD"/>
    <w:rsid w:val="00764E6C"/>
    <w:rsid w:val="007661FF"/>
    <w:rsid w:val="00767B5F"/>
    <w:rsid w:val="00767BC2"/>
    <w:rsid w:val="00767F35"/>
    <w:rsid w:val="007709EB"/>
    <w:rsid w:val="00770D22"/>
    <w:rsid w:val="00771C31"/>
    <w:rsid w:val="00771D5B"/>
    <w:rsid w:val="007722B4"/>
    <w:rsid w:val="00772C3F"/>
    <w:rsid w:val="00776103"/>
    <w:rsid w:val="00776947"/>
    <w:rsid w:val="00777261"/>
    <w:rsid w:val="00777C27"/>
    <w:rsid w:val="00777EE4"/>
    <w:rsid w:val="0078190F"/>
    <w:rsid w:val="00781B4D"/>
    <w:rsid w:val="00782447"/>
    <w:rsid w:val="00783F42"/>
    <w:rsid w:val="00784104"/>
    <w:rsid w:val="00784F86"/>
    <w:rsid w:val="0078524D"/>
    <w:rsid w:val="00785AC5"/>
    <w:rsid w:val="00786DEA"/>
    <w:rsid w:val="0078711F"/>
    <w:rsid w:val="007874DE"/>
    <w:rsid w:val="007916D4"/>
    <w:rsid w:val="007918D0"/>
    <w:rsid w:val="007929CF"/>
    <w:rsid w:val="00794B27"/>
    <w:rsid w:val="00796009"/>
    <w:rsid w:val="007973D9"/>
    <w:rsid w:val="007A0843"/>
    <w:rsid w:val="007A164D"/>
    <w:rsid w:val="007A1F28"/>
    <w:rsid w:val="007A23C9"/>
    <w:rsid w:val="007A258B"/>
    <w:rsid w:val="007A2923"/>
    <w:rsid w:val="007A3C78"/>
    <w:rsid w:val="007A3FA2"/>
    <w:rsid w:val="007A4578"/>
    <w:rsid w:val="007A4E6E"/>
    <w:rsid w:val="007A7300"/>
    <w:rsid w:val="007A749C"/>
    <w:rsid w:val="007A761F"/>
    <w:rsid w:val="007B1DD3"/>
    <w:rsid w:val="007B3DBC"/>
    <w:rsid w:val="007B46BA"/>
    <w:rsid w:val="007B4E81"/>
    <w:rsid w:val="007B5259"/>
    <w:rsid w:val="007B6608"/>
    <w:rsid w:val="007B6A0C"/>
    <w:rsid w:val="007B7E2B"/>
    <w:rsid w:val="007C04F2"/>
    <w:rsid w:val="007C2E38"/>
    <w:rsid w:val="007C4D1B"/>
    <w:rsid w:val="007C56BC"/>
    <w:rsid w:val="007C6079"/>
    <w:rsid w:val="007C6571"/>
    <w:rsid w:val="007D0080"/>
    <w:rsid w:val="007D1A87"/>
    <w:rsid w:val="007D1EB3"/>
    <w:rsid w:val="007D2057"/>
    <w:rsid w:val="007D433E"/>
    <w:rsid w:val="007D5695"/>
    <w:rsid w:val="007D5B5E"/>
    <w:rsid w:val="007D5D98"/>
    <w:rsid w:val="007D5E1C"/>
    <w:rsid w:val="007D5F4D"/>
    <w:rsid w:val="007D6851"/>
    <w:rsid w:val="007D6962"/>
    <w:rsid w:val="007D7084"/>
    <w:rsid w:val="007E043E"/>
    <w:rsid w:val="007E0618"/>
    <w:rsid w:val="007E0BF9"/>
    <w:rsid w:val="007E15EB"/>
    <w:rsid w:val="007E23E4"/>
    <w:rsid w:val="007E307A"/>
    <w:rsid w:val="007E4B4E"/>
    <w:rsid w:val="007E5686"/>
    <w:rsid w:val="007E61A4"/>
    <w:rsid w:val="007F033A"/>
    <w:rsid w:val="007F21A2"/>
    <w:rsid w:val="007F2550"/>
    <w:rsid w:val="007F26CD"/>
    <w:rsid w:val="007F2D84"/>
    <w:rsid w:val="007F53CD"/>
    <w:rsid w:val="008004FB"/>
    <w:rsid w:val="008008F7"/>
    <w:rsid w:val="00801516"/>
    <w:rsid w:val="0080207A"/>
    <w:rsid w:val="00802E96"/>
    <w:rsid w:val="00806600"/>
    <w:rsid w:val="00807CB0"/>
    <w:rsid w:val="008131ED"/>
    <w:rsid w:val="008165BB"/>
    <w:rsid w:val="00816AC0"/>
    <w:rsid w:val="00821355"/>
    <w:rsid w:val="0082267E"/>
    <w:rsid w:val="0082318F"/>
    <w:rsid w:val="008255A9"/>
    <w:rsid w:val="008268CD"/>
    <w:rsid w:val="008269CC"/>
    <w:rsid w:val="00832413"/>
    <w:rsid w:val="00832E12"/>
    <w:rsid w:val="00832EFE"/>
    <w:rsid w:val="008353BA"/>
    <w:rsid w:val="0083757A"/>
    <w:rsid w:val="00841FFC"/>
    <w:rsid w:val="00842A5A"/>
    <w:rsid w:val="008434E7"/>
    <w:rsid w:val="0084468B"/>
    <w:rsid w:val="00844DCA"/>
    <w:rsid w:val="00844EB5"/>
    <w:rsid w:val="008455CA"/>
    <w:rsid w:val="008464D3"/>
    <w:rsid w:val="00850333"/>
    <w:rsid w:val="00851B56"/>
    <w:rsid w:val="00852E28"/>
    <w:rsid w:val="00852EAA"/>
    <w:rsid w:val="008538A8"/>
    <w:rsid w:val="008558EC"/>
    <w:rsid w:val="00856424"/>
    <w:rsid w:val="008566BC"/>
    <w:rsid w:val="00856A48"/>
    <w:rsid w:val="0086168E"/>
    <w:rsid w:val="00862AAB"/>
    <w:rsid w:val="008640C7"/>
    <w:rsid w:val="00864130"/>
    <w:rsid w:val="00864A6F"/>
    <w:rsid w:val="00864C27"/>
    <w:rsid w:val="00865A79"/>
    <w:rsid w:val="00866A75"/>
    <w:rsid w:val="008677AA"/>
    <w:rsid w:val="00871695"/>
    <w:rsid w:val="0087299D"/>
    <w:rsid w:val="00873306"/>
    <w:rsid w:val="00874222"/>
    <w:rsid w:val="0087569B"/>
    <w:rsid w:val="0087598A"/>
    <w:rsid w:val="00876934"/>
    <w:rsid w:val="00877B22"/>
    <w:rsid w:val="00883277"/>
    <w:rsid w:val="00884D6D"/>
    <w:rsid w:val="008859CE"/>
    <w:rsid w:val="00885FF8"/>
    <w:rsid w:val="00886931"/>
    <w:rsid w:val="00886CCE"/>
    <w:rsid w:val="00887CCC"/>
    <w:rsid w:val="00890E39"/>
    <w:rsid w:val="0089256E"/>
    <w:rsid w:val="0089263E"/>
    <w:rsid w:val="008926B4"/>
    <w:rsid w:val="00893B14"/>
    <w:rsid w:val="00896376"/>
    <w:rsid w:val="00896732"/>
    <w:rsid w:val="00896D05"/>
    <w:rsid w:val="0089737A"/>
    <w:rsid w:val="008A08D1"/>
    <w:rsid w:val="008A1102"/>
    <w:rsid w:val="008A272E"/>
    <w:rsid w:val="008A4AC2"/>
    <w:rsid w:val="008A6A4C"/>
    <w:rsid w:val="008A7059"/>
    <w:rsid w:val="008A7A26"/>
    <w:rsid w:val="008B05EB"/>
    <w:rsid w:val="008B269E"/>
    <w:rsid w:val="008B748B"/>
    <w:rsid w:val="008B777B"/>
    <w:rsid w:val="008B7ACE"/>
    <w:rsid w:val="008C07C3"/>
    <w:rsid w:val="008C10F8"/>
    <w:rsid w:val="008C1B21"/>
    <w:rsid w:val="008C1F7A"/>
    <w:rsid w:val="008C39F4"/>
    <w:rsid w:val="008C41BF"/>
    <w:rsid w:val="008C4731"/>
    <w:rsid w:val="008C4B06"/>
    <w:rsid w:val="008C6661"/>
    <w:rsid w:val="008C6937"/>
    <w:rsid w:val="008C6EE3"/>
    <w:rsid w:val="008D0A8B"/>
    <w:rsid w:val="008D22D2"/>
    <w:rsid w:val="008D270F"/>
    <w:rsid w:val="008D3178"/>
    <w:rsid w:val="008D3E91"/>
    <w:rsid w:val="008E1632"/>
    <w:rsid w:val="008E38CF"/>
    <w:rsid w:val="008E468F"/>
    <w:rsid w:val="008E6E2F"/>
    <w:rsid w:val="008F3B2D"/>
    <w:rsid w:val="008F52D3"/>
    <w:rsid w:val="00901FE3"/>
    <w:rsid w:val="009024B5"/>
    <w:rsid w:val="0090261C"/>
    <w:rsid w:val="00902803"/>
    <w:rsid w:val="00902855"/>
    <w:rsid w:val="00902C37"/>
    <w:rsid w:val="00903FFF"/>
    <w:rsid w:val="009040A1"/>
    <w:rsid w:val="00904EFF"/>
    <w:rsid w:val="0090747C"/>
    <w:rsid w:val="0090762F"/>
    <w:rsid w:val="009078A8"/>
    <w:rsid w:val="00907B9B"/>
    <w:rsid w:val="00911B07"/>
    <w:rsid w:val="00913360"/>
    <w:rsid w:val="00913766"/>
    <w:rsid w:val="009158B3"/>
    <w:rsid w:val="00916006"/>
    <w:rsid w:val="00916130"/>
    <w:rsid w:val="0091630B"/>
    <w:rsid w:val="00916E35"/>
    <w:rsid w:val="009179B8"/>
    <w:rsid w:val="009204C6"/>
    <w:rsid w:val="00920A2A"/>
    <w:rsid w:val="00920CC0"/>
    <w:rsid w:val="00920CF6"/>
    <w:rsid w:val="00921392"/>
    <w:rsid w:val="00921D50"/>
    <w:rsid w:val="00921E99"/>
    <w:rsid w:val="009236C1"/>
    <w:rsid w:val="009254AC"/>
    <w:rsid w:val="00925D05"/>
    <w:rsid w:val="009277D2"/>
    <w:rsid w:val="0093104B"/>
    <w:rsid w:val="009310E6"/>
    <w:rsid w:val="00931E3F"/>
    <w:rsid w:val="0093776D"/>
    <w:rsid w:val="009413BF"/>
    <w:rsid w:val="00942081"/>
    <w:rsid w:val="00942186"/>
    <w:rsid w:val="009426A8"/>
    <w:rsid w:val="00942889"/>
    <w:rsid w:val="00943FB8"/>
    <w:rsid w:val="0094413E"/>
    <w:rsid w:val="00944BAF"/>
    <w:rsid w:val="0094538B"/>
    <w:rsid w:val="009466B9"/>
    <w:rsid w:val="009527F8"/>
    <w:rsid w:val="00953DCB"/>
    <w:rsid w:val="0095448F"/>
    <w:rsid w:val="00954E83"/>
    <w:rsid w:val="00957121"/>
    <w:rsid w:val="0096114F"/>
    <w:rsid w:val="00961807"/>
    <w:rsid w:val="00963E6D"/>
    <w:rsid w:val="00965239"/>
    <w:rsid w:val="009658DF"/>
    <w:rsid w:val="00965B36"/>
    <w:rsid w:val="0096690E"/>
    <w:rsid w:val="00970710"/>
    <w:rsid w:val="009719B3"/>
    <w:rsid w:val="00971CA3"/>
    <w:rsid w:val="00972B8E"/>
    <w:rsid w:val="009731B5"/>
    <w:rsid w:val="009737F6"/>
    <w:rsid w:val="009758CE"/>
    <w:rsid w:val="00976522"/>
    <w:rsid w:val="00976C2A"/>
    <w:rsid w:val="0097712C"/>
    <w:rsid w:val="00981380"/>
    <w:rsid w:val="0098341C"/>
    <w:rsid w:val="00983619"/>
    <w:rsid w:val="00985947"/>
    <w:rsid w:val="0098717C"/>
    <w:rsid w:val="00987261"/>
    <w:rsid w:val="00990CC5"/>
    <w:rsid w:val="00990F3C"/>
    <w:rsid w:val="00991092"/>
    <w:rsid w:val="009920B3"/>
    <w:rsid w:val="00992D4F"/>
    <w:rsid w:val="00993B1F"/>
    <w:rsid w:val="009A05BA"/>
    <w:rsid w:val="009A484D"/>
    <w:rsid w:val="009A4960"/>
    <w:rsid w:val="009A4B75"/>
    <w:rsid w:val="009A53A2"/>
    <w:rsid w:val="009A7736"/>
    <w:rsid w:val="009B13C0"/>
    <w:rsid w:val="009B1521"/>
    <w:rsid w:val="009B2CB5"/>
    <w:rsid w:val="009B4EA7"/>
    <w:rsid w:val="009B6ADC"/>
    <w:rsid w:val="009B6F45"/>
    <w:rsid w:val="009B745F"/>
    <w:rsid w:val="009C0874"/>
    <w:rsid w:val="009C11B9"/>
    <w:rsid w:val="009C21EE"/>
    <w:rsid w:val="009C2DFC"/>
    <w:rsid w:val="009C49CE"/>
    <w:rsid w:val="009C4E7F"/>
    <w:rsid w:val="009C6251"/>
    <w:rsid w:val="009C704B"/>
    <w:rsid w:val="009C72B1"/>
    <w:rsid w:val="009C774D"/>
    <w:rsid w:val="009D0117"/>
    <w:rsid w:val="009D06A1"/>
    <w:rsid w:val="009D122E"/>
    <w:rsid w:val="009D185A"/>
    <w:rsid w:val="009D1E7E"/>
    <w:rsid w:val="009D1F2C"/>
    <w:rsid w:val="009D2E02"/>
    <w:rsid w:val="009D355C"/>
    <w:rsid w:val="009D5666"/>
    <w:rsid w:val="009D5C1B"/>
    <w:rsid w:val="009D61BF"/>
    <w:rsid w:val="009D7093"/>
    <w:rsid w:val="009D766A"/>
    <w:rsid w:val="009D76D6"/>
    <w:rsid w:val="009D76DC"/>
    <w:rsid w:val="009E0682"/>
    <w:rsid w:val="009E1858"/>
    <w:rsid w:val="009E2460"/>
    <w:rsid w:val="009E6672"/>
    <w:rsid w:val="009E6D85"/>
    <w:rsid w:val="009E7396"/>
    <w:rsid w:val="009E75E8"/>
    <w:rsid w:val="009E7952"/>
    <w:rsid w:val="009E7A22"/>
    <w:rsid w:val="009E7D54"/>
    <w:rsid w:val="009F00AA"/>
    <w:rsid w:val="009F0C06"/>
    <w:rsid w:val="009F3BB2"/>
    <w:rsid w:val="009F53D1"/>
    <w:rsid w:val="009F5586"/>
    <w:rsid w:val="009F60E3"/>
    <w:rsid w:val="009F6DC8"/>
    <w:rsid w:val="009F6E95"/>
    <w:rsid w:val="009F7336"/>
    <w:rsid w:val="00A00D1E"/>
    <w:rsid w:val="00A00EAA"/>
    <w:rsid w:val="00A010CE"/>
    <w:rsid w:val="00A02724"/>
    <w:rsid w:val="00A05A69"/>
    <w:rsid w:val="00A060A6"/>
    <w:rsid w:val="00A0762C"/>
    <w:rsid w:val="00A1231C"/>
    <w:rsid w:val="00A12A6E"/>
    <w:rsid w:val="00A12FFC"/>
    <w:rsid w:val="00A15857"/>
    <w:rsid w:val="00A165BF"/>
    <w:rsid w:val="00A22399"/>
    <w:rsid w:val="00A23505"/>
    <w:rsid w:val="00A25F8F"/>
    <w:rsid w:val="00A262B4"/>
    <w:rsid w:val="00A26CA8"/>
    <w:rsid w:val="00A27596"/>
    <w:rsid w:val="00A27DD3"/>
    <w:rsid w:val="00A307BF"/>
    <w:rsid w:val="00A30C1F"/>
    <w:rsid w:val="00A32376"/>
    <w:rsid w:val="00A32769"/>
    <w:rsid w:val="00A330DA"/>
    <w:rsid w:val="00A33C06"/>
    <w:rsid w:val="00A36335"/>
    <w:rsid w:val="00A37F3F"/>
    <w:rsid w:val="00A40516"/>
    <w:rsid w:val="00A41673"/>
    <w:rsid w:val="00A417FF"/>
    <w:rsid w:val="00A41D6E"/>
    <w:rsid w:val="00A42134"/>
    <w:rsid w:val="00A4231A"/>
    <w:rsid w:val="00A42756"/>
    <w:rsid w:val="00A448C2"/>
    <w:rsid w:val="00A44C7C"/>
    <w:rsid w:val="00A45AF8"/>
    <w:rsid w:val="00A4653C"/>
    <w:rsid w:val="00A47FC4"/>
    <w:rsid w:val="00A516CC"/>
    <w:rsid w:val="00A51AC3"/>
    <w:rsid w:val="00A523DF"/>
    <w:rsid w:val="00A52598"/>
    <w:rsid w:val="00A54386"/>
    <w:rsid w:val="00A559E4"/>
    <w:rsid w:val="00A55BBB"/>
    <w:rsid w:val="00A57AC7"/>
    <w:rsid w:val="00A62364"/>
    <w:rsid w:val="00A625F9"/>
    <w:rsid w:val="00A630D8"/>
    <w:rsid w:val="00A65071"/>
    <w:rsid w:val="00A65F78"/>
    <w:rsid w:val="00A66E77"/>
    <w:rsid w:val="00A67A83"/>
    <w:rsid w:val="00A70393"/>
    <w:rsid w:val="00A7054B"/>
    <w:rsid w:val="00A70C48"/>
    <w:rsid w:val="00A730C4"/>
    <w:rsid w:val="00A73F2B"/>
    <w:rsid w:val="00A768BD"/>
    <w:rsid w:val="00A8085A"/>
    <w:rsid w:val="00A80C7B"/>
    <w:rsid w:val="00A81BBC"/>
    <w:rsid w:val="00A81CEC"/>
    <w:rsid w:val="00A82C1E"/>
    <w:rsid w:val="00A83BCA"/>
    <w:rsid w:val="00A84DA0"/>
    <w:rsid w:val="00A92363"/>
    <w:rsid w:val="00A93295"/>
    <w:rsid w:val="00A93970"/>
    <w:rsid w:val="00A95F7E"/>
    <w:rsid w:val="00A9604D"/>
    <w:rsid w:val="00A964BA"/>
    <w:rsid w:val="00A96D62"/>
    <w:rsid w:val="00A97227"/>
    <w:rsid w:val="00AA1303"/>
    <w:rsid w:val="00AA130C"/>
    <w:rsid w:val="00AA1AD9"/>
    <w:rsid w:val="00AA1E60"/>
    <w:rsid w:val="00AA3D7B"/>
    <w:rsid w:val="00AA62AC"/>
    <w:rsid w:val="00AA76FF"/>
    <w:rsid w:val="00AB0390"/>
    <w:rsid w:val="00AB03C0"/>
    <w:rsid w:val="00AB1E17"/>
    <w:rsid w:val="00AB2115"/>
    <w:rsid w:val="00AB26F6"/>
    <w:rsid w:val="00AB385C"/>
    <w:rsid w:val="00AB6836"/>
    <w:rsid w:val="00AB7127"/>
    <w:rsid w:val="00AB77A1"/>
    <w:rsid w:val="00AC04C7"/>
    <w:rsid w:val="00AC39E3"/>
    <w:rsid w:val="00AC41F7"/>
    <w:rsid w:val="00AC427E"/>
    <w:rsid w:val="00AC5189"/>
    <w:rsid w:val="00AC5A46"/>
    <w:rsid w:val="00AC63BA"/>
    <w:rsid w:val="00AC6B4C"/>
    <w:rsid w:val="00AC6B68"/>
    <w:rsid w:val="00AC6C1F"/>
    <w:rsid w:val="00AC6FE3"/>
    <w:rsid w:val="00AD0E93"/>
    <w:rsid w:val="00AD142A"/>
    <w:rsid w:val="00AD1FEC"/>
    <w:rsid w:val="00AD36C5"/>
    <w:rsid w:val="00AD41D6"/>
    <w:rsid w:val="00AD6922"/>
    <w:rsid w:val="00AD70F2"/>
    <w:rsid w:val="00AE14E2"/>
    <w:rsid w:val="00AE2D81"/>
    <w:rsid w:val="00AE3230"/>
    <w:rsid w:val="00AE4A6D"/>
    <w:rsid w:val="00AE53D3"/>
    <w:rsid w:val="00AF2856"/>
    <w:rsid w:val="00AF4AD4"/>
    <w:rsid w:val="00AF5EFC"/>
    <w:rsid w:val="00B01C53"/>
    <w:rsid w:val="00B01E3D"/>
    <w:rsid w:val="00B03382"/>
    <w:rsid w:val="00B0575E"/>
    <w:rsid w:val="00B06FD3"/>
    <w:rsid w:val="00B07EA2"/>
    <w:rsid w:val="00B110C9"/>
    <w:rsid w:val="00B12236"/>
    <w:rsid w:val="00B12EBD"/>
    <w:rsid w:val="00B135FD"/>
    <w:rsid w:val="00B142C4"/>
    <w:rsid w:val="00B17598"/>
    <w:rsid w:val="00B17DB8"/>
    <w:rsid w:val="00B23041"/>
    <w:rsid w:val="00B24BAD"/>
    <w:rsid w:val="00B265F0"/>
    <w:rsid w:val="00B26864"/>
    <w:rsid w:val="00B3219D"/>
    <w:rsid w:val="00B349EC"/>
    <w:rsid w:val="00B34FA4"/>
    <w:rsid w:val="00B3515E"/>
    <w:rsid w:val="00B3616A"/>
    <w:rsid w:val="00B37A97"/>
    <w:rsid w:val="00B37C83"/>
    <w:rsid w:val="00B41C2B"/>
    <w:rsid w:val="00B42AA5"/>
    <w:rsid w:val="00B42FE0"/>
    <w:rsid w:val="00B4338B"/>
    <w:rsid w:val="00B44377"/>
    <w:rsid w:val="00B44CD2"/>
    <w:rsid w:val="00B44E18"/>
    <w:rsid w:val="00B4702B"/>
    <w:rsid w:val="00B510AE"/>
    <w:rsid w:val="00B51EEB"/>
    <w:rsid w:val="00B5243D"/>
    <w:rsid w:val="00B539E7"/>
    <w:rsid w:val="00B53A6F"/>
    <w:rsid w:val="00B544D8"/>
    <w:rsid w:val="00B54AF3"/>
    <w:rsid w:val="00B55458"/>
    <w:rsid w:val="00B55EBE"/>
    <w:rsid w:val="00B56A64"/>
    <w:rsid w:val="00B617BD"/>
    <w:rsid w:val="00B61ED3"/>
    <w:rsid w:val="00B630E5"/>
    <w:rsid w:val="00B635FC"/>
    <w:rsid w:val="00B652B8"/>
    <w:rsid w:val="00B652BA"/>
    <w:rsid w:val="00B65630"/>
    <w:rsid w:val="00B65AB2"/>
    <w:rsid w:val="00B66904"/>
    <w:rsid w:val="00B67065"/>
    <w:rsid w:val="00B6777D"/>
    <w:rsid w:val="00B67EA1"/>
    <w:rsid w:val="00B70FB0"/>
    <w:rsid w:val="00B723F9"/>
    <w:rsid w:val="00B727D4"/>
    <w:rsid w:val="00B72994"/>
    <w:rsid w:val="00B732DB"/>
    <w:rsid w:val="00B73326"/>
    <w:rsid w:val="00B75301"/>
    <w:rsid w:val="00B75D3B"/>
    <w:rsid w:val="00B76206"/>
    <w:rsid w:val="00B76405"/>
    <w:rsid w:val="00B82868"/>
    <w:rsid w:val="00B831DD"/>
    <w:rsid w:val="00B83FE0"/>
    <w:rsid w:val="00B84CE7"/>
    <w:rsid w:val="00B84FC2"/>
    <w:rsid w:val="00B91455"/>
    <w:rsid w:val="00B9159B"/>
    <w:rsid w:val="00B91D2D"/>
    <w:rsid w:val="00B9226B"/>
    <w:rsid w:val="00B92E03"/>
    <w:rsid w:val="00B92F2D"/>
    <w:rsid w:val="00B934CB"/>
    <w:rsid w:val="00B941BC"/>
    <w:rsid w:val="00B94559"/>
    <w:rsid w:val="00B9639C"/>
    <w:rsid w:val="00B9650C"/>
    <w:rsid w:val="00B9718F"/>
    <w:rsid w:val="00BA0430"/>
    <w:rsid w:val="00BA0EA8"/>
    <w:rsid w:val="00BA1BC7"/>
    <w:rsid w:val="00BA3252"/>
    <w:rsid w:val="00BA325D"/>
    <w:rsid w:val="00BA36DB"/>
    <w:rsid w:val="00BA492F"/>
    <w:rsid w:val="00BA5196"/>
    <w:rsid w:val="00BA528D"/>
    <w:rsid w:val="00BA623D"/>
    <w:rsid w:val="00BA62E0"/>
    <w:rsid w:val="00BB139F"/>
    <w:rsid w:val="00BB1DEC"/>
    <w:rsid w:val="00BB3510"/>
    <w:rsid w:val="00BB373F"/>
    <w:rsid w:val="00BB47A7"/>
    <w:rsid w:val="00BB4A3B"/>
    <w:rsid w:val="00BB4E6D"/>
    <w:rsid w:val="00BB66E1"/>
    <w:rsid w:val="00BB77AE"/>
    <w:rsid w:val="00BB77E2"/>
    <w:rsid w:val="00BB7982"/>
    <w:rsid w:val="00BC026E"/>
    <w:rsid w:val="00BC1FDF"/>
    <w:rsid w:val="00BC5254"/>
    <w:rsid w:val="00BC60B7"/>
    <w:rsid w:val="00BC7F5A"/>
    <w:rsid w:val="00BD08CC"/>
    <w:rsid w:val="00BD1B97"/>
    <w:rsid w:val="00BD26BD"/>
    <w:rsid w:val="00BD61F1"/>
    <w:rsid w:val="00BD71D6"/>
    <w:rsid w:val="00BE1536"/>
    <w:rsid w:val="00BE3190"/>
    <w:rsid w:val="00BE59B7"/>
    <w:rsid w:val="00BE74A3"/>
    <w:rsid w:val="00BF0BA2"/>
    <w:rsid w:val="00BF1FF2"/>
    <w:rsid w:val="00BF22CC"/>
    <w:rsid w:val="00BF3AC5"/>
    <w:rsid w:val="00BF65C2"/>
    <w:rsid w:val="00BF69BD"/>
    <w:rsid w:val="00BF6BD1"/>
    <w:rsid w:val="00BF6C98"/>
    <w:rsid w:val="00C00548"/>
    <w:rsid w:val="00C038AA"/>
    <w:rsid w:val="00C03A2A"/>
    <w:rsid w:val="00C06008"/>
    <w:rsid w:val="00C076E2"/>
    <w:rsid w:val="00C11076"/>
    <w:rsid w:val="00C110AC"/>
    <w:rsid w:val="00C11F9A"/>
    <w:rsid w:val="00C1340F"/>
    <w:rsid w:val="00C13B4A"/>
    <w:rsid w:val="00C14172"/>
    <w:rsid w:val="00C14ACE"/>
    <w:rsid w:val="00C14C07"/>
    <w:rsid w:val="00C14F52"/>
    <w:rsid w:val="00C14FAB"/>
    <w:rsid w:val="00C15757"/>
    <w:rsid w:val="00C158F5"/>
    <w:rsid w:val="00C15C63"/>
    <w:rsid w:val="00C17D40"/>
    <w:rsid w:val="00C20AEA"/>
    <w:rsid w:val="00C237BA"/>
    <w:rsid w:val="00C2513A"/>
    <w:rsid w:val="00C25979"/>
    <w:rsid w:val="00C25D9E"/>
    <w:rsid w:val="00C25E09"/>
    <w:rsid w:val="00C27F93"/>
    <w:rsid w:val="00C27FC7"/>
    <w:rsid w:val="00C30CB4"/>
    <w:rsid w:val="00C324A3"/>
    <w:rsid w:val="00C334DC"/>
    <w:rsid w:val="00C3491B"/>
    <w:rsid w:val="00C35475"/>
    <w:rsid w:val="00C358A6"/>
    <w:rsid w:val="00C35920"/>
    <w:rsid w:val="00C37E1D"/>
    <w:rsid w:val="00C402D0"/>
    <w:rsid w:val="00C42337"/>
    <w:rsid w:val="00C431F0"/>
    <w:rsid w:val="00C440D1"/>
    <w:rsid w:val="00C44DA4"/>
    <w:rsid w:val="00C473BD"/>
    <w:rsid w:val="00C5109C"/>
    <w:rsid w:val="00C523B8"/>
    <w:rsid w:val="00C52A26"/>
    <w:rsid w:val="00C52A9A"/>
    <w:rsid w:val="00C5351F"/>
    <w:rsid w:val="00C55402"/>
    <w:rsid w:val="00C557B3"/>
    <w:rsid w:val="00C56386"/>
    <w:rsid w:val="00C56A93"/>
    <w:rsid w:val="00C56DDA"/>
    <w:rsid w:val="00C64D00"/>
    <w:rsid w:val="00C665E0"/>
    <w:rsid w:val="00C678D3"/>
    <w:rsid w:val="00C71BB7"/>
    <w:rsid w:val="00C7391E"/>
    <w:rsid w:val="00C75E81"/>
    <w:rsid w:val="00C75F78"/>
    <w:rsid w:val="00C7708B"/>
    <w:rsid w:val="00C77C0C"/>
    <w:rsid w:val="00C808EC"/>
    <w:rsid w:val="00C80B21"/>
    <w:rsid w:val="00C822E8"/>
    <w:rsid w:val="00C852C9"/>
    <w:rsid w:val="00C8760B"/>
    <w:rsid w:val="00C929E0"/>
    <w:rsid w:val="00C95CF6"/>
    <w:rsid w:val="00C9731C"/>
    <w:rsid w:val="00C9757C"/>
    <w:rsid w:val="00C97689"/>
    <w:rsid w:val="00C97AB9"/>
    <w:rsid w:val="00CA004B"/>
    <w:rsid w:val="00CA029B"/>
    <w:rsid w:val="00CA1091"/>
    <w:rsid w:val="00CA2D47"/>
    <w:rsid w:val="00CA43DD"/>
    <w:rsid w:val="00CA5B52"/>
    <w:rsid w:val="00CA70C6"/>
    <w:rsid w:val="00CB099C"/>
    <w:rsid w:val="00CB3BE5"/>
    <w:rsid w:val="00CB475E"/>
    <w:rsid w:val="00CB4BD2"/>
    <w:rsid w:val="00CB582D"/>
    <w:rsid w:val="00CB6076"/>
    <w:rsid w:val="00CB7510"/>
    <w:rsid w:val="00CC0170"/>
    <w:rsid w:val="00CC0975"/>
    <w:rsid w:val="00CC16EF"/>
    <w:rsid w:val="00CC1CFD"/>
    <w:rsid w:val="00CC27AE"/>
    <w:rsid w:val="00CC2904"/>
    <w:rsid w:val="00CC2C90"/>
    <w:rsid w:val="00CC45F9"/>
    <w:rsid w:val="00CC5552"/>
    <w:rsid w:val="00CC72EA"/>
    <w:rsid w:val="00CD0177"/>
    <w:rsid w:val="00CD0F4D"/>
    <w:rsid w:val="00CD1064"/>
    <w:rsid w:val="00CD1B03"/>
    <w:rsid w:val="00CD277C"/>
    <w:rsid w:val="00CD2A2E"/>
    <w:rsid w:val="00CD2B44"/>
    <w:rsid w:val="00CD3D35"/>
    <w:rsid w:val="00CD44C7"/>
    <w:rsid w:val="00CD5423"/>
    <w:rsid w:val="00CD5EE1"/>
    <w:rsid w:val="00CD668D"/>
    <w:rsid w:val="00CD73B5"/>
    <w:rsid w:val="00CE0AC2"/>
    <w:rsid w:val="00CE13B7"/>
    <w:rsid w:val="00CE17FC"/>
    <w:rsid w:val="00CE2204"/>
    <w:rsid w:val="00CE3ECB"/>
    <w:rsid w:val="00CE4F7F"/>
    <w:rsid w:val="00CE50AE"/>
    <w:rsid w:val="00CE6312"/>
    <w:rsid w:val="00CE6B86"/>
    <w:rsid w:val="00CE730D"/>
    <w:rsid w:val="00CF0238"/>
    <w:rsid w:val="00CF143E"/>
    <w:rsid w:val="00CF1F6B"/>
    <w:rsid w:val="00CF2A02"/>
    <w:rsid w:val="00CF2A3E"/>
    <w:rsid w:val="00CF323A"/>
    <w:rsid w:val="00CF3866"/>
    <w:rsid w:val="00CF6E61"/>
    <w:rsid w:val="00D00B7F"/>
    <w:rsid w:val="00D0188E"/>
    <w:rsid w:val="00D01E1C"/>
    <w:rsid w:val="00D05069"/>
    <w:rsid w:val="00D05B73"/>
    <w:rsid w:val="00D06480"/>
    <w:rsid w:val="00D06DAF"/>
    <w:rsid w:val="00D077C3"/>
    <w:rsid w:val="00D118C2"/>
    <w:rsid w:val="00D11C0D"/>
    <w:rsid w:val="00D15C92"/>
    <w:rsid w:val="00D17FEF"/>
    <w:rsid w:val="00D2370C"/>
    <w:rsid w:val="00D25ED6"/>
    <w:rsid w:val="00D2688F"/>
    <w:rsid w:val="00D27301"/>
    <w:rsid w:val="00D30D72"/>
    <w:rsid w:val="00D30D8F"/>
    <w:rsid w:val="00D31D7B"/>
    <w:rsid w:val="00D3226A"/>
    <w:rsid w:val="00D33F1C"/>
    <w:rsid w:val="00D34F9E"/>
    <w:rsid w:val="00D36025"/>
    <w:rsid w:val="00D41914"/>
    <w:rsid w:val="00D51556"/>
    <w:rsid w:val="00D517E3"/>
    <w:rsid w:val="00D51F90"/>
    <w:rsid w:val="00D520F9"/>
    <w:rsid w:val="00D52BB2"/>
    <w:rsid w:val="00D53217"/>
    <w:rsid w:val="00D53B76"/>
    <w:rsid w:val="00D54082"/>
    <w:rsid w:val="00D5671F"/>
    <w:rsid w:val="00D56C15"/>
    <w:rsid w:val="00D60DA9"/>
    <w:rsid w:val="00D610F4"/>
    <w:rsid w:val="00D6269B"/>
    <w:rsid w:val="00D62BB3"/>
    <w:rsid w:val="00D65E1B"/>
    <w:rsid w:val="00D666CD"/>
    <w:rsid w:val="00D66797"/>
    <w:rsid w:val="00D67F75"/>
    <w:rsid w:val="00D7097D"/>
    <w:rsid w:val="00D70A05"/>
    <w:rsid w:val="00D70FF7"/>
    <w:rsid w:val="00D71C95"/>
    <w:rsid w:val="00D71DE1"/>
    <w:rsid w:val="00D77385"/>
    <w:rsid w:val="00D8012D"/>
    <w:rsid w:val="00D80E51"/>
    <w:rsid w:val="00D810B7"/>
    <w:rsid w:val="00D82BBC"/>
    <w:rsid w:val="00D8355F"/>
    <w:rsid w:val="00D83B0D"/>
    <w:rsid w:val="00D83C8F"/>
    <w:rsid w:val="00D87900"/>
    <w:rsid w:val="00D90B0A"/>
    <w:rsid w:val="00D91715"/>
    <w:rsid w:val="00D929E7"/>
    <w:rsid w:val="00D93CA7"/>
    <w:rsid w:val="00D93DA5"/>
    <w:rsid w:val="00D951AE"/>
    <w:rsid w:val="00D95C65"/>
    <w:rsid w:val="00D95DD1"/>
    <w:rsid w:val="00D96B4D"/>
    <w:rsid w:val="00D97E40"/>
    <w:rsid w:val="00DA090D"/>
    <w:rsid w:val="00DA1CFA"/>
    <w:rsid w:val="00DA57F9"/>
    <w:rsid w:val="00DA763D"/>
    <w:rsid w:val="00DB0555"/>
    <w:rsid w:val="00DB06F0"/>
    <w:rsid w:val="00DB07D7"/>
    <w:rsid w:val="00DB1A60"/>
    <w:rsid w:val="00DB2929"/>
    <w:rsid w:val="00DB2EF0"/>
    <w:rsid w:val="00DB349D"/>
    <w:rsid w:val="00DB35BF"/>
    <w:rsid w:val="00DB3A24"/>
    <w:rsid w:val="00DB3E12"/>
    <w:rsid w:val="00DB44A9"/>
    <w:rsid w:val="00DB4525"/>
    <w:rsid w:val="00DB4711"/>
    <w:rsid w:val="00DB5189"/>
    <w:rsid w:val="00DB613A"/>
    <w:rsid w:val="00DB68E3"/>
    <w:rsid w:val="00DC0568"/>
    <w:rsid w:val="00DC0CA3"/>
    <w:rsid w:val="00DC1744"/>
    <w:rsid w:val="00DC1A13"/>
    <w:rsid w:val="00DC3297"/>
    <w:rsid w:val="00DC457B"/>
    <w:rsid w:val="00DC566E"/>
    <w:rsid w:val="00DC63AB"/>
    <w:rsid w:val="00DC72A8"/>
    <w:rsid w:val="00DD0685"/>
    <w:rsid w:val="00DD2595"/>
    <w:rsid w:val="00DD2B22"/>
    <w:rsid w:val="00DD6502"/>
    <w:rsid w:val="00DE132D"/>
    <w:rsid w:val="00DE2415"/>
    <w:rsid w:val="00DE2454"/>
    <w:rsid w:val="00DE29C8"/>
    <w:rsid w:val="00DE415C"/>
    <w:rsid w:val="00DE4315"/>
    <w:rsid w:val="00DE4397"/>
    <w:rsid w:val="00DE4964"/>
    <w:rsid w:val="00DE4A67"/>
    <w:rsid w:val="00DE5917"/>
    <w:rsid w:val="00DE593A"/>
    <w:rsid w:val="00DE5A2D"/>
    <w:rsid w:val="00DF02D1"/>
    <w:rsid w:val="00DF1263"/>
    <w:rsid w:val="00DF1E60"/>
    <w:rsid w:val="00DF2184"/>
    <w:rsid w:val="00DF21F1"/>
    <w:rsid w:val="00DF2D58"/>
    <w:rsid w:val="00DF32FE"/>
    <w:rsid w:val="00DF3AA5"/>
    <w:rsid w:val="00DF41E8"/>
    <w:rsid w:val="00DF5563"/>
    <w:rsid w:val="00DF6D36"/>
    <w:rsid w:val="00DF726A"/>
    <w:rsid w:val="00E0012A"/>
    <w:rsid w:val="00E001B4"/>
    <w:rsid w:val="00E0143B"/>
    <w:rsid w:val="00E01618"/>
    <w:rsid w:val="00E01C78"/>
    <w:rsid w:val="00E0333E"/>
    <w:rsid w:val="00E04392"/>
    <w:rsid w:val="00E0532D"/>
    <w:rsid w:val="00E05F21"/>
    <w:rsid w:val="00E062FB"/>
    <w:rsid w:val="00E11027"/>
    <w:rsid w:val="00E11266"/>
    <w:rsid w:val="00E141DD"/>
    <w:rsid w:val="00E146FA"/>
    <w:rsid w:val="00E15B20"/>
    <w:rsid w:val="00E15F0D"/>
    <w:rsid w:val="00E16219"/>
    <w:rsid w:val="00E17A89"/>
    <w:rsid w:val="00E22F1B"/>
    <w:rsid w:val="00E25537"/>
    <w:rsid w:val="00E25D41"/>
    <w:rsid w:val="00E26197"/>
    <w:rsid w:val="00E2619F"/>
    <w:rsid w:val="00E26325"/>
    <w:rsid w:val="00E26A36"/>
    <w:rsid w:val="00E31275"/>
    <w:rsid w:val="00E32E0D"/>
    <w:rsid w:val="00E333F7"/>
    <w:rsid w:val="00E33748"/>
    <w:rsid w:val="00E35304"/>
    <w:rsid w:val="00E363D5"/>
    <w:rsid w:val="00E40A08"/>
    <w:rsid w:val="00E40BF1"/>
    <w:rsid w:val="00E42D7E"/>
    <w:rsid w:val="00E43056"/>
    <w:rsid w:val="00E434B7"/>
    <w:rsid w:val="00E43EB1"/>
    <w:rsid w:val="00E456BA"/>
    <w:rsid w:val="00E46776"/>
    <w:rsid w:val="00E5039C"/>
    <w:rsid w:val="00E505D0"/>
    <w:rsid w:val="00E50752"/>
    <w:rsid w:val="00E50835"/>
    <w:rsid w:val="00E50EF5"/>
    <w:rsid w:val="00E529DE"/>
    <w:rsid w:val="00E5313B"/>
    <w:rsid w:val="00E540F3"/>
    <w:rsid w:val="00E55904"/>
    <w:rsid w:val="00E55B06"/>
    <w:rsid w:val="00E55E08"/>
    <w:rsid w:val="00E569A5"/>
    <w:rsid w:val="00E636DC"/>
    <w:rsid w:val="00E64CCA"/>
    <w:rsid w:val="00E65AF6"/>
    <w:rsid w:val="00E65E22"/>
    <w:rsid w:val="00E676F3"/>
    <w:rsid w:val="00E71456"/>
    <w:rsid w:val="00E71533"/>
    <w:rsid w:val="00E716A9"/>
    <w:rsid w:val="00E71D9E"/>
    <w:rsid w:val="00E73D39"/>
    <w:rsid w:val="00E740F1"/>
    <w:rsid w:val="00E74D9F"/>
    <w:rsid w:val="00E75EF0"/>
    <w:rsid w:val="00E762DF"/>
    <w:rsid w:val="00E77A8B"/>
    <w:rsid w:val="00E804AA"/>
    <w:rsid w:val="00E81F06"/>
    <w:rsid w:val="00E8200D"/>
    <w:rsid w:val="00E83D4F"/>
    <w:rsid w:val="00E83F56"/>
    <w:rsid w:val="00E84234"/>
    <w:rsid w:val="00E845F6"/>
    <w:rsid w:val="00E84F21"/>
    <w:rsid w:val="00E85420"/>
    <w:rsid w:val="00E85ED3"/>
    <w:rsid w:val="00E87682"/>
    <w:rsid w:val="00E87EC5"/>
    <w:rsid w:val="00E910CF"/>
    <w:rsid w:val="00E91C21"/>
    <w:rsid w:val="00E939E1"/>
    <w:rsid w:val="00E94536"/>
    <w:rsid w:val="00E958D6"/>
    <w:rsid w:val="00E97102"/>
    <w:rsid w:val="00EA2449"/>
    <w:rsid w:val="00EA6A99"/>
    <w:rsid w:val="00EA715D"/>
    <w:rsid w:val="00EA7C33"/>
    <w:rsid w:val="00EB00D0"/>
    <w:rsid w:val="00EB16C3"/>
    <w:rsid w:val="00EB1DE6"/>
    <w:rsid w:val="00EB24B7"/>
    <w:rsid w:val="00EB4666"/>
    <w:rsid w:val="00EB59DB"/>
    <w:rsid w:val="00EB5B11"/>
    <w:rsid w:val="00EB5C22"/>
    <w:rsid w:val="00EB6694"/>
    <w:rsid w:val="00EB72B8"/>
    <w:rsid w:val="00EB758B"/>
    <w:rsid w:val="00EC04E9"/>
    <w:rsid w:val="00EC12EA"/>
    <w:rsid w:val="00EC18A7"/>
    <w:rsid w:val="00EC26A3"/>
    <w:rsid w:val="00EC34D5"/>
    <w:rsid w:val="00EC4076"/>
    <w:rsid w:val="00ED2FE9"/>
    <w:rsid w:val="00ED3010"/>
    <w:rsid w:val="00ED6556"/>
    <w:rsid w:val="00ED7509"/>
    <w:rsid w:val="00ED7719"/>
    <w:rsid w:val="00ED7B83"/>
    <w:rsid w:val="00ED7FC8"/>
    <w:rsid w:val="00EE1DAD"/>
    <w:rsid w:val="00EE20FB"/>
    <w:rsid w:val="00EE31EB"/>
    <w:rsid w:val="00EE3F7A"/>
    <w:rsid w:val="00EE4E7F"/>
    <w:rsid w:val="00EE5FA3"/>
    <w:rsid w:val="00EE6474"/>
    <w:rsid w:val="00EE7CC5"/>
    <w:rsid w:val="00EF043A"/>
    <w:rsid w:val="00EF174B"/>
    <w:rsid w:val="00EF276A"/>
    <w:rsid w:val="00EF281E"/>
    <w:rsid w:val="00EF2B28"/>
    <w:rsid w:val="00EF4925"/>
    <w:rsid w:val="00EF4E21"/>
    <w:rsid w:val="00EF57AF"/>
    <w:rsid w:val="00EF59E4"/>
    <w:rsid w:val="00EF5C2E"/>
    <w:rsid w:val="00EF6E19"/>
    <w:rsid w:val="00EF74D8"/>
    <w:rsid w:val="00EF7A0A"/>
    <w:rsid w:val="00F00ECB"/>
    <w:rsid w:val="00F01857"/>
    <w:rsid w:val="00F02A9A"/>
    <w:rsid w:val="00F02F03"/>
    <w:rsid w:val="00F04664"/>
    <w:rsid w:val="00F04F60"/>
    <w:rsid w:val="00F057DA"/>
    <w:rsid w:val="00F05D05"/>
    <w:rsid w:val="00F07EED"/>
    <w:rsid w:val="00F110B7"/>
    <w:rsid w:val="00F12834"/>
    <w:rsid w:val="00F138A7"/>
    <w:rsid w:val="00F144B8"/>
    <w:rsid w:val="00F144CD"/>
    <w:rsid w:val="00F14C4A"/>
    <w:rsid w:val="00F16104"/>
    <w:rsid w:val="00F167F3"/>
    <w:rsid w:val="00F16E27"/>
    <w:rsid w:val="00F177F1"/>
    <w:rsid w:val="00F2518C"/>
    <w:rsid w:val="00F25497"/>
    <w:rsid w:val="00F25870"/>
    <w:rsid w:val="00F25993"/>
    <w:rsid w:val="00F268D8"/>
    <w:rsid w:val="00F27CF1"/>
    <w:rsid w:val="00F27FBF"/>
    <w:rsid w:val="00F31F31"/>
    <w:rsid w:val="00F32BC5"/>
    <w:rsid w:val="00F32EE8"/>
    <w:rsid w:val="00F34288"/>
    <w:rsid w:val="00F36120"/>
    <w:rsid w:val="00F401A8"/>
    <w:rsid w:val="00F40A47"/>
    <w:rsid w:val="00F4116A"/>
    <w:rsid w:val="00F42943"/>
    <w:rsid w:val="00F42E61"/>
    <w:rsid w:val="00F43254"/>
    <w:rsid w:val="00F45053"/>
    <w:rsid w:val="00F45252"/>
    <w:rsid w:val="00F474E2"/>
    <w:rsid w:val="00F47A5C"/>
    <w:rsid w:val="00F47FC9"/>
    <w:rsid w:val="00F5185B"/>
    <w:rsid w:val="00F547BE"/>
    <w:rsid w:val="00F562FC"/>
    <w:rsid w:val="00F56A1D"/>
    <w:rsid w:val="00F60B69"/>
    <w:rsid w:val="00F62B0F"/>
    <w:rsid w:val="00F63FA2"/>
    <w:rsid w:val="00F642C7"/>
    <w:rsid w:val="00F64691"/>
    <w:rsid w:val="00F64708"/>
    <w:rsid w:val="00F66353"/>
    <w:rsid w:val="00F66F63"/>
    <w:rsid w:val="00F67B8D"/>
    <w:rsid w:val="00F702AD"/>
    <w:rsid w:val="00F705CF"/>
    <w:rsid w:val="00F74499"/>
    <w:rsid w:val="00F7654A"/>
    <w:rsid w:val="00F76A1E"/>
    <w:rsid w:val="00F777A9"/>
    <w:rsid w:val="00F77FC2"/>
    <w:rsid w:val="00F8000A"/>
    <w:rsid w:val="00F80E0E"/>
    <w:rsid w:val="00F80E97"/>
    <w:rsid w:val="00F8338C"/>
    <w:rsid w:val="00F83FCF"/>
    <w:rsid w:val="00F904E9"/>
    <w:rsid w:val="00F90529"/>
    <w:rsid w:val="00F927E3"/>
    <w:rsid w:val="00F92C34"/>
    <w:rsid w:val="00F92CF8"/>
    <w:rsid w:val="00F951BE"/>
    <w:rsid w:val="00F95657"/>
    <w:rsid w:val="00F971D9"/>
    <w:rsid w:val="00FA1727"/>
    <w:rsid w:val="00FA255C"/>
    <w:rsid w:val="00FA3B2C"/>
    <w:rsid w:val="00FA4704"/>
    <w:rsid w:val="00FA625E"/>
    <w:rsid w:val="00FA6DB7"/>
    <w:rsid w:val="00FA7B5A"/>
    <w:rsid w:val="00FA7C0F"/>
    <w:rsid w:val="00FB14A6"/>
    <w:rsid w:val="00FB206B"/>
    <w:rsid w:val="00FB27F8"/>
    <w:rsid w:val="00FB3B31"/>
    <w:rsid w:val="00FB4CA1"/>
    <w:rsid w:val="00FB4CC9"/>
    <w:rsid w:val="00FB4E8F"/>
    <w:rsid w:val="00FB792E"/>
    <w:rsid w:val="00FC08DC"/>
    <w:rsid w:val="00FC47A0"/>
    <w:rsid w:val="00FC5F95"/>
    <w:rsid w:val="00FC70A0"/>
    <w:rsid w:val="00FC7123"/>
    <w:rsid w:val="00FC7F38"/>
    <w:rsid w:val="00FD1CE4"/>
    <w:rsid w:val="00FD1CE7"/>
    <w:rsid w:val="00FD3A3C"/>
    <w:rsid w:val="00FD422E"/>
    <w:rsid w:val="00FD523E"/>
    <w:rsid w:val="00FD5371"/>
    <w:rsid w:val="00FD6258"/>
    <w:rsid w:val="00FD627E"/>
    <w:rsid w:val="00FE0A17"/>
    <w:rsid w:val="00FE0C5A"/>
    <w:rsid w:val="00FE3FFE"/>
    <w:rsid w:val="00FE58BC"/>
    <w:rsid w:val="00FE5B92"/>
    <w:rsid w:val="00FE5BF0"/>
    <w:rsid w:val="00FE62CF"/>
    <w:rsid w:val="00FE6DFE"/>
    <w:rsid w:val="00FE775D"/>
    <w:rsid w:val="00FE77F0"/>
    <w:rsid w:val="00FE7B29"/>
    <w:rsid w:val="00FF2EF3"/>
    <w:rsid w:val="00FF317E"/>
    <w:rsid w:val="00FF3271"/>
    <w:rsid w:val="00FF4188"/>
    <w:rsid w:val="00FF4191"/>
    <w:rsid w:val="00FF47F7"/>
    <w:rsid w:val="00FF4A10"/>
    <w:rsid w:val="00FF4CD2"/>
    <w:rsid w:val="00FF767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b6c58,#887e6e,#d2232a,#57433e,#b0a696"/>
    </o:shapedefaults>
    <o:shapelayout v:ext="edit">
      <o:idmap v:ext="edit" data="2"/>
    </o:shapelayout>
  </w:shapeDefaults>
  <w:decimalSymbol w:val="."/>
  <w:listSeparator w:val=","/>
  <w14:docId w14:val="67A2A259"/>
  <w15:docId w15:val="{C4111CAF-8719-4BFC-936B-1A46B1B3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C7391E"/>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37319C"/>
    <w:pPr>
      <w:keepNext/>
      <w:numPr>
        <w:numId w:val="1"/>
      </w:numPr>
      <w:spacing w:before="480" w:after="240"/>
      <w:jc w:val="both"/>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uiPriority w:val="99"/>
    <w:rsid w:val="00E75EF0"/>
    <w:pPr>
      <w:spacing w:before="240" w:after="6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ind w:left="0"/>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uiPriority w:val="99"/>
    <w:qFormat/>
    <w:rsid w:val="008935B9"/>
    <w:rPr>
      <w:szCs w:val="20"/>
    </w:rPr>
  </w:style>
  <w:style w:type="character" w:styleId="FootnoteReference">
    <w:name w:val="footnote reference"/>
    <w:aliases w:val="ECC Footnote number"/>
    <w:basedOn w:val="DefaultParagraphFont"/>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9"/>
      </w:numPr>
      <w:tabs>
        <w:tab w:val="clear" w:pos="397"/>
        <w:tab w:val="num" w:pos="360"/>
      </w:tabs>
      <w:spacing w:after="120"/>
      <w:ind w:left="360" w:hanging="36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10"/>
      </w:numPr>
    </w:pPr>
  </w:style>
  <w:style w:type="numbering" w:customStyle="1" w:styleId="ECCNumberedList">
    <w:name w:val="ECC Numbered List"/>
    <w:uiPriority w:val="99"/>
    <w:rsid w:val="007C6571"/>
    <w:pPr>
      <w:numPr>
        <w:numId w:val="11"/>
      </w:numPr>
    </w:pPr>
  </w:style>
  <w:style w:type="paragraph" w:customStyle="1" w:styleId="ECCNumbered-LetteredList">
    <w:name w:val="ECC Numbered-Lettered List"/>
    <w:basedOn w:val="Normal"/>
    <w:rsid w:val="007C6571"/>
    <w:pPr>
      <w:numPr>
        <w:numId w:val="10"/>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ECCHLgreen">
    <w:name w:val="ECC HL green"/>
    <w:basedOn w:val="DefaultParagraphFont"/>
    <w:uiPriority w:val="1"/>
    <w:qFormat/>
    <w:rsid w:val="00DB68E3"/>
    <w:rPr>
      <w:bdr w:val="none" w:sz="0" w:space="0" w:color="auto"/>
      <w:shd w:val="solid" w:color="92D050" w:fill="auto"/>
      <w:lang w:val="en-GB"/>
    </w:rPr>
  </w:style>
  <w:style w:type="character" w:customStyle="1" w:styleId="FootnoteTextChar">
    <w:name w:val="Footnote Text Char"/>
    <w:basedOn w:val="DefaultParagraphFont"/>
    <w:link w:val="FootnoteText"/>
    <w:uiPriority w:val="99"/>
    <w:qFormat/>
    <w:rsid w:val="00DB68E3"/>
    <w:rPr>
      <w:rFonts w:ascii="Arial" w:hAnsi="Arial"/>
      <w:lang w:val="en-US"/>
    </w:rPr>
  </w:style>
  <w:style w:type="character" w:styleId="CommentReference">
    <w:name w:val="annotation reference"/>
    <w:basedOn w:val="DefaultParagraphFont"/>
    <w:uiPriority w:val="99"/>
    <w:semiHidden/>
    <w:unhideWhenUsed/>
    <w:rsid w:val="009B4EA7"/>
    <w:rPr>
      <w:sz w:val="16"/>
      <w:szCs w:val="16"/>
    </w:rPr>
  </w:style>
  <w:style w:type="paragraph" w:styleId="CommentText">
    <w:name w:val="annotation text"/>
    <w:basedOn w:val="Normal"/>
    <w:link w:val="CommentTextChar"/>
    <w:uiPriority w:val="99"/>
    <w:unhideWhenUsed/>
    <w:rsid w:val="009B4EA7"/>
    <w:rPr>
      <w:szCs w:val="20"/>
    </w:rPr>
  </w:style>
  <w:style w:type="character" w:customStyle="1" w:styleId="CommentTextChar">
    <w:name w:val="Comment Text Char"/>
    <w:basedOn w:val="DefaultParagraphFont"/>
    <w:link w:val="CommentText"/>
    <w:uiPriority w:val="99"/>
    <w:rsid w:val="009B4EA7"/>
    <w:rPr>
      <w:rFonts w:ascii="Arial" w:hAnsi="Arial"/>
      <w:lang w:val="en-US"/>
    </w:rPr>
  </w:style>
  <w:style w:type="paragraph" w:styleId="CommentSubject">
    <w:name w:val="annotation subject"/>
    <w:basedOn w:val="CommentText"/>
    <w:next w:val="CommentText"/>
    <w:link w:val="CommentSubjectChar"/>
    <w:uiPriority w:val="99"/>
    <w:semiHidden/>
    <w:unhideWhenUsed/>
    <w:rsid w:val="009B4EA7"/>
    <w:rPr>
      <w:b/>
      <w:bCs/>
    </w:rPr>
  </w:style>
  <w:style w:type="character" w:customStyle="1" w:styleId="CommentSubjectChar">
    <w:name w:val="Comment Subject Char"/>
    <w:basedOn w:val="CommentTextChar"/>
    <w:link w:val="CommentSubject"/>
    <w:uiPriority w:val="99"/>
    <w:semiHidden/>
    <w:rsid w:val="009B4EA7"/>
    <w:rPr>
      <w:rFonts w:ascii="Arial" w:hAnsi="Arial"/>
      <w:b/>
      <w:bCs/>
      <w:lang w:val="en-US"/>
    </w:rPr>
  </w:style>
  <w:style w:type="paragraph" w:styleId="Revision">
    <w:name w:val="Revision"/>
    <w:hidden/>
    <w:uiPriority w:val="99"/>
    <w:semiHidden/>
    <w:rsid w:val="00D00B7F"/>
    <w:rPr>
      <w:rFonts w:ascii="Arial" w:hAnsi="Arial"/>
      <w:szCs w:val="24"/>
      <w:lang w:val="en-US"/>
    </w:rPr>
  </w:style>
  <w:style w:type="paragraph" w:customStyle="1" w:styleId="coverpageReporttitledescription">
    <w:name w:val="cover page 'Report title/description'"/>
    <w:rsid w:val="0089737A"/>
    <w:pPr>
      <w:keepLines/>
      <w:spacing w:before="1800" w:after="60" w:line="288" w:lineRule="auto"/>
      <w:ind w:left="3402"/>
      <w:contextualSpacing/>
      <w:jc w:val="both"/>
      <w:textboxTightWrap w:val="firstLineOnly"/>
    </w:pPr>
    <w:rPr>
      <w:rFonts w:ascii="Arial" w:hAnsi="Arial"/>
      <w:sz w:val="24"/>
      <w:lang w:val="da-DK"/>
    </w:rPr>
  </w:style>
  <w:style w:type="character" w:styleId="UnresolvedMention">
    <w:name w:val="Unresolved Mention"/>
    <w:basedOn w:val="DefaultParagraphFont"/>
    <w:uiPriority w:val="99"/>
    <w:semiHidden/>
    <w:unhideWhenUsed/>
    <w:rsid w:val="00B44377"/>
    <w:rPr>
      <w:color w:val="605E5C"/>
      <w:shd w:val="clear" w:color="auto" w:fill="E1DFDD"/>
    </w:rPr>
  </w:style>
  <w:style w:type="character" w:customStyle="1" w:styleId="UnresolvedMention1">
    <w:name w:val="Unresolved Mention1"/>
    <w:basedOn w:val="DefaultParagraphFont"/>
    <w:uiPriority w:val="99"/>
    <w:semiHidden/>
    <w:unhideWhenUsed/>
    <w:rsid w:val="00C42337"/>
    <w:rPr>
      <w:color w:val="605E5C"/>
      <w:shd w:val="clear" w:color="auto" w:fill="E1DFDD"/>
    </w:rPr>
  </w:style>
  <w:style w:type="character" w:styleId="FollowedHyperlink">
    <w:name w:val="FollowedHyperlink"/>
    <w:basedOn w:val="DefaultParagraphFont"/>
    <w:uiPriority w:val="99"/>
    <w:semiHidden/>
    <w:unhideWhenUsed/>
    <w:rsid w:val="004D27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234">
      <w:bodyDiv w:val="1"/>
      <w:marLeft w:val="0"/>
      <w:marRight w:val="0"/>
      <w:marTop w:val="0"/>
      <w:marBottom w:val="0"/>
      <w:divBdr>
        <w:top w:val="none" w:sz="0" w:space="0" w:color="auto"/>
        <w:left w:val="none" w:sz="0" w:space="0" w:color="auto"/>
        <w:bottom w:val="none" w:sz="0" w:space="0" w:color="auto"/>
        <w:right w:val="none" w:sz="0" w:space="0" w:color="auto"/>
      </w:divBdr>
    </w:div>
    <w:div w:id="44571419">
      <w:bodyDiv w:val="1"/>
      <w:marLeft w:val="0"/>
      <w:marRight w:val="0"/>
      <w:marTop w:val="0"/>
      <w:marBottom w:val="0"/>
      <w:divBdr>
        <w:top w:val="none" w:sz="0" w:space="0" w:color="auto"/>
        <w:left w:val="none" w:sz="0" w:space="0" w:color="auto"/>
        <w:bottom w:val="none" w:sz="0" w:space="0" w:color="auto"/>
        <w:right w:val="none" w:sz="0" w:space="0" w:color="auto"/>
      </w:divBdr>
    </w:div>
    <w:div w:id="61607098">
      <w:bodyDiv w:val="1"/>
      <w:marLeft w:val="0"/>
      <w:marRight w:val="0"/>
      <w:marTop w:val="0"/>
      <w:marBottom w:val="0"/>
      <w:divBdr>
        <w:top w:val="none" w:sz="0" w:space="0" w:color="auto"/>
        <w:left w:val="none" w:sz="0" w:space="0" w:color="auto"/>
        <w:bottom w:val="none" w:sz="0" w:space="0" w:color="auto"/>
        <w:right w:val="none" w:sz="0" w:space="0" w:color="auto"/>
      </w:divBdr>
    </w:div>
    <w:div w:id="102385725">
      <w:bodyDiv w:val="1"/>
      <w:marLeft w:val="0"/>
      <w:marRight w:val="0"/>
      <w:marTop w:val="0"/>
      <w:marBottom w:val="0"/>
      <w:divBdr>
        <w:top w:val="none" w:sz="0" w:space="0" w:color="auto"/>
        <w:left w:val="none" w:sz="0" w:space="0" w:color="auto"/>
        <w:bottom w:val="none" w:sz="0" w:space="0" w:color="auto"/>
        <w:right w:val="none" w:sz="0" w:space="0" w:color="auto"/>
      </w:divBdr>
    </w:div>
    <w:div w:id="190414011">
      <w:bodyDiv w:val="1"/>
      <w:marLeft w:val="0"/>
      <w:marRight w:val="0"/>
      <w:marTop w:val="0"/>
      <w:marBottom w:val="0"/>
      <w:divBdr>
        <w:top w:val="none" w:sz="0" w:space="0" w:color="auto"/>
        <w:left w:val="none" w:sz="0" w:space="0" w:color="auto"/>
        <w:bottom w:val="none" w:sz="0" w:space="0" w:color="auto"/>
        <w:right w:val="none" w:sz="0" w:space="0" w:color="auto"/>
      </w:divBdr>
    </w:div>
    <w:div w:id="191193300">
      <w:bodyDiv w:val="1"/>
      <w:marLeft w:val="0"/>
      <w:marRight w:val="0"/>
      <w:marTop w:val="0"/>
      <w:marBottom w:val="0"/>
      <w:divBdr>
        <w:top w:val="none" w:sz="0" w:space="0" w:color="auto"/>
        <w:left w:val="none" w:sz="0" w:space="0" w:color="auto"/>
        <w:bottom w:val="none" w:sz="0" w:space="0" w:color="auto"/>
        <w:right w:val="none" w:sz="0" w:space="0" w:color="auto"/>
      </w:divBdr>
    </w:div>
    <w:div w:id="235290238">
      <w:bodyDiv w:val="1"/>
      <w:marLeft w:val="0"/>
      <w:marRight w:val="0"/>
      <w:marTop w:val="0"/>
      <w:marBottom w:val="0"/>
      <w:divBdr>
        <w:top w:val="none" w:sz="0" w:space="0" w:color="auto"/>
        <w:left w:val="none" w:sz="0" w:space="0" w:color="auto"/>
        <w:bottom w:val="none" w:sz="0" w:space="0" w:color="auto"/>
        <w:right w:val="none" w:sz="0" w:space="0" w:color="auto"/>
      </w:divBdr>
    </w:div>
    <w:div w:id="258224822">
      <w:bodyDiv w:val="1"/>
      <w:marLeft w:val="0"/>
      <w:marRight w:val="0"/>
      <w:marTop w:val="0"/>
      <w:marBottom w:val="0"/>
      <w:divBdr>
        <w:top w:val="none" w:sz="0" w:space="0" w:color="auto"/>
        <w:left w:val="none" w:sz="0" w:space="0" w:color="auto"/>
        <w:bottom w:val="none" w:sz="0" w:space="0" w:color="auto"/>
        <w:right w:val="none" w:sz="0" w:space="0" w:color="auto"/>
      </w:divBdr>
    </w:div>
    <w:div w:id="276371592">
      <w:bodyDiv w:val="1"/>
      <w:marLeft w:val="0"/>
      <w:marRight w:val="0"/>
      <w:marTop w:val="0"/>
      <w:marBottom w:val="0"/>
      <w:divBdr>
        <w:top w:val="none" w:sz="0" w:space="0" w:color="auto"/>
        <w:left w:val="none" w:sz="0" w:space="0" w:color="auto"/>
        <w:bottom w:val="none" w:sz="0" w:space="0" w:color="auto"/>
        <w:right w:val="none" w:sz="0" w:space="0" w:color="auto"/>
      </w:divBdr>
    </w:div>
    <w:div w:id="307051692">
      <w:bodyDiv w:val="1"/>
      <w:marLeft w:val="0"/>
      <w:marRight w:val="0"/>
      <w:marTop w:val="0"/>
      <w:marBottom w:val="0"/>
      <w:divBdr>
        <w:top w:val="none" w:sz="0" w:space="0" w:color="auto"/>
        <w:left w:val="none" w:sz="0" w:space="0" w:color="auto"/>
        <w:bottom w:val="none" w:sz="0" w:space="0" w:color="auto"/>
        <w:right w:val="none" w:sz="0" w:space="0" w:color="auto"/>
      </w:divBdr>
    </w:div>
    <w:div w:id="343285298">
      <w:bodyDiv w:val="1"/>
      <w:marLeft w:val="0"/>
      <w:marRight w:val="0"/>
      <w:marTop w:val="0"/>
      <w:marBottom w:val="0"/>
      <w:divBdr>
        <w:top w:val="none" w:sz="0" w:space="0" w:color="auto"/>
        <w:left w:val="none" w:sz="0" w:space="0" w:color="auto"/>
        <w:bottom w:val="none" w:sz="0" w:space="0" w:color="auto"/>
        <w:right w:val="none" w:sz="0" w:space="0" w:color="auto"/>
      </w:divBdr>
    </w:div>
    <w:div w:id="358355011">
      <w:bodyDiv w:val="1"/>
      <w:marLeft w:val="0"/>
      <w:marRight w:val="0"/>
      <w:marTop w:val="0"/>
      <w:marBottom w:val="0"/>
      <w:divBdr>
        <w:top w:val="none" w:sz="0" w:space="0" w:color="auto"/>
        <w:left w:val="none" w:sz="0" w:space="0" w:color="auto"/>
        <w:bottom w:val="none" w:sz="0" w:space="0" w:color="auto"/>
        <w:right w:val="none" w:sz="0" w:space="0" w:color="auto"/>
      </w:divBdr>
    </w:div>
    <w:div w:id="372387902">
      <w:bodyDiv w:val="1"/>
      <w:marLeft w:val="0"/>
      <w:marRight w:val="0"/>
      <w:marTop w:val="0"/>
      <w:marBottom w:val="0"/>
      <w:divBdr>
        <w:top w:val="none" w:sz="0" w:space="0" w:color="auto"/>
        <w:left w:val="none" w:sz="0" w:space="0" w:color="auto"/>
        <w:bottom w:val="none" w:sz="0" w:space="0" w:color="auto"/>
        <w:right w:val="none" w:sz="0" w:space="0" w:color="auto"/>
      </w:divBdr>
    </w:div>
    <w:div w:id="399712088">
      <w:bodyDiv w:val="1"/>
      <w:marLeft w:val="0"/>
      <w:marRight w:val="0"/>
      <w:marTop w:val="0"/>
      <w:marBottom w:val="0"/>
      <w:divBdr>
        <w:top w:val="none" w:sz="0" w:space="0" w:color="auto"/>
        <w:left w:val="none" w:sz="0" w:space="0" w:color="auto"/>
        <w:bottom w:val="none" w:sz="0" w:space="0" w:color="auto"/>
        <w:right w:val="none" w:sz="0" w:space="0" w:color="auto"/>
      </w:divBdr>
    </w:div>
    <w:div w:id="446893290">
      <w:bodyDiv w:val="1"/>
      <w:marLeft w:val="0"/>
      <w:marRight w:val="0"/>
      <w:marTop w:val="0"/>
      <w:marBottom w:val="0"/>
      <w:divBdr>
        <w:top w:val="none" w:sz="0" w:space="0" w:color="auto"/>
        <w:left w:val="none" w:sz="0" w:space="0" w:color="auto"/>
        <w:bottom w:val="none" w:sz="0" w:space="0" w:color="auto"/>
        <w:right w:val="none" w:sz="0" w:space="0" w:color="auto"/>
      </w:divBdr>
    </w:div>
    <w:div w:id="447359994">
      <w:bodyDiv w:val="1"/>
      <w:marLeft w:val="0"/>
      <w:marRight w:val="0"/>
      <w:marTop w:val="0"/>
      <w:marBottom w:val="0"/>
      <w:divBdr>
        <w:top w:val="none" w:sz="0" w:space="0" w:color="auto"/>
        <w:left w:val="none" w:sz="0" w:space="0" w:color="auto"/>
        <w:bottom w:val="none" w:sz="0" w:space="0" w:color="auto"/>
        <w:right w:val="none" w:sz="0" w:space="0" w:color="auto"/>
      </w:divBdr>
    </w:div>
    <w:div w:id="455834229">
      <w:bodyDiv w:val="1"/>
      <w:marLeft w:val="0"/>
      <w:marRight w:val="0"/>
      <w:marTop w:val="0"/>
      <w:marBottom w:val="0"/>
      <w:divBdr>
        <w:top w:val="none" w:sz="0" w:space="0" w:color="auto"/>
        <w:left w:val="none" w:sz="0" w:space="0" w:color="auto"/>
        <w:bottom w:val="none" w:sz="0" w:space="0" w:color="auto"/>
        <w:right w:val="none" w:sz="0" w:space="0" w:color="auto"/>
      </w:divBdr>
    </w:div>
    <w:div w:id="494497204">
      <w:bodyDiv w:val="1"/>
      <w:marLeft w:val="0"/>
      <w:marRight w:val="0"/>
      <w:marTop w:val="0"/>
      <w:marBottom w:val="0"/>
      <w:divBdr>
        <w:top w:val="none" w:sz="0" w:space="0" w:color="auto"/>
        <w:left w:val="none" w:sz="0" w:space="0" w:color="auto"/>
        <w:bottom w:val="none" w:sz="0" w:space="0" w:color="auto"/>
        <w:right w:val="none" w:sz="0" w:space="0" w:color="auto"/>
      </w:divBdr>
    </w:div>
    <w:div w:id="497427706">
      <w:bodyDiv w:val="1"/>
      <w:marLeft w:val="0"/>
      <w:marRight w:val="0"/>
      <w:marTop w:val="0"/>
      <w:marBottom w:val="0"/>
      <w:divBdr>
        <w:top w:val="none" w:sz="0" w:space="0" w:color="auto"/>
        <w:left w:val="none" w:sz="0" w:space="0" w:color="auto"/>
        <w:bottom w:val="none" w:sz="0" w:space="0" w:color="auto"/>
        <w:right w:val="none" w:sz="0" w:space="0" w:color="auto"/>
      </w:divBdr>
    </w:div>
    <w:div w:id="519509687">
      <w:bodyDiv w:val="1"/>
      <w:marLeft w:val="0"/>
      <w:marRight w:val="0"/>
      <w:marTop w:val="0"/>
      <w:marBottom w:val="0"/>
      <w:divBdr>
        <w:top w:val="none" w:sz="0" w:space="0" w:color="auto"/>
        <w:left w:val="none" w:sz="0" w:space="0" w:color="auto"/>
        <w:bottom w:val="none" w:sz="0" w:space="0" w:color="auto"/>
        <w:right w:val="none" w:sz="0" w:space="0" w:color="auto"/>
      </w:divBdr>
    </w:div>
    <w:div w:id="621887586">
      <w:bodyDiv w:val="1"/>
      <w:marLeft w:val="0"/>
      <w:marRight w:val="0"/>
      <w:marTop w:val="0"/>
      <w:marBottom w:val="0"/>
      <w:divBdr>
        <w:top w:val="none" w:sz="0" w:space="0" w:color="auto"/>
        <w:left w:val="none" w:sz="0" w:space="0" w:color="auto"/>
        <w:bottom w:val="none" w:sz="0" w:space="0" w:color="auto"/>
        <w:right w:val="none" w:sz="0" w:space="0" w:color="auto"/>
      </w:divBdr>
    </w:div>
    <w:div w:id="622350824">
      <w:bodyDiv w:val="1"/>
      <w:marLeft w:val="0"/>
      <w:marRight w:val="0"/>
      <w:marTop w:val="0"/>
      <w:marBottom w:val="0"/>
      <w:divBdr>
        <w:top w:val="none" w:sz="0" w:space="0" w:color="auto"/>
        <w:left w:val="none" w:sz="0" w:space="0" w:color="auto"/>
        <w:bottom w:val="none" w:sz="0" w:space="0" w:color="auto"/>
        <w:right w:val="none" w:sz="0" w:space="0" w:color="auto"/>
      </w:divBdr>
    </w:div>
    <w:div w:id="625627208">
      <w:bodyDiv w:val="1"/>
      <w:marLeft w:val="0"/>
      <w:marRight w:val="0"/>
      <w:marTop w:val="0"/>
      <w:marBottom w:val="0"/>
      <w:divBdr>
        <w:top w:val="none" w:sz="0" w:space="0" w:color="auto"/>
        <w:left w:val="none" w:sz="0" w:space="0" w:color="auto"/>
        <w:bottom w:val="none" w:sz="0" w:space="0" w:color="auto"/>
        <w:right w:val="none" w:sz="0" w:space="0" w:color="auto"/>
      </w:divBdr>
    </w:div>
    <w:div w:id="628359769">
      <w:bodyDiv w:val="1"/>
      <w:marLeft w:val="0"/>
      <w:marRight w:val="0"/>
      <w:marTop w:val="0"/>
      <w:marBottom w:val="0"/>
      <w:divBdr>
        <w:top w:val="none" w:sz="0" w:space="0" w:color="auto"/>
        <w:left w:val="none" w:sz="0" w:space="0" w:color="auto"/>
        <w:bottom w:val="none" w:sz="0" w:space="0" w:color="auto"/>
        <w:right w:val="none" w:sz="0" w:space="0" w:color="auto"/>
      </w:divBdr>
    </w:div>
    <w:div w:id="659578991">
      <w:bodyDiv w:val="1"/>
      <w:marLeft w:val="0"/>
      <w:marRight w:val="0"/>
      <w:marTop w:val="0"/>
      <w:marBottom w:val="0"/>
      <w:divBdr>
        <w:top w:val="none" w:sz="0" w:space="0" w:color="auto"/>
        <w:left w:val="none" w:sz="0" w:space="0" w:color="auto"/>
        <w:bottom w:val="none" w:sz="0" w:space="0" w:color="auto"/>
        <w:right w:val="none" w:sz="0" w:space="0" w:color="auto"/>
      </w:divBdr>
    </w:div>
    <w:div w:id="672223748">
      <w:bodyDiv w:val="1"/>
      <w:marLeft w:val="0"/>
      <w:marRight w:val="0"/>
      <w:marTop w:val="0"/>
      <w:marBottom w:val="0"/>
      <w:divBdr>
        <w:top w:val="none" w:sz="0" w:space="0" w:color="auto"/>
        <w:left w:val="none" w:sz="0" w:space="0" w:color="auto"/>
        <w:bottom w:val="none" w:sz="0" w:space="0" w:color="auto"/>
        <w:right w:val="none" w:sz="0" w:space="0" w:color="auto"/>
      </w:divBdr>
    </w:div>
    <w:div w:id="720831324">
      <w:bodyDiv w:val="1"/>
      <w:marLeft w:val="0"/>
      <w:marRight w:val="0"/>
      <w:marTop w:val="0"/>
      <w:marBottom w:val="0"/>
      <w:divBdr>
        <w:top w:val="none" w:sz="0" w:space="0" w:color="auto"/>
        <w:left w:val="none" w:sz="0" w:space="0" w:color="auto"/>
        <w:bottom w:val="none" w:sz="0" w:space="0" w:color="auto"/>
        <w:right w:val="none" w:sz="0" w:space="0" w:color="auto"/>
      </w:divBdr>
    </w:div>
    <w:div w:id="789133597">
      <w:bodyDiv w:val="1"/>
      <w:marLeft w:val="0"/>
      <w:marRight w:val="0"/>
      <w:marTop w:val="0"/>
      <w:marBottom w:val="0"/>
      <w:divBdr>
        <w:top w:val="none" w:sz="0" w:space="0" w:color="auto"/>
        <w:left w:val="none" w:sz="0" w:space="0" w:color="auto"/>
        <w:bottom w:val="none" w:sz="0" w:space="0" w:color="auto"/>
        <w:right w:val="none" w:sz="0" w:space="0" w:color="auto"/>
      </w:divBdr>
    </w:div>
    <w:div w:id="804274965">
      <w:bodyDiv w:val="1"/>
      <w:marLeft w:val="0"/>
      <w:marRight w:val="0"/>
      <w:marTop w:val="0"/>
      <w:marBottom w:val="0"/>
      <w:divBdr>
        <w:top w:val="none" w:sz="0" w:space="0" w:color="auto"/>
        <w:left w:val="none" w:sz="0" w:space="0" w:color="auto"/>
        <w:bottom w:val="none" w:sz="0" w:space="0" w:color="auto"/>
        <w:right w:val="none" w:sz="0" w:space="0" w:color="auto"/>
      </w:divBdr>
    </w:div>
    <w:div w:id="815688438">
      <w:bodyDiv w:val="1"/>
      <w:marLeft w:val="0"/>
      <w:marRight w:val="0"/>
      <w:marTop w:val="0"/>
      <w:marBottom w:val="0"/>
      <w:divBdr>
        <w:top w:val="none" w:sz="0" w:space="0" w:color="auto"/>
        <w:left w:val="none" w:sz="0" w:space="0" w:color="auto"/>
        <w:bottom w:val="none" w:sz="0" w:space="0" w:color="auto"/>
        <w:right w:val="none" w:sz="0" w:space="0" w:color="auto"/>
      </w:divBdr>
    </w:div>
    <w:div w:id="843133247">
      <w:bodyDiv w:val="1"/>
      <w:marLeft w:val="0"/>
      <w:marRight w:val="0"/>
      <w:marTop w:val="0"/>
      <w:marBottom w:val="0"/>
      <w:divBdr>
        <w:top w:val="none" w:sz="0" w:space="0" w:color="auto"/>
        <w:left w:val="none" w:sz="0" w:space="0" w:color="auto"/>
        <w:bottom w:val="none" w:sz="0" w:space="0" w:color="auto"/>
        <w:right w:val="none" w:sz="0" w:space="0" w:color="auto"/>
      </w:divBdr>
    </w:div>
    <w:div w:id="847905556">
      <w:bodyDiv w:val="1"/>
      <w:marLeft w:val="0"/>
      <w:marRight w:val="0"/>
      <w:marTop w:val="0"/>
      <w:marBottom w:val="0"/>
      <w:divBdr>
        <w:top w:val="none" w:sz="0" w:space="0" w:color="auto"/>
        <w:left w:val="none" w:sz="0" w:space="0" w:color="auto"/>
        <w:bottom w:val="none" w:sz="0" w:space="0" w:color="auto"/>
        <w:right w:val="none" w:sz="0" w:space="0" w:color="auto"/>
      </w:divBdr>
    </w:div>
    <w:div w:id="882639608">
      <w:bodyDiv w:val="1"/>
      <w:marLeft w:val="0"/>
      <w:marRight w:val="0"/>
      <w:marTop w:val="0"/>
      <w:marBottom w:val="0"/>
      <w:divBdr>
        <w:top w:val="none" w:sz="0" w:space="0" w:color="auto"/>
        <w:left w:val="none" w:sz="0" w:space="0" w:color="auto"/>
        <w:bottom w:val="none" w:sz="0" w:space="0" w:color="auto"/>
        <w:right w:val="none" w:sz="0" w:space="0" w:color="auto"/>
      </w:divBdr>
    </w:div>
    <w:div w:id="920218232">
      <w:bodyDiv w:val="1"/>
      <w:marLeft w:val="0"/>
      <w:marRight w:val="0"/>
      <w:marTop w:val="0"/>
      <w:marBottom w:val="0"/>
      <w:divBdr>
        <w:top w:val="none" w:sz="0" w:space="0" w:color="auto"/>
        <w:left w:val="none" w:sz="0" w:space="0" w:color="auto"/>
        <w:bottom w:val="none" w:sz="0" w:space="0" w:color="auto"/>
        <w:right w:val="none" w:sz="0" w:space="0" w:color="auto"/>
      </w:divBdr>
    </w:div>
    <w:div w:id="937641977">
      <w:bodyDiv w:val="1"/>
      <w:marLeft w:val="0"/>
      <w:marRight w:val="0"/>
      <w:marTop w:val="0"/>
      <w:marBottom w:val="0"/>
      <w:divBdr>
        <w:top w:val="none" w:sz="0" w:space="0" w:color="auto"/>
        <w:left w:val="none" w:sz="0" w:space="0" w:color="auto"/>
        <w:bottom w:val="none" w:sz="0" w:space="0" w:color="auto"/>
        <w:right w:val="none" w:sz="0" w:space="0" w:color="auto"/>
      </w:divBdr>
    </w:div>
    <w:div w:id="948391525">
      <w:bodyDiv w:val="1"/>
      <w:marLeft w:val="0"/>
      <w:marRight w:val="0"/>
      <w:marTop w:val="0"/>
      <w:marBottom w:val="0"/>
      <w:divBdr>
        <w:top w:val="none" w:sz="0" w:space="0" w:color="auto"/>
        <w:left w:val="none" w:sz="0" w:space="0" w:color="auto"/>
        <w:bottom w:val="none" w:sz="0" w:space="0" w:color="auto"/>
        <w:right w:val="none" w:sz="0" w:space="0" w:color="auto"/>
      </w:divBdr>
    </w:div>
    <w:div w:id="964115273">
      <w:bodyDiv w:val="1"/>
      <w:marLeft w:val="0"/>
      <w:marRight w:val="0"/>
      <w:marTop w:val="0"/>
      <w:marBottom w:val="0"/>
      <w:divBdr>
        <w:top w:val="none" w:sz="0" w:space="0" w:color="auto"/>
        <w:left w:val="none" w:sz="0" w:space="0" w:color="auto"/>
        <w:bottom w:val="none" w:sz="0" w:space="0" w:color="auto"/>
        <w:right w:val="none" w:sz="0" w:space="0" w:color="auto"/>
      </w:divBdr>
    </w:div>
    <w:div w:id="1049181443">
      <w:bodyDiv w:val="1"/>
      <w:marLeft w:val="0"/>
      <w:marRight w:val="0"/>
      <w:marTop w:val="0"/>
      <w:marBottom w:val="0"/>
      <w:divBdr>
        <w:top w:val="none" w:sz="0" w:space="0" w:color="auto"/>
        <w:left w:val="none" w:sz="0" w:space="0" w:color="auto"/>
        <w:bottom w:val="none" w:sz="0" w:space="0" w:color="auto"/>
        <w:right w:val="none" w:sz="0" w:space="0" w:color="auto"/>
      </w:divBdr>
    </w:div>
    <w:div w:id="1080758791">
      <w:bodyDiv w:val="1"/>
      <w:marLeft w:val="0"/>
      <w:marRight w:val="0"/>
      <w:marTop w:val="0"/>
      <w:marBottom w:val="0"/>
      <w:divBdr>
        <w:top w:val="none" w:sz="0" w:space="0" w:color="auto"/>
        <w:left w:val="none" w:sz="0" w:space="0" w:color="auto"/>
        <w:bottom w:val="none" w:sz="0" w:space="0" w:color="auto"/>
        <w:right w:val="none" w:sz="0" w:space="0" w:color="auto"/>
      </w:divBdr>
    </w:div>
    <w:div w:id="1125345954">
      <w:bodyDiv w:val="1"/>
      <w:marLeft w:val="0"/>
      <w:marRight w:val="0"/>
      <w:marTop w:val="0"/>
      <w:marBottom w:val="0"/>
      <w:divBdr>
        <w:top w:val="none" w:sz="0" w:space="0" w:color="auto"/>
        <w:left w:val="none" w:sz="0" w:space="0" w:color="auto"/>
        <w:bottom w:val="none" w:sz="0" w:space="0" w:color="auto"/>
        <w:right w:val="none" w:sz="0" w:space="0" w:color="auto"/>
      </w:divBdr>
    </w:div>
    <w:div w:id="1181432331">
      <w:bodyDiv w:val="1"/>
      <w:marLeft w:val="0"/>
      <w:marRight w:val="0"/>
      <w:marTop w:val="0"/>
      <w:marBottom w:val="0"/>
      <w:divBdr>
        <w:top w:val="none" w:sz="0" w:space="0" w:color="auto"/>
        <w:left w:val="none" w:sz="0" w:space="0" w:color="auto"/>
        <w:bottom w:val="none" w:sz="0" w:space="0" w:color="auto"/>
        <w:right w:val="none" w:sz="0" w:space="0" w:color="auto"/>
      </w:divBdr>
    </w:div>
    <w:div w:id="1209147941">
      <w:bodyDiv w:val="1"/>
      <w:marLeft w:val="0"/>
      <w:marRight w:val="0"/>
      <w:marTop w:val="0"/>
      <w:marBottom w:val="0"/>
      <w:divBdr>
        <w:top w:val="none" w:sz="0" w:space="0" w:color="auto"/>
        <w:left w:val="none" w:sz="0" w:space="0" w:color="auto"/>
        <w:bottom w:val="none" w:sz="0" w:space="0" w:color="auto"/>
        <w:right w:val="none" w:sz="0" w:space="0" w:color="auto"/>
      </w:divBdr>
    </w:div>
    <w:div w:id="1214075823">
      <w:bodyDiv w:val="1"/>
      <w:marLeft w:val="0"/>
      <w:marRight w:val="0"/>
      <w:marTop w:val="0"/>
      <w:marBottom w:val="0"/>
      <w:divBdr>
        <w:top w:val="none" w:sz="0" w:space="0" w:color="auto"/>
        <w:left w:val="none" w:sz="0" w:space="0" w:color="auto"/>
        <w:bottom w:val="none" w:sz="0" w:space="0" w:color="auto"/>
        <w:right w:val="none" w:sz="0" w:space="0" w:color="auto"/>
      </w:divBdr>
    </w:div>
    <w:div w:id="1275015424">
      <w:bodyDiv w:val="1"/>
      <w:marLeft w:val="0"/>
      <w:marRight w:val="0"/>
      <w:marTop w:val="0"/>
      <w:marBottom w:val="0"/>
      <w:divBdr>
        <w:top w:val="none" w:sz="0" w:space="0" w:color="auto"/>
        <w:left w:val="none" w:sz="0" w:space="0" w:color="auto"/>
        <w:bottom w:val="none" w:sz="0" w:space="0" w:color="auto"/>
        <w:right w:val="none" w:sz="0" w:space="0" w:color="auto"/>
      </w:divBdr>
    </w:div>
    <w:div w:id="1295061129">
      <w:bodyDiv w:val="1"/>
      <w:marLeft w:val="0"/>
      <w:marRight w:val="0"/>
      <w:marTop w:val="0"/>
      <w:marBottom w:val="0"/>
      <w:divBdr>
        <w:top w:val="none" w:sz="0" w:space="0" w:color="auto"/>
        <w:left w:val="none" w:sz="0" w:space="0" w:color="auto"/>
        <w:bottom w:val="none" w:sz="0" w:space="0" w:color="auto"/>
        <w:right w:val="none" w:sz="0" w:space="0" w:color="auto"/>
      </w:divBdr>
    </w:div>
    <w:div w:id="1297224431">
      <w:bodyDiv w:val="1"/>
      <w:marLeft w:val="0"/>
      <w:marRight w:val="0"/>
      <w:marTop w:val="0"/>
      <w:marBottom w:val="0"/>
      <w:divBdr>
        <w:top w:val="none" w:sz="0" w:space="0" w:color="auto"/>
        <w:left w:val="none" w:sz="0" w:space="0" w:color="auto"/>
        <w:bottom w:val="none" w:sz="0" w:space="0" w:color="auto"/>
        <w:right w:val="none" w:sz="0" w:space="0" w:color="auto"/>
      </w:divBdr>
    </w:div>
    <w:div w:id="1362439038">
      <w:bodyDiv w:val="1"/>
      <w:marLeft w:val="0"/>
      <w:marRight w:val="0"/>
      <w:marTop w:val="0"/>
      <w:marBottom w:val="0"/>
      <w:divBdr>
        <w:top w:val="none" w:sz="0" w:space="0" w:color="auto"/>
        <w:left w:val="none" w:sz="0" w:space="0" w:color="auto"/>
        <w:bottom w:val="none" w:sz="0" w:space="0" w:color="auto"/>
        <w:right w:val="none" w:sz="0" w:space="0" w:color="auto"/>
      </w:divBdr>
    </w:div>
    <w:div w:id="1378167767">
      <w:bodyDiv w:val="1"/>
      <w:marLeft w:val="0"/>
      <w:marRight w:val="0"/>
      <w:marTop w:val="0"/>
      <w:marBottom w:val="0"/>
      <w:divBdr>
        <w:top w:val="none" w:sz="0" w:space="0" w:color="auto"/>
        <w:left w:val="none" w:sz="0" w:space="0" w:color="auto"/>
        <w:bottom w:val="none" w:sz="0" w:space="0" w:color="auto"/>
        <w:right w:val="none" w:sz="0" w:space="0" w:color="auto"/>
      </w:divBdr>
    </w:div>
    <w:div w:id="1521427029">
      <w:bodyDiv w:val="1"/>
      <w:marLeft w:val="0"/>
      <w:marRight w:val="0"/>
      <w:marTop w:val="0"/>
      <w:marBottom w:val="0"/>
      <w:divBdr>
        <w:top w:val="none" w:sz="0" w:space="0" w:color="auto"/>
        <w:left w:val="none" w:sz="0" w:space="0" w:color="auto"/>
        <w:bottom w:val="none" w:sz="0" w:space="0" w:color="auto"/>
        <w:right w:val="none" w:sz="0" w:space="0" w:color="auto"/>
      </w:divBdr>
    </w:div>
    <w:div w:id="1548102934">
      <w:bodyDiv w:val="1"/>
      <w:marLeft w:val="0"/>
      <w:marRight w:val="0"/>
      <w:marTop w:val="0"/>
      <w:marBottom w:val="0"/>
      <w:divBdr>
        <w:top w:val="none" w:sz="0" w:space="0" w:color="auto"/>
        <w:left w:val="none" w:sz="0" w:space="0" w:color="auto"/>
        <w:bottom w:val="none" w:sz="0" w:space="0" w:color="auto"/>
        <w:right w:val="none" w:sz="0" w:space="0" w:color="auto"/>
      </w:divBdr>
    </w:div>
    <w:div w:id="1637225713">
      <w:bodyDiv w:val="1"/>
      <w:marLeft w:val="0"/>
      <w:marRight w:val="0"/>
      <w:marTop w:val="0"/>
      <w:marBottom w:val="0"/>
      <w:divBdr>
        <w:top w:val="none" w:sz="0" w:space="0" w:color="auto"/>
        <w:left w:val="none" w:sz="0" w:space="0" w:color="auto"/>
        <w:bottom w:val="none" w:sz="0" w:space="0" w:color="auto"/>
        <w:right w:val="none" w:sz="0" w:space="0" w:color="auto"/>
      </w:divBdr>
    </w:div>
    <w:div w:id="1659504043">
      <w:bodyDiv w:val="1"/>
      <w:marLeft w:val="0"/>
      <w:marRight w:val="0"/>
      <w:marTop w:val="0"/>
      <w:marBottom w:val="0"/>
      <w:divBdr>
        <w:top w:val="none" w:sz="0" w:space="0" w:color="auto"/>
        <w:left w:val="none" w:sz="0" w:space="0" w:color="auto"/>
        <w:bottom w:val="none" w:sz="0" w:space="0" w:color="auto"/>
        <w:right w:val="none" w:sz="0" w:space="0" w:color="auto"/>
      </w:divBdr>
    </w:div>
    <w:div w:id="1660845508">
      <w:bodyDiv w:val="1"/>
      <w:marLeft w:val="0"/>
      <w:marRight w:val="0"/>
      <w:marTop w:val="0"/>
      <w:marBottom w:val="0"/>
      <w:divBdr>
        <w:top w:val="none" w:sz="0" w:space="0" w:color="auto"/>
        <w:left w:val="none" w:sz="0" w:space="0" w:color="auto"/>
        <w:bottom w:val="none" w:sz="0" w:space="0" w:color="auto"/>
        <w:right w:val="none" w:sz="0" w:space="0" w:color="auto"/>
      </w:divBdr>
    </w:div>
    <w:div w:id="1679119658">
      <w:bodyDiv w:val="1"/>
      <w:marLeft w:val="0"/>
      <w:marRight w:val="0"/>
      <w:marTop w:val="0"/>
      <w:marBottom w:val="0"/>
      <w:divBdr>
        <w:top w:val="none" w:sz="0" w:space="0" w:color="auto"/>
        <w:left w:val="none" w:sz="0" w:space="0" w:color="auto"/>
        <w:bottom w:val="none" w:sz="0" w:space="0" w:color="auto"/>
        <w:right w:val="none" w:sz="0" w:space="0" w:color="auto"/>
      </w:divBdr>
    </w:div>
    <w:div w:id="1691486865">
      <w:bodyDiv w:val="1"/>
      <w:marLeft w:val="0"/>
      <w:marRight w:val="0"/>
      <w:marTop w:val="0"/>
      <w:marBottom w:val="0"/>
      <w:divBdr>
        <w:top w:val="none" w:sz="0" w:space="0" w:color="auto"/>
        <w:left w:val="none" w:sz="0" w:space="0" w:color="auto"/>
        <w:bottom w:val="none" w:sz="0" w:space="0" w:color="auto"/>
        <w:right w:val="none" w:sz="0" w:space="0" w:color="auto"/>
      </w:divBdr>
    </w:div>
    <w:div w:id="1716585289">
      <w:bodyDiv w:val="1"/>
      <w:marLeft w:val="0"/>
      <w:marRight w:val="0"/>
      <w:marTop w:val="0"/>
      <w:marBottom w:val="0"/>
      <w:divBdr>
        <w:top w:val="none" w:sz="0" w:space="0" w:color="auto"/>
        <w:left w:val="none" w:sz="0" w:space="0" w:color="auto"/>
        <w:bottom w:val="none" w:sz="0" w:space="0" w:color="auto"/>
        <w:right w:val="none" w:sz="0" w:space="0" w:color="auto"/>
      </w:divBdr>
    </w:div>
    <w:div w:id="1718624088">
      <w:bodyDiv w:val="1"/>
      <w:marLeft w:val="0"/>
      <w:marRight w:val="0"/>
      <w:marTop w:val="0"/>
      <w:marBottom w:val="0"/>
      <w:divBdr>
        <w:top w:val="none" w:sz="0" w:space="0" w:color="auto"/>
        <w:left w:val="none" w:sz="0" w:space="0" w:color="auto"/>
        <w:bottom w:val="none" w:sz="0" w:space="0" w:color="auto"/>
        <w:right w:val="none" w:sz="0" w:space="0" w:color="auto"/>
      </w:divBdr>
    </w:div>
    <w:div w:id="1762095844">
      <w:bodyDiv w:val="1"/>
      <w:marLeft w:val="0"/>
      <w:marRight w:val="0"/>
      <w:marTop w:val="0"/>
      <w:marBottom w:val="0"/>
      <w:divBdr>
        <w:top w:val="none" w:sz="0" w:space="0" w:color="auto"/>
        <w:left w:val="none" w:sz="0" w:space="0" w:color="auto"/>
        <w:bottom w:val="none" w:sz="0" w:space="0" w:color="auto"/>
        <w:right w:val="none" w:sz="0" w:space="0" w:color="auto"/>
      </w:divBdr>
    </w:div>
    <w:div w:id="1779912417">
      <w:bodyDiv w:val="1"/>
      <w:marLeft w:val="0"/>
      <w:marRight w:val="0"/>
      <w:marTop w:val="0"/>
      <w:marBottom w:val="0"/>
      <w:divBdr>
        <w:top w:val="none" w:sz="0" w:space="0" w:color="auto"/>
        <w:left w:val="none" w:sz="0" w:space="0" w:color="auto"/>
        <w:bottom w:val="none" w:sz="0" w:space="0" w:color="auto"/>
        <w:right w:val="none" w:sz="0" w:space="0" w:color="auto"/>
      </w:divBdr>
    </w:div>
    <w:div w:id="1827478300">
      <w:bodyDiv w:val="1"/>
      <w:marLeft w:val="0"/>
      <w:marRight w:val="0"/>
      <w:marTop w:val="0"/>
      <w:marBottom w:val="0"/>
      <w:divBdr>
        <w:top w:val="none" w:sz="0" w:space="0" w:color="auto"/>
        <w:left w:val="none" w:sz="0" w:space="0" w:color="auto"/>
        <w:bottom w:val="none" w:sz="0" w:space="0" w:color="auto"/>
        <w:right w:val="none" w:sz="0" w:space="0" w:color="auto"/>
      </w:divBdr>
    </w:div>
    <w:div w:id="1830093873">
      <w:bodyDiv w:val="1"/>
      <w:marLeft w:val="0"/>
      <w:marRight w:val="0"/>
      <w:marTop w:val="0"/>
      <w:marBottom w:val="0"/>
      <w:divBdr>
        <w:top w:val="none" w:sz="0" w:space="0" w:color="auto"/>
        <w:left w:val="none" w:sz="0" w:space="0" w:color="auto"/>
        <w:bottom w:val="none" w:sz="0" w:space="0" w:color="auto"/>
        <w:right w:val="none" w:sz="0" w:space="0" w:color="auto"/>
      </w:divBdr>
    </w:div>
    <w:div w:id="1838568236">
      <w:bodyDiv w:val="1"/>
      <w:marLeft w:val="0"/>
      <w:marRight w:val="0"/>
      <w:marTop w:val="0"/>
      <w:marBottom w:val="0"/>
      <w:divBdr>
        <w:top w:val="none" w:sz="0" w:space="0" w:color="auto"/>
        <w:left w:val="none" w:sz="0" w:space="0" w:color="auto"/>
        <w:bottom w:val="none" w:sz="0" w:space="0" w:color="auto"/>
        <w:right w:val="none" w:sz="0" w:space="0" w:color="auto"/>
      </w:divBdr>
    </w:div>
    <w:div w:id="1894002406">
      <w:bodyDiv w:val="1"/>
      <w:marLeft w:val="0"/>
      <w:marRight w:val="0"/>
      <w:marTop w:val="0"/>
      <w:marBottom w:val="0"/>
      <w:divBdr>
        <w:top w:val="none" w:sz="0" w:space="0" w:color="auto"/>
        <w:left w:val="none" w:sz="0" w:space="0" w:color="auto"/>
        <w:bottom w:val="none" w:sz="0" w:space="0" w:color="auto"/>
        <w:right w:val="none" w:sz="0" w:space="0" w:color="auto"/>
      </w:divBdr>
    </w:div>
    <w:div w:id="1940522425">
      <w:bodyDiv w:val="1"/>
      <w:marLeft w:val="0"/>
      <w:marRight w:val="0"/>
      <w:marTop w:val="0"/>
      <w:marBottom w:val="0"/>
      <w:divBdr>
        <w:top w:val="none" w:sz="0" w:space="0" w:color="auto"/>
        <w:left w:val="none" w:sz="0" w:space="0" w:color="auto"/>
        <w:bottom w:val="none" w:sz="0" w:space="0" w:color="auto"/>
        <w:right w:val="none" w:sz="0" w:space="0" w:color="auto"/>
      </w:divBdr>
    </w:div>
    <w:div w:id="2090301740">
      <w:bodyDiv w:val="1"/>
      <w:marLeft w:val="0"/>
      <w:marRight w:val="0"/>
      <w:marTop w:val="0"/>
      <w:marBottom w:val="0"/>
      <w:divBdr>
        <w:top w:val="none" w:sz="0" w:space="0" w:color="auto"/>
        <w:left w:val="none" w:sz="0" w:space="0" w:color="auto"/>
        <w:bottom w:val="none" w:sz="0" w:space="0" w:color="auto"/>
        <w:right w:val="none" w:sz="0" w:space="0" w:color="auto"/>
      </w:divBdr>
    </w:div>
    <w:div w:id="2120905292">
      <w:bodyDiv w:val="1"/>
      <w:marLeft w:val="45"/>
      <w:marRight w:val="45"/>
      <w:marTop w:val="45"/>
      <w:marBottom w:val="45"/>
      <w:divBdr>
        <w:top w:val="none" w:sz="0" w:space="0" w:color="auto"/>
        <w:left w:val="none" w:sz="0" w:space="0" w:color="auto"/>
        <w:bottom w:val="none" w:sz="0" w:space="0" w:color="auto"/>
        <w:right w:val="none" w:sz="0" w:space="0" w:color="auto"/>
      </w:divBdr>
      <w:divsChild>
        <w:div w:id="179864314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db.cep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0522c519dadb6fc2047cea0054a46e9c">
  <xsd:schema xmlns:xsd="http://www.w3.org/2001/XMLSchema" xmlns:xs="http://www.w3.org/2001/XMLSchema" xmlns:p="http://schemas.microsoft.com/office/2006/metadata/properties" xmlns:ns3="a915fe38-2618-47b6-8303-829fb71466d5" targetNamespace="http://schemas.microsoft.com/office/2006/metadata/properties" ma:root="true" ma:fieldsID="e7b381697b003f982c6de6f0e0793f20"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F950-7079-4993-8391-56184B864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49177C-6CE7-4FE0-8AFF-66F46861C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5A8BF-4F82-42D7-A750-DBC8DD47D514}">
  <ds:schemaRefs>
    <ds:schemaRef ds:uri="http://schemas.microsoft.com/sharepoint/v3/contenttype/forms"/>
  </ds:schemaRefs>
</ds:datastoreItem>
</file>

<file path=customXml/itemProps4.xml><?xml version="1.0" encoding="utf-8"?>
<ds:datastoreItem xmlns:ds="http://schemas.openxmlformats.org/officeDocument/2006/customXml" ds:itemID="{17DAA852-9D56-49A0-A8A0-1FCA5DE5911D}">
  <ds:schemaRefs>
    <ds:schemaRef ds:uri="http://schemas.openxmlformats.org/officeDocument/2006/bibliography"/>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3103</Words>
  <Characters>17690</Characters>
  <Application>Microsoft Office Word</Application>
  <DocSecurity>0</DocSecurity>
  <Lines>147</Lines>
  <Paragraphs>41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ECC Decision (22)07</vt:lpstr>
      <vt:lpstr>Draft ECC Decision (22)07</vt:lpstr>
      <vt:lpstr/>
    </vt:vector>
  </TitlesOfParts>
  <Company>ANFR</Company>
  <LinksUpToDate>false</LinksUpToDate>
  <CharactersWithSpaces>20752</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(22)07</dc:title>
  <dc:creator>ECC</dc:creator>
  <cp:keywords>ECC Decision (22)07</cp:keywords>
  <cp:lastModifiedBy>ECO</cp:lastModifiedBy>
  <cp:revision>2</cp:revision>
  <cp:lastPrinted>2022-11-22T08:52:00Z</cp:lastPrinted>
  <dcterms:created xsi:type="dcterms:W3CDTF">2023-05-17T06:30:00Z</dcterms:created>
  <dcterms:modified xsi:type="dcterms:W3CDTF">2023-05-17T06:30:00Z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MSIP_Label_5a50d26f-5c2c-4137-8396-1b24eb24286c_Enabled">
    <vt:lpwstr>true</vt:lpwstr>
  </property>
  <property fmtid="{D5CDD505-2E9C-101B-9397-08002B2CF9AE}" pid="4" name="MSIP_Label_5a50d26f-5c2c-4137-8396-1b24eb24286c_SetDate">
    <vt:lpwstr>2021-09-17T15:12:55Z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2d5d4d8b-00e2-451c-8ed3-4f9f17acbecb</vt:lpwstr>
  </property>
  <property fmtid="{D5CDD505-2E9C-101B-9397-08002B2CF9AE}" pid="9" name="MSIP_Label_5a50d26f-5c2c-4137-8396-1b24eb24286c_ContentBits">
    <vt:lpwstr>0</vt:lpwstr>
  </property>
  <property fmtid="{D5CDD505-2E9C-101B-9397-08002B2CF9AE}" pid="10" name="MSIP_Label_d6986fb0-3baa-42d2-89d5-89f9b25e6ac9_Enabled">
    <vt:lpwstr>true</vt:lpwstr>
  </property>
  <property fmtid="{D5CDD505-2E9C-101B-9397-08002B2CF9AE}" pid="11" name="MSIP_Label_d6986fb0-3baa-42d2-89d5-89f9b25e6ac9_SetDate">
    <vt:lpwstr>2022-03-31T15:29:50Z</vt:lpwstr>
  </property>
  <property fmtid="{D5CDD505-2E9C-101B-9397-08002B2CF9AE}" pid="12" name="MSIP_Label_d6986fb0-3baa-42d2-89d5-89f9b25e6ac9_Method">
    <vt:lpwstr>Standard</vt:lpwstr>
  </property>
  <property fmtid="{D5CDD505-2E9C-101B-9397-08002B2CF9AE}" pid="13" name="MSIP_Label_d6986fb0-3baa-42d2-89d5-89f9b25e6ac9_Name">
    <vt:lpwstr>Uso Interno</vt:lpwstr>
  </property>
  <property fmtid="{D5CDD505-2E9C-101B-9397-08002B2CF9AE}" pid="14" name="MSIP_Label_d6986fb0-3baa-42d2-89d5-89f9b25e6ac9_SiteId">
    <vt:lpwstr>6815f468-021c-48f2-a6b2-d65c8e979dfb</vt:lpwstr>
  </property>
  <property fmtid="{D5CDD505-2E9C-101B-9397-08002B2CF9AE}" pid="15" name="MSIP_Label_d6986fb0-3baa-42d2-89d5-89f9b25e6ac9_ActionId">
    <vt:lpwstr>e033272c-111e-415d-bc6c-524cdca59d24</vt:lpwstr>
  </property>
  <property fmtid="{D5CDD505-2E9C-101B-9397-08002B2CF9AE}" pid="16" name="MSIP_Label_d6986fb0-3baa-42d2-89d5-89f9b25e6ac9_ContentBits">
    <vt:lpwstr>2</vt:lpwstr>
  </property>
  <property fmtid="{D5CDD505-2E9C-101B-9397-08002B2CF9AE}" pid="17" name="MSIP_Label_07222825-62ea-40f3-96b5-5375c07996e2_Enabled">
    <vt:lpwstr>true</vt:lpwstr>
  </property>
  <property fmtid="{D5CDD505-2E9C-101B-9397-08002B2CF9AE}" pid="18" name="MSIP_Label_07222825-62ea-40f3-96b5-5375c07996e2_SetDate">
    <vt:lpwstr>2022-05-04T19:54:19Z</vt:lpwstr>
  </property>
  <property fmtid="{D5CDD505-2E9C-101B-9397-08002B2CF9AE}" pid="19" name="MSIP_Label_07222825-62ea-40f3-96b5-5375c07996e2_Method">
    <vt:lpwstr>Privileged</vt:lpwstr>
  </property>
  <property fmtid="{D5CDD505-2E9C-101B-9397-08002B2CF9AE}" pid="20" name="MSIP_Label_07222825-62ea-40f3-96b5-5375c07996e2_Name">
    <vt:lpwstr>unrestricted_parent.2</vt:lpwstr>
  </property>
  <property fmtid="{D5CDD505-2E9C-101B-9397-08002B2CF9AE}" pid="21" name="MSIP_Label_07222825-62ea-40f3-96b5-5375c07996e2_SiteId">
    <vt:lpwstr>90c7a20a-f34b-40bf-bc48-b9253b6f5d20</vt:lpwstr>
  </property>
  <property fmtid="{D5CDD505-2E9C-101B-9397-08002B2CF9AE}" pid="22" name="MSIP_Label_07222825-62ea-40f3-96b5-5375c07996e2_ActionId">
    <vt:lpwstr>a887ac0c-5552-4550-916a-4954b83ce938</vt:lpwstr>
  </property>
  <property fmtid="{D5CDD505-2E9C-101B-9397-08002B2CF9AE}" pid="23" name="MSIP_Label_07222825-62ea-40f3-96b5-5375c07996e2_ContentBits">
    <vt:lpwstr>0</vt:lpwstr>
  </property>
</Properties>
</file>